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0" w:firstLineChars="0"/>
        <w:jc w:val="center"/>
        <w:textAlignment w:val="auto"/>
        <w:outlineLvl w:val="0"/>
        <w:rPr>
          <w:rFonts w:ascii="方正小标宋_GBK" w:eastAsia="方正小标宋_GBK" w:cs="Times New Roman"/>
          <w:bCs/>
          <w:color w:val="000000" w:themeColor="text1"/>
          <w:sz w:val="72"/>
          <w:szCs w:val="72"/>
          <w14:textFill>
            <w14:solidFill>
              <w14:schemeClr w14:val="tx1"/>
            </w14:solidFill>
          </w14:textFill>
        </w:rPr>
      </w:pPr>
    </w:p>
    <w:p>
      <w:pPr>
        <w:adjustRightInd w:val="0"/>
        <w:snapToGrid w:val="0"/>
        <w:spacing w:line="240" w:lineRule="auto"/>
        <w:ind w:firstLine="0" w:firstLineChars="0"/>
        <w:jc w:val="center"/>
        <w:textAlignment w:val="auto"/>
        <w:outlineLvl w:val="0"/>
        <w:rPr>
          <w:rFonts w:ascii="宋体" w:hAnsi="宋体" w:cs="Times New Roman"/>
          <w:bCs/>
          <w:color w:val="000000" w:themeColor="text1"/>
          <w:sz w:val="72"/>
          <w:szCs w:val="72"/>
          <w14:textFill>
            <w14:solidFill>
              <w14:schemeClr w14:val="tx1"/>
            </w14:solidFill>
          </w14:textFill>
        </w:rPr>
      </w:pPr>
      <w:r>
        <w:rPr>
          <w:rFonts w:hint="eastAsia" w:ascii="宋体" w:hAnsi="宋体" w:cs="Times New Roman"/>
          <w:bCs/>
          <w:color w:val="000000" w:themeColor="text1"/>
          <w:sz w:val="72"/>
          <w:szCs w:val="72"/>
          <w14:textFill>
            <w14:solidFill>
              <w14:schemeClr w14:val="tx1"/>
            </w14:solidFill>
          </w14:textFill>
        </w:rPr>
        <w:t>建设项目环境影响报告表</w:t>
      </w:r>
    </w:p>
    <w:p>
      <w:pPr>
        <w:adjustRightInd w:val="0"/>
        <w:snapToGrid w:val="0"/>
        <w:spacing w:before="260" w:beforeLines="80" w:line="240" w:lineRule="auto"/>
        <w:ind w:firstLine="0" w:firstLineChars="0"/>
        <w:jc w:val="center"/>
        <w:textAlignment w:val="auto"/>
        <w:rPr>
          <w:rFonts w:ascii="宋体" w:hAnsi="宋体" w:cs="Times New Roman"/>
          <w:bCs/>
          <w:color w:val="000000" w:themeColor="text1"/>
          <w:sz w:val="48"/>
          <w:szCs w:val="48"/>
          <w14:textFill>
            <w14:solidFill>
              <w14:schemeClr w14:val="tx1"/>
            </w14:solidFill>
          </w14:textFill>
        </w:rPr>
      </w:pPr>
      <w:r>
        <w:rPr>
          <w:rFonts w:hint="eastAsia" w:ascii="宋体" w:hAnsi="宋体" w:cs="Times New Roman"/>
          <w:bCs/>
          <w:color w:val="000000" w:themeColor="text1"/>
          <w:sz w:val="48"/>
          <w:szCs w:val="48"/>
          <w14:textFill>
            <w14:solidFill>
              <w14:schemeClr w14:val="tx1"/>
            </w14:solidFill>
          </w14:textFill>
        </w:rPr>
        <w:t>（污染影响类）</w:t>
      </w: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pPr>
        <w:adjustRightInd w:val="0"/>
        <w:ind w:left="2520" w:leftChars="300" w:hanging="1800" w:hangingChars="500"/>
        <w:jc w:val="left"/>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项目名称：</w:t>
      </w:r>
      <w:r>
        <w:rPr>
          <w:rFonts w:hint="eastAsia" w:cs="Times New Roman"/>
          <w:color w:val="000000" w:themeColor="text1"/>
          <w:sz w:val="36"/>
          <w:szCs w:val="36"/>
          <w:u w:val="single"/>
          <w14:textFill>
            <w14:solidFill>
              <w14:schemeClr w14:val="tx1"/>
            </w14:solidFill>
          </w14:textFill>
        </w:rPr>
        <w:t xml:space="preserve">新疆中顺财达环保科技有限公司废塑料资源循环加工建设项目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p>
    <w:p>
      <w:pPr>
        <w:adjustRightInd w:val="0"/>
        <w:snapToGrid w:val="0"/>
        <w:ind w:firstLine="720"/>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建设单位（盖章）：</w:t>
      </w:r>
      <w:r>
        <w:rPr>
          <w:rFonts w:hint="eastAsia" w:cs="Times New Roman"/>
          <w:color w:val="000000" w:themeColor="text1"/>
          <w:sz w:val="36"/>
          <w:szCs w:val="36"/>
          <w:u w:val="single"/>
          <w14:textFill>
            <w14:solidFill>
              <w14:schemeClr w14:val="tx1"/>
            </w14:solidFill>
          </w14:textFill>
        </w:rPr>
        <w:t>新疆中顺财达环保科技有限公司</w:t>
      </w:r>
      <w:r>
        <w:rPr>
          <w:rFonts w:cs="Times New Roman"/>
          <w:color w:val="000000" w:themeColor="text1"/>
          <w:sz w:val="36"/>
          <w:szCs w:val="36"/>
          <w:u w:val="single"/>
          <w14:textFill>
            <w14:solidFill>
              <w14:schemeClr w14:val="tx1"/>
            </w14:solidFill>
          </w14:textFill>
        </w:rPr>
        <w:t xml:space="preserve">  </w:t>
      </w:r>
    </w:p>
    <w:p>
      <w:pPr>
        <w:adjustRightInd w:val="0"/>
        <w:snapToGrid w:val="0"/>
        <w:ind w:firstLine="720"/>
        <w:textAlignment w:val="auto"/>
        <w:rPr>
          <w:rFonts w:ascii="宋体" w:hAnsi="宋体"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编制日期：</w:t>
      </w:r>
      <w:r>
        <w:rPr>
          <w:rFonts w:cs="Times New Roman"/>
          <w:color w:val="000000" w:themeColor="text1"/>
          <w:sz w:val="36"/>
          <w:szCs w:val="36"/>
          <w:u w:val="single"/>
          <w14:textFill>
            <w14:solidFill>
              <w14:schemeClr w14:val="tx1"/>
            </w14:solidFill>
          </w14:textFill>
        </w:rPr>
        <w:t>202</w:t>
      </w:r>
      <w:r>
        <w:rPr>
          <w:rFonts w:hint="eastAsia" w:cs="Times New Roman"/>
          <w:color w:val="000000" w:themeColor="text1"/>
          <w:sz w:val="36"/>
          <w:szCs w:val="36"/>
          <w:u w:val="single"/>
          <w14:textFill>
            <w14:solidFill>
              <w14:schemeClr w14:val="tx1"/>
            </w14:solidFill>
          </w14:textFill>
        </w:rPr>
        <w:t>5</w:t>
      </w:r>
      <w:r>
        <w:rPr>
          <w:rFonts w:cs="Times New Roman"/>
          <w:color w:val="000000" w:themeColor="text1"/>
          <w:sz w:val="36"/>
          <w:szCs w:val="36"/>
          <w:u w:val="single"/>
          <w14:textFill>
            <w14:solidFill>
              <w14:schemeClr w14:val="tx1"/>
            </w14:solidFill>
          </w14:textFill>
        </w:rPr>
        <w:t xml:space="preserve">年12月  </w:t>
      </w:r>
      <w:r>
        <w:rPr>
          <w:rFonts w:ascii="宋体" w:hAnsi="宋体" w:cs="Times New Roman"/>
          <w:color w:val="000000" w:themeColor="text1"/>
          <w:sz w:val="36"/>
          <w:szCs w:val="36"/>
          <w:u w:val="single"/>
          <w14:textFill>
            <w14:solidFill>
              <w14:schemeClr w14:val="tx1"/>
            </w14:solidFill>
          </w14:textFill>
        </w:rPr>
        <w:t xml:space="preserve">                      </w:t>
      </w:r>
      <w:r>
        <w:rPr>
          <w:rFonts w:hint="eastAsia" w:ascii="宋体" w:hAnsi="宋体" w:cs="Times New Roman"/>
          <w:color w:val="000000" w:themeColor="text1"/>
          <w:sz w:val="36"/>
          <w:szCs w:val="36"/>
          <w:u w:val="single"/>
          <w14:textFill>
            <w14:solidFill>
              <w14:schemeClr w14:val="tx1"/>
            </w14:solidFill>
          </w14:textFill>
        </w:rPr>
        <w:t xml:space="preserve"> </w:t>
      </w: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u w:val="single"/>
          <w14:textFill>
            <w14:solidFill>
              <w14:schemeClr w14:val="tx1"/>
            </w14:solidFill>
          </w14:textFill>
        </w:rPr>
      </w:pPr>
      <w:bookmarkStart w:id="0" w:name="_Hlk57884087"/>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bookmarkEnd w:id="0"/>
    <w:p>
      <w:pPr>
        <w:adjustRightInd w:val="0"/>
        <w:snapToGrid w:val="0"/>
        <w:spacing w:line="288" w:lineRule="auto"/>
        <w:ind w:firstLine="0" w:firstLineChars="0"/>
        <w:jc w:val="center"/>
        <w:textAlignment w:val="auto"/>
        <w:rPr>
          <w:rFonts w:ascii="楷体_GB2312" w:eastAsia="楷体_GB2312" w:cs="Times New Roman"/>
          <w:color w:val="000000" w:themeColor="text1"/>
          <w:sz w:val="36"/>
          <w:szCs w:val="36"/>
          <w14:textFill>
            <w14:solidFill>
              <w14:schemeClr w14:val="tx1"/>
            </w14:solidFill>
          </w14:textFill>
        </w:rPr>
      </w:pPr>
      <w:r>
        <w:rPr>
          <w:rFonts w:hint="eastAsia" w:ascii="楷体_GB2312" w:eastAsia="楷体_GB2312" w:cs="Times New Roman"/>
          <w:color w:val="000000" w:themeColor="text1"/>
          <w:sz w:val="36"/>
          <w:szCs w:val="36"/>
          <w14:textFill>
            <w14:solidFill>
              <w14:schemeClr w14:val="tx1"/>
            </w14:solidFill>
          </w14:textFill>
        </w:rPr>
        <w:t>中华人民共和国生态环境部制</w:t>
      </w:r>
    </w:p>
    <w:p>
      <w:pPr>
        <w:ind w:firstLine="480"/>
      </w:pPr>
    </w:p>
    <w:p>
      <w:pPr>
        <w:ind w:firstLine="480"/>
      </w:pPr>
    </w:p>
    <w:p>
      <w:pPr>
        <w:ind w:firstLine="480"/>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一、建设项目基本情况</w:t>
      </w:r>
    </w:p>
    <w:tbl>
      <w:tblPr>
        <w:tblStyle w:val="25"/>
        <w:tblW w:w="498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83"/>
        <w:gridCol w:w="1703"/>
        <w:gridCol w:w="2040"/>
        <w:gridCol w:w="1856"/>
        <w:gridCol w:w="2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5"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建设项目名称</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新疆中顺财达环保科技有限公司废塑料资源循环加工建设项目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5"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项目代码</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18" w:name="_GoBack"/>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4"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建设单位联系人</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建设地点</w:t>
            </w:r>
          </w:p>
        </w:tc>
        <w:tc>
          <w:tcPr>
            <w:tcW w:w="3796" w:type="pct"/>
            <w:gridSpan w:val="3"/>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4"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地理坐标</w:t>
            </w:r>
          </w:p>
        </w:tc>
        <w:tc>
          <w:tcPr>
            <w:tcW w:w="3796" w:type="pct"/>
            <w:gridSpan w:val="3"/>
            <w:vAlign w:val="center"/>
          </w:tcPr>
          <w:p>
            <w:pPr>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88"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国民经济</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t>C</w:t>
            </w:r>
            <w:r>
              <w:rPr>
                <w:rFonts w:hint="eastAsia"/>
              </w:rPr>
              <w:t>4220非金属废料和碎屑加工处理</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1" w:name="_Hlk49843745"/>
            <w:r>
              <w:rPr>
                <w:rFonts w:cs="Times New Roman"/>
                <w:color w:val="000000" w:themeColor="text1"/>
                <w:szCs w:val="24"/>
                <w14:textFill>
                  <w14:solidFill>
                    <w14:schemeClr w14:val="tx1"/>
                  </w14:solidFill>
                </w14:textFill>
              </w:rPr>
              <w:t>建设项目</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bookmarkEnd w:id="1"/>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rPr>
              <w:t>三十九、废弃资源综合利用业42-85、非金属废料和碎屑加工处理422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1"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建设性质</w:t>
            </w:r>
          </w:p>
        </w:tc>
        <w:tc>
          <w:tcPr>
            <w:tcW w:w="1123" w:type="pct"/>
            <w:vAlign w:val="center"/>
          </w:tcPr>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新建（迁建）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改建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扩建</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技术改造</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申报情形</w:t>
            </w:r>
          </w:p>
        </w:tc>
        <w:tc>
          <w:tcPr>
            <w:tcW w:w="1650" w:type="pct"/>
            <w:vAlign w:val="center"/>
          </w:tcPr>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首次申报项目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不予批准后再次申报项目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超五年重新审核项目</w:t>
            </w:r>
          </w:p>
          <w:p>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8"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备案）部门（选填）</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库尔勒市发展和改革委员会</w:t>
            </w:r>
          </w:p>
        </w:tc>
        <w:tc>
          <w:tcPr>
            <w:tcW w:w="1022"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备案）文号（选填）</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2025209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7"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总投资（万元）</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320.7</w:t>
            </w:r>
          </w:p>
        </w:tc>
        <w:tc>
          <w:tcPr>
            <w:tcW w:w="1022" w:type="pct"/>
            <w:tcMar>
              <w:top w:w="16" w:type="dxa"/>
              <w:left w:w="16" w:type="dxa"/>
              <w:right w:w="16" w:type="dxa"/>
            </w:tcMar>
            <w:vAlign w:val="center"/>
          </w:tcPr>
          <w:p>
            <w:pPr>
              <w:adjustRightInd w:val="0"/>
              <w:snapToGrid w:val="0"/>
              <w:spacing w:line="240" w:lineRule="auto"/>
              <w:ind w:firstLine="0" w:firstLineChars="0"/>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环保投资（万元）</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5"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环保投资占比（%）</w:t>
            </w:r>
          </w:p>
        </w:tc>
        <w:tc>
          <w:tcPr>
            <w:tcW w:w="1123"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color w:val="000000" w:themeColor="text1"/>
                <w14:textFill>
                  <w14:solidFill>
                    <w14:schemeClr w14:val="tx1"/>
                  </w14:solidFill>
                </w14:textFill>
              </w:rPr>
              <w:t>7.33</w:t>
            </w:r>
          </w:p>
        </w:tc>
        <w:tc>
          <w:tcPr>
            <w:tcW w:w="1022" w:type="pct"/>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施工工期</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6个月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3" w:hRule="atLeast"/>
        </w:trPr>
        <w:tc>
          <w:tcPr>
            <w:tcW w:w="1203" w:type="pct"/>
            <w:gridSpan w:val="2"/>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是否开工建设</w:t>
            </w:r>
          </w:p>
        </w:tc>
        <w:tc>
          <w:tcPr>
            <w:tcW w:w="1123" w:type="pct"/>
            <w:vAlign w:val="center"/>
          </w:tcPr>
          <w:p>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否</w:t>
            </w:r>
          </w:p>
          <w:p>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00A3"/>
            </w:r>
            <w:r>
              <w:rPr>
                <w:rFonts w:cs="Times New Roman"/>
                <w:color w:val="000000" w:themeColor="text1"/>
                <w:szCs w:val="24"/>
                <w14:textFill>
                  <w14:solidFill>
                    <w14:schemeClr w14:val="tx1"/>
                  </w14:solidFill>
                </w14:textFill>
              </w:rPr>
              <w:t>是</w:t>
            </w:r>
          </w:p>
        </w:tc>
        <w:tc>
          <w:tcPr>
            <w:tcW w:w="1022" w:type="pct"/>
            <w:tcMar>
              <w:top w:w="16" w:type="dxa"/>
              <w:left w:w="16" w:type="dxa"/>
              <w:right w:w="16" w:type="dxa"/>
            </w:tcMar>
            <w:vAlign w:val="center"/>
          </w:tcPr>
          <w:p>
            <w:pPr>
              <w:adjustRightInd w:val="0"/>
              <w:snapToGrid w:val="0"/>
              <w:spacing w:line="240" w:lineRule="auto"/>
              <w:ind w:firstLine="0" w:firstLineChars="0"/>
              <w:jc w:val="center"/>
              <w:textAlignment w:val="auto"/>
              <w:rPr>
                <w:rFonts w:cs="Times New Roman"/>
                <w:color w:val="000000" w:themeColor="text1"/>
                <w:spacing w:val="-6"/>
                <w:szCs w:val="24"/>
                <w14:textFill>
                  <w14:solidFill>
                    <w14:schemeClr w14:val="tx1"/>
                  </w14:solidFill>
                </w14:textFill>
              </w:rPr>
            </w:pPr>
            <w:r>
              <w:rPr>
                <w:rFonts w:cs="Times New Roman"/>
                <w:color w:val="000000" w:themeColor="text1"/>
                <w:spacing w:val="-6"/>
                <w:szCs w:val="24"/>
                <w14:textFill>
                  <w14:solidFill>
                    <w14:schemeClr w14:val="tx1"/>
                  </w14:solidFill>
                </w14:textFill>
              </w:rPr>
              <w:t>用地（用海）</w:t>
            </w:r>
          </w:p>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pacing w:val="-6"/>
                <w:szCs w:val="24"/>
                <w14:textFill>
                  <w14:solidFill>
                    <w14:schemeClr w14:val="tx1"/>
                  </w14:solidFill>
                </w14:textFill>
              </w:rPr>
              <w:t>面积（m</w:t>
            </w:r>
            <w:r>
              <w:rPr>
                <w:rFonts w:cs="Times New Roman"/>
                <w:color w:val="000000" w:themeColor="text1"/>
                <w:spacing w:val="-6"/>
                <w:szCs w:val="24"/>
                <w:vertAlign w:val="superscript"/>
                <w14:textFill>
                  <w14:solidFill>
                    <w14:schemeClr w14:val="tx1"/>
                  </w14:solidFill>
                </w14:textFill>
              </w:rPr>
              <w:t>2</w:t>
            </w:r>
            <w:r>
              <w:rPr>
                <w:rFonts w:cs="Times New Roman"/>
                <w:color w:val="000000" w:themeColor="text1"/>
                <w:spacing w:val="-6"/>
                <w:szCs w:val="24"/>
                <w14:textFill>
                  <w14:solidFill>
                    <w14:schemeClr w14:val="tx1"/>
                  </w14:solidFill>
                </w14:textFill>
              </w:rPr>
              <w:t>）</w:t>
            </w:r>
          </w:p>
        </w:tc>
        <w:tc>
          <w:tcPr>
            <w:tcW w:w="1650" w:type="pct"/>
            <w:vAlign w:val="center"/>
          </w:tcPr>
          <w:p>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7104.73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03" w:type="pct"/>
            <w:gridSpan w:val="2"/>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专项评价设置情况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trPr>
        <w:tc>
          <w:tcPr>
            <w:tcW w:w="1203" w:type="pct"/>
            <w:gridSpan w:val="2"/>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1203" w:type="pct"/>
            <w:gridSpan w:val="2"/>
            <w:vAlign w:val="center"/>
          </w:tcPr>
          <w:p>
            <w:pPr>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规划环境影响评价情况</w:t>
            </w:r>
          </w:p>
        </w:tc>
        <w:tc>
          <w:tcPr>
            <w:tcW w:w="3796" w:type="pct"/>
            <w:gridSpan w:val="3"/>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 w:hRule="atLeast"/>
        </w:trPr>
        <w:tc>
          <w:tcPr>
            <w:tcW w:w="1203" w:type="pct"/>
            <w:gridSpan w:val="2"/>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规划及规划环境影响评价符合性分析</w:t>
            </w:r>
          </w:p>
        </w:tc>
        <w:tc>
          <w:tcPr>
            <w:tcW w:w="3796" w:type="pct"/>
            <w:gridSpan w:val="3"/>
            <w:vAlign w:val="center"/>
          </w:tcPr>
          <w:p>
            <w:pPr>
              <w:spacing w:line="240" w:lineRule="auto"/>
              <w:ind w:firstLine="0" w:firstLineChars="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42" w:hRule="atLeast"/>
        </w:trPr>
        <w:tc>
          <w:tcPr>
            <w:tcW w:w="267" w:type="pct"/>
            <w:vAlign w:val="center"/>
          </w:tcPr>
          <w:p>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其他符合性分析</w:t>
            </w:r>
          </w:p>
        </w:tc>
        <w:tc>
          <w:tcPr>
            <w:tcW w:w="4732" w:type="pct"/>
            <w:gridSpan w:val="4"/>
            <w:vAlign w:val="center"/>
          </w:tcPr>
          <w:p>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1.项目产业政策符合性分析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根据国家发展和改革委员会《产业结构调整指导目录（</w:t>
            </w:r>
            <w:r>
              <w:rPr>
                <w:color w:val="000000" w:themeColor="text1"/>
                <w14:textFill>
                  <w14:solidFill>
                    <w14:schemeClr w14:val="tx1"/>
                  </w14:solidFill>
                </w14:textFill>
              </w:rPr>
              <w:t>2024</w:t>
            </w:r>
            <w:r>
              <w:rPr>
                <w:rFonts w:hint="eastAsia"/>
                <w:color w:val="000000" w:themeColor="text1"/>
                <w14:textFill>
                  <w14:solidFill>
                    <w14:schemeClr w14:val="tx1"/>
                  </w14:solidFill>
                </w14:textFill>
              </w:rPr>
              <w:t>年本）》的要求，</w:t>
            </w:r>
            <w:r>
              <w:rPr>
                <w:rFonts w:hint="eastAsia"/>
              </w:rPr>
              <w:t>本项目属于鼓励类中的“</w:t>
            </w:r>
            <w:r>
              <w:rPr>
                <w:rFonts w:hint="eastAsia"/>
                <w:b/>
                <w:bCs/>
              </w:rPr>
              <w:t>四十二、环境保护与资源节约综合利用</w:t>
            </w:r>
            <w:r>
              <w:rPr>
                <w:rFonts w:hint="eastAsia"/>
              </w:rPr>
              <w:t>——</w:t>
            </w:r>
            <w:r>
              <w:t>8</w:t>
            </w:r>
            <w:r>
              <w:rPr>
                <w:rFonts w:hint="eastAsia"/>
              </w:rPr>
              <w:t>、废弃物循环利用：</w:t>
            </w:r>
            <w:r>
              <w:rPr>
                <w:rFonts w:hint="eastAsia" w:cs="Times New Roman"/>
              </w:rPr>
              <w:t>废钢铁、废有色金属、废纸、废橡胶、废玻璃、</w:t>
            </w:r>
            <w:r>
              <w:rPr>
                <w:rFonts w:hint="eastAsia" w:cs="Times New Roman"/>
                <w:b/>
                <w:bCs/>
              </w:rPr>
              <w:t>废塑料等</w:t>
            </w:r>
            <w:r>
              <w:rPr>
                <w:rFonts w:hint="eastAsia" w:cs="Times New Roman"/>
              </w:rPr>
              <w:t>城市典型废弃物循环利用、技术设备开发及应用”，故</w:t>
            </w:r>
            <w:r>
              <w:rPr>
                <w:rFonts w:hint="eastAsia"/>
                <w:color w:val="000000" w:themeColor="text1"/>
                <w14:textFill>
                  <w14:solidFill>
                    <w14:schemeClr w14:val="tx1"/>
                  </w14:solidFill>
                </w14:textFill>
              </w:rPr>
              <w:t>符合国家产业政策。</w:t>
            </w:r>
            <w:bookmarkStart w:id="2" w:name="_Hlk97287319"/>
          </w:p>
          <w:p>
            <w:pPr>
              <w:ind w:firstLine="0" w:firstLineChars="0"/>
              <w:rPr>
                <w:rFonts w:cs="Times New Roman"/>
                <w:b/>
                <w:bCs/>
              </w:rPr>
            </w:pPr>
            <w:r>
              <w:rPr>
                <w:rFonts w:hint="eastAsia"/>
                <w:b/>
                <w:bCs/>
                <w:color w:val="000000" w:themeColor="text1"/>
                <w14:textFill>
                  <w14:solidFill>
                    <w14:schemeClr w14:val="tx1"/>
                  </w14:solidFill>
                </w14:textFill>
              </w:rPr>
              <w:t>2.选址合理性分析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本项目位于库尔勒市哈拉玉宫镇废旧物资回收加工产业园的废旧塑料回收加工区。项目所在地水、电、道路等基础设施配套齐全，具备良好的建设条件。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项目用地为工业用地，不涉及农业、林业用地，无土地权属纠纷；用地范围内未占用饮用水水源保护区、自然保护区、风景名胜区、生态功能保护区及其他生态敏感区与脆弱区，符合生态保护红线管控要求。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从行业属性看，本项目属于资源综合利用类环保产业项目，是推动废塑料资源化利用、促进循环经济发展的重要组成部分。项目以废旧塑料为原料，经分拣、破碎、清洗、脱水等工艺处理后，制成洁净的塑料碎片，作为再生资源外售至下游塑料加工企业，实现废弃物的减量化、资源化和无害化处置。</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建设与运营过程中，项目严格落实环境保护主体责任，依据环境影响评价文件要求，配套建设完善且技术可行的污染物治理设施，确保各类污染物稳定达标排放。项目选址不在生态环境保护“禁批”或“限批”范围内，符合国家及地方关于建设项目审批的相关政策规定，具备实施的合法性和可行性。</w:t>
            </w:r>
          </w:p>
          <w:p>
            <w:pPr>
              <w:ind w:firstLine="480"/>
            </w:pPr>
            <w:r>
              <w:rPr>
                <w:rFonts w:hint="eastAsia"/>
                <w:color w:val="000000" w:themeColor="text1"/>
                <w14:textFill>
                  <w14:solidFill>
                    <w14:schemeClr w14:val="tx1"/>
                  </w14:solidFill>
                </w14:textFill>
              </w:rPr>
              <w:t>综上所述，本项目选址合理，符合相关规划与环保要求</w:t>
            </w:r>
            <w:r>
              <w:t>。</w:t>
            </w:r>
          </w:p>
          <w:p>
            <w:pPr>
              <w:ind w:firstLine="0" w:firstLineChars="0"/>
              <w:rPr>
                <w:b/>
                <w:bCs/>
              </w:rPr>
            </w:pPr>
            <w:r>
              <w:rPr>
                <w:rFonts w:hint="eastAsia"/>
                <w:b/>
                <w:bCs/>
                <w:color w:val="000000" w:themeColor="text1"/>
                <w14:textFill>
                  <w14:solidFill>
                    <w14:schemeClr w14:val="tx1"/>
                  </w14:solidFill>
                </w14:textFill>
              </w:rPr>
              <w:t>3.本项目与《新疆维吾尔自治区“三线一单”生态环境分区管控方案》（新政发〔2021〕18号）符合性分析</w:t>
            </w:r>
          </w:p>
          <w:p>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1-1  </w:t>
            </w:r>
            <w:r>
              <w:rPr>
                <w:rFonts w:hint="eastAsia" w:cs="Times New Roman"/>
                <w:b/>
                <w:kern w:val="0"/>
                <w:sz w:val="21"/>
                <w:szCs w:val="20"/>
              </w:rPr>
              <w:t>本项目与《新疆维吾尔自治区“三线一单”生态环境分区管控方案》符合性分析一览表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566"/>
              <w:gridCol w:w="4087"/>
              <w:gridCol w:w="2165"/>
              <w:gridCol w:w="6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名称</w:t>
                  </w:r>
                </w:p>
              </w:tc>
              <w:tc>
                <w:tcPr>
                  <w:tcW w:w="2786" w:type="pct"/>
                  <w:gridSpan w:val="2"/>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文件要求</w:t>
                  </w:r>
                </w:p>
              </w:tc>
              <w:tc>
                <w:tcPr>
                  <w:tcW w:w="129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restar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《新疆维吾尔自治区生态环境分区管控动态更新成果》（新环环评发〔2024〕</w:t>
                  </w:r>
                </w:p>
                <w:p>
                  <w:pPr>
                    <w:spacing w:line="240" w:lineRule="auto"/>
                    <w:ind w:firstLine="0" w:firstLineChars="0"/>
                    <w:contextualSpacing/>
                    <w:jc w:val="center"/>
                    <w:rPr>
                      <w:rFonts w:cs="Times New Roman"/>
                      <w:sz w:val="21"/>
                      <w:szCs w:val="21"/>
                    </w:rPr>
                  </w:pPr>
                  <w:r>
                    <w:rPr>
                      <w:rFonts w:hint="eastAsia" w:cs="Times New Roman"/>
                      <w:sz w:val="21"/>
                      <w:szCs w:val="21"/>
                    </w:rPr>
                    <w:t>157号）</w:t>
                  </w: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生态保护红线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按照“生态功能不降低、面积不减少、性质不改变”的基本要求，对划定的生态保护红线实施严格管控，保障和维护国家生态安全的底线和生命线</w:t>
                  </w:r>
                </w:p>
              </w:tc>
              <w:tc>
                <w:tcPr>
                  <w:tcW w:w="129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本项目不在生态保护红线范围内</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环境质量底线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破碎工序采用湿法破碎工艺，在密闭厂房内进行，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资源利用上线</w:t>
                  </w:r>
                </w:p>
              </w:tc>
              <w:tc>
                <w:tcPr>
                  <w:tcW w:w="2446"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强化节约集约利用，持续提升资源能源利用效率，水资源、土地资源、能源消耗等达到国家、自治区下达的总量和强度控制目标</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本项目用水由库尔勒市哈拉玉宫镇废旧物资回收加工产业园供水系统供给，占地规模小。用水量、建设用地规模及综合能耗均符合国家及自治区规定的总量和强度控制要求</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pPr>
                    <w:spacing w:line="240" w:lineRule="auto"/>
                    <w:ind w:firstLine="0" w:firstLineChars="0"/>
                    <w:contextualSpacing/>
                    <w:jc w:val="center"/>
                    <w:rPr>
                      <w:rFonts w:cs="Times New Roman"/>
                      <w:sz w:val="21"/>
                      <w:szCs w:val="21"/>
                    </w:rPr>
                  </w:pPr>
                </w:p>
              </w:tc>
              <w:tc>
                <w:tcPr>
                  <w:tcW w:w="339"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环境管控单元</w:t>
                  </w:r>
                </w:p>
              </w:tc>
              <w:tc>
                <w:tcPr>
                  <w:tcW w:w="2446" w:type="pct"/>
                  <w:vAlign w:val="center"/>
                </w:tcPr>
                <w:p>
                  <w:pPr>
                    <w:adjustRightInd w:val="0"/>
                    <w:spacing w:line="240" w:lineRule="auto"/>
                    <w:ind w:firstLine="420"/>
                    <w:rPr>
                      <w:rFonts w:cs="Times New Roman"/>
                      <w:sz w:val="21"/>
                      <w:szCs w:val="21"/>
                    </w:rPr>
                  </w:pPr>
                  <w:r>
                    <w:rPr>
                      <w:rFonts w:hint="eastAsia" w:cs="Times New Roman"/>
                      <w:sz w:val="21"/>
                      <w:szCs w:val="21"/>
                    </w:rPr>
                    <w:t>自治区共划定1777个环境管控单元，分为优先保护单元、重点管控单元和一般管控单元三类，实施分类管控。</w:t>
                  </w:r>
                </w:p>
                <w:p>
                  <w:pPr>
                    <w:adjustRightInd w:val="0"/>
                    <w:spacing w:line="240" w:lineRule="auto"/>
                    <w:ind w:firstLine="420"/>
                    <w:rPr>
                      <w:rFonts w:cs="Times New Roman"/>
                      <w:sz w:val="21"/>
                      <w:szCs w:val="21"/>
                    </w:rPr>
                  </w:pPr>
                  <w:r>
                    <w:rPr>
                      <w:rFonts w:hint="eastAsia" w:cs="Times New Roman"/>
                      <w:sz w:val="21"/>
                      <w:szCs w:val="21"/>
                    </w:rPr>
                    <w:t>优先保护单元925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adjustRightInd w:val="0"/>
                    <w:spacing w:line="240" w:lineRule="auto"/>
                    <w:ind w:firstLine="420"/>
                    <w:rPr>
                      <w:rFonts w:cs="Times New Roman"/>
                      <w:sz w:val="21"/>
                      <w:szCs w:val="21"/>
                    </w:rPr>
                  </w:pPr>
                  <w:r>
                    <w:rPr>
                      <w:rFonts w:hint="eastAsia" w:cs="Times New Roman"/>
                      <w:sz w:val="21"/>
                      <w:szCs w:val="21"/>
                    </w:rPr>
                    <w:t>重点管控单元713个，主要包括城镇建成区、工业园区和开发强度大、污染物排放强度高的工业聚集区等。重点管控单元要着力优化空间布局，不断提升资源利用效率，有针对性地加强污染物排放管控和环境风险管控，解决生态环境质量不达标、生态环境风险高等问题。</w:t>
                  </w:r>
                </w:p>
                <w:p>
                  <w:pPr>
                    <w:spacing w:line="240" w:lineRule="auto"/>
                    <w:ind w:firstLine="420"/>
                    <w:contextualSpacing/>
                    <w:rPr>
                      <w:rFonts w:cs="Times New Roman"/>
                      <w:sz w:val="21"/>
                      <w:szCs w:val="21"/>
                    </w:rPr>
                  </w:pPr>
                  <w:r>
                    <w:rPr>
                      <w:rFonts w:hint="eastAsia" w:cs="Times New Roman"/>
                      <w:sz w:val="21"/>
                      <w:szCs w:val="21"/>
                    </w:rPr>
                    <w:t>一般管控单元139个，主要包括优先保护单元和重点管控单元之外的其它区域。一般管控单元主要落实生态环境保护基本要求，推动区域环境质量持续改善。</w:t>
                  </w:r>
                </w:p>
              </w:tc>
              <w:tc>
                <w:tcPr>
                  <w:tcW w:w="1296" w:type="pct"/>
                  <w:vAlign w:val="center"/>
                </w:tcPr>
                <w:p>
                  <w:pPr>
                    <w:spacing w:line="240" w:lineRule="auto"/>
                    <w:ind w:firstLine="0" w:firstLineChars="0"/>
                    <w:contextualSpacing/>
                    <w:rPr>
                      <w:rFonts w:cs="Times New Roman"/>
                      <w:sz w:val="21"/>
                      <w:szCs w:val="21"/>
                    </w:rPr>
                  </w:pPr>
                  <w:r>
                    <w:rPr>
                      <w:rFonts w:hint="eastAsia" w:cs="Times New Roman"/>
                      <w:sz w:val="21"/>
                      <w:szCs w:val="21"/>
                    </w:rPr>
                    <w:t>本项目位于库尔勒市一般管控单元（ZH65280130001），</w:t>
                  </w:r>
                  <w:r>
                    <w:rPr>
                      <w:rFonts w:hint="eastAsia" w:cs="Times New Roman"/>
                      <w:color w:val="000000"/>
                      <w:sz w:val="21"/>
                      <w:szCs w:val="21"/>
                    </w:rPr>
                    <w:t>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380" w:type="pct"/>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符合</w:t>
                  </w:r>
                </w:p>
              </w:tc>
            </w:tr>
          </w:tbl>
          <w:p>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1-2 </w:t>
            </w:r>
            <w:r>
              <w:rPr>
                <w:rFonts w:hint="eastAsia" w:cs="Times New Roman"/>
                <w:b/>
                <w:kern w:val="0"/>
                <w:sz w:val="21"/>
                <w:szCs w:val="20"/>
              </w:rPr>
              <w:t xml:space="preserve"> 本项目与新疆维吾尔自治区一般环境管控单元分类管控要求符合性分析一览表</w:t>
            </w:r>
          </w:p>
          <w:tbl>
            <w:tblPr>
              <w:tblStyle w:val="2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22"/>
              <w:gridCol w:w="553"/>
              <w:gridCol w:w="4296"/>
              <w:gridCol w:w="2018"/>
              <w:gridCol w:w="9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312" w:type="pct"/>
                  <w:vMerge w:val="restart"/>
                  <w:tcBorders>
                    <w:top w:val="single" w:color="auto" w:sz="12" w:space="0"/>
                    <w:left w:val="single" w:color="auto" w:sz="12" w:space="0"/>
                    <w:bottom w:val="single" w:color="auto" w:sz="8"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bCs/>
                      <w:sz w:val="21"/>
                      <w:szCs w:val="21"/>
                    </w:rPr>
                    <w:t>A7一般管控单元</w:t>
                  </w:r>
                </w:p>
              </w:tc>
              <w:tc>
                <w:tcPr>
                  <w:tcW w:w="2900" w:type="pct"/>
                  <w:gridSpan w:val="2"/>
                  <w:tcBorders>
                    <w:top w:val="single" w:color="auto" w:sz="12"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管控要求</w:t>
                  </w:r>
                </w:p>
              </w:tc>
              <w:tc>
                <w:tcPr>
                  <w:tcW w:w="1207" w:type="pct"/>
                  <w:tcBorders>
                    <w:top w:val="single" w:color="auto" w:sz="12"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本项目</w:t>
                  </w:r>
                </w:p>
              </w:tc>
              <w:tc>
                <w:tcPr>
                  <w:tcW w:w="581" w:type="pct"/>
                  <w:tcBorders>
                    <w:top w:val="single" w:color="auto" w:sz="12" w:space="0"/>
                    <w:left w:val="single" w:color="auto" w:sz="4" w:space="0"/>
                    <w:bottom w:val="single" w:color="auto" w:sz="4" w:space="0"/>
                    <w:right w:val="single" w:color="auto" w:sz="12"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符合性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961" w:hRule="atLeast"/>
                <w:jc w:val="center"/>
              </w:trPr>
              <w:tc>
                <w:tcPr>
                  <w:tcW w:w="312" w:type="pct"/>
                  <w:vMerge w:val="continue"/>
                  <w:tcBorders>
                    <w:top w:val="single" w:color="auto" w:sz="8" w:space="0"/>
                    <w:left w:val="single" w:color="auto" w:sz="12" w:space="0"/>
                    <w:bottom w:val="single" w:color="auto" w:sz="8" w:space="0"/>
                    <w:right w:val="single" w:color="auto" w:sz="4" w:space="0"/>
                  </w:tcBorders>
                  <w:vAlign w:val="center"/>
                </w:tcPr>
                <w:p>
                  <w:pPr>
                    <w:widowControl/>
                    <w:spacing w:line="240" w:lineRule="auto"/>
                    <w:ind w:firstLine="0" w:firstLineChars="0"/>
                    <w:jc w:val="center"/>
                    <w:rPr>
                      <w:rFonts w:cs="Times New Roman"/>
                      <w:sz w:val="21"/>
                      <w:szCs w:val="21"/>
                    </w:rPr>
                  </w:pPr>
                </w:p>
              </w:tc>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bCs/>
                      <w:sz w:val="21"/>
                      <w:szCs w:val="21"/>
                    </w:rPr>
                    <w:t>A7.1空间布局约束</w:t>
                  </w:r>
                </w:p>
              </w:tc>
              <w:tc>
                <w:tcPr>
                  <w:tcW w:w="2569" w:type="pct"/>
                  <w:tcBorders>
                    <w:top w:val="single" w:color="auto" w:sz="4" w:space="0"/>
                    <w:left w:val="single" w:color="auto" w:sz="4" w:space="0"/>
                    <w:right w:val="single" w:color="auto" w:sz="4" w:space="0"/>
                  </w:tcBorders>
                  <w:vAlign w:val="center"/>
                </w:tcPr>
                <w:p>
                  <w:pPr>
                    <w:autoSpaceDE w:val="0"/>
                    <w:autoSpaceDN w:val="0"/>
                    <w:spacing w:line="240" w:lineRule="auto"/>
                    <w:ind w:firstLine="0" w:firstLineChars="0"/>
                    <w:rPr>
                      <w:rFonts w:cs="Times New Roman"/>
                      <w:sz w:val="21"/>
                      <w:szCs w:val="21"/>
                    </w:rPr>
                  </w:pPr>
                  <w:r>
                    <w:rPr>
                      <w:rFonts w:cs="Times New Roman"/>
                      <w:bCs/>
                      <w:sz w:val="21"/>
                      <w:szCs w:val="21"/>
                    </w:rPr>
                    <w:t>【A7.1-1】限制进行大规模高强度工业化城镇化开发，严格控制金属冶炼、石油化工、焦化等</w:t>
                  </w:r>
                  <w:r>
                    <w:rPr>
                      <w:rFonts w:hint="eastAsia" w:cs="Times New Roman"/>
                      <w:bCs/>
                      <w:sz w:val="21"/>
                      <w:szCs w:val="21"/>
                    </w:rPr>
                    <w:t>“</w:t>
                  </w:r>
                  <w:r>
                    <w:rPr>
                      <w:rFonts w:cs="Times New Roman"/>
                      <w:bCs/>
                      <w:sz w:val="21"/>
                      <w:szCs w:val="21"/>
                    </w:rPr>
                    <w:t>高污染、高环境风险产品</w:t>
                  </w:r>
                  <w:r>
                    <w:rPr>
                      <w:rFonts w:hint="eastAsia" w:cs="Times New Roman"/>
                      <w:bCs/>
                      <w:sz w:val="21"/>
                      <w:szCs w:val="21"/>
                    </w:rPr>
                    <w:t>”</w:t>
                  </w:r>
                  <w:r>
                    <w:rPr>
                      <w:rFonts w:cs="Times New Roman"/>
                      <w:bCs/>
                      <w:sz w:val="21"/>
                      <w:szCs w:val="21"/>
                    </w:rPr>
                    <w:t>工业项目，原则上不增加产能，现有</w:t>
                  </w:r>
                  <w:r>
                    <w:rPr>
                      <w:rFonts w:hint="eastAsia" w:cs="Times New Roman"/>
                      <w:bCs/>
                      <w:sz w:val="21"/>
                      <w:szCs w:val="21"/>
                    </w:rPr>
                    <w:t>“</w:t>
                  </w:r>
                  <w:r>
                    <w:rPr>
                      <w:rFonts w:cs="Times New Roman"/>
                      <w:bCs/>
                      <w:sz w:val="21"/>
                      <w:szCs w:val="21"/>
                    </w:rPr>
                    <w:t>高污染、高环境风险产品</w:t>
                  </w:r>
                  <w:r>
                    <w:rPr>
                      <w:rFonts w:hint="eastAsia" w:cs="Times New Roman"/>
                      <w:bCs/>
                      <w:sz w:val="21"/>
                      <w:szCs w:val="21"/>
                    </w:rPr>
                    <w:t>”</w:t>
                  </w:r>
                  <w:r>
                    <w:rPr>
                      <w:rFonts w:cs="Times New Roman"/>
                      <w:bCs/>
                      <w:sz w:val="21"/>
                      <w:szCs w:val="21"/>
                    </w:rPr>
                    <w:t>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r>
                    <w:rPr>
                      <w:rFonts w:hint="eastAsia" w:cs="Times New Roman"/>
                      <w:bCs/>
                      <w:sz w:val="21"/>
                      <w:szCs w:val="21"/>
                    </w:rPr>
                    <w:t>。</w:t>
                  </w:r>
                </w:p>
              </w:tc>
              <w:tc>
                <w:tcPr>
                  <w:tcW w:w="1207" w:type="pct"/>
                  <w:tcBorders>
                    <w:top w:val="single" w:color="auto" w:sz="4" w:space="0"/>
                    <w:left w:val="single" w:color="auto" w:sz="4" w:space="0"/>
                    <w:right w:val="single" w:color="auto" w:sz="4" w:space="0"/>
                  </w:tcBorders>
                  <w:vAlign w:val="center"/>
                </w:tcPr>
                <w:p>
                  <w:pPr>
                    <w:spacing w:line="240" w:lineRule="auto"/>
                    <w:ind w:firstLine="0" w:firstLineChars="0"/>
                    <w:rPr>
                      <w:rFonts w:cs="Times New Roman"/>
                      <w:sz w:val="21"/>
                      <w:szCs w:val="21"/>
                    </w:rPr>
                  </w:pPr>
                  <w:r>
                    <w:rPr>
                      <w:rFonts w:hint="eastAsia" w:cs="Times New Roman"/>
                      <w:sz w:val="21"/>
                      <w:szCs w:val="21"/>
                    </w:rPr>
                    <w:t>1.本项目租赁现有厂区进行建设，未新增建设用地，不涉及大规模开发，符合集约用地原则</w:t>
                  </w:r>
                </w:p>
                <w:p>
                  <w:pPr>
                    <w:spacing w:line="240" w:lineRule="auto"/>
                    <w:ind w:firstLine="0" w:firstLineChars="0"/>
                    <w:rPr>
                      <w:rFonts w:cs="Times New Roman"/>
                      <w:sz w:val="21"/>
                      <w:szCs w:val="21"/>
                    </w:rPr>
                  </w:pPr>
                  <w:r>
                    <w:rPr>
                      <w:rFonts w:hint="eastAsia" w:cs="Times New Roman"/>
                      <w:sz w:val="21"/>
                      <w:szCs w:val="21"/>
                    </w:rPr>
                    <w:t>2.本项目不属于国家及自治区产业政策中规定的禁止类或限制类产业项目</w:t>
                  </w:r>
                </w:p>
                <w:p>
                  <w:pPr>
                    <w:spacing w:line="240" w:lineRule="auto"/>
                    <w:ind w:firstLine="0" w:firstLineChars="0"/>
                    <w:rPr>
                      <w:rFonts w:cs="Times New Roman"/>
                      <w:sz w:val="21"/>
                      <w:szCs w:val="21"/>
                    </w:rPr>
                  </w:pPr>
                  <w:r>
                    <w:rPr>
                      <w:rFonts w:hint="eastAsia" w:cs="Times New Roman"/>
                      <w:sz w:val="21"/>
                      <w:szCs w:val="21"/>
                    </w:rPr>
                    <w:t>3.项目生产过程中不涉及汞、铬、铅、镉、砷等一类重金属及持久性有机污染物的排放</w:t>
                  </w:r>
                </w:p>
                <w:p>
                  <w:pPr>
                    <w:spacing w:line="240" w:lineRule="auto"/>
                    <w:ind w:firstLine="0" w:firstLineChars="0"/>
                    <w:rPr>
                      <w:rFonts w:cs="Times New Roman"/>
                      <w:sz w:val="21"/>
                      <w:szCs w:val="21"/>
                    </w:rPr>
                  </w:pPr>
                  <w:r>
                    <w:rPr>
                      <w:rFonts w:hint="eastAsia" w:cs="Times New Roman"/>
                      <w:sz w:val="21"/>
                      <w:szCs w:val="21"/>
                    </w:rPr>
                    <w:t>4.本项目为工业类项目，不涉及畜禽养殖等农业活动</w:t>
                  </w:r>
                </w:p>
                <w:p>
                  <w:pPr>
                    <w:spacing w:line="240" w:lineRule="auto"/>
                    <w:ind w:firstLine="0" w:firstLineChars="0"/>
                    <w:rPr>
                      <w:rFonts w:cs="Times New Roman"/>
                      <w:sz w:val="21"/>
                      <w:szCs w:val="21"/>
                    </w:rPr>
                  </w:pPr>
                  <w:r>
                    <w:rPr>
                      <w:rFonts w:hint="eastAsia" w:cs="Times New Roman"/>
                      <w:sz w:val="21"/>
                      <w:szCs w:val="21"/>
                    </w:rPr>
                    <w:t>5.本项目通过租赁现有厂区实施建设，未占用基本农田，用地性质为工业用地符合当地土地利用总体规划及相关产业政策要求</w:t>
                  </w:r>
                </w:p>
              </w:tc>
              <w:tc>
                <w:tcPr>
                  <w:tcW w:w="581" w:type="pct"/>
                  <w:tcBorders>
                    <w:top w:val="single" w:color="auto" w:sz="4" w:space="0"/>
                    <w:left w:val="single" w:color="auto" w:sz="4" w:space="0"/>
                    <w:right w:val="single" w:color="auto" w:sz="12"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符合</w:t>
                  </w:r>
                </w:p>
                <w:p>
                  <w:pPr>
                    <w:autoSpaceDE w:val="0"/>
                    <w:autoSpaceDN w:val="0"/>
                    <w:spacing w:line="240" w:lineRule="auto"/>
                    <w:ind w:firstLine="420"/>
                    <w:jc w:val="center"/>
                    <w:rPr>
                      <w:rFonts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312" w:type="pct"/>
                  <w:vMerge w:val="continue"/>
                  <w:tcBorders>
                    <w:top w:val="single" w:color="auto" w:sz="8" w:space="0"/>
                    <w:left w:val="single" w:color="auto" w:sz="12" w:space="0"/>
                    <w:bottom w:val="single" w:color="auto" w:sz="8" w:space="0"/>
                    <w:right w:val="single" w:color="auto" w:sz="4" w:space="0"/>
                  </w:tcBorders>
                  <w:vAlign w:val="center"/>
                </w:tcPr>
                <w:p>
                  <w:pPr>
                    <w:widowControl/>
                    <w:spacing w:line="240" w:lineRule="auto"/>
                    <w:ind w:firstLine="0" w:firstLineChars="0"/>
                    <w:jc w:val="center"/>
                    <w:rPr>
                      <w:rFonts w:cs="Times New Roman"/>
                      <w:sz w:val="21"/>
                      <w:szCs w:val="21"/>
                    </w:rPr>
                  </w:pPr>
                </w:p>
              </w:tc>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bCs/>
                      <w:sz w:val="21"/>
                      <w:szCs w:val="21"/>
                    </w:rPr>
                    <w:t>A7.2污染物排放管控</w:t>
                  </w:r>
                </w:p>
              </w:tc>
              <w:tc>
                <w:tcPr>
                  <w:tcW w:w="2569"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cs="Times New Roman"/>
                      <w:sz w:val="21"/>
                      <w:szCs w:val="21"/>
                    </w:rPr>
                  </w:pPr>
                  <w:r>
                    <w:rPr>
                      <w:rFonts w:cs="Times New Roman"/>
                      <w:bCs/>
                      <w:sz w:val="21"/>
                      <w:szCs w:val="21"/>
                    </w:rPr>
                    <w:t>【A7.2-1】落实污染物总量控制制度，根据区域环境质量改善目标，削减污染物排放总量。加强农业面源污染治理，严格控制化肥农药施加量，逐步削减农业面源污染物排放量</w:t>
                  </w:r>
                  <w:r>
                    <w:rPr>
                      <w:rFonts w:hint="eastAsia" w:cs="Times New Roman"/>
                      <w:bCs/>
                      <w:sz w:val="21"/>
                      <w:szCs w:val="21"/>
                    </w:rPr>
                    <w:t>。</w:t>
                  </w:r>
                </w:p>
              </w:tc>
              <w:tc>
                <w:tcPr>
                  <w:tcW w:w="12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r>
                    <w:rPr>
                      <w:rFonts w:hint="eastAsia" w:cs="Times New Roman"/>
                      <w:sz w:val="21"/>
                      <w:szCs w:val="21"/>
                    </w:rPr>
                    <w:t>本项目不涉及国家实行总量控制的主要污染物，故不设置总量控制指标</w:t>
                  </w:r>
                </w:p>
              </w:tc>
              <w:tc>
                <w:tcPr>
                  <w:tcW w:w="581" w:type="pct"/>
                  <w:tcBorders>
                    <w:top w:val="single" w:color="auto" w:sz="4" w:space="0"/>
                    <w:left w:val="single" w:color="auto" w:sz="4" w:space="0"/>
                    <w:bottom w:val="single" w:color="auto" w:sz="4" w:space="0"/>
                    <w:right w:val="single" w:color="auto" w:sz="12"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508" w:hRule="atLeast"/>
                <w:jc w:val="center"/>
              </w:trPr>
              <w:tc>
                <w:tcPr>
                  <w:tcW w:w="312" w:type="pct"/>
                  <w:vMerge w:val="continue"/>
                  <w:tcBorders>
                    <w:top w:val="single" w:color="auto" w:sz="8" w:space="0"/>
                    <w:left w:val="single" w:color="auto" w:sz="12" w:space="0"/>
                    <w:bottom w:val="single" w:color="auto" w:sz="8" w:space="0"/>
                    <w:right w:val="single" w:color="auto" w:sz="4" w:space="0"/>
                  </w:tcBorders>
                  <w:vAlign w:val="center"/>
                </w:tcPr>
                <w:p>
                  <w:pPr>
                    <w:widowControl/>
                    <w:spacing w:line="240" w:lineRule="auto"/>
                    <w:ind w:firstLine="0" w:firstLineChars="0"/>
                    <w:jc w:val="center"/>
                    <w:rPr>
                      <w:rFonts w:cs="Times New Roman"/>
                      <w:sz w:val="21"/>
                      <w:szCs w:val="21"/>
                    </w:rPr>
                  </w:pPr>
                </w:p>
              </w:tc>
              <w:tc>
                <w:tcPr>
                  <w:tcW w:w="33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jc w:val="center"/>
                    <w:rPr>
                      <w:rFonts w:cs="Times New Roman"/>
                      <w:sz w:val="21"/>
                      <w:szCs w:val="21"/>
                    </w:rPr>
                  </w:pPr>
                  <w:r>
                    <w:rPr>
                      <w:rFonts w:cs="Times New Roman"/>
                      <w:bCs/>
                      <w:sz w:val="21"/>
                      <w:szCs w:val="21"/>
                    </w:rPr>
                    <w:t>A7.3环境风险防控</w:t>
                  </w:r>
                </w:p>
              </w:tc>
              <w:tc>
                <w:tcPr>
                  <w:tcW w:w="256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uto"/>
                    <w:ind w:firstLine="0" w:firstLineChars="0"/>
                    <w:rPr>
                      <w:rFonts w:cs="Times New Roman"/>
                      <w:sz w:val="21"/>
                      <w:szCs w:val="21"/>
                    </w:rPr>
                  </w:pPr>
                  <w:r>
                    <w:rPr>
                      <w:rFonts w:cs="Times New Roman"/>
                      <w:bCs/>
                      <w:sz w:val="21"/>
                      <w:szCs w:val="21"/>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r>
                    <w:rPr>
                      <w:rFonts w:hint="eastAsia" w:cs="Times New Roman"/>
                      <w:bCs/>
                      <w:sz w:val="21"/>
                      <w:szCs w:val="21"/>
                    </w:rPr>
                    <w:t>。</w:t>
                  </w:r>
                </w:p>
              </w:tc>
              <w:tc>
                <w:tcPr>
                  <w:tcW w:w="120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r>
                    <w:rPr>
                      <w:rFonts w:hint="eastAsia" w:cs="Times New Roman"/>
                      <w:sz w:val="21"/>
                      <w:szCs w:val="21"/>
                    </w:rPr>
                    <w:t>项目生产过程中不涉及汞、铬、铅、镉、砷等一类重金属及持久性有机污染物排放</w:t>
                  </w:r>
                </w:p>
              </w:tc>
              <w:tc>
                <w:tcPr>
                  <w:tcW w:w="581" w:type="pct"/>
                  <w:tcBorders>
                    <w:top w:val="single" w:color="auto" w:sz="4" w:space="0"/>
                    <w:left w:val="single" w:color="auto" w:sz="4" w:space="0"/>
                    <w:bottom w:val="single" w:color="auto" w:sz="4" w:space="0"/>
                    <w:right w:val="single" w:color="auto" w:sz="12" w:space="0"/>
                  </w:tcBorders>
                  <w:vAlign w:val="center"/>
                </w:tcPr>
                <w:p>
                  <w:pPr>
                    <w:autoSpaceDE w:val="0"/>
                    <w:autoSpaceDN w:val="0"/>
                    <w:spacing w:line="240" w:lineRule="auto"/>
                    <w:ind w:firstLine="0" w:firstLineChars="0"/>
                    <w:jc w:val="center"/>
                    <w:rPr>
                      <w:rFonts w:cs="Times New Roman"/>
                      <w:sz w:val="21"/>
                      <w:szCs w:val="21"/>
                    </w:rPr>
                  </w:pPr>
                  <w:r>
                    <w:rPr>
                      <w:rFonts w:cs="Times New Roman"/>
                      <w:sz w:val="21"/>
                      <w:szCs w:val="21"/>
                    </w:rPr>
                    <w:t>符合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948" w:hRule="atLeast"/>
                <w:jc w:val="center"/>
              </w:trPr>
              <w:tc>
                <w:tcPr>
                  <w:tcW w:w="312" w:type="pct"/>
                  <w:vMerge w:val="continue"/>
                  <w:tcBorders>
                    <w:top w:val="single" w:color="auto" w:sz="8" w:space="0"/>
                    <w:left w:val="single" w:color="auto" w:sz="12" w:space="0"/>
                    <w:bottom w:val="single" w:color="auto" w:sz="12" w:space="0"/>
                    <w:right w:val="single" w:color="auto" w:sz="4" w:space="0"/>
                  </w:tcBorders>
                  <w:vAlign w:val="center"/>
                </w:tcPr>
                <w:p>
                  <w:pPr>
                    <w:widowControl/>
                    <w:spacing w:line="240" w:lineRule="auto"/>
                    <w:ind w:firstLine="0" w:firstLineChars="0"/>
                    <w:jc w:val="center"/>
                    <w:rPr>
                      <w:rFonts w:cs="Times New Roman"/>
                      <w:sz w:val="21"/>
                      <w:szCs w:val="21"/>
                    </w:rPr>
                  </w:pPr>
                </w:p>
              </w:tc>
              <w:tc>
                <w:tcPr>
                  <w:tcW w:w="331" w:type="pct"/>
                  <w:tcBorders>
                    <w:top w:val="single" w:color="auto" w:sz="4" w:space="0"/>
                    <w:left w:val="single" w:color="auto" w:sz="4" w:space="0"/>
                    <w:bottom w:val="single" w:color="auto" w:sz="12" w:space="0"/>
                    <w:right w:val="single" w:color="auto" w:sz="4" w:space="0"/>
                  </w:tcBorders>
                  <w:vAlign w:val="center"/>
                </w:tcPr>
                <w:p>
                  <w:pPr>
                    <w:widowControl/>
                    <w:spacing w:line="240" w:lineRule="auto"/>
                    <w:ind w:firstLine="0" w:firstLineChars="0"/>
                    <w:jc w:val="center"/>
                    <w:rPr>
                      <w:rFonts w:cs="Times New Roman"/>
                      <w:sz w:val="21"/>
                      <w:szCs w:val="21"/>
                    </w:rPr>
                  </w:pPr>
                  <w:r>
                    <w:rPr>
                      <w:rFonts w:cs="Times New Roman"/>
                      <w:bCs/>
                      <w:sz w:val="21"/>
                      <w:szCs w:val="21"/>
                    </w:rPr>
                    <w:t>A7.4资源利用要求</w:t>
                  </w:r>
                </w:p>
              </w:tc>
              <w:tc>
                <w:tcPr>
                  <w:tcW w:w="2569" w:type="pct"/>
                  <w:tcBorders>
                    <w:top w:val="single" w:color="auto" w:sz="4" w:space="0"/>
                    <w:left w:val="single" w:color="auto" w:sz="4" w:space="0"/>
                    <w:bottom w:val="single" w:color="auto" w:sz="12" w:space="0"/>
                    <w:right w:val="single" w:color="auto" w:sz="4" w:space="0"/>
                  </w:tcBorders>
                  <w:vAlign w:val="center"/>
                </w:tcPr>
                <w:p>
                  <w:pPr>
                    <w:widowControl/>
                    <w:spacing w:line="240" w:lineRule="auto"/>
                    <w:ind w:firstLine="0" w:firstLineChars="0"/>
                    <w:jc w:val="center"/>
                    <w:rPr>
                      <w:rFonts w:cs="Times New Roman"/>
                      <w:sz w:val="21"/>
                      <w:szCs w:val="21"/>
                    </w:rPr>
                  </w:pPr>
                  <w:r>
                    <w:rPr>
                      <w:rFonts w:cs="Times New Roman"/>
                      <w:bCs/>
                      <w:sz w:val="21"/>
                      <w:szCs w:val="21"/>
                    </w:rPr>
                    <w:t>【A7.4-1】实行水资源消耗总量和强度双控，推进农业节水，提高农业用水效率。优化能源结构，加强能源清洁利用。</w:t>
                  </w:r>
                </w:p>
              </w:tc>
              <w:tc>
                <w:tcPr>
                  <w:tcW w:w="1207" w:type="pct"/>
                  <w:tcBorders>
                    <w:top w:val="single" w:color="auto" w:sz="4" w:space="0"/>
                    <w:left w:val="single" w:color="auto" w:sz="4" w:space="0"/>
                    <w:bottom w:val="single" w:color="auto" w:sz="12" w:space="0"/>
                    <w:right w:val="single" w:color="auto" w:sz="4" w:space="0"/>
                  </w:tcBorders>
                  <w:vAlign w:val="center"/>
                </w:tcPr>
                <w:p>
                  <w:pPr>
                    <w:widowControl/>
                    <w:spacing w:line="240" w:lineRule="auto"/>
                    <w:ind w:firstLine="0" w:firstLineChars="0"/>
                    <w:jc w:val="center"/>
                    <w:rPr>
                      <w:rFonts w:cs="Times New Roman"/>
                      <w:sz w:val="21"/>
                      <w:szCs w:val="21"/>
                    </w:rPr>
                  </w:pPr>
                  <w:r>
                    <w:rPr>
                      <w:rFonts w:hint="eastAsia" w:cs="Times New Roman"/>
                      <w:sz w:val="21"/>
                      <w:szCs w:val="21"/>
                    </w:rPr>
                    <w:t>本项目用水由库尔勒市哈拉玉宫镇废旧物资回收加工产业园供水系统供给，占地面积小，项目用水量、土地资源、能源消耗未超过国家、自治区下达的总量和强度控制目标</w:t>
                  </w:r>
                </w:p>
              </w:tc>
              <w:tc>
                <w:tcPr>
                  <w:tcW w:w="581" w:type="pct"/>
                  <w:tcBorders>
                    <w:top w:val="single" w:color="auto" w:sz="4" w:space="0"/>
                    <w:left w:val="single" w:color="auto" w:sz="4" w:space="0"/>
                    <w:bottom w:val="single" w:color="auto" w:sz="12" w:space="0"/>
                    <w:right w:val="single" w:color="auto" w:sz="12" w:space="0"/>
                  </w:tcBorders>
                  <w:vAlign w:val="center"/>
                </w:tcPr>
                <w:p>
                  <w:pPr>
                    <w:widowControl/>
                    <w:spacing w:line="240" w:lineRule="auto"/>
                    <w:ind w:firstLine="0" w:firstLineChars="0"/>
                    <w:jc w:val="center"/>
                    <w:rPr>
                      <w:rFonts w:cs="Times New Roman"/>
                      <w:sz w:val="21"/>
                      <w:szCs w:val="21"/>
                    </w:rPr>
                  </w:pPr>
                  <w:r>
                    <w:rPr>
                      <w:rFonts w:cs="Times New Roman"/>
                      <w:sz w:val="21"/>
                      <w:szCs w:val="21"/>
                    </w:rPr>
                    <w:t>符合</w:t>
                  </w:r>
                </w:p>
              </w:tc>
            </w:tr>
          </w:tbl>
          <w:p>
            <w:pPr>
              <w:autoSpaceDE w:val="0"/>
              <w:autoSpaceDN w:val="0"/>
              <w:adjustRightInd w:val="0"/>
              <w:ind w:firstLine="480"/>
              <w:rPr>
                <w:kern w:val="0"/>
              </w:rPr>
            </w:pPr>
            <w:r>
              <w:rPr>
                <w:rFonts w:hint="eastAsia"/>
              </w:rPr>
              <w:t>综上所述，本项目符合</w:t>
            </w:r>
            <w:r>
              <w:rPr>
                <w:rFonts w:hint="eastAsia"/>
                <w:kern w:val="0"/>
              </w:rPr>
              <w:t>《新疆维吾尔自治区生态环境分区管控动态更新成果》（新环环评发〔2024〕157号）、《新疆维吾尔自治区一般环境管控单元分类管控要求》。</w:t>
            </w:r>
          </w:p>
          <w:p>
            <w:pPr>
              <w:autoSpaceDE w:val="0"/>
              <w:autoSpaceDN w:val="0"/>
              <w:adjustRightInd w:val="0"/>
              <w:ind w:firstLine="0" w:firstLineChars="0"/>
              <w:rPr>
                <w:b/>
                <w:bCs/>
              </w:rPr>
            </w:pPr>
            <w:r>
              <w:rPr>
                <w:rFonts w:hint="eastAsia"/>
                <w:b/>
                <w:bCs/>
              </w:rPr>
              <w:t>4.本项目与《关于印发〈新疆维吾尔自治区七大片区生态环境分区管控要求〉（2021年版）的通知》（新环环评发〔2021〕162号）符合性分析</w:t>
            </w:r>
          </w:p>
          <w:p>
            <w:pPr>
              <w:autoSpaceDE w:val="0"/>
              <w:autoSpaceDN w:val="0"/>
              <w:adjustRightInd w:val="0"/>
              <w:ind w:firstLine="480"/>
              <w:rPr>
                <w:b/>
                <w:bCs/>
              </w:rPr>
            </w:pPr>
            <w:r>
              <w:rPr>
                <w:rFonts w:hint="eastAsia"/>
              </w:rPr>
              <w:t>本项目位于巴音郭楞蒙古自治州库尔勒市，属于天山南坡片区，本项目与“天山南坡片区总体管控要求”符合性分析见表1-</w:t>
            </w:r>
            <w:r>
              <w:t>3</w:t>
            </w:r>
            <w:r>
              <w:rPr>
                <w:rFonts w:hint="eastAsia"/>
              </w:rPr>
              <w:t>。</w:t>
            </w:r>
          </w:p>
          <w:p>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1-3  </w:t>
            </w:r>
            <w:r>
              <w:rPr>
                <w:rFonts w:hint="eastAsia" w:cs="Times New Roman"/>
                <w:b/>
                <w:kern w:val="0"/>
                <w:sz w:val="21"/>
                <w:szCs w:val="20"/>
              </w:rPr>
              <w:t>本项目与七大片天山南坡片区总体管控要求符合性分析一览表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4367"/>
              <w:gridCol w:w="2827"/>
              <w:gridCol w:w="7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restar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天山南坡片区总体管控要求</w:t>
                  </w:r>
                </w:p>
              </w:tc>
              <w:tc>
                <w:tcPr>
                  <w:tcW w:w="2614"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管控要求</w:t>
                  </w:r>
                </w:p>
              </w:tc>
              <w:tc>
                <w:tcPr>
                  <w:tcW w:w="1693"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693"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本项目不在托木尔峰和天山南坡中段冰雪水源及生物多样性保护生态功能区</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693"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本项目不涉及油气勘探开发</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推进塔里木河流域用水结构调整，维护塔里木河、博斯腾湖基本生态用水</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本项目不涉及塔里木河、博斯腾湖生态用水</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加强塔里木河流域水环境风险管控。加大博斯腾湖污染源头达标排放治理和监督力度，实施博斯腾湖综合治理。</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63" w:hRule="atLeast"/>
              </w:trPr>
              <w:tc>
                <w:tcPr>
                  <w:tcW w:w="256" w:type="pct"/>
                  <w:vMerge w:val="continue"/>
                  <w:vAlign w:val="center"/>
                </w:tcPr>
                <w:p>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加强油（气）资源开发区土壤环境污染综合整治。强化涉重金属行业污染防控与工业废物处理处置。</w:t>
                  </w:r>
                </w:p>
              </w:tc>
              <w:tc>
                <w:tcPr>
                  <w:tcW w:w="1693" w:type="pct"/>
                  <w:vAlign w:val="center"/>
                </w:tcPr>
                <w:p>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本项目不涉及油气开发，不涉及重金属排放</w:t>
                  </w:r>
                </w:p>
              </w:tc>
              <w:tc>
                <w:tcPr>
                  <w:tcW w:w="437" w:type="pct"/>
                  <w:vAlign w:val="center"/>
                </w:tcPr>
                <w:p>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bl>
          <w:p>
            <w:pPr>
              <w:autoSpaceDE w:val="0"/>
              <w:autoSpaceDN w:val="0"/>
              <w:adjustRightInd w:val="0"/>
              <w:spacing w:line="384" w:lineRule="auto"/>
              <w:ind w:firstLine="480"/>
              <w:rPr>
                <w:rFonts w:hAnsi="宋体" w:cs="宋体"/>
                <w:kern w:val="0"/>
              </w:rPr>
            </w:pPr>
            <w:r>
              <w:rPr>
                <w:rFonts w:hint="eastAsia" w:hAnsi="宋体" w:cs="宋体"/>
                <w:kern w:val="0"/>
              </w:rPr>
              <w:t>综上，本项目符合《新疆维吾尔自治区七大片区生态环境分区管控要求》中天山南坡片区总体管控要求。</w:t>
            </w:r>
          </w:p>
          <w:p>
            <w:pPr>
              <w:autoSpaceDE w:val="0"/>
              <w:autoSpaceDN w:val="0"/>
              <w:adjustRightInd w:val="0"/>
              <w:spacing w:line="384" w:lineRule="auto"/>
              <w:ind w:firstLine="0" w:firstLineChars="0"/>
              <w:rPr>
                <w:rFonts w:hAnsi="宋体" w:cs="宋体"/>
                <w:b/>
                <w:bCs/>
                <w:kern w:val="0"/>
              </w:rPr>
            </w:pPr>
            <w:r>
              <w:rPr>
                <w:rFonts w:hint="eastAsia" w:hAnsi="宋体" w:cs="宋体"/>
                <w:b/>
                <w:bCs/>
                <w:kern w:val="0"/>
              </w:rPr>
              <w:t>5.本项目与《关于印发巴音郭楞蒙古自治州生态环境分区管控动态更新成果（2023年）的通知》（巴政办发〔2024〕32号）的符合性分析</w:t>
            </w:r>
          </w:p>
          <w:p>
            <w:pPr>
              <w:adjustRightInd w:val="0"/>
              <w:spacing w:before="163" w:beforeLines="50" w:line="240" w:lineRule="auto"/>
              <w:ind w:firstLine="0" w:firstLineChars="0"/>
              <w:jc w:val="center"/>
              <w:textAlignment w:val="auto"/>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1-4  </w:t>
            </w:r>
            <w:r>
              <w:rPr>
                <w:rFonts w:hint="eastAsia" w:cs="Times New Roman"/>
                <w:b/>
                <w:bCs/>
                <w:spacing w:val="-20"/>
                <w:kern w:val="21"/>
                <w:sz w:val="21"/>
                <w:szCs w:val="24"/>
              </w:rPr>
              <w:t>本项目与巴音郭楞蒙古自治州生态环境分区管控方案符合性分析</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4540"/>
              <w:gridCol w:w="2046"/>
              <w:gridCol w:w="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6"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名称</w:t>
                  </w:r>
                </w:p>
              </w:tc>
              <w:tc>
                <w:tcPr>
                  <w:tcW w:w="2718"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符合性分析</w:t>
                  </w:r>
                </w:p>
              </w:tc>
              <w:tc>
                <w:tcPr>
                  <w:tcW w:w="1225" w:type="pct"/>
                  <w:vAlign w:val="center"/>
                </w:tcPr>
                <w:p>
                  <w:pPr>
                    <w:spacing w:line="240" w:lineRule="auto"/>
                    <w:ind w:firstLine="0" w:firstLineChars="0"/>
                    <w:contextualSpacing/>
                    <w:jc w:val="center"/>
                    <w:rPr>
                      <w:rFonts w:cs="Times New Roman"/>
                      <w:sz w:val="21"/>
                      <w:szCs w:val="21"/>
                    </w:rPr>
                  </w:pPr>
                  <w:r>
                    <w:rPr>
                      <w:rFonts w:cs="Times New Roman"/>
                      <w:sz w:val="21"/>
                      <w:szCs w:val="21"/>
                    </w:rPr>
                    <w:t>本项目</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生态保护红线</w:t>
                  </w:r>
                </w:p>
              </w:tc>
              <w:tc>
                <w:tcPr>
                  <w:tcW w:w="2718" w:type="pct"/>
                  <w:vAlign w:val="center"/>
                </w:tcPr>
                <w:p>
                  <w:pPr>
                    <w:spacing w:line="240" w:lineRule="auto"/>
                    <w:ind w:firstLine="0" w:firstLineChars="0"/>
                    <w:contextualSpacing/>
                    <w:jc w:val="center"/>
                    <w:rPr>
                      <w:rFonts w:cs="Times New Roman"/>
                      <w:sz w:val="21"/>
                      <w:szCs w:val="21"/>
                    </w:rPr>
                  </w:pPr>
                  <w:r>
                    <w:rPr>
                      <w:rFonts w:cs="Times New Roman"/>
                      <w:sz w:val="21"/>
                      <w:szCs w:val="21"/>
                    </w:rPr>
                    <w:t>按照“生态功能不降低、面积不减少、性质不改变”的基本要求，对划定的生态保护红线实施严格管控，保障和维护国家生态安全的底线和生命线</w:t>
                  </w:r>
                </w:p>
              </w:tc>
              <w:tc>
                <w:tcPr>
                  <w:tcW w:w="1225" w:type="pct"/>
                  <w:vAlign w:val="center"/>
                </w:tcPr>
                <w:p>
                  <w:pPr>
                    <w:spacing w:line="240" w:lineRule="auto"/>
                    <w:ind w:firstLine="0" w:firstLineChars="0"/>
                    <w:contextualSpacing/>
                    <w:jc w:val="center"/>
                    <w:rPr>
                      <w:rFonts w:cs="Times New Roman"/>
                      <w:sz w:val="21"/>
                      <w:szCs w:val="21"/>
                    </w:rPr>
                  </w:pPr>
                  <w:r>
                    <w:rPr>
                      <w:rFonts w:cs="Times New Roman"/>
                      <w:sz w:val="21"/>
                      <w:szCs w:val="21"/>
                    </w:rPr>
                    <w:t>本项目不在生态保护红线范围内</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环境质量底线</w:t>
                  </w:r>
                </w:p>
              </w:tc>
              <w:tc>
                <w:tcPr>
                  <w:tcW w:w="2718" w:type="pc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全州水环境质量持续改善，开都河、塔里木河、迪那河、车尔臣河、黄水沟5条河流13个监测断面稳定达到Ⅱ类水（塔里木河氟化物不参与考核，其他指标均为Ⅱ类），孔雀河4个监测断面达到</w:t>
                  </w:r>
                  <w:r>
                    <w:rPr>
                      <w:rFonts w:hint="eastAsia" w:cs="Times New Roman"/>
                      <w:color w:val="000000"/>
                      <w:sz w:val="21"/>
                      <w:szCs w:val="21"/>
                    </w:rPr>
                    <w:t>Ⅱ类</w:t>
                  </w:r>
                  <w:r>
                    <w:rPr>
                      <w:rFonts w:cs="Times New Roman"/>
                      <w:color w:val="000000"/>
                      <w:sz w:val="21"/>
                      <w:szCs w:val="21"/>
                    </w:rPr>
                    <w:t>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cs="Times New Roman"/>
                      <w:color w:val="000000"/>
                      <w:sz w:val="21"/>
                      <w:szCs w:val="21"/>
                      <w:vertAlign w:val="subscript"/>
                    </w:rPr>
                    <w:t>2</w:t>
                  </w:r>
                  <w:r>
                    <w:rPr>
                      <w:rFonts w:cs="Times New Roman"/>
                      <w:color w:val="000000"/>
                      <w:sz w:val="21"/>
                      <w:szCs w:val="21"/>
                    </w:rPr>
                    <w:t>、NO</w:t>
                  </w:r>
                  <w:r>
                    <w:rPr>
                      <w:rFonts w:cs="Times New Roman"/>
                      <w:color w:val="000000"/>
                      <w:sz w:val="21"/>
                      <w:szCs w:val="21"/>
                      <w:vertAlign w:val="subscript"/>
                    </w:rPr>
                    <w:t>2</w:t>
                  </w:r>
                  <w:r>
                    <w:rPr>
                      <w:rFonts w:cs="Times New Roman"/>
                      <w:color w:val="000000"/>
                      <w:sz w:val="21"/>
                      <w:szCs w:val="21"/>
                    </w:rPr>
                    <w:t>浓度长期维持在较低水平，达到环境空气质量一级标准；逐步减少颗粒物排放，PM</w:t>
                  </w:r>
                  <w:r>
                    <w:rPr>
                      <w:rFonts w:cs="Times New Roman"/>
                      <w:color w:val="000000"/>
                      <w:sz w:val="21"/>
                      <w:szCs w:val="21"/>
                      <w:vertAlign w:val="subscript"/>
                    </w:rPr>
                    <w:t>10</w:t>
                  </w:r>
                  <w:r>
                    <w:rPr>
                      <w:rFonts w:cs="Times New Roman"/>
                      <w:color w:val="000000"/>
                      <w:sz w:val="21"/>
                      <w:szCs w:val="21"/>
                    </w:rPr>
                    <w:t>、PM</w:t>
                  </w:r>
                  <w:r>
                    <w:rPr>
                      <w:rFonts w:cs="Times New Roman"/>
                      <w:color w:val="000000"/>
                      <w:sz w:val="21"/>
                      <w:szCs w:val="21"/>
                      <w:vertAlign w:val="subscript"/>
                    </w:rPr>
                    <w:t>2.5</w:t>
                  </w:r>
                  <w:r>
                    <w:rPr>
                      <w:rFonts w:cs="Times New Roman"/>
                      <w:color w:val="000000"/>
                      <w:sz w:val="21"/>
                      <w:szCs w:val="21"/>
                    </w:rPr>
                    <w:t>平均浓度分别低于81μg/m</w:t>
                  </w:r>
                  <w:r>
                    <w:rPr>
                      <w:rFonts w:cs="Times New Roman"/>
                      <w:color w:val="000000"/>
                      <w:sz w:val="21"/>
                      <w:szCs w:val="21"/>
                      <w:vertAlign w:val="superscript"/>
                    </w:rPr>
                    <w:t>3</w:t>
                  </w:r>
                  <w:r>
                    <w:rPr>
                      <w:rFonts w:cs="Times New Roman"/>
                      <w:color w:val="000000"/>
                      <w:sz w:val="21"/>
                      <w:szCs w:val="21"/>
                    </w:rPr>
                    <w:t>、31.5μg/m</w:t>
                  </w:r>
                  <w:r>
                    <w:rPr>
                      <w:rFonts w:cs="Times New Roman"/>
                      <w:color w:val="000000"/>
                      <w:sz w:val="21"/>
                      <w:szCs w:val="21"/>
                      <w:vertAlign w:val="superscript"/>
                    </w:rPr>
                    <w:t>3</w:t>
                  </w:r>
                  <w:r>
                    <w:rPr>
                      <w:rFonts w:hint="eastAsia" w:cs="Times New Roman"/>
                      <w:color w:val="000000"/>
                      <w:sz w:val="21"/>
                      <w:szCs w:val="21"/>
                    </w:rPr>
                    <w:t>（</w:t>
                  </w:r>
                  <w:r>
                    <w:rPr>
                      <w:rFonts w:cs="Times New Roman"/>
                      <w:color w:val="000000"/>
                      <w:sz w:val="21"/>
                      <w:szCs w:val="21"/>
                    </w:rPr>
                    <w:t>库尔勒市，扣除沙尘天气影响</w:t>
                  </w:r>
                  <w:r>
                    <w:rPr>
                      <w:rFonts w:hint="eastAsia" w:cs="Times New Roman"/>
                      <w:color w:val="000000"/>
                      <w:sz w:val="21"/>
                      <w:szCs w:val="21"/>
                    </w:rPr>
                    <w:t>）</w:t>
                  </w:r>
                  <w:r>
                    <w:rPr>
                      <w:rFonts w:cs="Times New Roman"/>
                      <w:color w:val="000000"/>
                      <w:sz w:val="21"/>
                      <w:szCs w:val="21"/>
                    </w:rPr>
                    <w:t>，空气优良天数比例大于75.2%</w:t>
                  </w:r>
                  <w:r>
                    <w:rPr>
                      <w:rFonts w:hint="eastAsia" w:cs="Times New Roman"/>
                      <w:color w:val="000000"/>
                      <w:sz w:val="21"/>
                      <w:szCs w:val="21"/>
                    </w:rPr>
                    <w:t>（</w:t>
                  </w:r>
                  <w:r>
                    <w:rPr>
                      <w:rFonts w:cs="Times New Roman"/>
                      <w:color w:val="000000"/>
                      <w:sz w:val="21"/>
                      <w:szCs w:val="21"/>
                    </w:rPr>
                    <w:t>库尔勒市</w:t>
                  </w:r>
                  <w:r>
                    <w:rPr>
                      <w:rFonts w:hint="eastAsia" w:cs="Times New Roman"/>
                      <w:color w:val="000000"/>
                      <w:sz w:val="21"/>
                      <w:szCs w:val="21"/>
                    </w:rPr>
                    <w:t>）</w:t>
                  </w:r>
                  <w:r>
                    <w:rPr>
                      <w:rFonts w:cs="Times New Roman"/>
                      <w:color w:val="000000"/>
                      <w:sz w:val="21"/>
                      <w:szCs w:val="21"/>
                    </w:rPr>
                    <w:t>，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225" w:type="pct"/>
                  <w:vAlign w:val="center"/>
                </w:tcPr>
                <w:p>
                  <w:pPr>
                    <w:spacing w:line="240" w:lineRule="auto"/>
                    <w:ind w:firstLine="0" w:firstLineChars="0"/>
                    <w:contextualSpacing/>
                    <w:rPr>
                      <w:rFonts w:cs="Times New Roman"/>
                      <w:color w:val="000000"/>
                      <w:sz w:val="21"/>
                      <w:szCs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破碎工序采用湿法破碎工艺，在密闭厂房内进行，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z w:val="21"/>
                      <w:szCs w:val="21"/>
                    </w:rPr>
                    <w:t>资源利用上线</w:t>
                  </w:r>
                </w:p>
              </w:tc>
              <w:tc>
                <w:tcPr>
                  <w:tcW w:w="2718" w:type="pct"/>
                  <w:vAlign w:val="center"/>
                </w:tcPr>
                <w:p>
                  <w:pPr>
                    <w:spacing w:line="240" w:lineRule="auto"/>
                    <w:ind w:firstLine="0" w:firstLineChars="0"/>
                    <w:contextualSpacing/>
                    <w:rPr>
                      <w:rFonts w:cs="Times New Roman"/>
                      <w:sz w:val="21"/>
                      <w:szCs w:val="21"/>
                    </w:rPr>
                  </w:pPr>
                  <w:r>
                    <w:rPr>
                      <w:rFonts w:cs="Times New Roman"/>
                      <w:sz w:val="21"/>
                      <w:szCs w:val="21"/>
                    </w:rPr>
                    <w:t>强化节约集约利用，持续提升资源能源利用效率，水资源、土地资源、能源消耗等达到国家、自治区下达的总量和强度控制目标，加快低碳发展，提升碳汇能力，做好碳达峰和碳中和工作</w:t>
                  </w:r>
                </w:p>
              </w:tc>
              <w:tc>
                <w:tcPr>
                  <w:tcW w:w="1225" w:type="pct"/>
                  <w:vAlign w:val="center"/>
                </w:tcPr>
                <w:p>
                  <w:pPr>
                    <w:spacing w:line="240" w:lineRule="auto"/>
                    <w:ind w:firstLine="0" w:firstLineChars="0"/>
                    <w:contextualSpacing/>
                    <w:rPr>
                      <w:rFonts w:cs="Times New Roman"/>
                      <w:sz w:val="21"/>
                      <w:szCs w:val="21"/>
                    </w:rPr>
                  </w:pPr>
                  <w:r>
                    <w:rPr>
                      <w:rFonts w:cs="Times New Roman"/>
                      <w:color w:val="000000"/>
                      <w:sz w:val="21"/>
                      <w:szCs w:val="21"/>
                    </w:rPr>
                    <w:t>本项目用水</w:t>
                  </w:r>
                  <w:r>
                    <w:rPr>
                      <w:rFonts w:hint="eastAsia" w:cs="Times New Roman"/>
                      <w:sz w:val="21"/>
                      <w:szCs w:val="21"/>
                    </w:rPr>
                    <w:t>由库尔勒市哈拉玉宫镇废旧物资回收加工产业园供水系统供给</w:t>
                  </w:r>
                  <w:r>
                    <w:rPr>
                      <w:rFonts w:cs="Times New Roman"/>
                      <w:color w:val="000000"/>
                      <w:sz w:val="21"/>
                      <w:szCs w:val="21"/>
                    </w:rPr>
                    <w:t>，占地面积小，项目用水量、土地资源、能源消耗未超过国家、自治区下达的总量和强度控制目标</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65" w:hRule="atLeast"/>
                <w:jc w:val="center"/>
              </w:trPr>
              <w:tc>
                <w:tcPr>
                  <w:tcW w:w="517" w:type="pct"/>
                  <w:vAlign w:val="center"/>
                </w:tcPr>
                <w:p>
                  <w:pPr>
                    <w:spacing w:line="240" w:lineRule="auto"/>
                    <w:ind w:firstLine="0" w:firstLineChars="0"/>
                    <w:contextualSpacing/>
                    <w:jc w:val="center"/>
                    <w:rPr>
                      <w:rFonts w:cs="Times New Roman"/>
                      <w:sz w:val="21"/>
                      <w:szCs w:val="21"/>
                    </w:rPr>
                  </w:pPr>
                  <w:r>
                    <w:rPr>
                      <w:rFonts w:cs="Times New Roman"/>
                      <w:spacing w:val="-10"/>
                      <w:kern w:val="0"/>
                      <w:sz w:val="21"/>
                      <w:szCs w:val="21"/>
                    </w:rPr>
                    <w:t>环境管控单元</w:t>
                  </w:r>
                </w:p>
              </w:tc>
              <w:tc>
                <w:tcPr>
                  <w:tcW w:w="2718" w:type="pct"/>
                  <w:vAlign w:val="center"/>
                </w:tcPr>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自治州划定154个环境管控单元，分为优先保护单元、重点管控单元和一般管控单元等三个管控类别。</w:t>
                  </w:r>
                </w:p>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优先保护类单元66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重点管控单元79个。主要包括城镇建成区、工业园区和开发强度大、污染物排放强度高的工业聚集区等。要着力优化空间布局，不断提升资源利用效率，有针对性地加强污染物排放管控和环境风险防控，解决生态环境质量不达标、生态环境风险高等问题。</w:t>
                  </w:r>
                </w:p>
                <w:p>
                  <w:pPr>
                    <w:spacing w:line="240" w:lineRule="auto"/>
                    <w:ind w:firstLine="420"/>
                    <w:contextualSpacing/>
                    <w:rPr>
                      <w:rFonts w:cs="Times New Roman"/>
                      <w:sz w:val="21"/>
                      <w:szCs w:val="21"/>
                    </w:rPr>
                  </w:pPr>
                  <w:r>
                    <w:rPr>
                      <w:rFonts w:cs="Times New Roman"/>
                      <w:color w:val="000000"/>
                      <w:sz w:val="21"/>
                      <w:szCs w:val="21"/>
                    </w:rPr>
                    <w:t>一般管控单元共9个。主要包括优先保护单元和重点管控单元之外的其它区域。一般管控单元以沙漠、荒漠、戈壁、一般农业生产等为主的管控单元，主要落实生态环境保护基本要求，推动区域环境质量持续改善。</w:t>
                  </w:r>
                </w:p>
              </w:tc>
              <w:tc>
                <w:tcPr>
                  <w:tcW w:w="1225" w:type="pc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本项目位于库尔勒市一般管控单元（ZH65280130001），</w:t>
                  </w:r>
                  <w:r>
                    <w:rPr>
                      <w:rFonts w:hint="eastAsia" w:cs="Times New Roman"/>
                      <w:color w:val="000000"/>
                      <w:sz w:val="21"/>
                      <w:szCs w:val="21"/>
                    </w:rPr>
                    <w:t>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540" w:type="pct"/>
                  <w:vAlign w:val="center"/>
                </w:tcPr>
                <w:p>
                  <w:pPr>
                    <w:spacing w:line="240" w:lineRule="auto"/>
                    <w:ind w:firstLine="0" w:firstLineChars="0"/>
                    <w:contextualSpacing/>
                    <w:jc w:val="center"/>
                    <w:rPr>
                      <w:rFonts w:cs="Times New Roman"/>
                      <w:sz w:val="21"/>
                      <w:szCs w:val="21"/>
                    </w:rPr>
                  </w:pPr>
                  <w:r>
                    <w:rPr>
                      <w:rFonts w:cs="Times New Roman"/>
                      <w:sz w:val="21"/>
                      <w:szCs w:val="21"/>
                    </w:rPr>
                    <w:t>符合</w:t>
                  </w:r>
                </w:p>
              </w:tc>
            </w:tr>
          </w:tbl>
          <w:p>
            <w:pPr>
              <w:spacing w:line="240" w:lineRule="auto"/>
              <w:ind w:firstLine="480"/>
              <w:textAlignment w:val="auto"/>
              <w:rPr>
                <w:rFonts w:cs="Times New Roman"/>
                <w:szCs w:val="24"/>
              </w:rPr>
            </w:pPr>
            <w:r>
              <w:rPr>
                <w:rFonts w:hint="eastAsia" w:cs="Times New Roman"/>
                <w:szCs w:val="24"/>
              </w:rPr>
              <w:t>（2）</w:t>
            </w:r>
            <w:r>
              <w:rPr>
                <w:rFonts w:hint="eastAsia" w:hAnsi="宋体" w:cs="宋体"/>
                <w:kern w:val="0"/>
              </w:rPr>
              <w:t>本项目与巴音郭楞蒙古自治州总体管控要求符合性分析</w:t>
            </w:r>
          </w:p>
          <w:p>
            <w:pPr>
              <w:adjustRightInd w:val="0"/>
              <w:spacing w:before="163" w:beforeLines="50" w:line="240" w:lineRule="auto"/>
              <w:ind w:firstLineChars="0"/>
              <w:jc w:val="center"/>
              <w:rPr>
                <w:b/>
                <w:kern w:val="0"/>
                <w:sz w:val="21"/>
                <w:szCs w:val="20"/>
              </w:rPr>
            </w:pPr>
            <w:r>
              <w:rPr>
                <w:rFonts w:hint="eastAsia"/>
                <w:b/>
                <w:kern w:val="0"/>
                <w:sz w:val="21"/>
                <w:szCs w:val="20"/>
              </w:rPr>
              <w:t>表</w:t>
            </w:r>
            <w:r>
              <w:rPr>
                <w:b/>
                <w:kern w:val="0"/>
                <w:sz w:val="21"/>
                <w:szCs w:val="20"/>
              </w:rPr>
              <w:t xml:space="preserve">1-5 </w:t>
            </w:r>
            <w:r>
              <w:rPr>
                <w:rFonts w:hint="eastAsia"/>
                <w:b/>
                <w:kern w:val="0"/>
                <w:sz w:val="21"/>
                <w:szCs w:val="20"/>
              </w:rPr>
              <w:t xml:space="preserve"> 本项目与巴音郭楞蒙古自治州总体管控要求符合性分析一览表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77"/>
              <w:gridCol w:w="291"/>
              <w:gridCol w:w="4509"/>
              <w:gridCol w:w="2480"/>
              <w:gridCol w:w="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276" w:type="dxa"/>
                  <w:vMerge w:val="restart"/>
                  <w:vAlign w:val="center"/>
                </w:tcPr>
                <w:p>
                  <w:pPr>
                    <w:spacing w:line="240" w:lineRule="auto"/>
                    <w:ind w:firstLine="0" w:firstLineChars="0"/>
                    <w:contextualSpacing/>
                    <w:jc w:val="center"/>
                    <w:rPr>
                      <w:rFonts w:cs="Times New Roman"/>
                      <w:sz w:val="21"/>
                    </w:rPr>
                  </w:pPr>
                  <w:r>
                    <w:rPr>
                      <w:rFonts w:cs="Times New Roman"/>
                      <w:sz w:val="21"/>
                    </w:rPr>
                    <w:t>巴音郭楞蒙古自治州总体管控要求</w:t>
                  </w:r>
                </w:p>
              </w:tc>
              <w:tc>
                <w:tcPr>
                  <w:tcW w:w="291" w:type="dxa"/>
                  <w:vAlign w:val="center"/>
                </w:tcPr>
                <w:p>
                  <w:pPr>
                    <w:spacing w:line="240" w:lineRule="auto"/>
                    <w:ind w:firstLine="0" w:firstLineChars="0"/>
                    <w:contextualSpacing/>
                    <w:jc w:val="center"/>
                    <w:rPr>
                      <w:rFonts w:cs="Times New Roman"/>
                      <w:sz w:val="21"/>
                    </w:rPr>
                  </w:pPr>
                  <w:r>
                    <w:rPr>
                      <w:rFonts w:cs="Times New Roman"/>
                      <w:sz w:val="21"/>
                    </w:rPr>
                    <w:t>管控类别</w:t>
                  </w:r>
                </w:p>
              </w:tc>
              <w:tc>
                <w:tcPr>
                  <w:tcW w:w="4508" w:type="dxa"/>
                  <w:vAlign w:val="center"/>
                </w:tcPr>
                <w:p>
                  <w:pPr>
                    <w:spacing w:line="240" w:lineRule="auto"/>
                    <w:ind w:firstLine="0" w:firstLineChars="0"/>
                    <w:contextualSpacing/>
                    <w:jc w:val="center"/>
                    <w:rPr>
                      <w:rFonts w:cs="Times New Roman"/>
                      <w:sz w:val="21"/>
                    </w:rPr>
                  </w:pPr>
                  <w:r>
                    <w:rPr>
                      <w:rFonts w:cs="Times New Roman"/>
                      <w:sz w:val="21"/>
                    </w:rPr>
                    <w:t>管控要求</w:t>
                  </w:r>
                </w:p>
              </w:tc>
              <w:tc>
                <w:tcPr>
                  <w:tcW w:w="2479" w:type="dxa"/>
                  <w:vAlign w:val="center"/>
                </w:tcPr>
                <w:p>
                  <w:pPr>
                    <w:spacing w:line="240" w:lineRule="auto"/>
                    <w:ind w:firstLine="0" w:firstLineChars="0"/>
                    <w:contextualSpacing/>
                    <w:jc w:val="center"/>
                    <w:rPr>
                      <w:rFonts w:cs="Times New Roman"/>
                      <w:sz w:val="21"/>
                    </w:rPr>
                  </w:pPr>
                  <w:r>
                    <w:rPr>
                      <w:rFonts w:cs="Times New Roman"/>
                      <w:sz w:val="21"/>
                    </w:rPr>
                    <w:t>本项目</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restart"/>
                  <w:vAlign w:val="center"/>
                </w:tcPr>
                <w:p>
                  <w:pPr>
                    <w:spacing w:line="240" w:lineRule="auto"/>
                    <w:ind w:firstLine="0" w:firstLineChars="0"/>
                    <w:contextualSpacing/>
                    <w:jc w:val="center"/>
                    <w:rPr>
                      <w:rFonts w:cs="Times New Roman"/>
                      <w:sz w:val="21"/>
                    </w:rPr>
                  </w:pPr>
                  <w:r>
                    <w:rPr>
                      <w:rFonts w:cs="Times New Roman"/>
                      <w:sz w:val="21"/>
                    </w:rPr>
                    <w:t>空间布局约束</w:t>
                  </w:r>
                </w:p>
              </w:tc>
              <w:tc>
                <w:tcPr>
                  <w:tcW w:w="4508" w:type="dxa"/>
                  <w:vAlign w:val="center"/>
                </w:tcPr>
                <w:p>
                  <w:pPr>
                    <w:spacing w:line="240" w:lineRule="auto"/>
                    <w:ind w:firstLine="0" w:firstLineChars="0"/>
                    <w:contextualSpacing/>
                    <w:rPr>
                      <w:rFonts w:cs="Times New Roman"/>
                      <w:sz w:val="21"/>
                    </w:rPr>
                  </w:pPr>
                  <w:r>
                    <w:rPr>
                      <w:rFonts w:cs="Times New Roman"/>
                      <w:sz w:val="21"/>
                    </w:rPr>
                    <w:t>1.1禁止在人口集中地区和其他依法需要特殊保护的区域内焚烧沥青、油毡、橡胶、塑料、皮革、垃圾以及其他产生有毒有害烟尘和恶臭气体的物质。</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本项目位于库尔勒市哈拉玉宫镇废旧物资回收加工产业园，废气采取完善的污染防治措施后达标排放</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1.2禁止在居民住宅楼、未配套设立专用烟道的商住综合楼以及商住综合楼内与居住层相邻的商业楼层内新建、改建、扩建产生油烟、异味、废气的餐饮服务项目。任何单位和个人不得在当地人民政府禁止的区域内露天烧烤食品或者为露天烧烤食品提供场地。</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本项目不涉及上述相关内容</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1.3县级及以上城市建成区原则上不再新建每小时35蒸吨以下的燃煤锅炉，其他地区原则上不再新建每小时10蒸吨及以下的燃煤锅炉。</w:t>
                  </w:r>
                </w:p>
              </w:tc>
              <w:tc>
                <w:tcPr>
                  <w:tcW w:w="2479" w:type="dxa"/>
                  <w:vAlign w:val="center"/>
                </w:tcPr>
                <w:p>
                  <w:pPr>
                    <w:spacing w:line="240" w:lineRule="auto"/>
                    <w:ind w:firstLine="0" w:firstLineChars="0"/>
                    <w:contextualSpacing/>
                    <w:jc w:val="center"/>
                    <w:rPr>
                      <w:rFonts w:cs="Times New Roman"/>
                      <w:sz w:val="21"/>
                    </w:rPr>
                  </w:pPr>
                  <w:r>
                    <w:rPr>
                      <w:rFonts w:cs="Times New Roman"/>
                      <w:sz w:val="21"/>
                    </w:rPr>
                    <w:t>本项目</w:t>
                  </w:r>
                  <w:r>
                    <w:rPr>
                      <w:rFonts w:hint="eastAsia" w:cs="Times New Roman"/>
                      <w:sz w:val="21"/>
                    </w:rPr>
                    <w:t>不</w:t>
                  </w:r>
                  <w:r>
                    <w:rPr>
                      <w:rFonts w:cs="Times New Roman"/>
                      <w:sz w:val="21"/>
                    </w:rPr>
                    <w:t>使用锅炉</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1.4禁止在自治州行政区域内引进能（水）耗不符合相关国家标准中准入值要求，且污染物排放和环境风险防控不符合国家（地方）标准及有关产业准入条件的高污染（排放）、高能（水）耗、高环境风险的工业项目。</w:t>
                  </w:r>
                </w:p>
              </w:tc>
              <w:tc>
                <w:tcPr>
                  <w:tcW w:w="2479" w:type="dxa"/>
                  <w:vAlign w:val="center"/>
                </w:tcPr>
                <w:p>
                  <w:pPr>
                    <w:spacing w:line="240" w:lineRule="auto"/>
                    <w:ind w:firstLine="0" w:firstLineChars="0"/>
                    <w:contextualSpacing/>
                    <w:rPr>
                      <w:rFonts w:cs="Times New Roman"/>
                      <w:sz w:val="21"/>
                    </w:rPr>
                  </w:pPr>
                  <w:r>
                    <w:rPr>
                      <w:rFonts w:hint="eastAsia" w:cs="Times New Roman"/>
                      <w:sz w:val="21"/>
                    </w:rPr>
                    <w:t>本项目用水</w:t>
                  </w:r>
                  <w:r>
                    <w:rPr>
                      <w:rFonts w:hint="eastAsia" w:cs="Times New Roman"/>
                      <w:sz w:val="21"/>
                      <w:szCs w:val="21"/>
                    </w:rPr>
                    <w:t>由库尔勒市哈拉玉宫镇废旧物资回收加工产业园供水系统供给</w:t>
                  </w:r>
                  <w:r>
                    <w:rPr>
                      <w:rFonts w:hint="eastAsia" w:cs="Times New Roman"/>
                      <w:sz w:val="21"/>
                    </w:rPr>
                    <w:t>，用水量较小，项目通过采取完善的污染防治措施和环境风险防范措施，污染物可达标排放，</w:t>
                  </w:r>
                  <w:r>
                    <w:rPr>
                      <w:rFonts w:cs="Times New Roman"/>
                      <w:color w:val="000000"/>
                      <w:sz w:val="21"/>
                      <w:szCs w:val="21"/>
                    </w:rPr>
                    <w:t>项目实施后</w:t>
                  </w:r>
                  <w:r>
                    <w:rPr>
                      <w:rFonts w:hint="eastAsia" w:cs="Times New Roman"/>
                      <w:color w:val="000000"/>
                      <w:sz w:val="21"/>
                      <w:szCs w:val="21"/>
                    </w:rPr>
                    <w:t>环境风险可控</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1.5禁止新建、改建、扩建严重污染大气环境的项目。工业和信息化主管部门应当会同发展和改革、生态环境等部门，根据巴州生态环境局提供的大气监测数据制定工业产业转型升级行动计划和严重污染大气项目退出计划，报本级人民政府批准后向社会公布。对城市建成区大气环境质量造成明显影响的项目，自治州、各县（市）人民政府规定期限内未达到治理要求的项目，应当停产、限期搬迁或者关闭。</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szCs w:val="21"/>
                    </w:rPr>
                    <w:t>本项目行业类别为C4220非金属废料和碎屑加工处理</w:t>
                  </w:r>
                  <w:r>
                    <w:rPr>
                      <w:rFonts w:cs="Times New Roman"/>
                      <w:sz w:val="21"/>
                    </w:rPr>
                    <w:t>，不属于重污染行业</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1.6在饮用水水源保护区内，禁止设置排污口。</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szCs w:val="21"/>
                    </w:rPr>
                    <w:t>本项目不涉及上述相关内容</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1.7开都-孔雀河流域、塔里木河流域沿岸，要严格控制石油加工、化学原料和化学制品制造、医药制造、化学纤维制造、有色金属冶炼、纺织印染等项目环境风险，合理布局生产装置及危险化学品仓储等设施。</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本项目不涉及上述相关内容</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1.8开都-孔雀河流域、塔里木河流域沿岸，要严格控制石油加工、化学原料和化学制品制造、医药制造、化学纤维制造、有色金属冶炼、纺织、印染等项目环境风险，合理布局生产装置及危险化学品仓储等设施。</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本项目占地不涉及基本农田</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1.9县级以上地方人民政府应当依法将符合条件的优先保护类耕地划为永久基本农田，实行严格保护。在永久基本农田集中区域，不得新建可能造成土壤污染的建设项目；已经建成的，应当限期关闭拆除。</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本项目占地不涉及基本农田</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1.10落实重度污染土地严格管控措施。加强对严格管控类耕地、园地、草地的用途管理，依法将其划定为农产品禁止生产区域，严禁种植食用农产品，不得列入国家中央财政投资农业高效节水项目建设；对威胁地下水、饮用水水源安全的，有关县市人民政府要制定环境风险管控方案，并落实有关措施。研究推进严格管控类耕地、园地、草地纳入新一轮退耕还林还草实施范围，制定实施重度污染耕地、园地、草地种植结构调整或退耕还林还草计划。推行耕地轮作休耕制度试点、草地轮牧休牧禁牧制度试点。</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本项目占地不涉及重度污染土地</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restart"/>
                  <w:vAlign w:val="center"/>
                </w:tcPr>
                <w:p>
                  <w:pPr>
                    <w:spacing w:line="240" w:lineRule="auto"/>
                    <w:ind w:firstLine="0" w:firstLineChars="0"/>
                    <w:contextualSpacing/>
                    <w:jc w:val="center"/>
                    <w:rPr>
                      <w:rFonts w:cs="Times New Roman"/>
                      <w:sz w:val="21"/>
                    </w:rPr>
                  </w:pPr>
                  <w:r>
                    <w:rPr>
                      <w:rFonts w:cs="Times New Roman"/>
                      <w:sz w:val="21"/>
                    </w:rPr>
                    <w:t>污染物排放管控</w:t>
                  </w:r>
                </w:p>
              </w:tc>
              <w:tc>
                <w:tcPr>
                  <w:tcW w:w="4508" w:type="dxa"/>
                  <w:vAlign w:val="center"/>
                </w:tcPr>
                <w:p>
                  <w:pPr>
                    <w:spacing w:line="240" w:lineRule="auto"/>
                    <w:ind w:firstLine="0" w:firstLineChars="0"/>
                    <w:contextualSpacing/>
                    <w:rPr>
                      <w:rFonts w:cs="Times New Roman"/>
                      <w:sz w:val="21"/>
                    </w:rPr>
                  </w:pPr>
                  <w:r>
                    <w:rPr>
                      <w:rFonts w:cs="Times New Roman"/>
                      <w:sz w:val="21"/>
                    </w:rPr>
                    <w:t>2.1水源涵养和生物多样性维护型重点生态功能区水质达到地表水、地下水I类，空气质量达到一级。</w:t>
                  </w:r>
                </w:p>
              </w:tc>
              <w:tc>
                <w:tcPr>
                  <w:tcW w:w="2479" w:type="dxa"/>
                  <w:vAlign w:val="center"/>
                </w:tcPr>
                <w:p>
                  <w:pPr>
                    <w:spacing w:line="240" w:lineRule="auto"/>
                    <w:ind w:firstLine="0" w:firstLineChars="0"/>
                    <w:contextualSpacing/>
                    <w:rPr>
                      <w:rFonts w:cs="Times New Roman"/>
                      <w:sz w:val="21"/>
                    </w:rPr>
                  </w:pPr>
                  <w:r>
                    <w:rPr>
                      <w:rFonts w:hint="eastAsia" w:cs="Times New Roman"/>
                      <w:sz w:val="21"/>
                    </w:rPr>
                    <w:t>本项目位于库尔勒市哈拉玉宫镇废旧物资回收加工产业园，不属于重点生态功能区</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2.2燃煤电厂和其他燃煤单位应当采用清洁生产工艺，配套建设除尘、脱硫、脱硝等装置，或者采取技术改造等其他控制大气污染物排放的措施。国家鼓励燃煤单位采用先进的除尘、脱硫、脱硝、脱汞等大气污染物协同控制的技术和装置，减少大气污染物的排放。</w:t>
                  </w:r>
                </w:p>
              </w:tc>
              <w:tc>
                <w:tcPr>
                  <w:tcW w:w="2479" w:type="dxa"/>
                  <w:vAlign w:val="center"/>
                </w:tcPr>
                <w:p>
                  <w:pPr>
                    <w:spacing w:line="240" w:lineRule="auto"/>
                    <w:ind w:firstLine="0" w:firstLineChars="0"/>
                    <w:contextualSpacing/>
                    <w:jc w:val="center"/>
                    <w:rPr>
                      <w:rFonts w:cs="Times New Roman"/>
                      <w:sz w:val="21"/>
                    </w:rPr>
                  </w:pPr>
                  <w:r>
                    <w:rPr>
                      <w:rFonts w:cs="Times New Roman"/>
                      <w:sz w:val="21"/>
                    </w:rPr>
                    <w:t>本项目</w:t>
                  </w:r>
                  <w:r>
                    <w:rPr>
                      <w:rFonts w:hint="eastAsia" w:cs="Times New Roman"/>
                      <w:sz w:val="21"/>
                    </w:rPr>
                    <w:t>不</w:t>
                  </w:r>
                  <w:r>
                    <w:rPr>
                      <w:rFonts w:cs="Times New Roman"/>
                      <w:sz w:val="21"/>
                    </w:rPr>
                    <w:t>使用</w:t>
                  </w:r>
                  <w:r>
                    <w:rPr>
                      <w:rFonts w:hint="eastAsia" w:cs="Times New Roman"/>
                      <w:sz w:val="21"/>
                    </w:rPr>
                    <w:t>锅炉</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2.3钢铁、建材、有色金属、石油、化工等企业生产过程中排放粉尘、硫化物和氮氧化物的，应当采用清洁生产工艺，配套建设除尘、脱硫、脱硝等装置，或者采取技术改造等其他控制大气污染物排放的措施。</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本项目为</w:t>
                  </w:r>
                  <w:r>
                    <w:rPr>
                      <w:rFonts w:hint="eastAsia" w:cs="Times New Roman"/>
                      <w:sz w:val="21"/>
                      <w:szCs w:val="21"/>
                    </w:rPr>
                    <w:t>非金属废料和碎屑加工处理</w:t>
                  </w:r>
                  <w:r>
                    <w:rPr>
                      <w:rFonts w:cs="Times New Roman"/>
                      <w:sz w:val="21"/>
                    </w:rPr>
                    <w:t>，不涉及</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2.6根据水环境保护的需要，在饮用水水源保护区内，采取禁止或者限制使用含磷洗涤剂、化肥、农药以及限制种植养殖等措施。</w:t>
                  </w:r>
                </w:p>
              </w:tc>
              <w:tc>
                <w:tcPr>
                  <w:tcW w:w="2479"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本项目所在区域不涉及饮用水水源保护区</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2.7饮用水源地准保护区内无新建、扩建制药、化工、造纸、制革、印染、染料、炼焦、炼硫、炼砷、炼油、电镀、农药等对水体污染严重的建设项目。</w:t>
                  </w:r>
                </w:p>
              </w:tc>
              <w:tc>
                <w:tcPr>
                  <w:tcW w:w="2479"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本项目所在区域不涉及饮用水源地准保护区，且项目不属于上述对水体污染严重的建设项目</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2.8饮用水水源二级保护区内城镇生活垃圾全部集中收集并在保护区外进行无害化处置。准保护区内工业园区企业的第一类水污染物达到车间排放要求、常规污染物达到间接排放标准后，进入园区污水处理厂集中处理。不能满足水质要求的地表水饮用水水源，准保护区或汇水区域采取水污染物容量总量控制措施，限期达标。</w:t>
                  </w:r>
                </w:p>
              </w:tc>
              <w:tc>
                <w:tcPr>
                  <w:tcW w:w="2479" w:type="dxa"/>
                  <w:vAlign w:val="center"/>
                </w:tcPr>
                <w:p>
                  <w:pPr>
                    <w:spacing w:line="240" w:lineRule="auto"/>
                    <w:ind w:firstLine="0" w:firstLineChars="0"/>
                    <w:contextualSpacing/>
                    <w:jc w:val="center"/>
                    <w:rPr>
                      <w:rFonts w:cs="Times New Roman"/>
                      <w:sz w:val="21"/>
                      <w:szCs w:val="21"/>
                    </w:rPr>
                  </w:pPr>
                  <w:r>
                    <w:rPr>
                      <w:rFonts w:hint="eastAsia" w:cs="Times New Roman"/>
                      <w:sz w:val="21"/>
                      <w:szCs w:val="21"/>
                    </w:rPr>
                    <w:t>本项目位于库尔勒市哈拉玉宫镇废旧物资回收加工产业园，不涉及饮用水水源二级保护区及准保护区</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2.9所有排污单位必须依法实现全面达标排放。逐一排查工业企业排污情况，重点排污单位应按要求安装污染物在线监控设施，达标企业应采取措施确保稳定达标。实行“红黄牌”警示制度，对超标和超总量的企业予以“黄牌”警示，一律限制生产或停产整治；对整治仍不能达到要求且情节严重的企业予以“红牌”处罚，一律停业、关闭。定期公布环保“黄牌”、“红牌”企业名单。定期抽查排污单位达标排放情况，结果向社会公布。加大综合惩处和处罚执行力度，建立环保领域非诉案件执行联动配合机制，对行政处罚、行政命令执行情况实施后督察。</w:t>
                  </w:r>
                </w:p>
              </w:tc>
              <w:tc>
                <w:tcPr>
                  <w:tcW w:w="2479" w:type="dxa"/>
                  <w:vAlign w:val="center"/>
                </w:tcPr>
                <w:p>
                  <w:pPr>
                    <w:spacing w:line="240" w:lineRule="auto"/>
                    <w:ind w:firstLine="0" w:firstLineChars="0"/>
                    <w:contextualSpacing/>
                    <w:rPr>
                      <w:rFonts w:cs="Times New Roman"/>
                      <w:sz w:val="21"/>
                      <w:szCs w:val="21"/>
                    </w:rPr>
                  </w:pPr>
                  <w:r>
                    <w:rPr>
                      <w:rFonts w:hint="eastAsia" w:cs="Times New Roman"/>
                      <w:sz w:val="21"/>
                      <w:szCs w:val="21"/>
                    </w:rPr>
                    <w:t>本项目通过采取完善的污染防治措施和环境风险防范措施，污染物可达标排放</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2.10严格控制环境激素类化学品污染。完成环境激素类化学品生产使用情况调查，监控评估水源地、农产品种植区及水产品集中养殖区风险，实施环境激素类化学品淘汰、限制、替代等措施。严格控制持久性有机污染物排放，实施持久性有机污染物统计报表制度，对污染物和废弃物进行严格管理。</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szCs w:val="21"/>
                    </w:rPr>
                    <w:t>本项目不涉及相关内容</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restart"/>
                  <w:vAlign w:val="center"/>
                </w:tcPr>
                <w:p>
                  <w:pPr>
                    <w:spacing w:line="240" w:lineRule="auto"/>
                    <w:ind w:firstLine="0" w:firstLineChars="0"/>
                    <w:contextualSpacing/>
                    <w:jc w:val="center"/>
                    <w:rPr>
                      <w:rFonts w:cs="Times New Roman"/>
                      <w:sz w:val="21"/>
                    </w:rPr>
                  </w:pPr>
                  <w:r>
                    <w:rPr>
                      <w:rFonts w:cs="Times New Roman"/>
                      <w:sz w:val="21"/>
                    </w:rPr>
                    <w:t>环境风险管控</w:t>
                  </w:r>
                </w:p>
              </w:tc>
              <w:tc>
                <w:tcPr>
                  <w:tcW w:w="4508" w:type="dxa"/>
                  <w:vAlign w:val="center"/>
                </w:tcPr>
                <w:p>
                  <w:pPr>
                    <w:spacing w:line="240" w:lineRule="auto"/>
                    <w:ind w:firstLine="0" w:firstLineChars="0"/>
                    <w:contextualSpacing/>
                    <w:rPr>
                      <w:rFonts w:cs="Times New Roman"/>
                      <w:sz w:val="21"/>
                    </w:rPr>
                  </w:pPr>
                  <w:r>
                    <w:rPr>
                      <w:rFonts w:hint="eastAsia" w:cs="Times New Roman"/>
                      <w:sz w:val="21"/>
                    </w:rPr>
                    <w:t>3.1强化污染防治区域联防联控。坚持属地管理与区域协调联动共治相结合，强化主体责任，完善跨区域大气污染联防联控工作机制，强化兵地区域同防同治，完善兵地沟通协作、信息共享机制以及生态环境治理体系，积极推进兵地生态环境执法改革，使兵地联合执法、交叉执法成为常态。健全污染过程预警应急响应机制。各县市人民政府负责本行政区内的重污染天气应急响应工作，自治州重污染天气应急指挥部统筹指挥重污染应对工作，成员各司其职、密切配合。州生态环境局、气象局监测监控空气质量和气象条件变化，共享数据、科学预警、有效应对。强化部门间沟通协作，建立健全信息共享机制，充分发挥各部门专业优势，提高联防联控和快速反应能力</w:t>
                  </w:r>
                  <w:r>
                    <w:rPr>
                      <w:rFonts w:cs="Times New Roman"/>
                      <w:sz w:val="21"/>
                    </w:rPr>
                    <w:t>。</w:t>
                  </w:r>
                </w:p>
              </w:tc>
              <w:tc>
                <w:tcPr>
                  <w:tcW w:w="2479" w:type="dxa"/>
                  <w:vMerge w:val="restart"/>
                  <w:vAlign w:val="center"/>
                </w:tcPr>
                <w:p>
                  <w:pPr>
                    <w:spacing w:line="240" w:lineRule="auto"/>
                    <w:ind w:firstLine="0" w:firstLineChars="0"/>
                    <w:contextualSpacing/>
                    <w:jc w:val="center"/>
                    <w:rPr>
                      <w:rFonts w:cs="Times New Roman"/>
                      <w:sz w:val="21"/>
                    </w:rPr>
                  </w:pPr>
                  <w:r>
                    <w:rPr>
                      <w:rFonts w:hint="eastAsia" w:cs="Times New Roman"/>
                      <w:sz w:val="21"/>
                    </w:rPr>
                    <w:t>本项目将严格响应库尔勒市重污染天气应急预案</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3.2</w:t>
                  </w:r>
                  <w:r>
                    <w:rPr>
                      <w:rFonts w:hint="eastAsia" w:cs="Times New Roman"/>
                      <w:sz w:val="21"/>
                    </w:rPr>
                    <w:t>提升空气质量预警预报能力。建立健全重污染天气会商制度，加强全州环境空气质量预警预报能力提升建设，逐步建立州、县市为骨干的空气环境质量预报预警体系，开展7天重污染天气监测预警、分析和研判，以及环境空气质量中长期趋势预测分析；完善重污染天气应急减排措施。完善或修订重污染天气应急预案，实施清单化管理</w:t>
                  </w:r>
                  <w:r>
                    <w:rPr>
                      <w:rFonts w:cs="Times New Roman"/>
                      <w:sz w:val="21"/>
                    </w:rPr>
                    <w:t>。</w:t>
                  </w:r>
                </w:p>
              </w:tc>
              <w:tc>
                <w:tcPr>
                  <w:tcW w:w="2479" w:type="dxa"/>
                  <w:vMerge w:val="continue"/>
                  <w:vAlign w:val="center"/>
                </w:tcPr>
                <w:p>
                  <w:pPr>
                    <w:spacing w:line="240" w:lineRule="auto"/>
                    <w:ind w:firstLine="0" w:firstLineChars="0"/>
                    <w:contextualSpacing/>
                    <w:jc w:val="center"/>
                    <w:rPr>
                      <w:rFonts w:cs="Times New Roman"/>
                      <w:sz w:val="21"/>
                    </w:rPr>
                  </w:pP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3.3</w:t>
                  </w:r>
                  <w:r>
                    <w:rPr>
                      <w:rFonts w:hint="eastAsia" w:cs="Times New Roman"/>
                      <w:sz w:val="21"/>
                    </w:rPr>
                    <w:t>人民政府应当制定重污染天气应急预案，报上一级生态环境主管部门备案，并向社会公布。重污染天气应急预案应当根据实际需要和情势变化适时修订。重点排污单位应当根据所在地重污染天气应急预案，编制本单位重污染天气应急响应方案。医疗、教育、交通、应急管理等重点部门按照部门分预案开展应急管理工作，对发生或者可能发生危害人体健康和安全的重污染天气，应当启动应急方案</w:t>
                  </w:r>
                  <w:r>
                    <w:rPr>
                      <w:rFonts w:cs="Times New Roman"/>
                      <w:sz w:val="21"/>
                    </w:rPr>
                    <w:t>。</w:t>
                  </w:r>
                </w:p>
              </w:tc>
              <w:tc>
                <w:tcPr>
                  <w:tcW w:w="2479" w:type="dxa"/>
                  <w:vMerge w:val="continue"/>
                  <w:vAlign w:val="center"/>
                </w:tcPr>
                <w:p>
                  <w:pPr>
                    <w:spacing w:line="240" w:lineRule="auto"/>
                    <w:ind w:firstLine="0" w:firstLineChars="0"/>
                    <w:contextualSpacing/>
                    <w:jc w:val="center"/>
                    <w:rPr>
                      <w:rFonts w:cs="Times New Roman"/>
                      <w:sz w:val="21"/>
                    </w:rPr>
                  </w:pP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jc w:val="center"/>
                    <w:rPr>
                      <w:rFonts w:cs="Times New Roman"/>
                      <w:sz w:val="21"/>
                    </w:rPr>
                  </w:pPr>
                  <w:r>
                    <w:rPr>
                      <w:rFonts w:cs="Times New Roman"/>
                      <w:sz w:val="21"/>
                    </w:rPr>
                    <w:t>3.4</w:t>
                  </w:r>
                  <w:r>
                    <w:rPr>
                      <w:rFonts w:hint="eastAsia" w:cs="Times New Roman"/>
                      <w:sz w:val="21"/>
                    </w:rPr>
                    <w:t>自治州、各县（市）人民政府应当根据重污染天气的预警等级，及时启动重污染天气应急预案，并采取与预警等级对应的响应措施，相关单位和个人应当配合</w:t>
                  </w:r>
                  <w:r>
                    <w:rPr>
                      <w:rFonts w:cs="Times New Roman"/>
                      <w:sz w:val="21"/>
                    </w:rPr>
                    <w:t>。</w:t>
                  </w:r>
                </w:p>
              </w:tc>
              <w:tc>
                <w:tcPr>
                  <w:tcW w:w="2479" w:type="dxa"/>
                  <w:vMerge w:val="continue"/>
                  <w:vAlign w:val="center"/>
                </w:tcPr>
                <w:p>
                  <w:pPr>
                    <w:spacing w:line="240" w:lineRule="auto"/>
                    <w:ind w:firstLine="0" w:firstLineChars="0"/>
                    <w:contextualSpacing/>
                    <w:jc w:val="center"/>
                    <w:rPr>
                      <w:rFonts w:cs="Times New Roman"/>
                      <w:sz w:val="21"/>
                    </w:rPr>
                  </w:pP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contextualSpacing/>
                    <w:rPr>
                      <w:rFonts w:cs="Times New Roman"/>
                      <w:sz w:val="21"/>
                    </w:rPr>
                  </w:pPr>
                  <w:r>
                    <w:rPr>
                      <w:rFonts w:cs="Times New Roman"/>
                      <w:sz w:val="21"/>
                    </w:rPr>
                    <w:t>3.5推进重点流域、饮用水源等环境敏感区域防控体系建设，落实环境风险防控措施，配备拦截、吸附等基本应急处置物资。落实饮用水源一级保护区周边人类活动频繁区域隔离墙、隔离网、视频监控等防范设施建设。</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本项目实施后按照有关法律、规范进行环境风险防控体系建设</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hint="eastAsia" w:cs="Times New Roman"/>
                      <w:sz w:val="21"/>
                    </w:rPr>
                    <w:t>3.6禁止从事下列危及城镇排水与污水处理设施安全的活动：</w:t>
                  </w:r>
                </w:p>
                <w:p>
                  <w:pPr>
                    <w:spacing w:line="240" w:lineRule="auto"/>
                    <w:ind w:firstLine="0" w:firstLineChars="0"/>
                    <w:rPr>
                      <w:rFonts w:cs="Times New Roman"/>
                      <w:sz w:val="21"/>
                    </w:rPr>
                  </w:pPr>
                  <w:r>
                    <w:rPr>
                      <w:rFonts w:hint="eastAsia" w:cs="Times New Roman"/>
                      <w:sz w:val="21"/>
                    </w:rPr>
                    <w:t>（一）损毁、盗窃城镇排水与污水处理设施；</w:t>
                  </w:r>
                </w:p>
                <w:p>
                  <w:pPr>
                    <w:spacing w:line="240" w:lineRule="auto"/>
                    <w:ind w:firstLine="0" w:firstLineChars="0"/>
                    <w:rPr>
                      <w:rFonts w:cs="Times New Roman"/>
                      <w:sz w:val="21"/>
                    </w:rPr>
                  </w:pPr>
                  <w:r>
                    <w:rPr>
                      <w:rFonts w:hint="eastAsia" w:cs="Times New Roman"/>
                      <w:sz w:val="21"/>
                    </w:rPr>
                    <w:t>（二）穿凿、堵塞城镇排水与污水处理设施；</w:t>
                  </w:r>
                </w:p>
                <w:p>
                  <w:pPr>
                    <w:spacing w:line="240" w:lineRule="auto"/>
                    <w:ind w:firstLine="0" w:firstLineChars="0"/>
                    <w:rPr>
                      <w:rFonts w:cs="Times New Roman"/>
                      <w:sz w:val="21"/>
                    </w:rPr>
                  </w:pPr>
                  <w:r>
                    <w:rPr>
                      <w:rFonts w:hint="eastAsia" w:cs="Times New Roman"/>
                      <w:sz w:val="21"/>
                    </w:rPr>
                    <w:t>（三）向城镇排水与污水处理设施排放、倾倒剧毒、易燃易爆、腐蚀性废液和废渣；</w:t>
                  </w:r>
                </w:p>
                <w:p>
                  <w:pPr>
                    <w:spacing w:line="240" w:lineRule="auto"/>
                    <w:ind w:firstLine="0" w:firstLineChars="0"/>
                    <w:rPr>
                      <w:rFonts w:cs="Times New Roman"/>
                      <w:sz w:val="21"/>
                    </w:rPr>
                  </w:pPr>
                  <w:r>
                    <w:rPr>
                      <w:rFonts w:hint="eastAsia" w:cs="Times New Roman"/>
                      <w:sz w:val="21"/>
                    </w:rPr>
                    <w:t>（四）向城镇排水与污水处理设施倾倒垃圾、渣土、施工泥浆等废弃物；</w:t>
                  </w:r>
                </w:p>
                <w:p>
                  <w:pPr>
                    <w:spacing w:line="240" w:lineRule="auto"/>
                    <w:ind w:firstLine="0" w:firstLineChars="0"/>
                    <w:rPr>
                      <w:rFonts w:cs="Times New Roman"/>
                      <w:sz w:val="21"/>
                    </w:rPr>
                  </w:pPr>
                  <w:r>
                    <w:rPr>
                      <w:rFonts w:hint="eastAsia" w:cs="Times New Roman"/>
                      <w:sz w:val="21"/>
                    </w:rPr>
                    <w:t>（五）建设占压城镇排水与污水处理设施的建筑物、构筑物或者其他设施；</w:t>
                  </w:r>
                </w:p>
                <w:p>
                  <w:pPr>
                    <w:spacing w:line="240" w:lineRule="auto"/>
                    <w:ind w:firstLine="0" w:firstLineChars="0"/>
                    <w:contextualSpacing/>
                    <w:rPr>
                      <w:rFonts w:cs="Times New Roman"/>
                      <w:sz w:val="21"/>
                    </w:rPr>
                  </w:pPr>
                  <w:r>
                    <w:rPr>
                      <w:rFonts w:hint="eastAsia" w:cs="Times New Roman"/>
                      <w:sz w:val="21"/>
                    </w:rPr>
                    <w:t>（六）其他危及城镇排水与污水处理设施安全的活动。</w:t>
                  </w:r>
                </w:p>
              </w:tc>
              <w:tc>
                <w:tcPr>
                  <w:tcW w:w="2479" w:type="dxa"/>
                  <w:vAlign w:val="center"/>
                </w:tcPr>
                <w:p>
                  <w:pPr>
                    <w:spacing w:line="240" w:lineRule="auto"/>
                    <w:ind w:firstLine="0" w:firstLineChars="0"/>
                    <w:contextualSpacing/>
                    <w:jc w:val="center"/>
                    <w:rPr>
                      <w:rFonts w:cs="Times New Roman"/>
                      <w:sz w:val="21"/>
                    </w:rPr>
                  </w:pPr>
                  <w:r>
                    <w:rPr>
                      <w:rFonts w:hint="eastAsia" w:cs="Times New Roman"/>
                      <w:sz w:val="21"/>
                    </w:rPr>
                    <w:t>本项目不涉及上述禁止活动</w:t>
                  </w:r>
                </w:p>
              </w:tc>
              <w:tc>
                <w:tcPr>
                  <w:tcW w:w="794" w:type="dxa"/>
                  <w:vAlign w:val="center"/>
                </w:tcPr>
                <w:p>
                  <w:pPr>
                    <w:spacing w:line="240" w:lineRule="auto"/>
                    <w:ind w:firstLine="0" w:firstLineChars="0"/>
                    <w:contextualSpacing/>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3.7</w:t>
                  </w:r>
                  <w:r>
                    <w:rPr>
                      <w:rFonts w:hint="eastAsia" w:cs="Times New Roman"/>
                      <w:sz w:val="21"/>
                    </w:rPr>
                    <w:t>健全保护区内危险化学品运输管理制度。保护区内有道路、桥梁穿越的，危险化学品运输采取限制运载重量和物资种类、限定行驶线路等管理措施，并完善应急处置设施。保护区内运输危险化学品车辆及其他穿越保护区的流动源，利用全球定位系统等设备实时监控</w:t>
                  </w:r>
                  <w:r>
                    <w:rPr>
                      <w:rFonts w:cs="Times New Roman"/>
                      <w:sz w:val="21"/>
                    </w:rPr>
                    <w:t>。</w:t>
                  </w:r>
                </w:p>
              </w:tc>
              <w:tc>
                <w:tcPr>
                  <w:tcW w:w="2479" w:type="dxa"/>
                  <w:vAlign w:val="center"/>
                </w:tcPr>
                <w:p>
                  <w:pPr>
                    <w:spacing w:line="240" w:lineRule="auto"/>
                    <w:ind w:firstLine="0" w:firstLineChars="0"/>
                    <w:rPr>
                      <w:rFonts w:cs="Times New Roman"/>
                      <w:sz w:val="21"/>
                    </w:rPr>
                  </w:pPr>
                  <w:r>
                    <w:rPr>
                      <w:rFonts w:hint="eastAsia" w:cs="Times New Roman"/>
                      <w:sz w:val="21"/>
                    </w:rPr>
                    <w:t>本项目不涉及相关内容</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3.8</w:t>
                  </w:r>
                  <w:r>
                    <w:rPr>
                      <w:rFonts w:hint="eastAsia" w:cs="Times New Roman"/>
                      <w:sz w:val="21"/>
                    </w:rPr>
                    <w:t>严格环境风险控制。防范环境风险。定期评估沿河流湖库的工业企业、工业集聚区环境和健康风险，加强预案管理，落实防控措施，排除水污染隐患。评估现有化学物质环境和健康风险，根据国家公布的优先控制化学品名录，对高风险化学品生产、使用进行严格限制，并逐步淘汰替代</w:t>
                  </w:r>
                  <w:r>
                    <w:rPr>
                      <w:rFonts w:cs="Times New Roman"/>
                      <w:sz w:val="21"/>
                    </w:rPr>
                    <w:t>。</w:t>
                  </w:r>
                </w:p>
              </w:tc>
              <w:tc>
                <w:tcPr>
                  <w:tcW w:w="2479" w:type="dxa"/>
                  <w:vAlign w:val="center"/>
                </w:tcPr>
                <w:p>
                  <w:pPr>
                    <w:spacing w:line="240" w:lineRule="auto"/>
                    <w:ind w:firstLine="0" w:firstLineChars="0"/>
                    <w:rPr>
                      <w:rFonts w:cs="Times New Roman"/>
                      <w:sz w:val="21"/>
                    </w:rPr>
                  </w:pPr>
                  <w:r>
                    <w:rPr>
                      <w:rFonts w:hint="eastAsia" w:cs="Times New Roman"/>
                      <w:sz w:val="21"/>
                    </w:rPr>
                    <w:t>本项目已提出环境风险防范措施及应急要求，企业将按要求编制环境风险应急预案，项目不涉及高风险化学品</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3.9</w:t>
                  </w:r>
                  <w:r>
                    <w:rPr>
                      <w:rFonts w:hint="eastAsia" w:cs="Times New Roman"/>
                      <w:sz w:val="21"/>
                    </w:rPr>
                    <w:t>（农田灌溉风险要求）农田灌溉用水应当符合相应的水质标准，防止污染土壤、地下水和农产品。禁止向农田灌溉渠道排放工业废水或者医疗污水。向农田灌溉渠道排放城镇污水以及未综合利用的畜禽养殖废水、农产品加工废水的，应当保证其下游最近的灌溉取水点的水质符合农田灌溉水质标准</w:t>
                  </w:r>
                  <w:r>
                    <w:rPr>
                      <w:rFonts w:cs="Times New Roman"/>
                      <w:sz w:val="21"/>
                    </w:rPr>
                    <w:t>。</w:t>
                  </w:r>
                </w:p>
              </w:tc>
              <w:tc>
                <w:tcPr>
                  <w:tcW w:w="2479" w:type="dxa"/>
                  <w:vAlign w:val="center"/>
                </w:tcPr>
                <w:p>
                  <w:pPr>
                    <w:spacing w:line="240" w:lineRule="auto"/>
                    <w:ind w:firstLine="0" w:firstLineChars="0"/>
                    <w:rPr>
                      <w:rFonts w:cs="Times New Roman"/>
                      <w:sz w:val="21"/>
                    </w:rPr>
                  </w:pPr>
                  <w:r>
                    <w:rPr>
                      <w:rFonts w:cs="Times New Roman"/>
                      <w:sz w:val="21"/>
                    </w:rPr>
                    <w:t>本项目</w:t>
                  </w:r>
                  <w:r>
                    <w:rPr>
                      <w:rFonts w:hint="eastAsia" w:cs="Times New Roman"/>
                      <w:sz w:val="21"/>
                    </w:rPr>
                    <w:t>原料</w:t>
                  </w:r>
                  <w:r>
                    <w:rPr>
                      <w:rFonts w:cs="Times New Roman"/>
                      <w:sz w:val="21"/>
                    </w:rPr>
                    <w:t>不涉及危化品运输</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restart"/>
                  <w:vAlign w:val="center"/>
                </w:tcPr>
                <w:p>
                  <w:pPr>
                    <w:spacing w:line="240" w:lineRule="auto"/>
                    <w:ind w:firstLine="0" w:firstLineChars="0"/>
                    <w:contextualSpacing/>
                    <w:jc w:val="center"/>
                    <w:rPr>
                      <w:rFonts w:cs="Times New Roman"/>
                      <w:sz w:val="21"/>
                    </w:rPr>
                  </w:pPr>
                  <w:r>
                    <w:rPr>
                      <w:rFonts w:cs="Times New Roman"/>
                      <w:sz w:val="21"/>
                    </w:rPr>
                    <w:t>资源利用要求</w:t>
                  </w:r>
                </w:p>
              </w:tc>
              <w:tc>
                <w:tcPr>
                  <w:tcW w:w="4508" w:type="dxa"/>
                  <w:vAlign w:val="center"/>
                </w:tcPr>
                <w:p>
                  <w:pPr>
                    <w:spacing w:line="240" w:lineRule="auto"/>
                    <w:ind w:firstLine="0" w:firstLineChars="0"/>
                    <w:rPr>
                      <w:rFonts w:cs="Times New Roman"/>
                      <w:sz w:val="21"/>
                    </w:rPr>
                  </w:pPr>
                  <w:r>
                    <w:rPr>
                      <w:rFonts w:cs="Times New Roman"/>
                      <w:sz w:val="21"/>
                    </w:rPr>
                    <w:t>4.1</w:t>
                  </w:r>
                  <w:r>
                    <w:rPr>
                      <w:rFonts w:hint="eastAsia" w:cs="Times New Roman"/>
                      <w:sz w:val="21"/>
                    </w:rPr>
                    <w:t>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w:t>
                  </w:r>
                  <w:r>
                    <w:rPr>
                      <w:rFonts w:cs="Times New Roman"/>
                      <w:sz w:val="21"/>
                    </w:rPr>
                    <w:t>。</w:t>
                  </w:r>
                </w:p>
              </w:tc>
              <w:tc>
                <w:tcPr>
                  <w:tcW w:w="2479" w:type="dxa"/>
                  <w:vMerge w:val="restart"/>
                  <w:vAlign w:val="center"/>
                </w:tcPr>
                <w:p>
                  <w:pPr>
                    <w:spacing w:line="240" w:lineRule="auto"/>
                    <w:ind w:firstLine="0" w:firstLineChars="0"/>
                    <w:rPr>
                      <w:rFonts w:cs="Times New Roman"/>
                      <w:sz w:val="21"/>
                    </w:rPr>
                  </w:pPr>
                  <w:r>
                    <w:rPr>
                      <w:rFonts w:hint="eastAsia" w:cs="Times New Roman"/>
                      <w:sz w:val="21"/>
                      <w:szCs w:val="21"/>
                    </w:rPr>
                    <w:t>本项目产生的废水主要包括原料清洗废水、车间地面冲洗废水以及生活污水，其中清洗废水、车间地面冲洗废水经三级沉淀池处理后回用，生活污水经化粪池处理后，定期由吸污车抽运至库尔勒市南市区污水处理厂处理</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4.2</w:t>
                  </w:r>
                  <w:r>
                    <w:rPr>
                      <w:rFonts w:hint="eastAsia" w:cs="Times New Roman"/>
                      <w:sz w:val="21"/>
                    </w:rPr>
                    <w:t>促进再生水利用。制定促进再生水利用的政策，以城市及产业集聚区为重点，实施再生水利用工程，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单体建筑面积超过2万平方米的新建公共建筑应安装建筑中水设施。积极推动其他新建住房安装建筑中水设施</w:t>
                  </w:r>
                  <w:r>
                    <w:rPr>
                      <w:rFonts w:cs="Times New Roman"/>
                      <w:sz w:val="21"/>
                    </w:rPr>
                    <w:t>。</w:t>
                  </w:r>
                </w:p>
              </w:tc>
              <w:tc>
                <w:tcPr>
                  <w:tcW w:w="2479" w:type="dxa"/>
                  <w:vMerge w:val="continue"/>
                  <w:vAlign w:val="center"/>
                </w:tcPr>
                <w:p>
                  <w:pPr>
                    <w:spacing w:line="240" w:lineRule="auto"/>
                    <w:ind w:firstLine="0" w:firstLineChars="0"/>
                    <w:rPr>
                      <w:rFonts w:cs="Times New Roman"/>
                      <w:sz w:val="21"/>
                    </w:rPr>
                  </w:pP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4.3</w:t>
                  </w:r>
                  <w:r>
                    <w:rPr>
                      <w:rFonts w:hint="eastAsia" w:cs="Times New Roman"/>
                      <w:sz w:val="21"/>
                    </w:rPr>
                    <w:t>依法制定和完善重点河流水资源调度方案。采取闸坝联合调度、生态补水等措施，合理安排闸坝下泄水量和泄流时段，维持河湖基本生态用水需求，重点保障枯水期生态基流。加快重大水资源配置工程建设，提高区域水资源调配能力，发挥好控制性水利工程在改善水质中的作用。制定应急调度预案和调度计划，适时开展抗旱应急、突发水污染应急调度。建立和完善防洪防灾体系。不符合河流最小生态流量要求的规划和建设项目要限制运行，对安全隐患重、生态影响大的建设项目要建立退出机制</w:t>
                  </w:r>
                  <w:r>
                    <w:rPr>
                      <w:rFonts w:cs="Times New Roman"/>
                      <w:sz w:val="21"/>
                    </w:rPr>
                    <w:t>。</w:t>
                  </w:r>
                </w:p>
              </w:tc>
              <w:tc>
                <w:tcPr>
                  <w:tcW w:w="2479" w:type="dxa"/>
                  <w:vAlign w:val="center"/>
                </w:tcPr>
                <w:p>
                  <w:pPr>
                    <w:spacing w:line="240" w:lineRule="auto"/>
                    <w:ind w:firstLine="0" w:firstLineChars="0"/>
                    <w:rPr>
                      <w:rFonts w:cs="Times New Roman"/>
                      <w:sz w:val="21"/>
                    </w:rPr>
                  </w:pPr>
                  <w:r>
                    <w:rPr>
                      <w:rFonts w:hint="eastAsia" w:cs="Times New Roman"/>
                      <w:sz w:val="21"/>
                      <w:szCs w:val="21"/>
                    </w:rPr>
                    <w:t>本项目用水由库尔勒市哈拉玉宫镇废旧物资回收加工产业园供水系统供给</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4.4</w:t>
                  </w:r>
                  <w:r>
                    <w:rPr>
                      <w:rFonts w:hint="eastAsia" w:cs="Times New Roman"/>
                      <w:sz w:val="21"/>
                    </w:rPr>
                    <w:t>严格控制开采深层承压水，地热水、矿泉水开发应严格实行取水许可和采矿许可。加强地下水超采区综合治理与修复，实行地下水开采量与水位双控制度，划定地下水禁采区、限采区。依法规范机井建设管理，完成已建机井的排查登记，未经批准的和公共供水管网覆盖范围内的自备水井，逐步予以关闭</w:t>
                  </w:r>
                  <w:r>
                    <w:rPr>
                      <w:rFonts w:cs="Times New Roman"/>
                      <w:sz w:val="21"/>
                    </w:rPr>
                    <w:t>。</w:t>
                  </w:r>
                </w:p>
              </w:tc>
              <w:tc>
                <w:tcPr>
                  <w:tcW w:w="2479" w:type="dxa"/>
                  <w:vAlign w:val="center"/>
                </w:tcPr>
                <w:p>
                  <w:pPr>
                    <w:spacing w:line="240" w:lineRule="auto"/>
                    <w:ind w:firstLine="0" w:firstLineChars="0"/>
                    <w:rPr>
                      <w:rFonts w:cs="Times New Roman"/>
                      <w:sz w:val="21"/>
                    </w:rPr>
                  </w:pPr>
                  <w:r>
                    <w:rPr>
                      <w:rFonts w:hint="eastAsia" w:cs="Times New Roman"/>
                      <w:sz w:val="21"/>
                    </w:rPr>
                    <w:t>项目运行期间不设自备井，不涉及地下水开采。</w:t>
                  </w:r>
                  <w:r>
                    <w:rPr>
                      <w:rFonts w:hint="eastAsia" w:cs="Times New Roman"/>
                      <w:sz w:val="21"/>
                      <w:szCs w:val="21"/>
                    </w:rPr>
                    <w:t>用水由库尔勒市哈拉玉宫镇废旧物资回收加工产业园供水系统供给</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74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4.5</w:t>
                  </w:r>
                  <w:r>
                    <w:rPr>
                      <w:rFonts w:hint="eastAsia" w:cs="Times New Roman"/>
                      <w:sz w:val="21"/>
                    </w:rPr>
                    <w:t>编制重点超采区域地下水压采方案。在地下水超采区，禁止兴建地下水取水工程。加强水源置换，合理配置地表水和地下水开采量，减少地下水开采规模，逐步实现地下水采补平衡</w:t>
                  </w:r>
                  <w:r>
                    <w:rPr>
                      <w:rFonts w:cs="Times New Roman"/>
                      <w:sz w:val="21"/>
                    </w:rPr>
                    <w:t>。</w:t>
                  </w:r>
                </w:p>
              </w:tc>
              <w:tc>
                <w:tcPr>
                  <w:tcW w:w="2479" w:type="dxa"/>
                  <w:vMerge w:val="restart"/>
                  <w:vAlign w:val="center"/>
                </w:tcPr>
                <w:p>
                  <w:pPr>
                    <w:spacing w:line="240" w:lineRule="auto"/>
                    <w:ind w:firstLine="0" w:firstLineChars="0"/>
                    <w:rPr>
                      <w:rFonts w:cs="Times New Roman"/>
                      <w:sz w:val="21"/>
                    </w:rPr>
                  </w:pPr>
                  <w:r>
                    <w:rPr>
                      <w:rFonts w:hint="eastAsia" w:cs="Times New Roman"/>
                      <w:sz w:val="21"/>
                      <w:szCs w:val="21"/>
                    </w:rPr>
                    <w:t>本项目用水由库尔勒市哈拉玉宫镇废旧物资回收加工产业园供水系统供给</w:t>
                  </w: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896" w:hRule="atLeast"/>
                <w:jc w:val="center"/>
              </w:trPr>
              <w:tc>
                <w:tcPr>
                  <w:tcW w:w="276" w:type="dxa"/>
                  <w:vMerge w:val="continue"/>
                  <w:vAlign w:val="center"/>
                </w:tcPr>
                <w:p>
                  <w:pPr>
                    <w:spacing w:line="240" w:lineRule="auto"/>
                    <w:ind w:firstLine="0" w:firstLineChars="0"/>
                    <w:contextualSpacing/>
                    <w:jc w:val="center"/>
                    <w:rPr>
                      <w:rFonts w:cs="Times New Roman"/>
                      <w:sz w:val="21"/>
                    </w:rPr>
                  </w:pPr>
                </w:p>
              </w:tc>
              <w:tc>
                <w:tcPr>
                  <w:tcW w:w="291" w:type="dxa"/>
                  <w:vMerge w:val="continue"/>
                  <w:vAlign w:val="center"/>
                </w:tcPr>
                <w:p>
                  <w:pPr>
                    <w:spacing w:line="240" w:lineRule="auto"/>
                    <w:ind w:firstLine="0" w:firstLineChars="0"/>
                    <w:contextualSpacing/>
                    <w:jc w:val="center"/>
                    <w:rPr>
                      <w:rFonts w:cs="Times New Roman"/>
                      <w:sz w:val="21"/>
                    </w:rPr>
                  </w:pPr>
                </w:p>
              </w:tc>
              <w:tc>
                <w:tcPr>
                  <w:tcW w:w="4508" w:type="dxa"/>
                  <w:vAlign w:val="center"/>
                </w:tcPr>
                <w:p>
                  <w:pPr>
                    <w:spacing w:line="240" w:lineRule="auto"/>
                    <w:ind w:firstLine="0" w:firstLineChars="0"/>
                    <w:rPr>
                      <w:rFonts w:cs="Times New Roman"/>
                      <w:sz w:val="21"/>
                    </w:rPr>
                  </w:pPr>
                  <w:r>
                    <w:rPr>
                      <w:rFonts w:cs="Times New Roman"/>
                      <w:sz w:val="21"/>
                    </w:rPr>
                    <w:t>4.6</w:t>
                  </w:r>
                  <w:r>
                    <w:rPr>
                      <w:rFonts w:hint="eastAsia" w:cs="Times New Roman"/>
                      <w:sz w:val="21"/>
                    </w:rPr>
                    <w:t>流域执行最严格的水资源管理制度，依法实行取水许可和有偿使用制度。在流域内从事生产、建设活动应当遵守生态环境保护规划，严格执行水资源用水总量控制、用水效率控制、水功能区限制纳污“三条红线”控制指标。流域内水资源开发利用应当兼顾上下游、左右岸和有关县、团镇之间的利益，发挥水资源的综合效益</w:t>
                  </w:r>
                </w:p>
              </w:tc>
              <w:tc>
                <w:tcPr>
                  <w:tcW w:w="2479" w:type="dxa"/>
                  <w:vMerge w:val="continue"/>
                  <w:vAlign w:val="center"/>
                </w:tcPr>
                <w:p>
                  <w:pPr>
                    <w:spacing w:line="240" w:lineRule="auto"/>
                    <w:ind w:firstLine="0" w:firstLineChars="0"/>
                    <w:rPr>
                      <w:rFonts w:cs="Times New Roman"/>
                      <w:sz w:val="21"/>
                    </w:rPr>
                  </w:pPr>
                </w:p>
              </w:tc>
              <w:tc>
                <w:tcPr>
                  <w:tcW w:w="794" w:type="dxa"/>
                  <w:vAlign w:val="center"/>
                </w:tcPr>
                <w:p>
                  <w:pPr>
                    <w:spacing w:line="240" w:lineRule="auto"/>
                    <w:ind w:firstLine="0" w:firstLineChars="0"/>
                    <w:jc w:val="center"/>
                    <w:rPr>
                      <w:rFonts w:cs="Times New Roman"/>
                      <w:sz w:val="21"/>
                    </w:rPr>
                  </w:pPr>
                  <w:r>
                    <w:rPr>
                      <w:rFonts w:cs="Times New Roman"/>
                      <w:sz w:val="21"/>
                    </w:rPr>
                    <w:t>符合</w:t>
                  </w:r>
                </w:p>
              </w:tc>
            </w:tr>
            <w:bookmarkEnd w:id="2"/>
          </w:tbl>
          <w:p>
            <w:pPr>
              <w:autoSpaceDE w:val="0"/>
              <w:autoSpaceDN w:val="0"/>
              <w:adjustRightInd w:val="0"/>
              <w:spacing w:line="240" w:lineRule="auto"/>
              <w:ind w:firstLine="422"/>
              <w:jc w:val="center"/>
              <w:textAlignment w:val="auto"/>
              <w:rPr>
                <w:rFonts w:cs="Times New Roman"/>
                <w:b/>
                <w:bCs/>
                <w:kern w:val="0"/>
                <w:sz w:val="21"/>
                <w:szCs w:val="24"/>
              </w:rPr>
            </w:pPr>
            <w:bookmarkStart w:id="3" w:name="_Hlk97287333"/>
            <w:r>
              <w:rPr>
                <w:rFonts w:cs="Times New Roman"/>
                <w:b/>
                <w:bCs/>
                <w:kern w:val="0"/>
                <w:sz w:val="21"/>
                <w:szCs w:val="24"/>
              </w:rPr>
              <w:t>表1-6  本项目与所在管控单元“库尔勒市一般管控单元”符合性分析一览表</w:t>
            </w:r>
          </w:p>
          <w:tbl>
            <w:tblPr>
              <w:tblStyle w:val="25"/>
              <w:tblW w:w="49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07"/>
              <w:gridCol w:w="484"/>
              <w:gridCol w:w="4298"/>
              <w:gridCol w:w="2419"/>
              <w:gridCol w:w="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Align w:val="center"/>
                </w:tcPr>
                <w:p>
                  <w:pPr>
                    <w:adjustRightInd w:val="0"/>
                    <w:spacing w:line="240" w:lineRule="auto"/>
                    <w:ind w:firstLine="0" w:firstLineChars="0"/>
                    <w:jc w:val="center"/>
                    <w:textAlignment w:val="auto"/>
                    <w:rPr>
                      <w:rFonts w:cs="Times New Roman"/>
                      <w:sz w:val="21"/>
                    </w:rPr>
                  </w:pPr>
                  <w:r>
                    <w:rPr>
                      <w:rFonts w:cs="Times New Roman"/>
                      <w:sz w:val="21"/>
                    </w:rPr>
                    <w:t>名称</w:t>
                  </w:r>
                </w:p>
              </w:tc>
              <w:tc>
                <w:tcPr>
                  <w:tcW w:w="4783" w:type="dxa"/>
                  <w:gridSpan w:val="2"/>
                  <w:vAlign w:val="center"/>
                </w:tcPr>
                <w:p>
                  <w:pPr>
                    <w:adjustRightInd w:val="0"/>
                    <w:spacing w:line="240" w:lineRule="auto"/>
                    <w:ind w:firstLine="0" w:firstLineChars="0"/>
                    <w:jc w:val="center"/>
                    <w:textAlignment w:val="auto"/>
                    <w:rPr>
                      <w:rFonts w:cs="Times New Roman"/>
                      <w:sz w:val="21"/>
                    </w:rPr>
                  </w:pPr>
                  <w:r>
                    <w:rPr>
                      <w:rFonts w:cs="Times New Roman"/>
                      <w:sz w:val="21"/>
                    </w:rPr>
                    <w:t>文件要求</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ZH65280130001库尔勒市一般管控</w:t>
                  </w:r>
                  <w:r>
                    <w:rPr>
                      <w:rFonts w:hint="eastAsia" w:cs="Times New Roman"/>
                      <w:sz w:val="21"/>
                    </w:rPr>
                    <w:t>区</w:t>
                  </w: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空间布局约束</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1.建设项目用地原则上不得占用基本农田，确需占用基本农田的建设项目须符合《中华人民共和国基本农田保护条例》中相关要求，占用耕地、林地或草地的建设项目须按照国家、自治区相关补偿要求进行补偿。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8" w:hRule="atLeast"/>
                <w:jc w:val="center"/>
              </w:trPr>
              <w:tc>
                <w:tcPr>
                  <w:tcW w:w="607" w:type="dxa"/>
                  <w:vMerge w:val="continue"/>
                  <w:vAlign w:val="center"/>
                </w:tcPr>
                <w:p>
                  <w:pPr>
                    <w:adjustRightInd w:val="0"/>
                    <w:spacing w:line="240" w:lineRule="auto"/>
                    <w:ind w:firstLine="420"/>
                    <w:jc w:val="center"/>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3.永久基本农田集中区域禁止规划新建可能造成土壤污染的建设项目。涉及有毒有害物质可能造成土壤污染的新（改、扩）建项目，提出并落实土壤和地下水污染防治要求。</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4.严格执行畜禽养殖禁养区规定，根据区域用地和消纳水平，合理确定养殖规模。</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5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5.禁止向沙漠、滩涂、盐碱地、沼泽地等非法排污、倾倒有毒有害物质。</w:t>
                  </w:r>
                </w:p>
              </w:tc>
              <w:tc>
                <w:tcPr>
                  <w:tcW w:w="2419" w:type="dxa"/>
                  <w:vAlign w:val="center"/>
                </w:tcPr>
                <w:p>
                  <w:pPr>
                    <w:adjustRightInd w:val="0"/>
                    <w:spacing w:line="240" w:lineRule="auto"/>
                    <w:ind w:firstLine="0" w:firstLineChars="0"/>
                    <w:textAlignment w:val="auto"/>
                    <w:rPr>
                      <w:rFonts w:cs="Times New Roman"/>
                      <w:sz w:val="21"/>
                    </w:rPr>
                  </w:pPr>
                  <w:r>
                    <w:rPr>
                      <w:rFonts w:hint="eastAsia" w:cs="Times New Roman"/>
                      <w:sz w:val="21"/>
                    </w:rPr>
                    <w:t>营运期间固体废物全部综合利用或妥善处置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6.禁止利用渗坑、裂隙、溶洞或者采用稀释等方法处置危险废物。</w:t>
                  </w:r>
                </w:p>
              </w:tc>
              <w:tc>
                <w:tcPr>
                  <w:tcW w:w="2419" w:type="dxa"/>
                  <w:vAlign w:val="center"/>
                </w:tcPr>
                <w:p>
                  <w:pPr>
                    <w:adjustRightInd w:val="0"/>
                    <w:spacing w:line="240" w:lineRule="auto"/>
                    <w:ind w:firstLine="0" w:firstLineChars="0"/>
                    <w:textAlignment w:val="auto"/>
                    <w:rPr>
                      <w:rFonts w:cs="Times New Roman"/>
                      <w:sz w:val="21"/>
                    </w:rPr>
                  </w:pPr>
                  <w:r>
                    <w:rPr>
                      <w:rFonts w:cs="Times New Roman"/>
                      <w:sz w:val="21"/>
                    </w:rPr>
                    <w:t>本项目营运期危险废物主要为</w:t>
                  </w:r>
                  <w:r>
                    <w:rPr>
                      <w:rFonts w:hint="eastAsia" w:cs="Times New Roman"/>
                      <w:sz w:val="21"/>
                    </w:rPr>
                    <w:t>废机油、沾有废机油的废抹布和废手套、废机油桶。</w:t>
                  </w:r>
                  <w:r>
                    <w:rPr>
                      <w:rFonts w:hint="eastAsia" w:cs="Times New Roman"/>
                      <w:color w:val="000000" w:themeColor="text1"/>
                      <w:sz w:val="21"/>
                      <w:szCs w:val="21"/>
                      <w14:textFill>
                        <w14:solidFill>
                          <w14:schemeClr w14:val="tx1"/>
                        </w14:solidFill>
                      </w14:textFill>
                    </w:rPr>
                    <w:t>危险废物集中收集后，分区存放于危险废物贮存点，定期交由有危险废物处理资质的单位回收处理</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7.自治区级重点开采区内新建矿山必须符合国家、自治区、巴州产业政策和规划，达到国家、自治区有关矿山企业准入条件；矿山采矿规模不低于矿产资源规划确定的矿山最低开采规模，矿山占有矿石资源储量与矿山开采规模及矿山服务年限相匹配，具备与矿山开采规模相配套的人才、资金、技术和管理资质条件。禁止核准新建120万吨/年/矿井（不含）及400万吨/年/露天（不含）以下规模的煤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污染物排放管控</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1.强化畜禽粪污资源化利用，改善养殖场通风环境，提高畜禽粪污综合利用率，减少氨挥发排放。鼓励和支持散养密集区实行畜禽粪污分户收集、集中处理。</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2.严格控制林地、草地、园地农药使用量，禁止使用高毒、高残留农药。</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1"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4.对化学品生产企业、工业集聚区、尾矿库、矿山开采区、危险废物处置场、垃圾填埋场等地下水污染源及周边区域，逐步开展地下水环境状况调查评估，加强风险管控。</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本评价要求项目加强营运期环境风险防控</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0"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5.严控土壤重金属污染，加强油（气）田开发土壤污染防治，以历史遗留工业企业污染场地为重点，开展土壤污染风险管控与修复工程。</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3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2419" w:type="dxa"/>
                  <w:vAlign w:val="center"/>
                </w:tcPr>
                <w:p>
                  <w:pPr>
                    <w:adjustRightInd w:val="0"/>
                    <w:spacing w:line="240" w:lineRule="auto"/>
                    <w:ind w:firstLine="0" w:firstLineChars="0"/>
                    <w:textAlignment w:val="auto"/>
                    <w:rPr>
                      <w:rFonts w:cs="Times New Roman"/>
                      <w:sz w:val="21"/>
                    </w:rPr>
                  </w:pPr>
                  <w:r>
                    <w:rPr>
                      <w:rFonts w:cs="Times New Roman"/>
                      <w:sz w:val="21"/>
                    </w:rPr>
                    <w:t>本项目生活污水经化粪池处理后，定期由吸污车抽运至库尔勒市南市区污水处理厂处理。生活垃圾由垃圾桶收集后，环卫部门定期收集处置</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14"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7.矿山大气、水、水污染物排放应符合国家和自治区相关排放标准，对采矿伴生气、矿井水、选矿废水和尾矿水等应进行综合利用和无害化处理。严格实施“谁开发，谁保护”、“谁污染，谁治理”、“谁破坏，谁恢复”的原则，落实矿山环境保护和修复责任制。矿山在建设过程中，应严格执行“三同时”制度。新建矿山应对地质环境进行检测。矿山应编制矿山地质环境保护与土地复垦方案，落实矿山地质环境保护和恢复责任制。矿山企业应严格按照“节约减排”要求，采取有力措施，从源头上减少“三废”排放，并加强“三废”的综合利用回收。</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9"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环境风险防控</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1.加强对矿山、油田等矿产资源开采影响区域内未利用地的环境监管，发现土壤污染问题的，要坚决查处，并及时督促有关单位采取有效防治措施消除或减轻污染。</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9"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2.对排查出的危库和病库以及风险评估有严重环境安全隐患的尾矿库，要求企业完善污染治理设施、进行治理和修复。全面整治历史遗留尾矿库，完善覆膜、压土、排洪、堤坝加固等隐患治理和闭库措施。</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5"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3.依法推行农用地分类管理制度，强化受污染耕地安全利用和风险管控。因地制宜制定实施安全利用方案，鼓励采取种植结构调整等措施，确保受污染耕地全部实现安全利用。</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16"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推进实施矿山企业尾矿库地质灾害评估和评价制度。防范矿产资源开发活动对矿区土壤环境造成的污染，矿产资源开发企业防治环境污染和生态破坏的设施必须经原审批环评报告的环保部门验收合格后方可投入生产和使用。严格落实规划环评及其批复文件制定的环境风险防范措施。</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restart"/>
                  <w:vAlign w:val="center"/>
                </w:tcPr>
                <w:p>
                  <w:pPr>
                    <w:adjustRightInd w:val="0"/>
                    <w:spacing w:line="240" w:lineRule="auto"/>
                    <w:ind w:firstLine="0" w:firstLineChars="0"/>
                    <w:jc w:val="center"/>
                    <w:textAlignment w:val="auto"/>
                    <w:rPr>
                      <w:rFonts w:cs="Times New Roman"/>
                      <w:sz w:val="21"/>
                    </w:rPr>
                  </w:pPr>
                  <w:r>
                    <w:rPr>
                      <w:rFonts w:cs="Times New Roman"/>
                      <w:sz w:val="21"/>
                    </w:rPr>
                    <w:t>资源利用效率</w:t>
                  </w: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1.全面推进秸秆综合利用，鼓励秸秆资源化、饲料化、肥料化利用，推动秸秆还田与离田收集。</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2.减少化肥农药使用量，增加有机肥使用量，实现化肥农药使用量负增长。</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1"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3.推广渠道防渗、管道输水、喷灌、微灌等节水灌溉技术，完善灌溉用水计量设施。推进规模化高效节水灌溉，推广农作物节水抗旱技术。建立灌区墒情测报网络，提高农业用水效率，降低农业用水比重。</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3" w:hRule="atLeast"/>
                <w:jc w:val="center"/>
              </w:trPr>
              <w:tc>
                <w:tcPr>
                  <w:tcW w:w="607" w:type="dxa"/>
                  <w:vMerge w:val="continue"/>
                  <w:vAlign w:val="center"/>
                </w:tcPr>
                <w:p>
                  <w:pPr>
                    <w:adjustRightInd w:val="0"/>
                    <w:spacing w:line="240" w:lineRule="auto"/>
                    <w:ind w:firstLine="0" w:firstLineChars="0"/>
                    <w:jc w:val="center"/>
                    <w:textAlignment w:val="auto"/>
                    <w:rPr>
                      <w:rFonts w:cs="Times New Roman"/>
                      <w:sz w:val="21"/>
                    </w:rPr>
                  </w:pPr>
                </w:p>
              </w:tc>
              <w:tc>
                <w:tcPr>
                  <w:tcW w:w="484" w:type="dxa"/>
                  <w:vMerge w:val="continue"/>
                  <w:vAlign w:val="center"/>
                </w:tcPr>
                <w:p>
                  <w:pPr>
                    <w:adjustRightInd w:val="0"/>
                    <w:spacing w:line="240" w:lineRule="auto"/>
                    <w:ind w:firstLine="0" w:firstLineChars="0"/>
                    <w:jc w:val="center"/>
                    <w:textAlignment w:val="auto"/>
                    <w:rPr>
                      <w:rFonts w:cs="Times New Roman"/>
                      <w:sz w:val="21"/>
                    </w:rPr>
                  </w:pPr>
                </w:p>
              </w:tc>
              <w:tc>
                <w:tcPr>
                  <w:tcW w:w="4299" w:type="dxa"/>
                  <w:vAlign w:val="center"/>
                </w:tcPr>
                <w:p>
                  <w:pPr>
                    <w:adjustRightInd w:val="0"/>
                    <w:spacing w:line="240" w:lineRule="auto"/>
                    <w:ind w:firstLine="0" w:firstLineChars="0"/>
                    <w:textAlignment w:val="auto"/>
                    <w:rPr>
                      <w:rFonts w:cs="Times New Roman"/>
                      <w:sz w:val="21"/>
                    </w:rPr>
                  </w:pPr>
                  <w:r>
                    <w:rPr>
                      <w:rFonts w:cs="Times New Roman"/>
                      <w:sz w:val="21"/>
                    </w:rPr>
                    <w:t>4.矿产开采回采率、选矿回收率和综合利用率须达到《矿产资源综合利用技术指标及计算方法（DZ/T0272-2015）》标准界定的</w:t>
                  </w:r>
                  <w:r>
                    <w:rPr>
                      <w:rFonts w:hint="eastAsia" w:cs="Times New Roman"/>
                      <w:sz w:val="21"/>
                    </w:rPr>
                    <w:t>“</w:t>
                  </w:r>
                  <w:r>
                    <w:rPr>
                      <w:rFonts w:cs="Times New Roman"/>
                      <w:sz w:val="21"/>
                    </w:rPr>
                    <w:t>三率</w:t>
                  </w:r>
                  <w:r>
                    <w:rPr>
                      <w:rFonts w:hint="eastAsia" w:cs="Times New Roman"/>
                      <w:sz w:val="21"/>
                    </w:rPr>
                    <w:t>”</w:t>
                  </w:r>
                  <w:r>
                    <w:rPr>
                      <w:rFonts w:cs="Times New Roman"/>
                      <w:sz w:val="21"/>
                    </w:rPr>
                    <w:t>指标要求。加强矿山固体废弃物综合利用，向减量化、资源化和无公害化方向发展。</w:t>
                  </w:r>
                </w:p>
              </w:tc>
              <w:tc>
                <w:tcPr>
                  <w:tcW w:w="2419" w:type="dxa"/>
                  <w:vAlign w:val="center"/>
                </w:tcPr>
                <w:p>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bl>
          <w:p>
            <w:pPr>
              <w:autoSpaceDE w:val="0"/>
              <w:autoSpaceDN w:val="0"/>
              <w:adjustRightInd w:val="0"/>
              <w:snapToGrid w:val="0"/>
              <w:ind w:firstLine="480"/>
              <w:rPr>
                <w:szCs w:val="21"/>
              </w:rPr>
            </w:pPr>
            <w:r>
              <w:rPr>
                <w:rFonts w:hint="eastAsia"/>
                <w:szCs w:val="21"/>
              </w:rPr>
              <w:t>综上所述，本项目符合《关于印发巴音郭楞蒙古自治州生态环境分区管控动态更新成果（2023年）的通知》（巴政办发〔2024〕32号）、所在管控单元“</w:t>
            </w:r>
            <w:r>
              <w:rPr>
                <w:rFonts w:hint="eastAsia" w:hAnsi="宋体" w:cs="宋体"/>
                <w:kern w:val="0"/>
              </w:rPr>
              <w:t>库尔勒市一般管控单元</w:t>
            </w:r>
            <w:r>
              <w:rPr>
                <w:rFonts w:hint="eastAsia"/>
                <w:szCs w:val="21"/>
              </w:rPr>
              <w:t>”管控要求。</w:t>
            </w:r>
          </w:p>
          <w:p>
            <w:pPr>
              <w:spacing w:line="240" w:lineRule="auto"/>
              <w:ind w:firstLine="198" w:firstLineChars="82"/>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5.废旧塑料回收行业规范性文件符合性分析</w:t>
            </w:r>
          </w:p>
          <w:p>
            <w:pPr>
              <w:adjustRightInd w:val="0"/>
              <w:snapToGrid w:val="0"/>
              <w:spacing w:before="240" w:line="240" w:lineRule="auto"/>
              <w:ind w:firstLine="0" w:firstLineChars="0"/>
              <w:jc w:val="center"/>
              <w:textAlignment w:val="auto"/>
              <w:rPr>
                <w:rFonts w:cs="Times New Roman"/>
                <w:b/>
                <w:sz w:val="21"/>
                <w:szCs w:val="21"/>
              </w:rPr>
            </w:pPr>
            <w:r>
              <w:rPr>
                <w:rFonts w:cs="Times New Roman"/>
                <w:b/>
                <w:sz w:val="21"/>
                <w:szCs w:val="21"/>
              </w:rPr>
              <w:t xml:space="preserve">表1-7  </w:t>
            </w:r>
            <w:r>
              <w:rPr>
                <w:rFonts w:hint="eastAsia" w:cs="Times New Roman"/>
                <w:b/>
                <w:sz w:val="21"/>
                <w:szCs w:val="21"/>
              </w:rPr>
              <w:t>废旧塑料回收行业</w:t>
            </w:r>
            <w:r>
              <w:rPr>
                <w:rFonts w:cs="Times New Roman"/>
                <w:b/>
                <w:sz w:val="21"/>
                <w:szCs w:val="21"/>
              </w:rPr>
              <w:t>规范性文件符合性分析</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514"/>
              <w:gridCol w:w="4278"/>
              <w:gridCol w:w="2499"/>
              <w:gridCol w:w="1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tblHeader/>
                <w:jc w:val="center"/>
              </w:trPr>
              <w:tc>
                <w:tcPr>
                  <w:tcW w:w="308"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w:t>
                  </w:r>
                </w:p>
              </w:tc>
              <w:tc>
                <w:tcPr>
                  <w:tcW w:w="2561"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规范要求</w:t>
                  </w:r>
                </w:p>
              </w:tc>
              <w:tc>
                <w:tcPr>
                  <w:tcW w:w="1496"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项目建设条件</w:t>
                  </w:r>
                </w:p>
              </w:tc>
              <w:tc>
                <w:tcPr>
                  <w:tcW w:w="635"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30"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w:t>
                  </w:r>
                  <w:r>
                    <w:rPr>
                      <w:rFonts w:hint="eastAsia" w:cs="Times New Roman"/>
                      <w:b/>
                      <w:bCs/>
                      <w:sz w:val="21"/>
                      <w:szCs w:val="24"/>
                    </w:rPr>
                    <w:t>工业和信息化部公告2015年第81号《废塑料综合利用行业规范条件》及《废塑料综合利用行业规范条件公告管理暂行办法》</w:t>
                  </w:r>
                  <w:r>
                    <w:rPr>
                      <w:rFonts w:cs="Times New Roman"/>
                      <w:b/>
                      <w:bCs/>
                      <w:sz w:val="21"/>
                      <w:szCs w:val="24"/>
                    </w:rPr>
                    <w:t>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55"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企业的设立和布局</w:t>
                  </w:r>
                </w:p>
              </w:tc>
              <w:tc>
                <w:tcPr>
                  <w:tcW w:w="2561" w:type="pct"/>
                  <w:shd w:val="clear" w:color="auto" w:fill="auto"/>
                  <w:vAlign w:val="center"/>
                </w:tcPr>
                <w:p>
                  <w:pPr>
                    <w:pStyle w:val="33"/>
                    <w:rPr>
                      <w:rFonts w:cs="Times New Roman"/>
                      <w:szCs w:val="24"/>
                    </w:rPr>
                  </w:pPr>
                  <w:r>
                    <w:rPr>
                      <w:rFonts w:hint="eastAsia" w:cs="Times New Roman"/>
                      <w:szCs w:val="24"/>
                    </w:rPr>
                    <w:t>废塑料综合利用企业是指采用物理机械法对热塑性废塑料进行再生加工的企业，企业类型主要包括PET再生瓶片类企业、废塑料破碎清洗分选类企业以及塑料再生造粒类企业</w:t>
                  </w:r>
                </w:p>
              </w:tc>
              <w:tc>
                <w:tcPr>
                  <w:tcW w:w="1496" w:type="pct"/>
                  <w:vMerge w:val="restart"/>
                  <w:shd w:val="clear" w:color="auto" w:fill="auto"/>
                  <w:vAlign w:val="center"/>
                </w:tcPr>
                <w:p>
                  <w:pPr>
                    <w:pStyle w:val="33"/>
                    <w:jc w:val="both"/>
                    <w:rPr>
                      <w:rFonts w:cs="Times New Roman"/>
                      <w:szCs w:val="24"/>
                    </w:rPr>
                  </w:pPr>
                  <w:r>
                    <w:rPr>
                      <w:rFonts w:hint="eastAsia" w:cs="Times New Roman"/>
                      <w:szCs w:val="24"/>
                    </w:rPr>
                    <w:t>1.本项目回收废旧PP、PE塑料，对废旧塑料进行破碎清洗。不涉及危险化学品、农药等污染的废弃塑料包装物、废弃一次性医疗用塑料制品等塑料类危险废物，以及氟塑料等特种工程塑料</w:t>
                  </w:r>
                </w:p>
                <w:p>
                  <w:pPr>
                    <w:pStyle w:val="33"/>
                    <w:rPr>
                      <w:rFonts w:cs="Times New Roman"/>
                      <w:szCs w:val="24"/>
                    </w:rPr>
                  </w:pPr>
                  <w:r>
                    <w:rPr>
                      <w:rFonts w:hint="eastAsia" w:cs="Times New Roman"/>
                      <w:szCs w:val="24"/>
                    </w:rPr>
                    <w:t>2.本项目租赁现有厂区，未新增用地，不涉及大规模开发</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废塑料综合利用企业所涉及的热塑性废塑料原料，不包括受到危险化学品、农药等污染的废弃塑料包装物、废弃一次性医疗用塑料制品等塑料类危险废物，以及氟塑料等特种工程塑料</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新建及改造、扩建废塑料加工企业应符合国家产业政策及所在地区土地利用总体规划、城乡建设规划、环境保护、污染防治规划。企业建设应有规范化设计要求，采用节能环保技术及生产装备</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p>
              </w:tc>
              <w:tc>
                <w:tcPr>
                  <w:tcW w:w="2561" w:type="pct"/>
                  <w:shd w:val="clear" w:color="auto" w:fill="auto"/>
                  <w:vAlign w:val="center"/>
                </w:tcPr>
                <w:p>
                  <w:pPr>
                    <w:pStyle w:val="33"/>
                    <w:rPr>
                      <w:rFonts w:cs="Times New Roman"/>
                      <w:szCs w:val="24"/>
                    </w:rPr>
                  </w:pPr>
                  <w:r>
                    <w:rPr>
                      <w:rFonts w:hint="eastAsia" w:cs="Times New Roman"/>
                      <w:szCs w:val="24"/>
                    </w:rP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生产经营规模</w:t>
                  </w:r>
                </w:p>
              </w:tc>
              <w:tc>
                <w:tcPr>
                  <w:tcW w:w="2561" w:type="pct"/>
                  <w:shd w:val="clear" w:color="auto" w:fill="auto"/>
                  <w:vAlign w:val="center"/>
                </w:tcPr>
                <w:p>
                  <w:pPr>
                    <w:pStyle w:val="33"/>
                    <w:rPr>
                      <w:rFonts w:cs="Times New Roman"/>
                      <w:szCs w:val="24"/>
                    </w:rPr>
                  </w:pPr>
                  <w:r>
                    <w:rPr>
                      <w:rFonts w:hint="eastAsia" w:cs="Times New Roman"/>
                      <w:szCs w:val="24"/>
                    </w:rPr>
                    <w:t>废塑料破碎、清洗、分选类企业：新建企业年废塑料处理能力不低于30000吨；已建企业年废塑料处理能力不低于20000吨</w:t>
                  </w:r>
                </w:p>
              </w:tc>
              <w:tc>
                <w:tcPr>
                  <w:tcW w:w="1496" w:type="pct"/>
                  <w:shd w:val="clear" w:color="auto" w:fill="auto"/>
                  <w:vAlign w:val="center"/>
                </w:tcPr>
                <w:p>
                  <w:pPr>
                    <w:pStyle w:val="33"/>
                    <w:rPr>
                      <w:rFonts w:cs="Times New Roman"/>
                      <w:szCs w:val="24"/>
                    </w:rPr>
                  </w:pPr>
                  <w:r>
                    <w:rPr>
                      <w:rFonts w:hint="eastAsia" w:cs="Times New Roman"/>
                      <w:szCs w:val="24"/>
                    </w:rPr>
                    <w:t>本项目废塑料年处理能力为30</w:t>
                  </w:r>
                  <w:r>
                    <w:rPr>
                      <w:rFonts w:cs="Times New Roman"/>
                      <w:szCs w:val="24"/>
                    </w:rPr>
                    <w:t>000</w:t>
                  </w:r>
                  <w:r>
                    <w:rPr>
                      <w:rFonts w:hint="eastAsia" w:cs="Times New Roman"/>
                      <w:szCs w:val="24"/>
                    </w:rPr>
                    <w:t>吨，全部通过湿法破碎+清洗工艺实现资源化综合利用</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资源综合利用及能耗</w:t>
                  </w:r>
                </w:p>
              </w:tc>
              <w:tc>
                <w:tcPr>
                  <w:tcW w:w="2561" w:type="pct"/>
                  <w:shd w:val="clear" w:color="auto" w:fill="auto"/>
                  <w:vAlign w:val="center"/>
                </w:tcPr>
                <w:p>
                  <w:pPr>
                    <w:pStyle w:val="33"/>
                    <w:rPr>
                      <w:rFonts w:cs="Times New Roman"/>
                      <w:szCs w:val="24"/>
                    </w:rPr>
                  </w:pPr>
                  <w:r>
                    <w:rPr>
                      <w:rFonts w:hint="eastAsia" w:cs="Times New Roman"/>
                      <w:szCs w:val="24"/>
                    </w:rPr>
                    <w:t>企业应对收集的废塑料进行充分利用，提高资源回收利用效率，不得倾倒、焚烧与填埋</w:t>
                  </w:r>
                </w:p>
              </w:tc>
              <w:tc>
                <w:tcPr>
                  <w:tcW w:w="1496" w:type="pct"/>
                  <w:vMerge w:val="restart"/>
                  <w:shd w:val="clear" w:color="auto" w:fill="auto"/>
                  <w:vAlign w:val="center"/>
                </w:tcPr>
                <w:p>
                  <w:pPr>
                    <w:pStyle w:val="33"/>
                    <w:jc w:val="both"/>
                    <w:rPr>
                      <w:rFonts w:cs="Times New Roman"/>
                      <w:szCs w:val="24"/>
                    </w:rPr>
                  </w:pPr>
                  <w:r>
                    <w:rPr>
                      <w:rFonts w:hint="eastAsia" w:cs="Times New Roman"/>
                      <w:szCs w:val="24"/>
                    </w:rPr>
                    <w:t>1.</w:t>
                  </w:r>
                  <w:r>
                    <w:rPr>
                      <w:rFonts w:cs="Times New Roman"/>
                      <w:szCs w:val="24"/>
                    </w:rPr>
                    <w:t>本项目不倾倒、焚烧与填埋废塑料</w:t>
                  </w:r>
                </w:p>
                <w:p>
                  <w:pPr>
                    <w:pStyle w:val="33"/>
                    <w:jc w:val="both"/>
                    <w:rPr>
                      <w:rFonts w:cs="Times New Roman"/>
                      <w:szCs w:val="24"/>
                    </w:rPr>
                  </w:pPr>
                  <w:r>
                    <w:rPr>
                      <w:rFonts w:hint="eastAsia" w:cs="Times New Roman"/>
                      <w:szCs w:val="24"/>
                    </w:rPr>
                    <w:t>2.</w:t>
                  </w:r>
                  <w:r>
                    <w:rPr>
                      <w:rFonts w:cs="Times New Roman"/>
                      <w:szCs w:val="24"/>
                    </w:rPr>
                    <w:t>本项目主要从事废塑料的分拣、破碎与清洗，不涉及熔融造粒等高能耗工艺环节。项目年用电量为10万kWh，处理能力为3万吨/年，单位产品综合电耗为3.33kWh/吨废塑料，低于《废塑料综合利用行业规范条件》中“综合电耗低于500kWh/吨”的要求；年耗新鲜水</w:t>
                  </w:r>
                  <w:r>
                    <w:rPr>
                      <w:rFonts w:cs="Times New Roman"/>
                    </w:rPr>
                    <w:t>3358.56</w:t>
                  </w:r>
                  <w:r>
                    <w:rPr>
                      <w:rFonts w:cs="Times New Roman"/>
                      <w:szCs w:val="24"/>
                    </w:rPr>
                    <w:t>m³，处理规模为3万吨/年，单位产品新水消耗为0.11m³/吨废塑料，优于规范中“≤1.5m³/吨”的新水消耗限值要求。此外，通过强化分选清洗与废水回用措施，项目可实现较高的资源回收率和废水回用率，整体资源能源利用效率处于行业先进水平，符合绿色低碳与循环经济的发展导向</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塑料再生加工相关生产环节的综合电耗低于500千瓦时/吨废塑料</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PET再生瓶片类企业与废塑料破碎、清洗、分选企业的综合新水消耗低于1.5吨/吨废塑料；塑料再生造粒类企业的综合新水消耗低于0.2吨/吨废塑料</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其他生产单耗需满足国家相关标准</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2"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工艺与装备</w:t>
                  </w:r>
                </w:p>
              </w:tc>
              <w:tc>
                <w:tcPr>
                  <w:tcW w:w="2561" w:type="pct"/>
                  <w:shd w:val="clear" w:color="auto" w:fill="auto"/>
                  <w:vAlign w:val="center"/>
                </w:tcPr>
                <w:p>
                  <w:pPr>
                    <w:pStyle w:val="33"/>
                    <w:rPr>
                      <w:rFonts w:cs="Times New Roman"/>
                      <w:szCs w:val="24"/>
                    </w:rPr>
                  </w:pPr>
                  <w:r>
                    <w:rPr>
                      <w:rFonts w:hint="eastAsia" w:cs="Times New Roman"/>
                      <w:szCs w:val="24"/>
                    </w:rPr>
                    <w:t>新建及改造、扩建废塑料综合利用企业应采用先进技术、工艺和装备，提高废塑料再生加工过程的自动化水平</w:t>
                  </w:r>
                </w:p>
              </w:tc>
              <w:tc>
                <w:tcPr>
                  <w:tcW w:w="1496" w:type="pct"/>
                  <w:vMerge w:val="restart"/>
                  <w:shd w:val="clear" w:color="auto" w:fill="auto"/>
                  <w:vAlign w:val="center"/>
                </w:tcPr>
                <w:p>
                  <w:pPr>
                    <w:pStyle w:val="33"/>
                    <w:jc w:val="both"/>
                    <w:rPr>
                      <w:rFonts w:cs="Times New Roman"/>
                      <w:szCs w:val="24"/>
                    </w:rPr>
                  </w:pPr>
                  <w:r>
                    <w:rPr>
                      <w:rFonts w:hint="eastAsia" w:cs="Times New Roman"/>
                      <w:szCs w:val="24"/>
                    </w:rPr>
                    <w:t>本项目属于废塑料回收加工类项目，主要工艺包括破碎、清洗和分选。通过采购破碎机、空分机、甩干机等设备，实现自动化生产。其中，破碎工序采用湿法作业，有效抑制粉尘产生；清洗用水经沉淀池处理后循环使用，不外排，符合节水及污染防治要求</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68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4"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鼓励废塑料综合利用企业研发和使用生产效率高、工艺技术先进、能耗物耗低的加工生产系统</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环境保护</w:t>
                  </w:r>
                </w:p>
              </w:tc>
              <w:tc>
                <w:tcPr>
                  <w:tcW w:w="2561" w:type="pct"/>
                  <w:shd w:val="clear" w:color="auto" w:fill="auto"/>
                  <w:vAlign w:val="center"/>
                </w:tcPr>
                <w:p>
                  <w:pPr>
                    <w:pStyle w:val="33"/>
                    <w:rPr>
                      <w:rFonts w:cs="Times New Roman"/>
                      <w:szCs w:val="24"/>
                    </w:rPr>
                  </w:pPr>
                  <w:r>
                    <w:rPr>
                      <w:rFonts w:hint="eastAsia" w:cs="Times New Roman"/>
                      <w:szCs w:val="24"/>
                    </w:rPr>
                    <w:t>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tc>
              <w:tc>
                <w:tcPr>
                  <w:tcW w:w="1496" w:type="pct"/>
                  <w:shd w:val="clear" w:color="auto" w:fill="auto"/>
                  <w:vAlign w:val="center"/>
                </w:tcPr>
                <w:p>
                  <w:pPr>
                    <w:pStyle w:val="33"/>
                    <w:rPr>
                      <w:rFonts w:cs="Times New Roman"/>
                      <w:szCs w:val="24"/>
                    </w:rPr>
                  </w:pPr>
                  <w:r>
                    <w:rPr>
                      <w:rFonts w:hint="eastAsia" w:cs="Times New Roman"/>
                      <w:szCs w:val="24"/>
                    </w:rPr>
                    <w:t>本项目严格按照《中华人民共和国环境影响评价法》报批环评文件，执行三同时制度，项目后续及时编制环境风险应急预案</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企业加工存储场地应建有围墙，在园区内的企业可为单独厂房，地面全部硬化且无明显破损现象</w:t>
                  </w:r>
                </w:p>
              </w:tc>
              <w:tc>
                <w:tcPr>
                  <w:tcW w:w="1496" w:type="pct"/>
                  <w:shd w:val="clear" w:color="auto" w:fill="auto"/>
                  <w:vAlign w:val="center"/>
                </w:tcPr>
                <w:p>
                  <w:pPr>
                    <w:pStyle w:val="33"/>
                    <w:rPr>
                      <w:rFonts w:cs="Times New Roman"/>
                      <w:szCs w:val="24"/>
                    </w:rPr>
                  </w:pPr>
                  <w:r>
                    <w:rPr>
                      <w:rFonts w:hint="eastAsia" w:cs="Times New Roman"/>
                      <w:szCs w:val="24"/>
                    </w:rPr>
                    <w:t>本项目加工存储场地四周设有围墙，地面全部采取硬化措施，确保无破损现象</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tc>
              <w:tc>
                <w:tcPr>
                  <w:tcW w:w="1496" w:type="pct"/>
                  <w:shd w:val="clear" w:color="auto" w:fill="auto"/>
                  <w:vAlign w:val="center"/>
                </w:tcPr>
                <w:p>
                  <w:pPr>
                    <w:pStyle w:val="33"/>
                    <w:jc w:val="both"/>
                    <w:rPr>
                      <w:rFonts w:cs="Times New Roman"/>
                      <w:szCs w:val="24"/>
                    </w:rPr>
                  </w:pPr>
                  <w:r>
                    <w:rPr>
                      <w:rFonts w:hint="eastAsia" w:cs="Times New Roman"/>
                      <w:szCs w:val="24"/>
                    </w:rPr>
                    <w:t>企业在厂区内设置了专用原料堆场、产品堆放区及固体废物暂存间，对原料、产成品、本企业无法利用的废塑料以及不可回用的固体废物实行分类分区存放，杜绝混堆现象，确保物料管理规范化。原料主要来源于生活源回收物，包括儿童玩具、盆子等大型塑料制品。所有原料在堆场内采用篷布进行全覆盖，有效防风抑尘；产品使用集装袋包装，袋口封闭良好，整齐堆放于指定区域，防止二次污染。对于本企业无法资源化利用的废塑料及其他不可利用固体废物，均集中暂存在封闭暂存间内，做到防雨、防渗、防流失</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企业对收集的废塑料中的金属、橡胶、纤维、渣土、油脂、添加物等夹杂物，应采取相应的处理措施。如企业不具备处理条件，应委托其他具有处理能力的企业处理，不得擅自丢弃、倾倒、焚烧与填埋</w:t>
                  </w:r>
                </w:p>
              </w:tc>
              <w:tc>
                <w:tcPr>
                  <w:tcW w:w="1496" w:type="pct"/>
                  <w:shd w:val="clear" w:color="auto" w:fill="auto"/>
                  <w:vAlign w:val="center"/>
                </w:tcPr>
                <w:p>
                  <w:pPr>
                    <w:pStyle w:val="33"/>
                    <w:rPr>
                      <w:rFonts w:cs="Times New Roman"/>
                      <w:szCs w:val="24"/>
                    </w:rPr>
                  </w:pPr>
                  <w:r>
                    <w:rPr>
                      <w:rFonts w:hint="eastAsia" w:cs="Times New Roman"/>
                      <w:szCs w:val="24"/>
                    </w:rPr>
                    <w:t>企业对产生的分拣废料等均进行妥善处理</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tc>
              <w:tc>
                <w:tcPr>
                  <w:tcW w:w="1496" w:type="pct"/>
                  <w:shd w:val="clear" w:color="auto" w:fill="auto"/>
                  <w:vAlign w:val="center"/>
                </w:tcPr>
                <w:p>
                  <w:pPr>
                    <w:pStyle w:val="33"/>
                    <w:rPr>
                      <w:rFonts w:cs="Times New Roman"/>
                      <w:szCs w:val="24"/>
                    </w:rPr>
                  </w:pPr>
                  <w:r>
                    <w:rPr>
                      <w:rFonts w:hint="eastAsia" w:cs="Times New Roman"/>
                      <w:szCs w:val="24"/>
                    </w:rPr>
                    <w:t>项目生产废水均处理后回用于生产，不外排</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再生加工过程中产生废气、粉尘的加工车间应设置废气、粉尘收集处理设施，通过净化处理，达标后排放</w:t>
                  </w:r>
                </w:p>
              </w:tc>
              <w:tc>
                <w:tcPr>
                  <w:tcW w:w="1496" w:type="pct"/>
                  <w:shd w:val="clear" w:color="auto" w:fill="auto"/>
                  <w:vAlign w:val="center"/>
                </w:tcPr>
                <w:p>
                  <w:pPr>
                    <w:pStyle w:val="33"/>
                    <w:rPr>
                      <w:rFonts w:cs="Times New Roman"/>
                      <w:szCs w:val="24"/>
                    </w:rPr>
                  </w:pPr>
                  <w:r>
                    <w:rPr>
                      <w:rFonts w:hint="eastAsia" w:cs="Times New Roman"/>
                      <w:szCs w:val="21"/>
                    </w:rPr>
                    <w:t>破碎工序采用湿法破碎工艺，在密闭厂房内进行</w:t>
                  </w:r>
                  <w:r>
                    <w:rPr>
                      <w:rFonts w:hint="eastAsia" w:cs="Times New Roman"/>
                      <w:szCs w:val="24"/>
                    </w:rPr>
                    <w:t>，有效抑制粉尘的产生与逸散</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对于加工过程中噪音污染大的设备，必须采取降噪和隔音措施，企业噪声应达到《工业企业厂界环境噪声排放标准》</w:t>
                  </w:r>
                </w:p>
              </w:tc>
              <w:tc>
                <w:tcPr>
                  <w:tcW w:w="1496" w:type="pct"/>
                  <w:shd w:val="clear" w:color="auto" w:fill="auto"/>
                  <w:vAlign w:val="center"/>
                </w:tcPr>
                <w:p>
                  <w:pPr>
                    <w:pStyle w:val="33"/>
                    <w:rPr>
                      <w:rFonts w:cs="Times New Roman"/>
                      <w:szCs w:val="24"/>
                    </w:rPr>
                  </w:pPr>
                  <w:r>
                    <w:rPr>
                      <w:rFonts w:hint="eastAsia" w:cs="Times New Roman"/>
                      <w:szCs w:val="24"/>
                    </w:rPr>
                    <w:t>项目选用低噪声设备，建设后噪声满足《工业企业厂界环境噪声排放标准》</w:t>
                  </w:r>
                  <w:r>
                    <w:rPr>
                      <w:rFonts w:cs="Times New Roman"/>
                      <w:szCs w:val="24"/>
                    </w:rPr>
                    <w:t>2</w:t>
                  </w:r>
                  <w:r>
                    <w:rPr>
                      <w:rFonts w:hint="eastAsia" w:cs="Times New Roman"/>
                      <w:szCs w:val="24"/>
                    </w:rPr>
                    <w:t>类标准</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8"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与《废塑料加工利用污染防治管理规定》符合性分析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原料要求</w:t>
                  </w:r>
                </w:p>
              </w:tc>
              <w:tc>
                <w:tcPr>
                  <w:tcW w:w="2561" w:type="pct"/>
                  <w:shd w:val="clear" w:color="auto" w:fill="auto"/>
                  <w:vAlign w:val="center"/>
                </w:tcPr>
                <w:p>
                  <w:pPr>
                    <w:pStyle w:val="33"/>
                    <w:rPr>
                      <w:rFonts w:cs="Times New Roman"/>
                      <w:szCs w:val="24"/>
                    </w:rPr>
                  </w:pPr>
                  <w:r>
                    <w:rPr>
                      <w:rFonts w:cs="Times New Roman"/>
                      <w:szCs w:val="24"/>
                    </w:rPr>
                    <w:t>禁止在居民区加工利用废塑料。禁止利用废塑料生产厚度小于0.025mm的超薄塑料购物袋和厚度小于0.015mm超薄塑料袋。禁止利用废塑料生产食品用塑料袋。禁止无危险废物经营许可证从事废塑料类危险废物的回收利用活动，包括被危险化学品、农药等污染的废弃塑料包装物，废弃的一次性医疗用塑料制品（如输液器、血袋）等</w:t>
                  </w:r>
                </w:p>
              </w:tc>
              <w:tc>
                <w:tcPr>
                  <w:tcW w:w="1496" w:type="pct"/>
                  <w:shd w:val="clear" w:color="auto" w:fill="auto"/>
                  <w:vAlign w:val="center"/>
                </w:tcPr>
                <w:p>
                  <w:pPr>
                    <w:pStyle w:val="33"/>
                    <w:rPr>
                      <w:rFonts w:cs="Times New Roman"/>
                      <w:szCs w:val="24"/>
                    </w:rPr>
                  </w:pPr>
                  <w:r>
                    <w:rPr>
                      <w:rFonts w:cs="Times New Roman"/>
                      <w:szCs w:val="24"/>
                    </w:rPr>
                    <w:t>本项目位于库尔勒市哈拉玉宫镇废旧物资回收加工产业园，不包含被危险化学品、农药等污染的废弃塑料包装物，废弃的一次性医药用塑料制品（如输液器、血袋）等</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cs="Times New Roman"/>
                      <w:szCs w:val="24"/>
                    </w:rPr>
                    <w:t>进口废塑料加工利用企业应当符合《固体废物进口管理办法》以及</w:t>
                  </w:r>
                  <w:r>
                    <w:rPr>
                      <w:rFonts w:ascii="Helvetica" w:hAnsi="Helvetica"/>
                      <w:color w:val="111111"/>
                      <w:shd w:val="clear" w:color="auto" w:fill="FFFFFF"/>
                    </w:rPr>
                    <w:t>生态环境部</w:t>
                  </w:r>
                  <w:r>
                    <w:rPr>
                      <w:rFonts w:cs="Times New Roman"/>
                      <w:szCs w:val="24"/>
                    </w:rPr>
                    <w:t>关于进口可用作原料的固体废物和废塑料环境保护管理相关规定</w:t>
                  </w:r>
                </w:p>
              </w:tc>
              <w:tc>
                <w:tcPr>
                  <w:tcW w:w="1496" w:type="pct"/>
                  <w:shd w:val="clear" w:color="auto" w:fill="auto"/>
                  <w:vAlign w:val="center"/>
                </w:tcPr>
                <w:p>
                  <w:pPr>
                    <w:pStyle w:val="33"/>
                    <w:rPr>
                      <w:rFonts w:cs="Times New Roman"/>
                      <w:szCs w:val="24"/>
                    </w:rPr>
                  </w:pPr>
                  <w:r>
                    <w:rPr>
                      <w:rFonts w:cs="Times New Roman"/>
                      <w:szCs w:val="24"/>
                    </w:rPr>
                    <w:t>本项目原料来源于本地废品回收站生活类废旧塑料制品，不含进口废塑料</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61"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环保要求</w:t>
                  </w:r>
                </w:p>
              </w:tc>
              <w:tc>
                <w:tcPr>
                  <w:tcW w:w="2561" w:type="pct"/>
                  <w:shd w:val="clear" w:color="auto" w:fill="auto"/>
                  <w:vAlign w:val="center"/>
                </w:tcPr>
                <w:p>
                  <w:pPr>
                    <w:pStyle w:val="33"/>
                    <w:rPr>
                      <w:rFonts w:cs="Times New Roman"/>
                      <w:szCs w:val="24"/>
                    </w:rPr>
                  </w:pPr>
                  <w:r>
                    <w:rPr>
                      <w:rFonts w:hint="eastAsia" w:cs="Times New Roman"/>
                      <w:szCs w:val="24"/>
                    </w:rPr>
                    <w:t>无符合环保要求污水治理设施的，禁止从事废编织袋造粒、缸脚料淘洗、废塑料退镀（涂）、盐卤分拣等加工活动</w:t>
                  </w:r>
                </w:p>
              </w:tc>
              <w:tc>
                <w:tcPr>
                  <w:tcW w:w="1496" w:type="pct"/>
                  <w:shd w:val="clear" w:color="auto" w:fill="auto"/>
                  <w:vAlign w:val="center"/>
                </w:tcPr>
                <w:p>
                  <w:pPr>
                    <w:pStyle w:val="33"/>
                    <w:rPr>
                      <w:rFonts w:cs="Times New Roman"/>
                      <w:szCs w:val="24"/>
                    </w:rPr>
                  </w:pPr>
                  <w:r>
                    <w:rPr>
                      <w:rFonts w:hint="eastAsia" w:cs="Times New Roman"/>
                      <w:szCs w:val="24"/>
                    </w:rPr>
                    <w:t>本项目属于废塑料回收加工类项目，主要工艺包括破碎、清洗和分选。通过采购破碎机、空分机、</w:t>
                  </w:r>
                  <w:r>
                    <w:rPr>
                      <w:rFonts w:hint="eastAsia" w:cs="Times New Roman"/>
                      <w:szCs w:val="21"/>
                    </w:rPr>
                    <w:t>甩干机、</w:t>
                  </w:r>
                  <w:r>
                    <w:rPr>
                      <w:rFonts w:hint="eastAsia" w:cs="Times New Roman"/>
                      <w:szCs w:val="24"/>
                    </w:rPr>
                    <w:t>色选机等设备，实现自动化生产。其中，</w:t>
                  </w:r>
                  <w:r>
                    <w:rPr>
                      <w:rFonts w:hint="eastAsia" w:cs="Times New Roman"/>
                      <w:szCs w:val="21"/>
                    </w:rPr>
                    <w:t>破碎工序采用湿法破碎工艺，在密闭厂房内进行</w:t>
                  </w:r>
                  <w:r>
                    <w:rPr>
                      <w:rFonts w:hint="eastAsia" w:cs="Times New Roman"/>
                      <w:szCs w:val="24"/>
                    </w:rPr>
                    <w:t>，有效抑制粉尘产生；清洗用水经沉淀处理后循环使用，不外排，符合节水及污染防治要求</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vAlign w:val="center"/>
                </w:tcPr>
                <w:p>
                  <w:pPr>
                    <w:pStyle w:val="33"/>
                    <w:rPr>
                      <w:rFonts w:cs="Times New Roman"/>
                      <w:szCs w:val="24"/>
                    </w:rPr>
                  </w:pPr>
                  <w:r>
                    <w:rPr>
                      <w:rFonts w:hint="eastAsia" w:cs="Times New Roman"/>
                      <w:szCs w:val="24"/>
                    </w:rPr>
                    <w:t>废塑料加工利用单位应当以环境无害化方式处理废塑料加工利用过程产生的残余垃圾、滤网；禁止交不符合环保要求的单位或个人处置。禁止露天焚烧废塑料及加工利用过程产生的残余垃圾、滤网</w:t>
                  </w:r>
                </w:p>
              </w:tc>
              <w:tc>
                <w:tcPr>
                  <w:tcW w:w="1496" w:type="pct"/>
                  <w:shd w:val="clear" w:color="auto" w:fill="auto"/>
                  <w:vAlign w:val="center"/>
                </w:tcPr>
                <w:p>
                  <w:pPr>
                    <w:pStyle w:val="33"/>
                    <w:rPr>
                      <w:rFonts w:cs="Times New Roman"/>
                      <w:szCs w:val="24"/>
                    </w:rPr>
                  </w:pPr>
                  <w:r>
                    <w:rPr>
                      <w:rFonts w:hint="eastAsia" w:cs="Times New Roman"/>
                      <w:szCs w:val="24"/>
                    </w:rPr>
                    <w:t>项目产生的固体废物均得到有效处置</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0"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与《禁止进口固体废物目录》符合性分析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pStyle w:val="33"/>
                    <w:rPr>
                      <w:rFonts w:cs="Times New Roman"/>
                      <w:szCs w:val="24"/>
                    </w:rPr>
                  </w:pPr>
                  <w:r>
                    <w:rPr>
                      <w:rFonts w:hint="eastAsia" w:cs="Times New Roman"/>
                      <w:szCs w:val="24"/>
                    </w:rPr>
                    <w:t>禁止进口固废种类</w:t>
                  </w:r>
                </w:p>
              </w:tc>
              <w:tc>
                <w:tcPr>
                  <w:tcW w:w="2561" w:type="pct"/>
                  <w:shd w:val="clear" w:color="auto" w:fill="auto"/>
                  <w:vAlign w:val="center"/>
                </w:tcPr>
                <w:p>
                  <w:pPr>
                    <w:pStyle w:val="33"/>
                    <w:rPr>
                      <w:rFonts w:cs="Times New Roman"/>
                      <w:szCs w:val="24"/>
                    </w:rPr>
                  </w:pPr>
                  <w:r>
                    <w:rPr>
                      <w:rFonts w:hint="eastAsia" w:cs="Times New Roman"/>
                      <w:szCs w:val="24"/>
                    </w:rPr>
                    <w:t>乙烯聚合物的废碎料及下脚料、苯乙烯聚合物的废碎料及下脚料、氯乙烯聚合物的废碎料及下脚料、聚对苯二甲酸乙二酯废碎料及下脚料、其他塑料的废碎料及下脚料（不包括废光盘破碎料下脚料、废PET饮料瓶砖下脚料、不包括铝塑复合膜下脚料）</w:t>
                  </w:r>
                </w:p>
              </w:tc>
              <w:tc>
                <w:tcPr>
                  <w:tcW w:w="1496" w:type="pct"/>
                  <w:shd w:val="clear" w:color="auto" w:fill="auto"/>
                  <w:vAlign w:val="center"/>
                </w:tcPr>
                <w:p>
                  <w:pPr>
                    <w:pStyle w:val="33"/>
                    <w:rPr>
                      <w:rFonts w:cs="Times New Roman"/>
                      <w:szCs w:val="24"/>
                    </w:rPr>
                  </w:pPr>
                  <w:r>
                    <w:rPr>
                      <w:rFonts w:hint="eastAsia" w:cs="Times New Roman"/>
                      <w:szCs w:val="24"/>
                    </w:rPr>
                    <w:t>项目原料均为日用品废旧塑料，不涉及进口废塑料</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8"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sz w:val="21"/>
                      <w:szCs w:val="24"/>
                    </w:rPr>
                  </w:pPr>
                  <w:r>
                    <w:rPr>
                      <w:rFonts w:hint="eastAsia" w:cs="Times New Roman"/>
                      <w:b/>
                      <w:bCs/>
                      <w:sz w:val="21"/>
                      <w:szCs w:val="24"/>
                    </w:rPr>
                    <w:t>与《废塑料污染控制技术规范》（HJ364-2022）相符性分析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要求</w:t>
                  </w:r>
                </w:p>
              </w:tc>
              <w:tc>
                <w:tcPr>
                  <w:tcW w:w="2561" w:type="pct"/>
                  <w:shd w:val="clear" w:color="auto" w:fill="auto"/>
                </w:tcPr>
                <w:p>
                  <w:pPr>
                    <w:pStyle w:val="33"/>
                    <w:jc w:val="both"/>
                    <w:rPr>
                      <w:rFonts w:cs="Times New Roman"/>
                      <w:szCs w:val="24"/>
                    </w:rPr>
                  </w:pPr>
                  <w:r>
                    <w:rPr>
                      <w:rFonts w:hint="eastAsia" w:cs="Times New Roman"/>
                      <w:szCs w:val="24"/>
                    </w:rPr>
                    <w:t>应根据废塑料的来源、特性、污染情况以及后续再生利用或处置的要求，选择合理的预处理方式</w:t>
                  </w:r>
                </w:p>
              </w:tc>
              <w:tc>
                <w:tcPr>
                  <w:tcW w:w="1496" w:type="pct"/>
                  <w:shd w:val="clear" w:color="auto" w:fill="auto"/>
                  <w:vAlign w:val="center"/>
                </w:tcPr>
                <w:p>
                  <w:pPr>
                    <w:pStyle w:val="33"/>
                    <w:rPr>
                      <w:rFonts w:cs="Times New Roman"/>
                      <w:szCs w:val="24"/>
                    </w:rPr>
                  </w:pPr>
                  <w:r>
                    <w:rPr>
                      <w:rFonts w:hint="eastAsia"/>
                      <w:color w:val="000000" w:themeColor="text1"/>
                      <w14:textFill>
                        <w14:solidFill>
                          <w14:schemeClr w14:val="tx1"/>
                        </w14:solidFill>
                      </w14:textFill>
                    </w:rPr>
                    <w:t>本项目原料来源于本地废品回收站的日用塑料用品、塑料玩具等</w:t>
                  </w:r>
                  <w:r>
                    <w:rPr>
                      <w:rFonts w:hint="eastAsia" w:cs="Times New Roman"/>
                      <w:szCs w:val="24"/>
                    </w:rPr>
                    <w:t>，主要通过破碎、清洗、脱水等工序进行预处理</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废塑料的预处理应控制二次污染。大气污染物排放应符合GB31572或GB16297、GB37822等标准的规定。恶臭污染物排放应符合GB14554的规定。废水控制应根据出水受纳水体的功能要求或纳管要求，执行国家和地方相关排放标准，重点控制的污染物指标包括悬浮物、pH值、色度、石油类和化学需氧量等。噪声排放应符合GB12348的规定</w:t>
                  </w:r>
                </w:p>
              </w:tc>
              <w:tc>
                <w:tcPr>
                  <w:tcW w:w="1496" w:type="pct"/>
                  <w:shd w:val="clear" w:color="auto" w:fill="auto"/>
                  <w:vAlign w:val="center"/>
                </w:tcPr>
                <w:p>
                  <w:pPr>
                    <w:pStyle w:val="33"/>
                    <w:jc w:val="both"/>
                    <w:rPr>
                      <w:rFonts w:cs="Times New Roman"/>
                      <w:szCs w:val="24"/>
                    </w:rPr>
                  </w:pPr>
                  <w:r>
                    <w:rPr>
                      <w:rFonts w:hint="eastAsia" w:cs="Times New Roman"/>
                      <w:szCs w:val="24"/>
                    </w:rPr>
                    <w:t>本项目生产过程中采用湿法破碎，满足</w:t>
                  </w:r>
                  <w:r>
                    <w:rPr>
                      <w:rFonts w:hint="eastAsia"/>
                      <w:color w:val="000000" w:themeColor="text1"/>
                      <w14:textFill>
                        <w14:solidFill>
                          <w14:schemeClr w14:val="tx1"/>
                        </w14:solidFill>
                      </w14:textFill>
                    </w:rPr>
                    <w:t>《大气污染物综合排放标准》（GB16297-1996）表2中的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r>
                    <w:rPr>
                      <w:rFonts w:hint="eastAsia" w:cs="Times New Roman"/>
                      <w:szCs w:val="24"/>
                    </w:rPr>
                    <w:t>。恶臭满足《恶臭污染物排放标准》（GB14554-93）表1恶臭污染物厂界标准值新扩改建项目二级标准。本项目生产废水经三级沉淀池处理后回用，不外排。产噪设备采取低噪声设备、基础减振、厂房隔声措施后，厂界噪声满足《工业企业厂界环境噪声排放标准》（GB12348-2008）标准要求</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废塑料的产生、收集、贮存、预处理和再生利用企业内应单独划分贮存场地，不同种类的废塑料宜分开贮存，贮存场地应具有防雨、防扬散、防渗漏等措施。</w:t>
                  </w:r>
                </w:p>
              </w:tc>
              <w:tc>
                <w:tcPr>
                  <w:tcW w:w="1496" w:type="pct"/>
                  <w:shd w:val="clear" w:color="auto" w:fill="auto"/>
                  <w:vAlign w:val="center"/>
                </w:tcPr>
                <w:p>
                  <w:pPr>
                    <w:pStyle w:val="33"/>
                    <w:rPr>
                      <w:rFonts w:cs="Times New Roman"/>
                      <w:szCs w:val="24"/>
                    </w:rPr>
                  </w:pPr>
                  <w:r>
                    <w:rPr>
                      <w:rFonts w:hint="eastAsia"/>
                      <w:szCs w:val="24"/>
                    </w:rPr>
                    <w:t>本项目回收废塑料，用于本项目生产，所有原料在堆场内采用篷布进行全覆盖，有效防风抑尘；产品使用集装袋包装，袋口封闭良好，整齐堆放于指定区域，防止二次污染。对于本企业无法资源化利用的废塑料及其他不可利用固体废物，均集中暂存在封闭暂存间内，做到防雨、防渗、防流失</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5"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rPr>
                      <w:rFonts w:cs="Times New Roman"/>
                      <w:szCs w:val="24"/>
                    </w:rPr>
                  </w:pPr>
                  <w:r>
                    <w:rPr>
                      <w:rFonts w:hint="eastAsia" w:cs="Times New Roman"/>
                      <w:szCs w:val="24"/>
                    </w:rPr>
                    <w:t>含卤素废塑料的预处理与再生利用，宜与其他塑料分开进行。</w:t>
                  </w:r>
                </w:p>
              </w:tc>
              <w:tc>
                <w:tcPr>
                  <w:tcW w:w="1496" w:type="pct"/>
                  <w:shd w:val="clear" w:color="auto" w:fill="auto"/>
                  <w:vAlign w:val="center"/>
                </w:tcPr>
                <w:p>
                  <w:pPr>
                    <w:pStyle w:val="33"/>
                    <w:rPr>
                      <w:rFonts w:cs="Times New Roman"/>
                      <w:szCs w:val="24"/>
                    </w:rPr>
                  </w:pPr>
                  <w:r>
                    <w:rPr>
                      <w:rFonts w:hint="eastAsia" w:cs="Times New Roman"/>
                      <w:szCs w:val="24"/>
                    </w:rPr>
                    <w:t>本项目不含卤素废塑料</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rPr>
                      <w:rFonts w:cs="Times New Roman"/>
                      <w:szCs w:val="24"/>
                    </w:rPr>
                  </w:pPr>
                  <w:r>
                    <w:rPr>
                      <w:rFonts w:hint="eastAsia" w:cs="Times New Roman"/>
                      <w:szCs w:val="24"/>
                    </w:rPr>
                    <w:t>应采用预分选工艺，将废塑料与其他废物分开，提高下游自动化分选的效率。</w:t>
                  </w:r>
                </w:p>
              </w:tc>
              <w:tc>
                <w:tcPr>
                  <w:tcW w:w="1496" w:type="pct"/>
                  <w:shd w:val="clear" w:color="auto" w:fill="auto"/>
                  <w:vAlign w:val="center"/>
                </w:tcPr>
                <w:p>
                  <w:pPr>
                    <w:pStyle w:val="33"/>
                    <w:jc w:val="both"/>
                    <w:rPr>
                      <w:rFonts w:cs="Times New Roman"/>
                      <w:szCs w:val="24"/>
                    </w:rPr>
                  </w:pPr>
                  <w:r>
                    <w:rPr>
                      <w:rFonts w:hint="eastAsia" w:cs="Times New Roman"/>
                      <w:szCs w:val="21"/>
                    </w:rPr>
                    <w:t>本项目以废旧塑料为原料，经分拣、破碎、清洗、脱水等工艺处理后，制成洁净塑料碎片，实现资源化利用与外售</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rPr>
                      <w:rFonts w:cs="Times New Roman"/>
                      <w:szCs w:val="24"/>
                    </w:rPr>
                  </w:pPr>
                  <w:r>
                    <w:rPr>
                      <w:rFonts w:hint="eastAsia" w:cs="Times New Roman"/>
                      <w:szCs w:val="24"/>
                    </w:rPr>
                    <w:t>废塑料的破碎方法可分为干法破碎和湿法破碎。使用干法破碎时，应配备相应的防尘、防噪声设备。使用湿法破碎时，应有配套的污水收集和处理设施。</w:t>
                  </w:r>
                </w:p>
              </w:tc>
              <w:tc>
                <w:tcPr>
                  <w:tcW w:w="1496" w:type="pct"/>
                  <w:shd w:val="clear" w:color="auto" w:fill="auto"/>
                  <w:vAlign w:val="center"/>
                </w:tcPr>
                <w:p>
                  <w:pPr>
                    <w:pStyle w:val="33"/>
                    <w:rPr>
                      <w:rFonts w:cs="Times New Roman"/>
                      <w:szCs w:val="24"/>
                    </w:rPr>
                  </w:pPr>
                  <w:r>
                    <w:rPr>
                      <w:rFonts w:cs="Times New Roman"/>
                      <w:szCs w:val="24"/>
                    </w:rPr>
                    <w:t>本项目采用湿法破碎工艺，并配套建设了</w:t>
                  </w:r>
                  <w:r>
                    <w:rPr>
                      <w:rFonts w:hint="eastAsia" w:cs="Times New Roman"/>
                      <w:szCs w:val="24"/>
                    </w:rPr>
                    <w:t>三级</w:t>
                  </w:r>
                  <w:r>
                    <w:rPr>
                      <w:rFonts w:cs="Times New Roman"/>
                      <w:szCs w:val="24"/>
                    </w:rPr>
                    <w:t>沉淀池，用于含泥废水的固液分离，实现水资源的循环利用和达标排放</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rPr>
                      <w:rFonts w:cs="Times New Roman"/>
                      <w:szCs w:val="24"/>
                    </w:rPr>
                  </w:pPr>
                  <w:r>
                    <w:rPr>
                      <w:rFonts w:hint="eastAsia" w:cs="Times New Roman"/>
                      <w:szCs w:val="24"/>
                    </w:rPr>
                    <w:t>宜采用节水的自动化清洗技术，宜采用无磷清洗剂或其他绿色清洗剂，不得使用有毒有害的清洗剂。</w:t>
                  </w:r>
                </w:p>
              </w:tc>
              <w:tc>
                <w:tcPr>
                  <w:tcW w:w="1496" w:type="pct"/>
                  <w:shd w:val="clear" w:color="auto" w:fill="auto"/>
                  <w:vAlign w:val="center"/>
                </w:tcPr>
                <w:p>
                  <w:pPr>
                    <w:pStyle w:val="33"/>
                    <w:jc w:val="both"/>
                    <w:rPr>
                      <w:rFonts w:cs="Times New Roman"/>
                      <w:szCs w:val="24"/>
                    </w:rPr>
                  </w:pPr>
                  <w:r>
                    <w:rPr>
                      <w:rFonts w:hint="eastAsia" w:cs="Times New Roman"/>
                      <w:szCs w:val="24"/>
                    </w:rPr>
                    <w:t>本项目回收原料采用物理清洗，破碎后的废塑料送至清洗水池进行清洗，生产废水经沉淀处理后全部循环利用，不外排</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rPr>
                      <w:rFonts w:cs="Times New Roman"/>
                      <w:szCs w:val="24"/>
                    </w:rPr>
                  </w:pPr>
                  <w:r>
                    <w:rPr>
                      <w:rFonts w:hint="eastAsia" w:cs="Times New Roman"/>
                      <w:szCs w:val="24"/>
                    </w:rPr>
                    <w:t>应根据清洗废水中污染物的种类和浓度，配备相应的废水收集和处理设施，清洗废水处理后宜循环使用。</w:t>
                  </w:r>
                </w:p>
              </w:tc>
              <w:tc>
                <w:tcPr>
                  <w:tcW w:w="1496" w:type="pct"/>
                  <w:shd w:val="clear" w:color="auto" w:fill="auto"/>
                  <w:vAlign w:val="center"/>
                </w:tcPr>
                <w:p>
                  <w:pPr>
                    <w:pStyle w:val="33"/>
                    <w:rPr>
                      <w:rFonts w:cs="Times New Roman"/>
                      <w:szCs w:val="24"/>
                    </w:rPr>
                  </w:pPr>
                  <w:r>
                    <w:rPr>
                      <w:rFonts w:hint="eastAsia" w:cs="Times New Roman"/>
                      <w:szCs w:val="24"/>
                    </w:rPr>
                    <w:t>本项目产生的生产废水经沉淀处理后全部循环利用，不外排</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5000" w:type="pct"/>
                  <w:gridSpan w:val="4"/>
                  <w:shd w:val="clear" w:color="auto" w:fill="auto"/>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sz w:val="21"/>
                      <w:szCs w:val="24"/>
                    </w:rPr>
                    <w:t>与《废塑料回收技术规范》（GB/T</w:t>
                  </w:r>
                  <w:r>
                    <w:rPr>
                      <w:rFonts w:hint="eastAsia" w:cs="Times New Roman"/>
                      <w:b/>
                      <w:bCs/>
                      <w:sz w:val="21"/>
                      <w:szCs w:val="24"/>
                    </w:rPr>
                    <w:t>3</w:t>
                  </w:r>
                  <w:r>
                    <w:rPr>
                      <w:rFonts w:cs="Times New Roman"/>
                      <w:b/>
                      <w:bCs/>
                      <w:sz w:val="21"/>
                      <w:szCs w:val="24"/>
                    </w:rPr>
                    <w:t>9171-2020）符合性分析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shd w:val="clear" w:color="auto" w:fill="auto"/>
                  <w:vAlign w:val="center"/>
                </w:tcPr>
                <w:p>
                  <w:pPr>
                    <w:pStyle w:val="33"/>
                    <w:rPr>
                      <w:rFonts w:cs="Times New Roman"/>
                      <w:szCs w:val="24"/>
                    </w:rPr>
                  </w:pPr>
                  <w:r>
                    <w:rPr>
                      <w:rFonts w:hint="eastAsia" w:cs="Times New Roman"/>
                      <w:szCs w:val="24"/>
                    </w:rPr>
                    <w:t>要求</w:t>
                  </w:r>
                </w:p>
              </w:tc>
              <w:tc>
                <w:tcPr>
                  <w:tcW w:w="2561" w:type="pct"/>
                  <w:shd w:val="clear" w:color="auto" w:fill="auto"/>
                </w:tcPr>
                <w:p>
                  <w:pPr>
                    <w:pStyle w:val="33"/>
                    <w:rPr>
                      <w:rFonts w:cs="Times New Roman"/>
                      <w:szCs w:val="24"/>
                    </w:rPr>
                  </w:pPr>
                  <w:r>
                    <w:rPr>
                      <w:rFonts w:hint="eastAsia" w:cs="Times New Roman"/>
                      <w:szCs w:val="24"/>
                    </w:rPr>
                    <w:t>废塑料收集过程中不得就地清洗；废塑料的清洗场地应做防水、防渗漏处理，有特殊要求的地面应做防腐蚀处理。废塑料的清洗方法可分为物理清洗和化学清洗，应根据废塑料来源和污染情况选择清洗工艺；宜采用高效节水的机械清洗技术和无磷清洗剂，不得使用有毒有害的化学清洗剂</w:t>
                  </w:r>
                </w:p>
              </w:tc>
              <w:tc>
                <w:tcPr>
                  <w:tcW w:w="1496" w:type="pct"/>
                  <w:shd w:val="clear" w:color="auto" w:fill="auto"/>
                  <w:vAlign w:val="center"/>
                </w:tcPr>
                <w:p>
                  <w:pPr>
                    <w:pStyle w:val="33"/>
                    <w:rPr>
                      <w:rFonts w:cs="Times New Roman"/>
                      <w:szCs w:val="24"/>
                    </w:rPr>
                  </w:pPr>
                  <w:r>
                    <w:rPr>
                      <w:rFonts w:hint="eastAsia" w:cs="Times New Roman"/>
                      <w:szCs w:val="24"/>
                    </w:rPr>
                    <w:t>本项目回收原料采用物理清洗，破碎后的废塑料送至清洗水池进行清洗，生产废水经沉淀处理后全部循环利用，不外排</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5000" w:type="pct"/>
                  <w:gridSpan w:val="4"/>
                  <w:shd w:val="clear" w:color="auto" w:fill="auto"/>
                  <w:vAlign w:val="center"/>
                </w:tcPr>
                <w:p>
                  <w:pPr>
                    <w:pStyle w:val="33"/>
                    <w:rPr>
                      <w:rFonts w:cs="Times New Roman"/>
                      <w:szCs w:val="24"/>
                    </w:rPr>
                  </w:pPr>
                  <w:r>
                    <w:rPr>
                      <w:rFonts w:cs="Times New Roman"/>
                      <w:b/>
                      <w:bCs/>
                      <w:szCs w:val="24"/>
                    </w:rPr>
                    <w:t>与</w:t>
                  </w:r>
                  <w:r>
                    <w:rPr>
                      <w:rFonts w:hint="eastAsia" w:cs="Times New Roman"/>
                      <w:b/>
                      <w:bCs/>
                      <w:szCs w:val="24"/>
                    </w:rPr>
                    <w:t>再生资源回收管理办法（2019修正）符合性分析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要求</w:t>
                  </w:r>
                </w:p>
              </w:tc>
              <w:tc>
                <w:tcPr>
                  <w:tcW w:w="2561" w:type="pct"/>
                  <w:shd w:val="clear" w:color="auto" w:fill="auto"/>
                  <w:vAlign w:val="center"/>
                </w:tcPr>
                <w:p>
                  <w:pPr>
                    <w:pStyle w:val="33"/>
                    <w:rPr>
                      <w:rFonts w:cs="Times New Roman"/>
                      <w:szCs w:val="24"/>
                    </w:rPr>
                  </w:pPr>
                  <w:r>
                    <w:rPr>
                      <w:rFonts w:hint="eastAsia" w:cs="Times New Roman"/>
                      <w:szCs w:val="24"/>
                    </w:rPr>
                    <w:t>再生资源包括废旧金属、报废电子产品、报废机电设备及其零部件、废造纸原料（如废纸、废棉等）、废轻化工原料（如橡胶、塑料、农药包装物、动物杂骨、毛发等）、废玻璃等</w:t>
                  </w:r>
                </w:p>
              </w:tc>
              <w:tc>
                <w:tcPr>
                  <w:tcW w:w="1496" w:type="pct"/>
                  <w:shd w:val="clear" w:color="auto" w:fill="auto"/>
                  <w:vAlign w:val="center"/>
                </w:tcPr>
                <w:p>
                  <w:pPr>
                    <w:pStyle w:val="33"/>
                    <w:jc w:val="both"/>
                    <w:rPr>
                      <w:rFonts w:cs="Times New Roman"/>
                      <w:szCs w:val="24"/>
                    </w:rPr>
                  </w:pPr>
                  <w:r>
                    <w:rPr>
                      <w:rFonts w:hint="eastAsia" w:cs="Times New Roman"/>
                      <w:szCs w:val="24"/>
                    </w:rPr>
                    <w:t>本项目以废旧塑料为原料，经分拣、破碎、清洗、脱水等工艺处理后制成洁净塑料碎片，属于再生资源综合利用，根据国家关于再生资源回收利用的相关规定，废旧塑料属于废轻化工原料（如橡胶、</w:t>
                  </w:r>
                  <w:r>
                    <w:rPr>
                      <w:rFonts w:hint="eastAsia" w:cs="Times New Roman"/>
                      <w:b/>
                      <w:bCs/>
                      <w:szCs w:val="24"/>
                    </w:rPr>
                    <w:t>塑料</w:t>
                  </w:r>
                  <w:r>
                    <w:rPr>
                      <w:rFonts w:hint="eastAsia" w:cs="Times New Roman"/>
                      <w:szCs w:val="24"/>
                    </w:rPr>
                    <w:t>、农药包装物等）的明确类别之一，是国家鼓励和支持回收利用的典型再生资源。本项目的原料来源、加工工艺及产品方向完全符合《再生资源回收管理办法》中对再生资源经营活动的定义和范围要求</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再生资源回收经营者备案事项整合到营业执照上，市场监管部门核准工商注册登记后，通过省级共享平台将企业信息共享给各相关部门</w:t>
                  </w:r>
                </w:p>
              </w:tc>
              <w:tc>
                <w:tcPr>
                  <w:tcW w:w="1496" w:type="pct"/>
                  <w:shd w:val="clear" w:color="auto" w:fill="auto"/>
                  <w:vAlign w:val="center"/>
                </w:tcPr>
                <w:p>
                  <w:pPr>
                    <w:pStyle w:val="33"/>
                    <w:jc w:val="both"/>
                    <w:rPr>
                      <w:rFonts w:cs="Times New Roman"/>
                      <w:szCs w:val="24"/>
                    </w:rPr>
                  </w:pPr>
                  <w:r>
                    <w:rPr>
                      <w:rFonts w:hint="eastAsia" w:cs="Times New Roman"/>
                      <w:szCs w:val="24"/>
                    </w:rPr>
                    <w:t>本项目已依法取得营业执照，经营范围明确涵盖“再生资源回收”业务，符合相关法律法规要求</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再生资源回收经营者在经营活动中发现有公安机关通报寻查的赃物或有赃物嫌疑的物品时，应当立即报告公安机关</w:t>
                  </w:r>
                </w:p>
              </w:tc>
              <w:tc>
                <w:tcPr>
                  <w:tcW w:w="1496" w:type="pct"/>
                  <w:shd w:val="clear" w:color="auto" w:fill="auto"/>
                  <w:vAlign w:val="center"/>
                </w:tcPr>
                <w:p>
                  <w:pPr>
                    <w:pStyle w:val="33"/>
                    <w:jc w:val="both"/>
                    <w:rPr>
                      <w:rFonts w:cs="Times New Roman"/>
                      <w:szCs w:val="24"/>
                    </w:rPr>
                  </w:pPr>
                  <w:r>
                    <w:rPr>
                      <w:rFonts w:hint="eastAsia" w:cs="Times New Roman"/>
                      <w:szCs w:val="24"/>
                    </w:rPr>
                    <w:t>在经营过程中，如发现公安机关通报追查的赃物或疑似赃物，应立即向属地公安机关报告，并配合做好相关处置工作</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跨行政区域转移再生资源进行储存、处置的，应当依照《中华人民共和国固体废物污染环境防治法》第二十三条的规定办理行政许可</w:t>
                  </w:r>
                </w:p>
              </w:tc>
              <w:tc>
                <w:tcPr>
                  <w:tcW w:w="1496" w:type="pct"/>
                  <w:shd w:val="clear" w:color="auto" w:fill="auto"/>
                  <w:vAlign w:val="center"/>
                </w:tcPr>
                <w:p>
                  <w:pPr>
                    <w:pStyle w:val="33"/>
                    <w:jc w:val="both"/>
                    <w:rPr>
                      <w:rFonts w:cs="Times New Roman"/>
                      <w:szCs w:val="24"/>
                    </w:rPr>
                  </w:pPr>
                  <w:r>
                    <w:rPr>
                      <w:rFonts w:hint="eastAsia" w:cs="Times New Roman"/>
                      <w:szCs w:val="24"/>
                    </w:rPr>
                    <w:t>本项目所用原料均来源于本地正规废品回收站点，主要包括日用塑料制品、塑料玩具等，未涉及跨行政区域的转移或贮存</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s="Times New Roman"/>
                      <w:szCs w:val="24"/>
                    </w:rPr>
                    <w:t>再生资源回收经营者可以通过电话、互联网等形式与居民、企业建立信息互动，实现便民、快捷的回收服务</w:t>
                  </w:r>
                </w:p>
              </w:tc>
              <w:tc>
                <w:tcPr>
                  <w:tcW w:w="1496" w:type="pct"/>
                  <w:shd w:val="clear" w:color="auto" w:fill="auto"/>
                  <w:vAlign w:val="center"/>
                </w:tcPr>
                <w:p>
                  <w:pPr>
                    <w:pStyle w:val="33"/>
                    <w:rPr>
                      <w:rFonts w:cs="Times New Roman"/>
                      <w:szCs w:val="24"/>
                    </w:rPr>
                  </w:pPr>
                  <w:r>
                    <w:rPr>
                      <w:rFonts w:hint="eastAsia" w:cs="Times New Roman"/>
                      <w:szCs w:val="24"/>
                    </w:rPr>
                    <w:t>本项目支持通过电话、微信等方式与居民和企业建立直接联系，提供便捷、高效的回收服务，实现信息互动与快速响应</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5000" w:type="pct"/>
                  <w:gridSpan w:val="4"/>
                  <w:shd w:val="clear" w:color="auto" w:fill="auto"/>
                  <w:vAlign w:val="center"/>
                </w:tcPr>
                <w:p>
                  <w:pPr>
                    <w:pStyle w:val="33"/>
                    <w:rPr>
                      <w:rFonts w:cs="Times New Roman"/>
                      <w:szCs w:val="24"/>
                    </w:rPr>
                  </w:pPr>
                  <w:r>
                    <w:rPr>
                      <w:rFonts w:hint="eastAsia" w:cs="Times New Roman"/>
                      <w:b/>
                      <w:bCs/>
                      <w:szCs w:val="24"/>
                    </w:rPr>
                    <w:t>与《关于加快推进再生资源产业发展的指导意见》符合性分析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restart"/>
                  <w:shd w:val="clear" w:color="auto" w:fill="auto"/>
                  <w:vAlign w:val="center"/>
                </w:tcPr>
                <w:p>
                  <w:pPr>
                    <w:pStyle w:val="33"/>
                    <w:rPr>
                      <w:rFonts w:cs="Times New Roman"/>
                      <w:szCs w:val="24"/>
                    </w:rPr>
                  </w:pPr>
                  <w:r>
                    <w:rPr>
                      <w:rFonts w:hint="eastAsia" w:cs="Times New Roman"/>
                      <w:szCs w:val="24"/>
                    </w:rPr>
                    <w:t>要求</w:t>
                  </w:r>
                </w:p>
              </w:tc>
              <w:tc>
                <w:tcPr>
                  <w:tcW w:w="2561" w:type="pct"/>
                  <w:shd w:val="clear" w:color="auto" w:fill="auto"/>
                </w:tcPr>
                <w:p>
                  <w:pPr>
                    <w:pStyle w:val="33"/>
                    <w:jc w:val="both"/>
                    <w:rPr>
                      <w:rFonts w:cs="Times New Roman"/>
                      <w:szCs w:val="24"/>
                    </w:rPr>
                  </w:pPr>
                  <w:r>
                    <w:rPr>
                      <w:rFonts w:hint="eastAsia" w:cs="Times New Roman"/>
                      <w:szCs w:val="24"/>
                    </w:rPr>
                    <w:t>集群化发展，实现产业集聚配套。鼓励再生资源综合利用企业集聚发展。鼓励通过兼并、重组、联营等方式，提高行业集中度。在废有色金属、废塑料、废弃电器电子产品资源化利用等重点领域，依靠技术创新驱动，实现规模化发展。促进再生资源回收体系、国家“城市矿产”示范基地、资源循环利用基地产业链有效衔接，建立产业良性发展环境，探索符合产业发展规律的商业模式，培育再生资源龙头企业</w:t>
                  </w:r>
                </w:p>
              </w:tc>
              <w:tc>
                <w:tcPr>
                  <w:tcW w:w="1496" w:type="pct"/>
                  <w:vMerge w:val="restart"/>
                  <w:shd w:val="clear" w:color="auto" w:fill="auto"/>
                  <w:vAlign w:val="center"/>
                </w:tcPr>
                <w:p>
                  <w:pPr>
                    <w:pStyle w:val="33"/>
                    <w:rPr>
                      <w:rFonts w:cs="Times New Roman"/>
                      <w:szCs w:val="24"/>
                    </w:rPr>
                  </w:pPr>
                  <w:r>
                    <w:rPr>
                      <w:rFonts w:hint="eastAsia" w:cs="Times New Roman"/>
                      <w:szCs w:val="24"/>
                    </w:rPr>
                    <w:t>本项目属于废塑料回收加工类项目，主要工艺包括破碎、清洗和分选。通过采购破碎机、空分机、甩干机等设备，本项目不对破碎清洗后的塑料进行热熔加工制造活动，产品外售至塑料制造企业用作原料，有利于向产业化方向发展。本项目在产业布局上符合《指导意见》中提出的“集约化发展，实现产业集聚配套”的要求。项目推动废塑料资源化利用，促进再生资源回收体系与可持续产业发展环境的有效衔接</w:t>
                  </w:r>
                </w:p>
              </w:tc>
              <w:tc>
                <w:tcPr>
                  <w:tcW w:w="635" w:type="pct"/>
                  <w:shd w:val="clear" w:color="auto" w:fill="auto"/>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9" w:hRule="atLeast"/>
                <w:jc w:val="center"/>
              </w:trPr>
              <w:tc>
                <w:tcPr>
                  <w:tcW w:w="308" w:type="pct"/>
                  <w:vMerge w:val="continue"/>
                  <w:shd w:val="clear" w:color="auto" w:fill="auto"/>
                  <w:vAlign w:val="center"/>
                </w:tcPr>
                <w:p>
                  <w:pPr>
                    <w:pStyle w:val="33"/>
                    <w:rPr>
                      <w:rFonts w:cs="Times New Roman"/>
                      <w:szCs w:val="24"/>
                    </w:rPr>
                  </w:pPr>
                </w:p>
              </w:tc>
              <w:tc>
                <w:tcPr>
                  <w:tcW w:w="2561" w:type="pct"/>
                  <w:shd w:val="clear" w:color="auto" w:fill="auto"/>
                </w:tcPr>
                <w:p>
                  <w:pPr>
                    <w:pStyle w:val="33"/>
                    <w:jc w:val="both"/>
                    <w:rPr>
                      <w:rFonts w:cs="Times New Roman"/>
                      <w:szCs w:val="24"/>
                    </w:rPr>
                  </w:pPr>
                  <w:r>
                    <w:rPr>
                      <w:rFonts w:hint="eastAsia"/>
                      <w:color w:val="000000"/>
                    </w:rPr>
                    <w:t>废塑料。大力推进废塑料回收利用体系建设，支持不同品质废塑料的 多元化、高值化利用。以当前资源量大、再生利用率高的品种为重点，鼓励开展 废塑料重点品种再生利用示范，推广规模化的废塑料破碎-分选-改性-造粒先进高效生产线，培育一批龙头企业。积极推动低品质、易污染环境的废塑料资源化利用，鼓励对生活垃圾塑料进行无污染的能源化利用，逐步减少废塑料填埋</w:t>
                  </w:r>
                </w:p>
              </w:tc>
              <w:tc>
                <w:tcPr>
                  <w:tcW w:w="1496" w:type="pct"/>
                  <w:vMerge w:val="continue"/>
                  <w:shd w:val="clear" w:color="auto" w:fill="auto"/>
                  <w:vAlign w:val="center"/>
                </w:tcPr>
                <w:p>
                  <w:pPr>
                    <w:pStyle w:val="33"/>
                    <w:rPr>
                      <w:rFonts w:cs="Times New Roman"/>
                      <w:szCs w:val="24"/>
                    </w:rPr>
                  </w:pPr>
                </w:p>
              </w:tc>
              <w:tc>
                <w:tcPr>
                  <w:tcW w:w="635" w:type="pct"/>
                  <w:shd w:val="clear" w:color="auto" w:fill="auto"/>
                  <w:vAlign w:val="center"/>
                </w:tcPr>
                <w:p>
                  <w:pPr>
                    <w:pStyle w:val="33"/>
                    <w:rPr>
                      <w:rFonts w:cs="Times New Roman"/>
                      <w:szCs w:val="24"/>
                    </w:rPr>
                  </w:pPr>
                  <w:r>
                    <w:rPr>
                      <w:rFonts w:hint="eastAsia" w:cs="Times New Roman"/>
                      <w:szCs w:val="24"/>
                    </w:rPr>
                    <w:t>符合</w:t>
                  </w:r>
                </w:p>
              </w:tc>
            </w:tr>
          </w:tbl>
          <w:p>
            <w:pPr>
              <w:spacing w:line="240" w:lineRule="auto"/>
              <w:ind w:firstLine="198" w:firstLineChars="82"/>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6.与其他符合性</w:t>
            </w:r>
            <w:r>
              <w:rPr>
                <w:b/>
                <w:color w:val="000000" w:themeColor="text1"/>
                <w:szCs w:val="21"/>
                <w14:textFill>
                  <w14:solidFill>
                    <w14:schemeClr w14:val="tx1"/>
                  </w14:solidFill>
                </w14:textFill>
              </w:rPr>
              <w:t>分析</w:t>
            </w:r>
          </w:p>
          <w:p>
            <w:pPr>
              <w:pStyle w:val="38"/>
              <w:spacing w:before="163"/>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其他符合性分析</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0"/>
              <w:gridCol w:w="3985"/>
              <w:gridCol w:w="2469"/>
              <w:gridCol w:w="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Align w:val="center"/>
                </w:tcPr>
                <w:p>
                  <w:pPr>
                    <w:adjustRightInd w:val="0"/>
                    <w:snapToGrid w:val="0"/>
                    <w:spacing w:line="240" w:lineRule="auto"/>
                    <w:ind w:firstLine="0" w:firstLineChars="0"/>
                    <w:jc w:val="center"/>
                    <w:textAlignment w:val="auto"/>
                    <w:rPr>
                      <w:rFonts w:cs="Times New Roman"/>
                      <w:sz w:val="21"/>
                      <w:szCs w:val="24"/>
                    </w:rPr>
                  </w:pPr>
                  <w:bookmarkStart w:id="4" w:name="_Hlk97245357"/>
                  <w:r>
                    <w:rPr>
                      <w:rFonts w:hint="eastAsia" w:cs="Times New Roman"/>
                      <w:sz w:val="21"/>
                      <w:szCs w:val="24"/>
                    </w:rPr>
                    <w:t>规划</w:t>
                  </w:r>
                </w:p>
              </w:tc>
              <w:tc>
                <w:tcPr>
                  <w:tcW w:w="2385"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规划要求</w:t>
                  </w:r>
                </w:p>
              </w:tc>
              <w:tc>
                <w:tcPr>
                  <w:tcW w:w="1477"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本项目情况</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7" w:hRule="atLeast"/>
              </w:trPr>
              <w:tc>
                <w:tcPr>
                  <w:tcW w:w="742" w:type="pct"/>
                  <w:vMerge w:val="restart"/>
                  <w:vAlign w:val="center"/>
                </w:tcPr>
                <w:p>
                  <w:pPr>
                    <w:adjustRightInd w:val="0"/>
                    <w:snapToGrid w:val="0"/>
                    <w:spacing w:line="240" w:lineRule="auto"/>
                    <w:ind w:firstLine="0" w:firstLineChars="0"/>
                    <w:textAlignment w:val="auto"/>
                    <w:rPr>
                      <w:rFonts w:cs="Times New Roman"/>
                      <w:sz w:val="21"/>
                      <w:szCs w:val="24"/>
                    </w:rPr>
                  </w:pPr>
                  <w:r>
                    <w:rPr>
                      <w:rFonts w:cs="Times New Roman"/>
                      <w:sz w:val="21"/>
                      <w:szCs w:val="24"/>
                    </w:rPr>
                    <w:t>新疆生态环境保护“十四五”规划</w:t>
                  </w:r>
                </w:p>
              </w:tc>
              <w:tc>
                <w:tcPr>
                  <w:tcW w:w="2385" w:type="pct"/>
                  <w:vMerge w:val="restar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强化产业集聚发展。结合重点区域大气污染防治，能耗总量和强度“双控”目标，立足各地产业园区（开发区）自身优势和比较优势，结合“三线一单”和规划环评要求，进一步优化园区产业布局，明确产业定位，地制宜发展特色产业，培育打造制造业高质量发展示范园区。坚定不移推进企业入园，严格园区准入标准，完善和落实园区环境管理制度，加强环境风险防范。鼓励和支持社会资本参与园区发展，加快智慧园区建设，补齐环境保护基础设施短板，完善园区“三废”综合利用等配套设施建设。</w:t>
                  </w:r>
                </w:p>
              </w:tc>
              <w:tc>
                <w:tcPr>
                  <w:tcW w:w="1477" w:type="pct"/>
                  <w:vMerge w:val="restar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本项目位于库尔勒市哈拉玉宫镇废旧物资回收加工产业园废旧塑料回收加工区，开展废旧塑料资源化利用，落实环境管理和“三废”综合利用要求，有助于打造绿色循环低碳的发展示范</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50" w:hRule="atLeast"/>
              </w:trPr>
              <w:tc>
                <w:tcPr>
                  <w:tcW w:w="742" w:type="pct"/>
                  <w:vMerge w:val="continue"/>
                  <w:vAlign w:val="center"/>
                </w:tcPr>
                <w:p>
                  <w:pPr>
                    <w:adjustRightInd w:val="0"/>
                    <w:snapToGrid w:val="0"/>
                    <w:spacing w:line="240" w:lineRule="auto"/>
                    <w:ind w:firstLine="0" w:firstLineChars="0"/>
                    <w:textAlignment w:val="auto"/>
                    <w:rPr>
                      <w:rFonts w:cs="Times New Roman"/>
                      <w:sz w:val="21"/>
                      <w:szCs w:val="24"/>
                    </w:rPr>
                  </w:pPr>
                </w:p>
              </w:tc>
              <w:tc>
                <w:tcPr>
                  <w:tcW w:w="2385" w:type="pct"/>
                  <w:vMerge w:val="continue"/>
                  <w:vAlign w:val="center"/>
                </w:tcPr>
                <w:p>
                  <w:pPr>
                    <w:adjustRightInd w:val="0"/>
                    <w:snapToGrid w:val="0"/>
                    <w:spacing w:line="240" w:lineRule="auto"/>
                    <w:ind w:firstLine="0" w:firstLineChars="0"/>
                    <w:textAlignment w:val="auto"/>
                    <w:rPr>
                      <w:rFonts w:cs="Times New Roman"/>
                      <w:sz w:val="21"/>
                      <w:szCs w:val="24"/>
                    </w:rPr>
                  </w:pPr>
                </w:p>
              </w:tc>
              <w:tc>
                <w:tcPr>
                  <w:tcW w:w="1477" w:type="pct"/>
                  <w:vMerge w:val="continue"/>
                  <w:vAlign w:val="center"/>
                </w:tcPr>
                <w:p>
                  <w:pPr>
                    <w:adjustRightInd w:val="0"/>
                    <w:snapToGrid w:val="0"/>
                    <w:spacing w:line="240" w:lineRule="auto"/>
                    <w:ind w:firstLine="0" w:firstLineChars="0"/>
                    <w:textAlignment w:val="auto"/>
                    <w:rPr>
                      <w:rFonts w:cs="Times New Roman"/>
                      <w:sz w:val="21"/>
                      <w:szCs w:val="24"/>
                    </w:rPr>
                  </w:pP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Merge w:val="continue"/>
                  <w:vAlign w:val="center"/>
                </w:tcPr>
                <w:p>
                  <w:pPr>
                    <w:adjustRightInd w:val="0"/>
                    <w:snapToGrid w:val="0"/>
                    <w:spacing w:line="240" w:lineRule="auto"/>
                    <w:ind w:firstLine="0" w:firstLineChars="0"/>
                    <w:textAlignment w:val="auto"/>
                    <w:rPr>
                      <w:rFonts w:cs="Times New Roman"/>
                      <w:sz w:val="21"/>
                      <w:szCs w:val="24"/>
                    </w:rPr>
                  </w:pPr>
                </w:p>
              </w:tc>
              <w:tc>
                <w:tcPr>
                  <w:tcW w:w="238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加强环境噪声污染防控。加强噪声污染源监管，继续强化和深入推进交通运输噪声、建筑施工噪声、社会生活噪声、工业企业、机场周边噪声污染防治，推进工业企业噪声纳入排污许可管理。</w:t>
                  </w:r>
                </w:p>
              </w:tc>
              <w:tc>
                <w:tcPr>
                  <w:tcW w:w="1477"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本项目采用低噪声设备、基础减振、厂房隔声等措施，减轻噪声影响，厂界噪声达标排放</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1" w:hRule="atLeast"/>
              </w:trPr>
              <w:tc>
                <w:tcPr>
                  <w:tcW w:w="742" w:type="pct"/>
                  <w:vMerge w:val="continue"/>
                  <w:vAlign w:val="center"/>
                </w:tcPr>
                <w:p>
                  <w:pPr>
                    <w:pStyle w:val="33"/>
                    <w:rPr>
                      <w:color w:val="000000" w:themeColor="text1"/>
                      <w14:textFill>
                        <w14:solidFill>
                          <w14:schemeClr w14:val="tx1"/>
                        </w14:solidFill>
                      </w14:textFill>
                    </w:rPr>
                  </w:pPr>
                </w:p>
              </w:tc>
              <w:tc>
                <w:tcPr>
                  <w:tcW w:w="238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坚持预防为主、保护优先、风险管控，持续推进土壤污染防治攻坚行动，强化土壤和地下水污染风险管控和修复，实施水土环境风险协同防控。</w:t>
                  </w:r>
                </w:p>
              </w:tc>
              <w:tc>
                <w:tcPr>
                  <w:tcW w:w="1477"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本项目通过采取完善的污染防治措施和环境风险防范措施，污染物可达标排放，</w:t>
                  </w:r>
                  <w:r>
                    <w:rPr>
                      <w:rFonts w:cs="Times New Roman"/>
                      <w:color w:val="000000"/>
                      <w:sz w:val="21"/>
                      <w:szCs w:val="21"/>
                    </w:rPr>
                    <w:t>项目实施后</w:t>
                  </w:r>
                  <w:r>
                    <w:rPr>
                      <w:rFonts w:hint="eastAsia" w:cs="Times New Roman"/>
                      <w:color w:val="000000"/>
                      <w:sz w:val="21"/>
                      <w:szCs w:val="21"/>
                    </w:rPr>
                    <w:t>环境风险可控</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88" w:hRule="atLeast"/>
              </w:trPr>
              <w:tc>
                <w:tcPr>
                  <w:tcW w:w="742" w:type="pct"/>
                  <w:vMerge w:val="restart"/>
                  <w:vAlign w:val="center"/>
                </w:tcPr>
                <w:p>
                  <w:pPr>
                    <w:adjustRightInd w:val="0"/>
                    <w:snapToGrid w:val="0"/>
                    <w:spacing w:line="240" w:lineRule="auto"/>
                    <w:ind w:firstLine="0" w:firstLineChars="0"/>
                    <w:textAlignment w:val="auto"/>
                    <w:rPr>
                      <w:color w:val="000000" w:themeColor="text1"/>
                      <w14:textFill>
                        <w14:solidFill>
                          <w14:schemeClr w14:val="tx1"/>
                        </w14:solidFill>
                      </w14:textFill>
                    </w:rPr>
                  </w:pPr>
                  <w:r>
                    <w:rPr>
                      <w:rFonts w:hint="eastAsia" w:cs="Times New Roman"/>
                      <w:sz w:val="21"/>
                      <w:szCs w:val="24"/>
                    </w:rPr>
                    <w:t>新疆维吾尔自治区环境保护条例</w:t>
                  </w:r>
                </w:p>
              </w:tc>
              <w:tc>
                <w:tcPr>
                  <w:tcW w:w="238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第十七条环境保护规划和生态功能区划应当与主体功能区规划、土地利用总体规划和城乡规划等相衔接。各类开发和建设活动应当符合环境保护规划和生态功能区划的要求，严格遵守生态保护红线的规定。</w:t>
                  </w:r>
                </w:p>
              </w:tc>
              <w:tc>
                <w:tcPr>
                  <w:tcW w:w="1477"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本项目不在生态保护红线范围内</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Merge w:val="continue"/>
                  <w:vAlign w:val="center"/>
                </w:tcPr>
                <w:p>
                  <w:pPr>
                    <w:pStyle w:val="33"/>
                    <w:rPr>
                      <w:color w:val="000000" w:themeColor="text1"/>
                      <w14:textFill>
                        <w14:solidFill>
                          <w14:schemeClr w14:val="tx1"/>
                        </w14:solidFill>
                      </w14:textFill>
                    </w:rPr>
                  </w:pPr>
                </w:p>
              </w:tc>
              <w:tc>
                <w:tcPr>
                  <w:tcW w:w="238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第四十三条排放污染物的企业事业单位和其他生产经营者应当依法取得排污许可证。排放污染物应当符合国家或者自治区规定的污染物排放标准和重点污染物总量控制指标</w:t>
                  </w:r>
                </w:p>
              </w:tc>
              <w:tc>
                <w:tcPr>
                  <w:tcW w:w="1477"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评价要求企业严格落实污染物总量控制和排污许可证制度，通过采取完善的污染治理措施，各项污染物均达标排放</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库尔勒市国民经济和社会发展第十四个五年规划和二〇三五年远景目标纲要</w:t>
                  </w:r>
                </w:p>
              </w:tc>
              <w:tc>
                <w:tcPr>
                  <w:tcW w:w="2385"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以高质量发展为中心，以供给侧结构性改革为主线，紧紧围绕中巴经济走廊核心区承载中心建设，打造炼化纺一体、烯烃、化工高端新材料、石油化工、天然气化工、工业废弃物循环加工等六大产业集群，建成中巴经济走廊石油石化产业聚集核心区、丝绸之路经济带创新驱动发展试验区，国家级油煤气盐清洁高效利用技术创新示范基地、化纤纺织原料基地和新材料基地，推动现代产业体系建设，为高质量发展提供产业支撑。</w:t>
                  </w:r>
                </w:p>
              </w:tc>
              <w:tc>
                <w:tcPr>
                  <w:tcW w:w="1477" w:type="pct"/>
                  <w:vAlign w:val="center"/>
                </w:tcPr>
                <w:p>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本项目属于废塑料回收加工类项目，主要工艺包括破碎、清洗和分选。通过采购破碎机、空分机、</w:t>
                  </w:r>
                  <w:r>
                    <w:rPr>
                      <w:rFonts w:hint="eastAsia" w:cs="Times New Roman"/>
                      <w:sz w:val="21"/>
                      <w:szCs w:val="21"/>
                    </w:rPr>
                    <w:t>甩干机、</w:t>
                  </w:r>
                  <w:r>
                    <w:rPr>
                      <w:rFonts w:hint="eastAsia" w:cs="Times New Roman"/>
                      <w:sz w:val="21"/>
                      <w:szCs w:val="24"/>
                    </w:rPr>
                    <w:t>色选机等设备，实现自动化生产。本项目不对破碎清洗后的塑料进行热熔加工制造活动，项目产品外售至塑料制造企业用作原料，有利于向产业化方向发展</w:t>
                  </w:r>
                </w:p>
              </w:tc>
              <w:tc>
                <w:tcPr>
                  <w:tcW w:w="394" w:type="pct"/>
                  <w:vAlign w:val="center"/>
                </w:tcPr>
                <w:p>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25" w:hRule="atLeast"/>
              </w:trPr>
              <w:tc>
                <w:tcPr>
                  <w:tcW w:w="742" w:type="pct"/>
                  <w:vMerge w:val="restart"/>
                  <w:vAlign w:val="center"/>
                </w:tcPr>
                <w:p>
                  <w:pPr>
                    <w:pStyle w:val="33"/>
                    <w:rPr>
                      <w:rFonts w:cs="Times New Roman"/>
                      <w:szCs w:val="24"/>
                    </w:rPr>
                  </w:pPr>
                  <w:r>
                    <w:rPr>
                      <w:rFonts w:hint="eastAsia" w:cs="Times New Roman"/>
                      <w:szCs w:val="24"/>
                    </w:rPr>
                    <w:t>《新疆维吾尔自治区大气污染防治条例》</w:t>
                  </w:r>
                </w:p>
              </w:tc>
              <w:tc>
                <w:tcPr>
                  <w:tcW w:w="2385" w:type="pct"/>
                  <w:vAlign w:val="center"/>
                </w:tcPr>
                <w:p>
                  <w:pPr>
                    <w:pStyle w:val="33"/>
                    <w:jc w:val="both"/>
                    <w:rPr>
                      <w:rFonts w:cs="Times New Roman"/>
                      <w:szCs w:val="24"/>
                    </w:rPr>
                  </w:pPr>
                  <w:r>
                    <w:rPr>
                      <w:rFonts w:hint="eastAsia" w:cs="Times New Roman"/>
                      <w:szCs w:val="24"/>
                    </w:rPr>
                    <w:t>第二十七条禁止在自治区行政区域内引进能（水）耗不符合相关国家标准中准入值要求且污染物排放和环境风险防控不符合国家（地方）标准及有关产业准入条件的高污染（排放）、高能（水）耗、高环境风险的工业项目。</w:t>
                  </w:r>
                </w:p>
              </w:tc>
              <w:tc>
                <w:tcPr>
                  <w:tcW w:w="1477" w:type="pct"/>
                  <w:vAlign w:val="center"/>
                </w:tcPr>
                <w:p>
                  <w:pPr>
                    <w:pStyle w:val="33"/>
                    <w:jc w:val="both"/>
                    <w:rPr>
                      <w:rFonts w:cs="Times New Roman"/>
                      <w:szCs w:val="24"/>
                    </w:rPr>
                  </w:pPr>
                  <w:r>
                    <w:rPr>
                      <w:rFonts w:hint="eastAsia" w:cs="Times New Roman"/>
                      <w:szCs w:val="24"/>
                    </w:rPr>
                    <w:t>本项目不属于高污染（排放）、高能（水）耗、高环境风险的工业项目</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25" w:hRule="atLeast"/>
              </w:trPr>
              <w:tc>
                <w:tcPr>
                  <w:tcW w:w="742" w:type="pct"/>
                  <w:vMerge w:val="continue"/>
                  <w:vAlign w:val="center"/>
                </w:tcPr>
                <w:p>
                  <w:pPr>
                    <w:pStyle w:val="33"/>
                    <w:rPr>
                      <w:rFonts w:hAnsi="宋体" w:cs="宋体"/>
                      <w:spacing w:val="-10"/>
                      <w:szCs w:val="21"/>
                    </w:rPr>
                  </w:pPr>
                </w:p>
              </w:tc>
              <w:tc>
                <w:tcPr>
                  <w:tcW w:w="2385" w:type="pct"/>
                  <w:vAlign w:val="center"/>
                </w:tcPr>
                <w:p>
                  <w:pPr>
                    <w:pStyle w:val="33"/>
                    <w:jc w:val="both"/>
                    <w:rPr>
                      <w:rFonts w:cs="Times New Roman"/>
                      <w:szCs w:val="24"/>
                    </w:rPr>
                  </w:pPr>
                  <w:r>
                    <w:rPr>
                      <w:rFonts w:hint="eastAsia" w:cs="Times New Roman"/>
                      <w:szCs w:val="24"/>
                    </w:rPr>
                    <w:t>第二十八条自治区人民政府工业和信息化、发展和改革、生态环境等部门制定产业结构调整目录时，应当将严重污染大气的工艺、设备、产品列入淘汰目录。州、市（地）、县（市、区）人民政府（行政公署）应当组织制定现有高污染工业项目标准改造或者关停计划，并组织实施。禁止新建、改建、扩建列入淘汰类目录的高污染工业项目。禁止使用列入淘汰类目录的工艺、设备、产品。</w:t>
                  </w:r>
                </w:p>
              </w:tc>
              <w:tc>
                <w:tcPr>
                  <w:tcW w:w="1477" w:type="pct"/>
                  <w:vAlign w:val="center"/>
                </w:tcPr>
                <w:p>
                  <w:pPr>
                    <w:pStyle w:val="33"/>
                    <w:rPr>
                      <w:rFonts w:cs="Times New Roman"/>
                      <w:szCs w:val="24"/>
                    </w:rPr>
                  </w:pPr>
                  <w:r>
                    <w:rPr>
                      <w:rFonts w:hint="eastAsia" w:cs="Times New Roman"/>
                      <w:szCs w:val="24"/>
                    </w:rPr>
                    <w:t>本项目不属于列入淘汰类目录的高污染工业项目</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3"/>
                    <w:rPr>
                      <w:rFonts w:cs="Times New Roman"/>
                      <w:szCs w:val="24"/>
                    </w:rPr>
                  </w:pPr>
                  <w:r>
                    <w:rPr>
                      <w:rFonts w:hint="eastAsia" w:cs="Times New Roman"/>
                      <w:szCs w:val="24"/>
                    </w:rPr>
                    <w:t>《自治州大气污染防治三年攻坚行动方案（2023－2025年）》</w:t>
                  </w:r>
                </w:p>
              </w:tc>
              <w:tc>
                <w:tcPr>
                  <w:tcW w:w="2385" w:type="pct"/>
                  <w:vAlign w:val="center"/>
                </w:tcPr>
                <w:p>
                  <w:pPr>
                    <w:pStyle w:val="33"/>
                    <w:rPr>
                      <w:rFonts w:cs="Times New Roman"/>
                      <w:szCs w:val="24"/>
                    </w:rPr>
                  </w:pPr>
                  <w:r>
                    <w:rPr>
                      <w:rFonts w:hint="eastAsia" w:cs="Times New Roman"/>
                      <w:szCs w:val="24"/>
                    </w:rPr>
                    <w:t>严格落实施工工地扬尘管控责任，制定施工扬尘污染防治实施方案，在工地公示具体防治措施及负责人信息。全面推行绿色施工，严格执行“六个百分之百”，推进安装视频监控设施。重点区域道路、水务等线性工程实行分段施工。加强施工扬尘监管执法，对问题严重的依法依规实施联合惩戒</w:t>
                  </w:r>
                </w:p>
              </w:tc>
              <w:tc>
                <w:tcPr>
                  <w:tcW w:w="1477" w:type="pct"/>
                  <w:vAlign w:val="center"/>
                </w:tcPr>
                <w:p>
                  <w:pPr>
                    <w:pStyle w:val="33"/>
                    <w:jc w:val="both"/>
                    <w:rPr>
                      <w:rFonts w:cs="Times New Roman"/>
                      <w:szCs w:val="24"/>
                    </w:rPr>
                  </w:pPr>
                  <w:r>
                    <w:rPr>
                      <w:rFonts w:hint="eastAsia" w:cs="Times New Roman"/>
                      <w:szCs w:val="24"/>
                    </w:rPr>
                    <w:t>本项目在租赁厂区内建设生产车间，并配套建设清洗池和沉淀池。由于工程量较小、施工周期短、作业范围有限，在严格落实各项环保措施（如禁止夜间高噪声作业、加强洒水抑尘等）的前提下，施工期间产生的噪声、扬尘等污染物对周边环境的影响可控。因此，项目建设期的环境影响较小</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Merge w:val="restart"/>
                  <w:vAlign w:val="center"/>
                </w:tcPr>
                <w:p>
                  <w:pPr>
                    <w:pStyle w:val="33"/>
                    <w:rPr>
                      <w:rFonts w:cs="Times New Roman"/>
                      <w:szCs w:val="24"/>
                    </w:rPr>
                  </w:pPr>
                  <w:r>
                    <w:rPr>
                      <w:rFonts w:hint="eastAsia" w:cs="Times New Roman"/>
                      <w:szCs w:val="24"/>
                    </w:rPr>
                    <w:t>《新疆维吾尔自治区2025年空气质量持续改善行动实施方案》（新政办发〔2024〕58号）</w:t>
                  </w:r>
                </w:p>
              </w:tc>
              <w:tc>
                <w:tcPr>
                  <w:tcW w:w="2385" w:type="pct"/>
                  <w:vAlign w:val="center"/>
                </w:tcPr>
                <w:p>
                  <w:pPr>
                    <w:pStyle w:val="33"/>
                    <w:rPr>
                      <w:rFonts w:cs="Times New Roman"/>
                      <w:szCs w:val="24"/>
                    </w:rPr>
                  </w:pPr>
                  <w:r>
                    <w:rPr>
                      <w:rFonts w:hint="eastAsia" w:cs="Times New Roman"/>
                      <w:szCs w:val="24"/>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严格执行《产业结构调整指导目录》，依法依规淘汰落后产能。联防联控区进一步提高落后产能能耗、环保、质量、安全、技术等要求，逐步退出限制类涉气行业工艺和装备。</w:t>
                  </w:r>
                </w:p>
              </w:tc>
              <w:tc>
                <w:tcPr>
                  <w:tcW w:w="1477" w:type="pct"/>
                  <w:vAlign w:val="center"/>
                </w:tcPr>
                <w:p>
                  <w:pPr>
                    <w:pStyle w:val="33"/>
                    <w:rPr>
                      <w:rFonts w:cs="Times New Roman"/>
                      <w:szCs w:val="24"/>
                    </w:rPr>
                  </w:pPr>
                  <w:r>
                    <w:rPr>
                      <w:rFonts w:hint="eastAsia" w:cs="Times New Roman"/>
                      <w:szCs w:val="24"/>
                    </w:rPr>
                    <w:t>1.本项目属于废塑料回收加工类项目，符合国家和自治区产业规划、产业政策、生态环境分区管控方案等相关要求，不属于高耗能、高排放、低水平项目。项目原辅材料、产品采用清洁运输方式</w:t>
                  </w:r>
                </w:p>
                <w:p>
                  <w:pPr>
                    <w:pStyle w:val="33"/>
                    <w:rPr>
                      <w:rFonts w:cs="Times New Roman"/>
                      <w:szCs w:val="24"/>
                    </w:rPr>
                  </w:pPr>
                  <w:r>
                    <w:rPr>
                      <w:rFonts w:hint="eastAsia" w:cs="Times New Roman"/>
                      <w:szCs w:val="24"/>
                    </w:rPr>
                    <w:t>2.根据《产业结构调整指导目录（2024年本）》的要求，本项目属于鼓励类。项目工艺和装备不属于限制类涉气行业工艺和装备</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9" w:hRule="atLeast"/>
              </w:trPr>
              <w:tc>
                <w:tcPr>
                  <w:tcW w:w="742" w:type="pct"/>
                  <w:vMerge w:val="continue"/>
                  <w:vAlign w:val="center"/>
                </w:tcPr>
                <w:p>
                  <w:pPr>
                    <w:pStyle w:val="33"/>
                    <w:rPr>
                      <w:rFonts w:hAnsi="宋体" w:cs="宋体"/>
                      <w:spacing w:val="-10"/>
                      <w:szCs w:val="21"/>
                    </w:rPr>
                  </w:pPr>
                </w:p>
              </w:tc>
              <w:tc>
                <w:tcPr>
                  <w:tcW w:w="2385" w:type="pct"/>
                  <w:vAlign w:val="center"/>
                </w:tcPr>
                <w:p>
                  <w:pPr>
                    <w:pStyle w:val="33"/>
                    <w:rPr>
                      <w:rFonts w:cs="Times New Roman"/>
                      <w:szCs w:val="24"/>
                    </w:rPr>
                  </w:pPr>
                  <w:r>
                    <w:rPr>
                      <w:rFonts w:hint="eastAsia" w:cs="Times New Roman"/>
                      <w:szCs w:val="24"/>
                    </w:rPr>
                    <w:t>严格合理控制煤炭消费总量。在保障能源安全供应前提下，联防联控区合理控制新改扩建用煤项目；不得将使用石油焦、焦炭、兰炭等高污染燃料作为煤炭减量替代措施</w:t>
                  </w:r>
                </w:p>
              </w:tc>
              <w:tc>
                <w:tcPr>
                  <w:tcW w:w="1477" w:type="pct"/>
                  <w:vAlign w:val="center"/>
                </w:tcPr>
                <w:p>
                  <w:pPr>
                    <w:pStyle w:val="33"/>
                    <w:rPr>
                      <w:rFonts w:cs="Times New Roman"/>
                      <w:szCs w:val="24"/>
                    </w:rPr>
                  </w:pPr>
                  <w:r>
                    <w:rPr>
                      <w:rFonts w:hint="eastAsia" w:cs="Times New Roman"/>
                      <w:szCs w:val="24"/>
                    </w:rPr>
                    <w:t>本项目能源消耗主要为电力，不涉及煤炭消耗</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3"/>
                    <w:jc w:val="both"/>
                    <w:rPr>
                      <w:rFonts w:cs="Times New Roman"/>
                      <w:szCs w:val="24"/>
                    </w:rPr>
                  </w:pPr>
                  <w:r>
                    <w:rPr>
                      <w:rFonts w:hint="eastAsia" w:cs="Times New Roman"/>
                      <w:szCs w:val="24"/>
                    </w:rPr>
                    <w:t>《库尔勒市国土空间总体规划（2021-2035年）》</w:t>
                  </w:r>
                </w:p>
              </w:tc>
              <w:tc>
                <w:tcPr>
                  <w:tcW w:w="2385" w:type="pct"/>
                  <w:vAlign w:val="center"/>
                </w:tcPr>
                <w:p>
                  <w:pPr>
                    <w:pStyle w:val="33"/>
                    <w:rPr>
                      <w:rFonts w:cs="Times New Roman"/>
                      <w:szCs w:val="24"/>
                    </w:rPr>
                  </w:pPr>
                  <w:r>
                    <w:rPr>
                      <w:rFonts w:hint="eastAsia" w:cs="Times New Roman"/>
                      <w:szCs w:val="24"/>
                    </w:rPr>
                    <w:t>规划范围：库尔勒市行政辖区内全部陆域国土面积，约6786.26平方公里。总体格局：打造“一心一带、两轴四区”国土空间总体格局。其中两轴指：库格发展轴、绿洲城镇发展轴。结合丝绸之路经济带综合运输大通道建设，打造库铁（库尔勒-铁门关）国家级综合交通枢纽。以南疆区域中心城市库尔勒为核心节点，涵盖尉犁、铁门关、焉耆、博糊等主要节点，加强兵地在国家物流枢纽建设领域合作。</w:t>
                  </w:r>
                </w:p>
              </w:tc>
              <w:tc>
                <w:tcPr>
                  <w:tcW w:w="1477" w:type="pct"/>
                  <w:vAlign w:val="center"/>
                </w:tcPr>
                <w:p>
                  <w:pPr>
                    <w:pStyle w:val="33"/>
                    <w:rPr>
                      <w:rFonts w:cs="Times New Roman"/>
                      <w:szCs w:val="24"/>
                    </w:rPr>
                  </w:pPr>
                  <w:r>
                    <w:rPr>
                      <w:rFonts w:hint="eastAsia" w:cs="Times New Roman"/>
                      <w:szCs w:val="24"/>
                    </w:rPr>
                    <w:t>本项目租赁</w:t>
                  </w:r>
                  <w:r>
                    <w:rPr>
                      <w:rFonts w:hint="eastAsia"/>
                    </w:rPr>
                    <w:t>库尔勒市哈拉玉宫镇废旧物资回收加工产业园</w:t>
                  </w:r>
                  <w:r>
                    <w:rPr>
                      <w:rFonts w:cs="Times New Roman"/>
                      <w:szCs w:val="24"/>
                    </w:rPr>
                    <w:t>17-2</w:t>
                  </w:r>
                  <w:r>
                    <w:rPr>
                      <w:rFonts w:hint="eastAsia" w:cs="Times New Roman"/>
                      <w:szCs w:val="24"/>
                    </w:rPr>
                    <w:t>号厂房，租赁现有厂区实施建设，推动废物资源化利用，符合循环经济和绿色发展理念，符合国家产业政策和所在地相关规划</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3"/>
                    <w:jc w:val="both"/>
                    <w:rPr>
                      <w:rFonts w:cs="Times New Roman"/>
                      <w:szCs w:val="24"/>
                    </w:rPr>
                  </w:pPr>
                  <w:r>
                    <w:rPr>
                      <w:rFonts w:hint="eastAsia" w:cs="Times New Roman"/>
                      <w:szCs w:val="21"/>
                    </w:rPr>
                    <w:t>《国务院关于印发〈空气质量持续改善行动计划〉的通知》（国发〔2023〕24号）及自治区实施方案</w:t>
                  </w:r>
                </w:p>
              </w:tc>
              <w:tc>
                <w:tcPr>
                  <w:tcW w:w="2385" w:type="pct"/>
                  <w:vAlign w:val="center"/>
                </w:tcPr>
                <w:p>
                  <w:pPr>
                    <w:pStyle w:val="33"/>
                    <w:rPr>
                      <w:rFonts w:cs="Times New Roman"/>
                      <w:szCs w:val="24"/>
                    </w:rPr>
                  </w:pPr>
                  <w:r>
                    <w:rPr>
                      <w:rFonts w:hint="eastAsia" w:cs="Times New Roman"/>
                      <w:szCs w:val="24"/>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477" w:type="pct"/>
                  <w:vAlign w:val="center"/>
                </w:tcPr>
                <w:p>
                  <w:pPr>
                    <w:pStyle w:val="33"/>
                    <w:rPr>
                      <w:rFonts w:cs="Times New Roman"/>
                      <w:szCs w:val="24"/>
                    </w:rPr>
                  </w:pPr>
                  <w:r>
                    <w:rPr>
                      <w:rFonts w:hint="eastAsia" w:cs="Times New Roman"/>
                      <w:szCs w:val="24"/>
                    </w:rPr>
                    <w:t>本项目为生活废塑料资源化利用项目，不属于《产业结构调整指导目录》中的限制或淘汰类，且项目的能耗与排放强度显著低于同规模原生塑料制造，符合国家产业政策和生态环境分区管控要求。项目通过回收再生替代石油基原料，从源头实现碳减排和污染物削减，能效水平先进，运输方案优先采用清洁方式，坚决杜绝盲目发展，完全符合国家关于遏制“两高一低”项目、推动绿色低碳高质量发展的政策导向</w:t>
                  </w:r>
                </w:p>
              </w:tc>
              <w:tc>
                <w:tcPr>
                  <w:tcW w:w="394" w:type="pct"/>
                  <w:vAlign w:val="center"/>
                </w:tcPr>
                <w:p>
                  <w:pPr>
                    <w:pStyle w:val="33"/>
                    <w:rPr>
                      <w:rFonts w:cs="Times New Roman"/>
                      <w:szCs w:val="24"/>
                    </w:rPr>
                  </w:pPr>
                  <w:r>
                    <w:rPr>
                      <w:rFonts w:hint="eastAsia" w:cs="Times New Roman"/>
                      <w:szCs w:val="24"/>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742" w:type="pct"/>
                  <w:vAlign w:val="center"/>
                </w:tcPr>
                <w:p>
                  <w:pPr>
                    <w:pStyle w:val="33"/>
                    <w:jc w:val="both"/>
                    <w:rPr>
                      <w:rFonts w:cs="Times New Roman"/>
                      <w:szCs w:val="21"/>
                    </w:rPr>
                  </w:pPr>
                  <w:r>
                    <w:rPr>
                      <w:rFonts w:hint="eastAsia" w:cs="Times New Roman"/>
                      <w:szCs w:val="21"/>
                    </w:rPr>
                    <w:t>《2024—2025年节能降碳行动方案》</w:t>
                  </w:r>
                </w:p>
              </w:tc>
              <w:tc>
                <w:tcPr>
                  <w:tcW w:w="2385" w:type="pct"/>
                  <w:vAlign w:val="center"/>
                </w:tcPr>
                <w:p>
                  <w:pPr>
                    <w:pStyle w:val="33"/>
                    <w:jc w:val="both"/>
                    <w:rPr>
                      <w:rFonts w:cs="Times New Roman"/>
                      <w:szCs w:val="24"/>
                    </w:rPr>
                  </w:pPr>
                  <w:r>
                    <w:rPr>
                      <w:rFonts w:hint="eastAsia" w:cs="Times New Roman"/>
                      <w:szCs w:val="24"/>
                    </w:rPr>
                    <w:t>以习近平新时代中国特色社会主义思想为指导，深入贯彻党的二十大精神，全面贯彻习近平经济思想、习近平生态文明思想，坚持稳中求进工作总基调，完整、准确、全面贯彻新发展理念，一以贯之坚持节约优先方针，完善能源消耗总量和强度调控，重点控制化石能源消费，强化碳排放强度管理，分领域分行业实施节能降碳专项行动，更高水平更高质量做好节能降碳工作，更好发挥节能降碳的经济效益、社会效益和生态效益，为实现碳达峰碳中和目标奠定坚实基础</w:t>
                  </w:r>
                </w:p>
              </w:tc>
              <w:tc>
                <w:tcPr>
                  <w:tcW w:w="1477" w:type="pct"/>
                  <w:vAlign w:val="center"/>
                </w:tcPr>
                <w:p>
                  <w:pPr>
                    <w:pStyle w:val="33"/>
                    <w:rPr>
                      <w:rFonts w:cs="Times New Roman"/>
                      <w:szCs w:val="24"/>
                    </w:rPr>
                  </w:pPr>
                  <w:r>
                    <w:rPr>
                      <w:rFonts w:hint="eastAsia" w:cs="Times New Roman"/>
                      <w:szCs w:val="24"/>
                    </w:rPr>
                    <w:t>本项目以废塑料分拣、破碎为核心环节，通过高效回收再生废弃塑料资源，直接践行节约优先方针和绿色发展理念，有效减少化石能源消耗与碳排放，完全符合国家关于推动节能降碳、发展循环经济的总体战略要求，并为实现碳达峰碳中和目标提供具体的产业支撑</w:t>
                  </w:r>
                </w:p>
              </w:tc>
              <w:tc>
                <w:tcPr>
                  <w:tcW w:w="394" w:type="pct"/>
                  <w:vAlign w:val="center"/>
                </w:tcPr>
                <w:p>
                  <w:pPr>
                    <w:pStyle w:val="33"/>
                    <w:rPr>
                      <w:rFonts w:cs="Times New Roman"/>
                      <w:szCs w:val="24"/>
                    </w:rPr>
                  </w:pPr>
                  <w:r>
                    <w:rPr>
                      <w:rFonts w:hint="eastAsia" w:cs="Times New Roman"/>
                      <w:szCs w:val="24"/>
                    </w:rPr>
                    <w:t>符合</w:t>
                  </w:r>
                </w:p>
              </w:tc>
            </w:tr>
            <w:bookmarkEnd w:id="3"/>
            <w:bookmarkEnd w:id="4"/>
          </w:tbl>
          <w:p>
            <w:pPr>
              <w:ind w:firstLine="0" w:firstLineChars="0"/>
            </w:pPr>
          </w:p>
        </w:tc>
      </w:tr>
    </w:tbl>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二、建设项目工程分析</w:t>
      </w:r>
    </w:p>
    <w:tbl>
      <w:tblPr>
        <w:tblStyle w:val="25"/>
        <w:tblW w:w="9060" w:type="dxa"/>
        <w:tblInd w:w="1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86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 w:hRule="atLeast"/>
        </w:trPr>
        <w:tc>
          <w:tcPr>
            <w:tcW w:w="457" w:type="dxa"/>
            <w:vAlign w:val="center"/>
          </w:tcPr>
          <w:p>
            <w:pPr>
              <w:widowControl/>
              <w:adjustRightInd w:val="0"/>
              <w:snapToGrid w:val="0"/>
              <w:spacing w:line="240" w:lineRule="auto"/>
              <w:ind w:firstLine="0" w:firstLineChars="0"/>
              <w:jc w:val="center"/>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建设内容</w:t>
            </w:r>
          </w:p>
        </w:tc>
        <w:tc>
          <w:tcPr>
            <w:tcW w:w="8603"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项目由来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新疆中顺财达环保科技有限公司成立于2025年9月19日，主要从事再生资源回收及销售等业务。公司租赁</w:t>
            </w:r>
            <w:r>
              <w:rPr>
                <w:rFonts w:hint="eastAsia"/>
              </w:rPr>
              <w:t>库尔勒市哈拉玉宫镇废旧物资回收加工产业园17-2号厂区</w:t>
            </w:r>
            <w:r>
              <w:rPr>
                <w:rFonts w:hint="eastAsia"/>
                <w:color w:val="000000" w:themeColor="text1"/>
                <w14:textFill>
                  <w14:solidFill>
                    <w14:schemeClr w14:val="tx1"/>
                  </w14:solidFill>
                </w14:textFill>
              </w:rPr>
              <w:t>，新建厂房进行建设，购置破碎机、空分机、甩干机、色选机等设备，建设废旧塑料加工生产线。项目建成后，可实现年处理能力3万吨废塑料，有效推动废弃物资源化利用，符合循环经济和绿色发展理念</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根据《国民经济行业分类》（GB/T4754-2017），本项目所属行业代码及类别为C422，即“非金属废料和碎屑加工处理”。</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本项目原料来源于本地废品回收站的日用塑料用品、塑料玩具等，不回收沾染废矿物油、废有机溶剂、废涂料、重金属等物质的废旧塑料，也不回收含有病原微生物或重金属的医疗废物类废旧塑料。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根据《中华人民共和国环境影响评价法》和《建设项目环境保护管理条例》的有关规定，建设项目应依法履行环境影响评价手续。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据《建设项目环境影响评价分类管理名录》（2021年版）的相关规定，本项目主要从事废旧塑料的回收与加工，包括分拣、破碎、清洗等工序，最终产品为洁净塑料碎片，外售用于下游再生利用。由于生产过程中涉及清洗工艺，按照名录要求，本项目应编制环境影响评价报告表。判定依据如下：</w:t>
            </w:r>
          </w:p>
          <w:p>
            <w:pPr>
              <w:spacing w:line="240" w:lineRule="auto"/>
              <w:ind w:firstLine="422"/>
              <w:jc w:val="center"/>
              <w:rPr>
                <w:rFonts w:cs="Times New Roman"/>
                <w:b/>
                <w:bCs/>
                <w:color w:val="000000"/>
                <w:sz w:val="21"/>
                <w:szCs w:val="21"/>
              </w:rPr>
            </w:pPr>
            <w:r>
              <w:rPr>
                <w:rFonts w:cs="Times New Roman"/>
                <w:b/>
                <w:bCs/>
                <w:color w:val="000000"/>
                <w:sz w:val="21"/>
                <w:szCs w:val="21"/>
              </w:rPr>
              <w:t>表2-1  《建设项目环境影响评价分类管理名录》（2021版）（节选）</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919"/>
              <w:gridCol w:w="904"/>
              <w:gridCol w:w="3207"/>
              <w:gridCol w:w="824"/>
              <w:gridCol w:w="9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1455" w:type="pct"/>
                  <w:gridSpan w:val="2"/>
                  <w:vAlign w:val="center"/>
                </w:tcPr>
                <w:p>
                  <w:pPr>
                    <w:spacing w:line="240" w:lineRule="auto"/>
                    <w:ind w:firstLine="632" w:firstLineChars="300"/>
                    <w:jc w:val="center"/>
                    <w:rPr>
                      <w:rFonts w:cs="Times New Roman"/>
                      <w:color w:val="000000" w:themeColor="text1"/>
                      <w:sz w:val="21"/>
                      <w:szCs w:val="21"/>
                      <w14:textFill>
                        <w14:solidFill>
                          <w14:schemeClr w14:val="tx1"/>
                        </w14:solidFill>
                      </w14:textFill>
                    </w:rPr>
                  </w:pPr>
                  <w:r>
                    <w:rPr>
                      <w:rFonts w:cs="Times New Roman"/>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17145</wp:posOffset>
                            </wp:positionV>
                            <wp:extent cx="1482090" cy="789305"/>
                            <wp:effectExtent l="0" t="0" r="22860" b="29845"/>
                            <wp:wrapNone/>
                            <wp:docPr id="2" name="直接连接符 2"/>
                            <wp:cNvGraphicFramePr/>
                            <a:graphic xmlns:a="http://schemas.openxmlformats.org/drawingml/2006/main">
                              <a:graphicData uri="http://schemas.microsoft.com/office/word/2010/wordprocessingShape">
                                <wps:wsp>
                                  <wps:cNvCnPr/>
                                  <wps:spPr>
                                    <a:xfrm>
                                      <a:off x="0" y="0"/>
                                      <a:ext cx="1482090" cy="789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pt;margin-top:1.35pt;height:62.15pt;width:116.7pt;z-index:251659264;mso-width-relative:page;mso-height-relative:page;" filled="f" stroked="t" coordsize="21600,21600" o:gfxdata="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4L6rNYA&#10;AAAIAQAADwAAAAAAAAABACAAAAAiAAAAZHJzL2Rvd25yZXYueG1sUEsBAhQAFAAAAAgAh07iQEKE&#10;blDoAQAAtgMAAA4AAAAAAAAAAQAgAAAAJQEAAGRycy9lMm9Eb2MueG1sUEsFBgAAAAAGAAYAWQEA&#10;AH8FAAAAAA==&#10;">
                            <v:fill on="f" focussize="0,0"/>
                            <v:stroke weight="0.5pt" color="#000000 [3200]" miterlimit="8" joinstyle="miter"/>
                            <v:imagedata o:title=""/>
                            <o:lock v:ext="edit" aspectratio="f"/>
                          </v:line>
                        </w:pict>
                      </mc:Fallback>
                    </mc:AlternateContent>
                  </w:r>
                  <w:r>
                    <w:rPr>
                      <w:rFonts w:hint="eastAsia" w:cs="Times New Roman"/>
                      <w:color w:val="000000" w:themeColor="text1"/>
                      <w:sz w:val="21"/>
                      <w:szCs w:val="21"/>
                      <w14:textFill>
                        <w14:solidFill>
                          <w14:schemeClr w14:val="tx1"/>
                        </w14:solidFill>
                      </w14:textFill>
                    </w:rPr>
                    <w:t>环评类别</w:t>
                  </w:r>
                </w:p>
                <w:p>
                  <w:pPr>
                    <w:spacing w:line="240" w:lineRule="auto"/>
                    <w:ind w:firstLine="0" w:firstLineChars="0"/>
                    <w:rPr>
                      <w:rFonts w:cs="Times New Roman"/>
                      <w:color w:val="000000" w:themeColor="text1"/>
                      <w:sz w:val="21"/>
                      <w:szCs w:val="21"/>
                      <w14:textFill>
                        <w14:solidFill>
                          <w14:schemeClr w14:val="tx1"/>
                        </w14:solidFill>
                      </w14:textFill>
                    </w:rPr>
                  </w:pPr>
                </w:p>
                <w:p>
                  <w:pPr>
                    <w:spacing w:line="240" w:lineRule="auto"/>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项目类别</w:t>
                  </w:r>
                </w:p>
              </w:tc>
              <w:tc>
                <w:tcPr>
                  <w:tcW w:w="541"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报告书</w:t>
                  </w:r>
                </w:p>
              </w:tc>
              <w:tc>
                <w:tcPr>
                  <w:tcW w:w="1919" w:type="pct"/>
                  <w:shd w:val="clear" w:color="auto" w:fill="E7E6E6" w:themeFill="background2"/>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报告表</w:t>
                  </w:r>
                </w:p>
              </w:tc>
              <w:tc>
                <w:tcPr>
                  <w:tcW w:w="493"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登记表</w:t>
                  </w:r>
                </w:p>
              </w:tc>
              <w:tc>
                <w:tcPr>
                  <w:tcW w:w="59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本栏目环境敏感区含义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000" w:type="pct"/>
                  <w:gridSpan w:val="6"/>
                  <w:shd w:val="clear" w:color="auto" w:fill="E7E6E6" w:themeFill="background2"/>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三十九、废弃资源综合利用业42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307"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85</w:t>
                  </w:r>
                </w:p>
              </w:tc>
              <w:tc>
                <w:tcPr>
                  <w:tcW w:w="1147"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金属废料和碎屑加工处理421；非金属废料和碎屑加工处理422（421和422均不含原料为危险废物的，均不含仅分拣、破碎的）</w:t>
                  </w:r>
                </w:p>
              </w:tc>
              <w:tc>
                <w:tcPr>
                  <w:tcW w:w="541"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废电池、废油加工处理</w:t>
                  </w:r>
                </w:p>
              </w:tc>
              <w:tc>
                <w:tcPr>
                  <w:tcW w:w="1919" w:type="pct"/>
                  <w:shd w:val="clear" w:color="auto" w:fill="E7E6E6" w:themeFill="background2"/>
                  <w:vAlign w:val="center"/>
                </w:tcPr>
                <w:p>
                  <w:pPr>
                    <w:spacing w:line="240" w:lineRule="auto"/>
                    <w:ind w:firstLine="0" w:firstLineChars="0"/>
                    <w:rPr>
                      <w:rFonts w:cs="Times New Roman"/>
                      <w:color w:val="000000" w:themeColor="text1"/>
                      <w:sz w:val="21"/>
                      <w:szCs w:val="21"/>
                      <w14:textFill>
                        <w14:solidFill>
                          <w14:schemeClr w14:val="tx1"/>
                        </w14:solidFill>
                      </w14:textFill>
                    </w:rPr>
                  </w:pPr>
                  <w:r>
                    <w:rPr>
                      <w:rFonts w:hint="eastAsia"/>
                      <w:color w:val="000000"/>
                      <w:sz w:val="21"/>
                      <w:szCs w:val="21"/>
                    </w:rPr>
                    <w:t>废弃电器电子产品、废机动车、废电机、废电线电缆、废钢、废铁、金属和金属化合物矿灰及残渣、有色金属废料与碎屑、</w:t>
                  </w:r>
                  <w:r>
                    <w:rPr>
                      <w:rFonts w:hint="eastAsia"/>
                      <w:b/>
                      <w:bCs/>
                      <w:color w:val="000000"/>
                      <w:sz w:val="21"/>
                      <w:szCs w:val="21"/>
                    </w:rPr>
                    <w:t>废塑料</w:t>
                  </w:r>
                  <w:r>
                    <w:rPr>
                      <w:rFonts w:hint="eastAsia"/>
                      <w:color w:val="000000"/>
                      <w:sz w:val="21"/>
                      <w:szCs w:val="21"/>
                    </w:rPr>
                    <w:t>、废轮胎、废船、含水洗工艺的其他废料和碎屑加工处理（农业生产产生的废旧秧盘、薄膜破碎和清洗工艺的除外）</w:t>
                  </w:r>
                </w:p>
              </w:tc>
              <w:tc>
                <w:tcPr>
                  <w:tcW w:w="493"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590" w:type="pct"/>
                  <w:vAlign w:val="center"/>
                </w:tcPr>
                <w:p>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bl>
          <w:p>
            <w:pPr>
              <w:pStyle w:val="3"/>
              <w:rPr>
                <w:b w:val="0"/>
                <w:bCs w:val="0"/>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2.2</w:t>
            </w:r>
            <w:r>
              <w:rPr>
                <w:rFonts w:hint="eastAsia"/>
                <w:color w:val="000000" w:themeColor="text1"/>
                <w14:textFill>
                  <w14:solidFill>
                    <w14:schemeClr w14:val="tx1"/>
                  </w14:solidFill>
                </w14:textFill>
              </w:rPr>
              <w:t>项目概况</w:t>
            </w:r>
          </w:p>
          <w:p>
            <w:pPr>
              <w:ind w:firstLine="480"/>
            </w:pPr>
            <w:r>
              <w:t>项目名称：</w:t>
            </w:r>
            <w:r>
              <w:rPr>
                <w:rFonts w:hint="eastAsia"/>
              </w:rPr>
              <w:t>新疆中顺财达环保科技有限公司废塑料资源循环加工建设项目</w:t>
            </w:r>
            <w:r>
              <w:rPr>
                <w:rFonts w:hint="eastAsia"/>
                <w:color w:val="000000"/>
              </w:rPr>
              <w:t>；</w:t>
            </w:r>
          </w:p>
          <w:p>
            <w:pPr>
              <w:ind w:firstLine="480"/>
            </w:pPr>
            <w:r>
              <w:t>建设单位：</w:t>
            </w:r>
            <w:r>
              <w:rPr>
                <w:rFonts w:hint="eastAsia"/>
              </w:rPr>
              <w:t>新疆中顺财达环保科技有限公司；</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：新建；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项目总投资：项目总投资</w:t>
            </w:r>
            <w:r>
              <w:rPr>
                <w:rFonts w:hint="eastAsia"/>
                <w:color w:val="000000" w:themeColor="text1"/>
                <w14:textFill>
                  <w14:solidFill>
                    <w14:schemeClr w14:val="tx1"/>
                  </w14:solidFill>
                </w14:textFill>
              </w:rPr>
              <w:t>320.7</w:t>
            </w:r>
            <w:r>
              <w:rPr>
                <w:color w:val="000000" w:themeColor="text1"/>
                <w14:textFill>
                  <w14:solidFill>
                    <w14:schemeClr w14:val="tx1"/>
                  </w14:solidFill>
                </w14:textFill>
              </w:rPr>
              <w:t>万元，项目资金全部由企业自筹，本项目环保</w:t>
            </w:r>
            <w:r>
              <w:rPr>
                <w:rFonts w:hint="eastAsia"/>
                <w:color w:val="000000" w:themeColor="text1"/>
                <w14:textFill>
                  <w14:solidFill>
                    <w14:schemeClr w14:val="tx1"/>
                  </w14:solidFill>
                </w14:textFill>
              </w:rPr>
              <w:t>投资</w:t>
            </w:r>
            <w:r>
              <w:rPr>
                <w:color w:val="000000" w:themeColor="text1"/>
                <w14:textFill>
                  <w14:solidFill>
                    <w14:schemeClr w14:val="tx1"/>
                  </w14:solidFill>
                </w14:textFill>
              </w:rPr>
              <w:t>23.5万元，</w:t>
            </w:r>
            <w:r>
              <w:rPr>
                <w:rFonts w:hint="eastAsia"/>
                <w:color w:val="000000" w:themeColor="text1"/>
                <w14:textFill>
                  <w14:solidFill>
                    <w14:schemeClr w14:val="tx1"/>
                  </w14:solidFill>
                </w14:textFill>
              </w:rPr>
              <w:t>占总投资的</w:t>
            </w:r>
            <w:r>
              <w:rPr>
                <w:color w:val="000000" w:themeColor="text1"/>
                <w14:textFill>
                  <w14:solidFill>
                    <w14:schemeClr w14:val="tx1"/>
                  </w14:solidFill>
                </w14:textFill>
              </w:rPr>
              <w:t>7.33%</w:t>
            </w:r>
            <w:r>
              <w:rPr>
                <w:rFonts w:hint="eastAsia"/>
                <w:color w:val="000000" w:themeColor="text1"/>
                <w14:textFill>
                  <w14:solidFill>
                    <w14:schemeClr w14:val="tx1"/>
                  </w14:solidFill>
                </w14:textFill>
              </w:rPr>
              <w:t>；</w:t>
            </w:r>
          </w:p>
          <w:p>
            <w:pPr>
              <w:ind w:firstLine="480"/>
              <w:rPr>
                <w:color w:val="000000"/>
              </w:rPr>
            </w:pPr>
            <w:r>
              <w:rPr>
                <w:rFonts w:cs="Times New Roman"/>
              </w:rPr>
              <w:t>建设地点：</w:t>
            </w:r>
            <w:r>
              <w:rPr>
                <w:rFonts w:hint="eastAsia"/>
              </w:rPr>
              <w:t>库尔勒市哈拉玉宫镇废旧物资回收加工产业园17-2号厂区；</w:t>
            </w:r>
          </w:p>
          <w:p>
            <w:pPr>
              <w:ind w:firstLine="480"/>
              <w:rPr>
                <w:rFonts w:cs="Times New Roman"/>
              </w:rPr>
            </w:pPr>
            <w:r>
              <w:rPr>
                <w:rFonts w:cs="Times New Roman"/>
              </w:rPr>
              <w:t>周边环境：项目区</w:t>
            </w:r>
            <w:r>
              <w:rPr>
                <w:rFonts w:hint="eastAsia" w:cs="Times New Roman"/>
              </w:rPr>
              <w:t>东</w:t>
            </w:r>
            <w:r>
              <w:rPr>
                <w:rFonts w:cs="Times New Roman"/>
              </w:rPr>
              <w:t>、</w:t>
            </w:r>
            <w:r>
              <w:rPr>
                <w:rFonts w:hint="eastAsia" w:cs="Times New Roman"/>
              </w:rPr>
              <w:t>南侧为道路</w:t>
            </w:r>
            <w:r>
              <w:rPr>
                <w:rFonts w:cs="Times New Roman"/>
              </w:rPr>
              <w:t>、东侧为</w:t>
            </w:r>
            <w:r>
              <w:rPr>
                <w:rFonts w:hint="eastAsia" w:cs="Times New Roman"/>
              </w:rPr>
              <w:t>空地、北</w:t>
            </w:r>
            <w:r>
              <w:rPr>
                <w:rFonts w:cs="Times New Roman"/>
              </w:rPr>
              <w:t>侧为</w:t>
            </w:r>
            <w:r>
              <w:rPr>
                <w:rFonts w:hint="eastAsia" w:cs="Times New Roman"/>
              </w:rPr>
              <w:t>新疆飞在远方再生资源有限公司</w:t>
            </w:r>
            <w:r>
              <w:rPr>
                <w:rFonts w:cs="Times New Roman"/>
              </w:rPr>
              <w:t>。具体地理位置详见附图1《建设项目地理位置图》，项目周边环境详见附图3《建设项目周边关系图》；</w:t>
            </w:r>
          </w:p>
          <w:p>
            <w:pPr>
              <w:ind w:firstLine="480"/>
              <w:rPr>
                <w:color w:val="C00000"/>
              </w:rPr>
            </w:pPr>
            <w:r>
              <w:t>生产规模：</w:t>
            </w:r>
            <w:r>
              <w:rPr>
                <w:rFonts w:hint="eastAsia" w:cs="Times New Roman"/>
                <w:color w:val="000000" w:themeColor="text1"/>
                <w:szCs w:val="24"/>
                <w14:textFill>
                  <w14:solidFill>
                    <w14:schemeClr w14:val="tx1"/>
                  </w14:solidFill>
                </w14:textFill>
              </w:rPr>
              <w:t>年生产</w:t>
            </w:r>
            <w:r>
              <w:rPr>
                <w:rFonts w:cs="Times New Roman"/>
                <w:color w:val="000000" w:themeColor="text1"/>
                <w:szCs w:val="24"/>
                <w14:textFill>
                  <w14:solidFill>
                    <w14:schemeClr w14:val="tx1"/>
                  </w14:solidFill>
                </w14:textFill>
              </w:rPr>
              <w:t>29657.725</w:t>
            </w:r>
            <w:r>
              <w:rPr>
                <w:rFonts w:hint="eastAsia" w:cs="Times New Roman"/>
                <w:bCs/>
                <w:color w:val="000000" w:themeColor="text1"/>
                <w:kern w:val="0"/>
                <w:szCs w:val="21"/>
                <w14:textFill>
                  <w14:solidFill>
                    <w14:schemeClr w14:val="tx1"/>
                  </w14:solidFill>
                </w14:textFill>
              </w:rPr>
              <w:t>吨塑料片料</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t>生产制度：</w:t>
            </w:r>
            <w:r>
              <w:rPr>
                <w:color w:val="000000"/>
              </w:rPr>
              <w:t>本项目年工作240天</w:t>
            </w:r>
            <w:r>
              <w:rPr>
                <w:rFonts w:hint="eastAsia"/>
                <w:color w:val="000000"/>
              </w:rPr>
              <w:t>，每天</w:t>
            </w:r>
            <w:r>
              <w:rPr>
                <w:color w:val="000000"/>
              </w:rPr>
              <w:t>10</w:t>
            </w:r>
            <w:r>
              <w:rPr>
                <w:rFonts w:hint="eastAsia"/>
                <w:color w:val="000000"/>
              </w:rPr>
              <w:t>小时工作制</w:t>
            </w:r>
            <w:r>
              <w:rPr>
                <w:rFonts w:hint="eastAsia"/>
                <w:color w:val="000000" w:themeColor="text1"/>
                <w14:textFill>
                  <w14:solidFill>
                    <w14:schemeClr w14:val="tx1"/>
                  </w14:solidFill>
                </w14:textFill>
              </w:rPr>
              <w:t>，</w:t>
            </w:r>
            <w:r>
              <w:t>劳动定员3人</w:t>
            </w:r>
            <w:r>
              <w:rPr>
                <w:rFonts w:hint="eastAsia"/>
                <w:color w:val="000000" w:themeColor="text1"/>
                <w14:textFill>
                  <w14:solidFill>
                    <w14:schemeClr w14:val="tx1"/>
                  </w14:solidFill>
                </w14:textFill>
              </w:rPr>
              <w:t>。</w:t>
            </w:r>
          </w:p>
          <w:p>
            <w:pPr>
              <w:ind w:firstLine="0" w:firstLineChars="0"/>
              <w:rPr>
                <w:b/>
                <w:bCs/>
              </w:rPr>
            </w:pPr>
            <w:r>
              <w:rPr>
                <w:rFonts w:hint="eastAsia"/>
                <w:b/>
                <w:bCs/>
              </w:rPr>
              <w:t>2</w:t>
            </w:r>
            <w:r>
              <w:rPr>
                <w:b/>
                <w:bCs/>
              </w:rPr>
              <w:t>.3</w:t>
            </w:r>
            <w:r>
              <w:rPr>
                <w:rFonts w:hint="eastAsia"/>
                <w:b/>
                <w:bCs/>
              </w:rPr>
              <w:t>建设内容</w:t>
            </w:r>
          </w:p>
          <w:p>
            <w:pPr>
              <w:ind w:firstLine="482"/>
              <w:rPr>
                <w:b/>
                <w:bCs/>
              </w:rPr>
            </w:pPr>
            <w:r>
              <w:rPr>
                <w:rFonts w:hint="eastAsia"/>
                <w:b/>
                <w:bCs/>
              </w:rPr>
              <w:t>1.建设规模</w:t>
            </w:r>
          </w:p>
          <w:p>
            <w:pPr>
              <w:ind w:firstLine="480"/>
              <w:rPr>
                <w:rFonts w:cs="Times New Roman"/>
                <w:szCs w:val="32"/>
              </w:rPr>
            </w:pPr>
            <w:r>
              <w:rPr>
                <w:rFonts w:hint="eastAsia" w:cs="Times New Roman"/>
                <w:szCs w:val="32"/>
              </w:rPr>
              <w:t>本项目租赁库尔勒市哈拉玉宫镇废旧物资回收加工产业园17-2号厂区，占地总面积7104.73 m²，其中厂房建筑面积约1000 m²。厂区内安装破碎机、空分机、甩干机、色选机等设备，建设形成一条废旧塑料加工生产线，年生产塑料片料约</w:t>
            </w:r>
            <w:r>
              <w:rPr>
                <w:rFonts w:cs="Times New Roman"/>
                <w:color w:val="000000" w:themeColor="text1"/>
                <w:szCs w:val="24"/>
                <w14:textFill>
                  <w14:solidFill>
                    <w14:schemeClr w14:val="tx1"/>
                  </w14:solidFill>
                </w14:textFill>
              </w:rPr>
              <w:t>29657.725</w:t>
            </w:r>
            <w:r>
              <w:rPr>
                <w:rFonts w:hint="eastAsia" w:cs="Times New Roman"/>
                <w:szCs w:val="32"/>
              </w:rPr>
              <w:t>吨。本项目不涉及热熔造粒等塑料再生制造工序，所产塑料片料作为原料外售至下游塑料制品企业。</w:t>
            </w:r>
          </w:p>
          <w:p>
            <w:pPr>
              <w:ind w:firstLine="480"/>
              <w:rPr>
                <w:rFonts w:cs="Times New Roman"/>
                <w:bCs/>
                <w:szCs w:val="24"/>
              </w:rPr>
            </w:pPr>
            <w:r>
              <w:rPr>
                <w:rFonts w:hint="eastAsia" w:cs="Times New Roman"/>
                <w:szCs w:val="24"/>
              </w:rPr>
              <w:t>建设内容包括主体工程（生产车间）、辅助工程（办公区、</w:t>
            </w:r>
            <w:r>
              <w:rPr>
                <w:rFonts w:hint="eastAsia" w:cs="Times New Roman"/>
                <w:bCs/>
                <w:szCs w:val="24"/>
              </w:rPr>
              <w:t>沉淀池、清洗池</w:t>
            </w:r>
            <w:r>
              <w:rPr>
                <w:rFonts w:hint="eastAsia" w:cs="Times New Roman"/>
                <w:szCs w:val="24"/>
              </w:rPr>
              <w:t>等）、储运工程（</w:t>
            </w:r>
            <w:r>
              <w:rPr>
                <w:rFonts w:hint="eastAsia" w:cs="Times New Roman"/>
                <w:bCs/>
                <w:szCs w:val="24"/>
              </w:rPr>
              <w:t>原料堆场、成品堆场、晾晒场地等</w:t>
            </w:r>
            <w:r>
              <w:rPr>
                <w:rFonts w:hint="eastAsia" w:cs="Times New Roman"/>
                <w:szCs w:val="24"/>
              </w:rPr>
              <w:t>）、公用工程（供水、供电、供暖等）及环保工程（废气、废水、噪声及固体废物治理设施等）。</w:t>
            </w:r>
            <w:r>
              <w:rPr>
                <w:rFonts w:hint="eastAsia" w:cs="Times New Roman"/>
                <w:bCs/>
                <w:szCs w:val="24"/>
              </w:rPr>
              <w:t>具体情况详见表2-2。</w:t>
            </w:r>
          </w:p>
          <w:p>
            <w:pPr>
              <w:keepNext/>
              <w:adjustRightInd w:val="0"/>
              <w:snapToGrid w:val="0"/>
              <w:spacing w:before="163" w:beforeLines="50" w:line="240" w:lineRule="auto"/>
              <w:ind w:firstLine="422"/>
              <w:jc w:val="center"/>
              <w:rPr>
                <w:rFonts w:cs="Times New Roman"/>
                <w:b/>
                <w:sz w:val="21"/>
              </w:rPr>
            </w:pPr>
            <w:r>
              <w:rPr>
                <w:rFonts w:hint="eastAsia" w:cs="Times New Roman"/>
                <w:b/>
                <w:sz w:val="21"/>
              </w:rPr>
              <w:t>表2</w:t>
            </w:r>
            <w:r>
              <w:rPr>
                <w:rFonts w:cs="Times New Roman"/>
                <w:b/>
                <w:sz w:val="21"/>
              </w:rPr>
              <w:t xml:space="preserve">-2  </w:t>
            </w:r>
            <w:r>
              <w:rPr>
                <w:rFonts w:hint="eastAsia" w:cs="Times New Roman"/>
                <w:b/>
                <w:sz w:val="21"/>
              </w:rPr>
              <w:t>项目组成情况一览表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339"/>
              <w:gridCol w:w="4961"/>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bookmarkStart w:id="5" w:name="_Hlk97569549"/>
                  <w:r>
                    <w:rPr>
                      <w:rFonts w:cs="Times New Roman"/>
                      <w:color w:val="000000"/>
                      <w:sz w:val="21"/>
                      <w:szCs w:val="21"/>
                    </w:rPr>
                    <w:t>类别</w:t>
                  </w: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项目名称</w:t>
                  </w:r>
                </w:p>
              </w:tc>
              <w:tc>
                <w:tcPr>
                  <w:tcW w:w="2968"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建设内容</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主体工程</w:t>
                  </w: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生产车间</w:t>
                  </w:r>
                </w:p>
              </w:tc>
              <w:tc>
                <w:tcPr>
                  <w:tcW w:w="2968"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新建1座厂房，占地面积10</w:t>
                  </w:r>
                  <w:r>
                    <w:rPr>
                      <w:rFonts w:cs="Times New Roman"/>
                      <w:sz w:val="21"/>
                      <w:szCs w:val="21"/>
                    </w:rPr>
                    <w:t>00</w:t>
                  </w:r>
                  <w:r>
                    <w:rPr>
                      <w:rFonts w:hint="eastAsia" w:cs="Times New Roman"/>
                      <w:sz w:val="21"/>
                      <w:szCs w:val="21"/>
                    </w:rPr>
                    <w:t>m</w:t>
                  </w:r>
                  <w:r>
                    <w:rPr>
                      <w:rFonts w:hint="eastAsia" w:cs="Times New Roman"/>
                      <w:sz w:val="21"/>
                      <w:szCs w:val="21"/>
                      <w:vertAlign w:val="superscript"/>
                    </w:rPr>
                    <w:t>2</w:t>
                  </w:r>
                  <w:r>
                    <w:rPr>
                      <w:rFonts w:hint="eastAsia" w:cs="Times New Roman"/>
                      <w:sz w:val="21"/>
                      <w:szCs w:val="21"/>
                    </w:rPr>
                    <w:t>，厂房内设置有废旧塑料加工生产线，生产线均包含破碎机、空分机、甩干机、色选机</w:t>
                  </w:r>
                  <w:r>
                    <w:rPr>
                      <w:rFonts w:hint="eastAsia"/>
                      <w:color w:val="000000"/>
                      <w:sz w:val="21"/>
                      <w:szCs w:val="21"/>
                    </w:rPr>
                    <w:t>等设备</w:t>
                  </w:r>
                  <w:r>
                    <w:rPr>
                      <w:rFonts w:hint="eastAsia" w:cs="Times New Roman"/>
                      <w:sz w:val="21"/>
                      <w:szCs w:val="21"/>
                    </w:rPr>
                    <w:t>，车间地面做防渗处理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2"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辅助工程</w:t>
                  </w: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办公区</w:t>
                  </w:r>
                </w:p>
              </w:tc>
              <w:tc>
                <w:tcPr>
                  <w:tcW w:w="2968"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占地面积60</w:t>
                  </w:r>
                  <w:r>
                    <w:rPr>
                      <w:rFonts w:cs="Times New Roman"/>
                      <w:sz w:val="21"/>
                      <w:szCs w:val="21"/>
                    </w:rPr>
                    <w:t>m</w:t>
                  </w:r>
                  <w:r>
                    <w:rPr>
                      <w:rFonts w:cs="Times New Roman"/>
                      <w:sz w:val="21"/>
                      <w:szCs w:val="21"/>
                      <w:vertAlign w:val="superscript"/>
                    </w:rPr>
                    <w:t>2</w:t>
                  </w:r>
                  <w:r>
                    <w:rPr>
                      <w:rFonts w:hint="eastAsia" w:cs="Times New Roman"/>
                      <w:sz w:val="21"/>
                      <w:szCs w:val="21"/>
                    </w:rPr>
                    <w:t>，作为办公用房</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租赁现有</w:t>
                  </w:r>
                  <w:r>
                    <w:rPr>
                      <w:rFonts w:hint="eastAsia" w:cs="Times New Roman"/>
                      <w:color w:val="000000"/>
                      <w:kern w:val="0"/>
                      <w:sz w:val="21"/>
                      <w:szCs w:val="21"/>
                    </w:rPr>
                    <w:t>办公区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cs="Times New Roman"/>
                      <w:color w:val="000000"/>
                      <w:sz w:val="21"/>
                      <w:szCs w:val="21"/>
                    </w:rPr>
                    <w:t>沉淀池</w:t>
                  </w:r>
                </w:p>
              </w:tc>
              <w:tc>
                <w:tcPr>
                  <w:tcW w:w="2968" w:type="pct"/>
                  <w:vAlign w:val="center"/>
                </w:tcPr>
                <w:p>
                  <w:pPr>
                    <w:adjustRightInd w:val="0"/>
                    <w:snapToGrid w:val="0"/>
                    <w:spacing w:line="240" w:lineRule="auto"/>
                    <w:ind w:firstLine="0" w:firstLineChars="0"/>
                    <w:contextualSpacing/>
                    <w:textAlignment w:val="auto"/>
                    <w:rPr>
                      <w:rFonts w:cs="Times New Roman"/>
                      <w:sz w:val="21"/>
                      <w:szCs w:val="21"/>
                    </w:rPr>
                  </w:pPr>
                  <w:r>
                    <w:rPr>
                      <w:rFonts w:cs="Times New Roman"/>
                      <w:sz w:val="21"/>
                      <w:szCs w:val="21"/>
                    </w:rPr>
                    <w:t>三级沉淀池1座，有效容积30m³，池体采用钢筋混凝土结构，池底及池壁均作防渗处理。整体防渗性能满足等效黏土防渗层Mb≥1.5m，渗透系数K≤1×10⁻⁷cm/s的要求</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cs="Times New Roman"/>
                      <w:color w:val="000000"/>
                      <w:sz w:val="21"/>
                      <w:szCs w:val="21"/>
                    </w:rPr>
                    <w:t>清洗池</w:t>
                  </w:r>
                </w:p>
              </w:tc>
              <w:tc>
                <w:tcPr>
                  <w:tcW w:w="2968" w:type="pct"/>
                  <w:vAlign w:val="center"/>
                </w:tcPr>
                <w:p>
                  <w:pPr>
                    <w:adjustRightInd w:val="0"/>
                    <w:snapToGrid w:val="0"/>
                    <w:spacing w:line="240" w:lineRule="auto"/>
                    <w:ind w:firstLine="0" w:firstLineChars="0"/>
                    <w:contextualSpacing/>
                    <w:textAlignment w:val="auto"/>
                    <w:rPr>
                      <w:rFonts w:cs="Times New Roman"/>
                      <w:sz w:val="21"/>
                      <w:szCs w:val="21"/>
                    </w:rPr>
                  </w:pPr>
                  <w:r>
                    <w:rPr>
                      <w:rFonts w:hint="eastAsia"/>
                      <w:sz w:val="21"/>
                      <w:szCs w:val="21"/>
                    </w:rPr>
                    <w:t>设三座容积为26m³的清洗池，用于清洗破碎后的废塑料</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储运工程</w:t>
                  </w: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原料堆场</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位于生产车间东侧，用于原料堆场，</w:t>
                  </w:r>
                  <w:r>
                    <w:rPr>
                      <w:rFonts w:hint="eastAsia"/>
                      <w:color w:val="000000" w:themeColor="text1"/>
                      <w:sz w:val="21"/>
                      <w:szCs w:val="21"/>
                      <w14:textFill>
                        <w14:solidFill>
                          <w14:schemeClr w14:val="tx1"/>
                        </w14:solidFill>
                      </w14:textFill>
                    </w:rPr>
                    <w:t>使用篷布对堆放物料进行全面遮盖，防止风力扬尘，</w:t>
                  </w:r>
                  <w:r>
                    <w:rPr>
                      <w:rFonts w:hint="eastAsia" w:cs="Times New Roman"/>
                      <w:color w:val="000000" w:themeColor="text1"/>
                      <w:kern w:val="0"/>
                      <w:sz w:val="21"/>
                      <w:szCs w:val="21"/>
                      <w14:textFill>
                        <w14:solidFill>
                          <w14:schemeClr w14:val="tx1"/>
                        </w14:solidFill>
                      </w14:textFill>
                    </w:rPr>
                    <w:t>占地面积40</w:t>
                  </w:r>
                  <w:r>
                    <w:rPr>
                      <w:rFonts w:cs="Times New Roman"/>
                      <w:color w:val="000000" w:themeColor="text1"/>
                      <w:kern w:val="0"/>
                      <w:sz w:val="21"/>
                      <w:szCs w:val="21"/>
                      <w14:textFill>
                        <w14:solidFill>
                          <w14:schemeClr w14:val="tx1"/>
                        </w14:solidFill>
                      </w14:textFill>
                    </w:rPr>
                    <w:t>00m</w:t>
                  </w:r>
                  <w:r>
                    <w:rPr>
                      <w:rFonts w:cs="Times New Roman"/>
                      <w:color w:val="000000" w:themeColor="text1"/>
                      <w:kern w:val="0"/>
                      <w:sz w:val="21"/>
                      <w:szCs w:val="21"/>
                      <w:vertAlign w:val="superscript"/>
                      <w14:textFill>
                        <w14:solidFill>
                          <w14:schemeClr w14:val="tx1"/>
                        </w14:solidFill>
                      </w14:textFill>
                    </w:rPr>
                    <w:t>2</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成品堆场</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设置成品堆场区，位于生产车间东侧，用于产品堆场，占地面积10</w:t>
                  </w:r>
                  <w:r>
                    <w:rPr>
                      <w:rFonts w:cs="Times New Roman"/>
                      <w:color w:val="000000" w:themeColor="text1"/>
                      <w:kern w:val="0"/>
                      <w:sz w:val="21"/>
                      <w:szCs w:val="21"/>
                      <w14:textFill>
                        <w14:solidFill>
                          <w14:schemeClr w14:val="tx1"/>
                        </w14:solidFill>
                      </w14:textFill>
                    </w:rPr>
                    <w:t>00</w:t>
                  </w:r>
                  <w:r>
                    <w:rPr>
                      <w:rFonts w:hint="eastAsia" w:cs="Times New Roman"/>
                      <w:color w:val="000000" w:themeColor="text1"/>
                      <w:kern w:val="0"/>
                      <w:sz w:val="21"/>
                      <w:szCs w:val="21"/>
                      <w14:textFill>
                        <w14:solidFill>
                          <w14:schemeClr w14:val="tx1"/>
                        </w14:solidFill>
                      </w14:textFill>
                    </w:rPr>
                    <w:t>m</w:t>
                  </w:r>
                  <w:r>
                    <w:rPr>
                      <w:rFonts w:hint="eastAsia" w:cs="Times New Roman"/>
                      <w:color w:val="000000" w:themeColor="text1"/>
                      <w:kern w:val="0"/>
                      <w:sz w:val="21"/>
                      <w:szCs w:val="21"/>
                      <w:vertAlign w:val="superscript"/>
                      <w14:textFill>
                        <w14:solidFill>
                          <w14:schemeClr w14:val="tx1"/>
                        </w14:solidFill>
                      </w14:textFill>
                    </w:rPr>
                    <w:t>2</w:t>
                  </w:r>
                </w:p>
              </w:tc>
              <w:tc>
                <w:tcPr>
                  <w:tcW w:w="646" w:type="pct"/>
                  <w:vAlign w:val="center"/>
                </w:tcPr>
                <w:p>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晾晒场地</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cs="Times New Roman"/>
                      <w:color w:val="000000" w:themeColor="text1"/>
                      <w:kern w:val="0"/>
                      <w:sz w:val="21"/>
                      <w:szCs w:val="21"/>
                      <w14:textFill>
                        <w14:solidFill>
                          <w14:schemeClr w14:val="tx1"/>
                        </w14:solidFill>
                      </w14:textFill>
                    </w:rPr>
                    <w:t>晾晒场位于成品堆场区东侧，专门用于沉淀池沉渣的晾晒干化，占地面积为100m²</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9"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一般固体废物暂存间</w:t>
                  </w:r>
                </w:p>
              </w:tc>
              <w:tc>
                <w:tcPr>
                  <w:tcW w:w="2968" w:type="pct"/>
                  <w:vAlign w:val="center"/>
                </w:tcPr>
                <w:p>
                  <w:pPr>
                    <w:adjustRightInd w:val="0"/>
                    <w:snapToGrid w:val="0"/>
                    <w:spacing w:line="240" w:lineRule="auto"/>
                    <w:ind w:firstLine="0" w:firstLineChars="0"/>
                    <w:contextualSpacing/>
                    <w:rPr>
                      <w:sz w:val="21"/>
                      <w:szCs w:val="21"/>
                    </w:rPr>
                  </w:pPr>
                  <w:r>
                    <w:rPr>
                      <w:rFonts w:hint="eastAsia"/>
                      <w:sz w:val="21"/>
                      <w:szCs w:val="21"/>
                    </w:rPr>
                    <w:t>占地面积50m</w:t>
                  </w:r>
                  <w:r>
                    <w:rPr>
                      <w:rFonts w:hint="eastAsia"/>
                      <w:sz w:val="21"/>
                      <w:szCs w:val="21"/>
                      <w:vertAlign w:val="superscript"/>
                    </w:rPr>
                    <w:t>2</w:t>
                  </w:r>
                  <w:r>
                    <w:rPr>
                      <w:rFonts w:hint="eastAsia"/>
                      <w:sz w:val="21"/>
                      <w:szCs w:val="21"/>
                    </w:rPr>
                    <w:t>，位于生产车间内，</w:t>
                  </w:r>
                  <w:r>
                    <w:rPr>
                      <w:rFonts w:hint="eastAsia" w:cs="Times New Roman"/>
                      <w:color w:val="000000"/>
                      <w:sz w:val="21"/>
                      <w:szCs w:val="21"/>
                    </w:rPr>
                    <w:t>用于存放一般固体废物</w:t>
                  </w:r>
                </w:p>
              </w:tc>
              <w:tc>
                <w:tcPr>
                  <w:tcW w:w="646" w:type="pct"/>
                  <w:vAlign w:val="center"/>
                </w:tcPr>
                <w:p>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9"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危险废物贮存点</w:t>
                  </w:r>
                </w:p>
              </w:tc>
              <w:tc>
                <w:tcPr>
                  <w:tcW w:w="2968" w:type="pct"/>
                  <w:vAlign w:val="center"/>
                </w:tcPr>
                <w:p>
                  <w:pPr>
                    <w:adjustRightInd w:val="0"/>
                    <w:snapToGrid w:val="0"/>
                    <w:spacing w:line="240" w:lineRule="auto"/>
                    <w:ind w:firstLine="0" w:firstLineChars="0"/>
                    <w:contextualSpacing/>
                    <w:rPr>
                      <w:rFonts w:cs="Times New Roman"/>
                      <w:sz w:val="21"/>
                      <w:szCs w:val="21"/>
                    </w:rPr>
                  </w:pPr>
                  <w:r>
                    <w:rPr>
                      <w:rFonts w:hint="eastAsia" w:cs="Times New Roman"/>
                      <w:sz w:val="21"/>
                      <w:szCs w:val="21"/>
                    </w:rPr>
                    <w:t>在</w:t>
                  </w:r>
                  <w:r>
                    <w:rPr>
                      <w:rFonts w:hint="eastAsia" w:cs="Times New Roman"/>
                      <w:color w:val="000000"/>
                      <w:kern w:val="0"/>
                      <w:sz w:val="21"/>
                      <w:szCs w:val="21"/>
                    </w:rPr>
                    <w:t>原料堆场东侧</w:t>
                  </w:r>
                  <w:r>
                    <w:rPr>
                      <w:rFonts w:hint="eastAsia" w:cs="Times New Roman"/>
                      <w:sz w:val="21"/>
                      <w:szCs w:val="21"/>
                    </w:rPr>
                    <w:t>设置一处面积约</w:t>
                  </w:r>
                  <w:r>
                    <w:rPr>
                      <w:rFonts w:cs="Times New Roman"/>
                      <w:sz w:val="21"/>
                      <w:szCs w:val="21"/>
                    </w:rPr>
                    <w:t>5m</w:t>
                  </w:r>
                  <w:r>
                    <w:rPr>
                      <w:rFonts w:cs="Times New Roman"/>
                      <w:sz w:val="21"/>
                      <w:szCs w:val="21"/>
                      <w:vertAlign w:val="superscript"/>
                    </w:rPr>
                    <w:t>2</w:t>
                  </w:r>
                  <w:r>
                    <w:rPr>
                      <w:rFonts w:hint="eastAsia" w:cs="Times New Roman"/>
                      <w:sz w:val="21"/>
                      <w:szCs w:val="21"/>
                    </w:rPr>
                    <w:t>的危险废物贮存点，用于贮存危险废物</w:t>
                  </w:r>
                </w:p>
              </w:tc>
              <w:tc>
                <w:tcPr>
                  <w:tcW w:w="646" w:type="pct"/>
                  <w:vAlign w:val="center"/>
                </w:tcPr>
                <w:p>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restar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公用工程</w:t>
                  </w: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供水</w:t>
                  </w:r>
                </w:p>
              </w:tc>
              <w:tc>
                <w:tcPr>
                  <w:tcW w:w="2968"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由库尔勒市哈拉玉宫镇废旧物资回收加工产业园供水系统供给</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1"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供电</w:t>
                  </w:r>
                </w:p>
              </w:tc>
              <w:tc>
                <w:tcPr>
                  <w:tcW w:w="2968"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由库尔勒市哈拉玉宫镇废旧物资回收加工产业园</w:t>
                  </w:r>
                  <w:r>
                    <w:rPr>
                      <w:rFonts w:hint="eastAsia" w:ascii="Calibri" w:hAnsi="Calibri" w:cs="Times New Roman"/>
                      <w:sz w:val="21"/>
                      <w:szCs w:val="24"/>
                    </w:rPr>
                    <w:t>电力系统供给</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w:t>
                  </w:r>
                  <w:r>
                    <w:rPr>
                      <w:rFonts w:hint="eastAsia" w:cs="Times New Roman"/>
                      <w:color w:val="000000"/>
                      <w:sz w:val="21"/>
                      <w:szCs w:val="21"/>
                    </w:rPr>
                    <w:t>暖</w:t>
                  </w:r>
                </w:p>
              </w:tc>
              <w:tc>
                <w:tcPr>
                  <w:tcW w:w="2968" w:type="pct"/>
                  <w:vAlign w:val="center"/>
                </w:tcPr>
                <w:p>
                  <w:pPr>
                    <w:adjustRightInd w:val="0"/>
                    <w:snapToGrid w:val="0"/>
                    <w:spacing w:line="240" w:lineRule="auto"/>
                    <w:ind w:firstLine="0" w:firstLineChars="0"/>
                    <w:contextualSpacing/>
                    <w:textAlignment w:val="auto"/>
                    <w:rPr>
                      <w:rFonts w:cs="Times New Roman"/>
                      <w:color w:val="000000"/>
                      <w:sz w:val="21"/>
                      <w:szCs w:val="21"/>
                    </w:rPr>
                  </w:pPr>
                  <w:r>
                    <w:rPr>
                      <w:rFonts w:hint="eastAsia"/>
                      <w:color w:val="000000"/>
                      <w:sz w:val="21"/>
                      <w:szCs w:val="21"/>
                    </w:rPr>
                    <w:t>生产线无需供热，生活区采用电取暖</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排水</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本项目产生的生产废水经沉淀池处理后全部循环利用，不外排。生活污水进入库尔勒市哈拉玉宫镇废旧物资回收加工产业园配套建设的化粪池（总容积2</w:t>
                  </w:r>
                  <w:r>
                    <w:rPr>
                      <w:rFonts w:cs="Times New Roman"/>
                      <w:color w:val="000000" w:themeColor="text1"/>
                      <w:sz w:val="21"/>
                      <w:szCs w:val="21"/>
                      <w14:textFill>
                        <w14:solidFill>
                          <w14:schemeClr w14:val="tx1"/>
                        </w14:solidFill>
                      </w14:textFill>
                    </w:rPr>
                    <w:t>00m</w:t>
                  </w:r>
                  <w:r>
                    <w:rPr>
                      <w:rFonts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）进行预处理后，定期由吸污车抽运至库尔勒市南市区污水处理厂处理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废气治理</w:t>
                  </w:r>
                </w:p>
              </w:tc>
              <w:tc>
                <w:tcPr>
                  <w:tcW w:w="2968" w:type="pct"/>
                  <w:vAlign w:val="center"/>
                </w:tcPr>
                <w:p>
                  <w:pPr>
                    <w:adjustRightInd w:val="0"/>
                    <w:snapToGrid w:val="0"/>
                    <w:spacing w:line="240" w:lineRule="auto"/>
                    <w:ind w:firstLine="0" w:firstLineChars="0"/>
                    <w:contextualSpacing/>
                    <w:textAlignment w:val="auto"/>
                  </w:pPr>
                  <w:r>
                    <w:rPr>
                      <w:rFonts w:hint="eastAsia" w:cs="Times New Roman"/>
                      <w:sz w:val="21"/>
                      <w:szCs w:val="21"/>
                    </w:rPr>
                    <w:t>破碎工序采用湿法破碎工艺，在密闭厂房内进行</w:t>
                  </w:r>
                  <w:r>
                    <w:rPr>
                      <w:rFonts w:hint="eastAsia" w:cs="Times New Roman"/>
                      <w:color w:val="000000" w:themeColor="text1"/>
                      <w:sz w:val="21"/>
                      <w:szCs w:val="21"/>
                      <w14:textFill>
                        <w14:solidFill>
                          <w14:schemeClr w14:val="tx1"/>
                        </w14:solidFill>
                      </w14:textFill>
                    </w:rPr>
                    <w:t>，防止粉尘逸散</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废水治理</w:t>
                  </w:r>
                </w:p>
              </w:tc>
              <w:tc>
                <w:tcPr>
                  <w:tcW w:w="2968" w:type="pct"/>
                  <w:vAlign w:val="center"/>
                </w:tcPr>
                <w:p>
                  <w:pPr>
                    <w:adjustRightInd w:val="0"/>
                    <w:snapToGrid w:val="0"/>
                    <w:spacing w:line="240" w:lineRule="auto"/>
                    <w:ind w:firstLine="0" w:firstLineChars="0"/>
                    <w:contextualSpacing/>
                    <w:textAlignment w:val="auto"/>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本项目产生的生产废水经沉淀池处理后全部循环利用，不外排。生活污水进入库尔勒市哈拉玉宫镇废旧物资回收加工产业园配套建设的化粪池（总容积2</w:t>
                  </w:r>
                  <w:r>
                    <w:rPr>
                      <w:rFonts w:cs="Times New Roman"/>
                      <w:color w:val="000000" w:themeColor="text1"/>
                      <w:sz w:val="21"/>
                      <w:szCs w:val="21"/>
                      <w14:textFill>
                        <w14:solidFill>
                          <w14:schemeClr w14:val="tx1"/>
                        </w14:solidFill>
                      </w14:textFill>
                    </w:rPr>
                    <w:t>00m</w:t>
                  </w:r>
                  <w:r>
                    <w:rPr>
                      <w:rFonts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）进行预处理后，定期由吸污车抽运至库尔勒市南市区污水处理厂处理</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kern w:val="0"/>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噪声治理</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646" w:type="pc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Merge w:val="restart"/>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固体废物治理</w:t>
                  </w: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沉淀池沉渣定期清掏晾晒干后送往一般工业固废填埋场</w:t>
                  </w:r>
                </w:p>
              </w:tc>
              <w:tc>
                <w:tcPr>
                  <w:tcW w:w="646" w:type="pct"/>
                  <w:vMerge w:val="restart"/>
                  <w:vAlign w:val="center"/>
                </w:tcPr>
                <w:p>
                  <w:pPr>
                    <w:adjustRightInd w:val="0"/>
                    <w:snapToGrid w:val="0"/>
                    <w:spacing w:line="240" w:lineRule="auto"/>
                    <w:ind w:firstLine="0" w:firstLineChars="0"/>
                    <w:contextualSpacing/>
                    <w:jc w:val="center"/>
                    <w:textAlignment w:val="auto"/>
                    <w:rPr>
                      <w:rFonts w:cs="Times New Roman"/>
                      <w:color w:val="FF0000"/>
                      <w:sz w:val="21"/>
                      <w:szCs w:val="21"/>
                    </w:rPr>
                  </w:pPr>
                  <w:r>
                    <w:rPr>
                      <w:rFonts w:hint="eastAsia" w:cs="Times New Roman"/>
                      <w:color w:val="000000" w:themeColor="text1"/>
                      <w:sz w:val="21"/>
                      <w:szCs w:val="21"/>
                      <w14:textFill>
                        <w14:solidFill>
                          <w14:schemeClr w14:val="tx1"/>
                        </w14:solidFill>
                      </w14:textFill>
                    </w:rPr>
                    <w:t>新建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7"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分拣废料集中收集后定期外售至废品回收站</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生活垃圾集中收集至垃圾箱后由环卫部门统一清运</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3" w:hRule="atLeast"/>
              </w:trPr>
              <w:tc>
                <w:tcPr>
                  <w:tcW w:w="585" w:type="pct"/>
                  <w:vMerge w:val="continue"/>
                  <w:vAlign w:val="center"/>
                </w:tcPr>
                <w:p>
                  <w:pPr>
                    <w:adjustRightInd w:val="0"/>
                    <w:snapToGrid w:val="0"/>
                    <w:spacing w:line="240" w:lineRule="auto"/>
                    <w:ind w:firstLine="0" w:firstLineChars="0"/>
                    <w:contextualSpacing/>
                    <w:jc w:val="center"/>
                    <w:textAlignment w:val="auto"/>
                    <w:rPr>
                      <w:rFonts w:cs="Times New Roman"/>
                      <w:color w:val="000000"/>
                      <w:sz w:val="21"/>
                      <w:szCs w:val="21"/>
                    </w:rPr>
                  </w:pPr>
                </w:p>
              </w:tc>
              <w:tc>
                <w:tcPr>
                  <w:tcW w:w="801"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68" w:type="pct"/>
                  <w:vAlign w:val="center"/>
                </w:tcPr>
                <w:p>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危险废物集中收集后，分区存放于危险废物贮存点，定期交由有危险废物处理资质的单位回收处理</w:t>
                  </w:r>
                </w:p>
              </w:tc>
              <w:tc>
                <w:tcPr>
                  <w:tcW w:w="646" w:type="pct"/>
                  <w:vMerge w:val="continue"/>
                  <w:vAlign w:val="center"/>
                </w:tcPr>
                <w:p>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bookmarkEnd w:id="5"/>
          </w:tbl>
          <w:p>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2.产品方案</w:t>
            </w:r>
          </w:p>
          <w:p>
            <w:pPr>
              <w:ind w:firstLine="480"/>
              <w:rPr>
                <w:rFonts w:cs="Times New Roman"/>
                <w:bCs/>
                <w:szCs w:val="24"/>
              </w:rPr>
            </w:pPr>
            <w:r>
              <w:rPr>
                <w:rFonts w:hint="eastAsia"/>
                <w:bCs/>
              </w:rPr>
              <w:t>本项目产品及生产规模详见下表</w:t>
            </w:r>
            <w:r>
              <w:rPr>
                <w:rFonts w:hint="eastAsia" w:cs="Times New Roman"/>
                <w:bCs/>
                <w:szCs w:val="24"/>
              </w:rPr>
              <w:t>2</w:t>
            </w:r>
            <w:r>
              <w:rPr>
                <w:rFonts w:cs="Times New Roman"/>
                <w:bCs/>
                <w:szCs w:val="24"/>
              </w:rPr>
              <w:t>-3。</w:t>
            </w:r>
          </w:p>
          <w:p>
            <w:pPr>
              <w:pStyle w:val="38"/>
              <w:spacing w:before="163"/>
            </w:pPr>
            <w:r>
              <w:rPr>
                <w:rFonts w:hint="eastAsia"/>
              </w:rPr>
              <w:t>表</w:t>
            </w:r>
            <w:r>
              <w:t xml:space="preserve">2-3  </w:t>
            </w:r>
            <w:r>
              <w:rPr>
                <w:rFonts w:hint="eastAsia"/>
              </w:rPr>
              <w:t>产品方案一览表</w:t>
            </w:r>
          </w:p>
          <w:tbl>
            <w:tblPr>
              <w:tblStyle w:val="2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58"/>
              <w:gridCol w:w="1134"/>
              <w:gridCol w:w="1702"/>
              <w:gridCol w:w="1411"/>
              <w:gridCol w:w="2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2" w:hRule="atLeast"/>
              </w:trPr>
              <w:tc>
                <w:tcPr>
                  <w:tcW w:w="403"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序号</w:t>
                  </w:r>
                </w:p>
              </w:tc>
              <w:tc>
                <w:tcPr>
                  <w:tcW w:w="454" w:type="pct"/>
                  <w:vAlign w:val="center"/>
                </w:tcPr>
                <w:p>
                  <w:pPr>
                    <w:spacing w:line="240" w:lineRule="auto"/>
                    <w:ind w:firstLine="0" w:firstLineChars="0"/>
                    <w:contextualSpacing/>
                    <w:jc w:val="center"/>
                    <w:textAlignment w:val="auto"/>
                    <w:rPr>
                      <w:rFonts w:cs="Times New Roman"/>
                      <w:sz w:val="21"/>
                    </w:rPr>
                  </w:pPr>
                  <w:r>
                    <w:rPr>
                      <w:rFonts w:cs="Times New Roman"/>
                      <w:sz w:val="21"/>
                    </w:rPr>
                    <w:t>产品类型</w:t>
                  </w:r>
                </w:p>
              </w:tc>
              <w:tc>
                <w:tcPr>
                  <w:tcW w:w="679"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产能t</w:t>
                  </w:r>
                  <w:r>
                    <w:rPr>
                      <w:rFonts w:cs="Times New Roman"/>
                      <w:sz w:val="21"/>
                    </w:rPr>
                    <w:t>/a</w:t>
                  </w:r>
                </w:p>
              </w:tc>
              <w:tc>
                <w:tcPr>
                  <w:tcW w:w="1019"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规格/包装形式</w:t>
                  </w:r>
                </w:p>
              </w:tc>
              <w:tc>
                <w:tcPr>
                  <w:tcW w:w="845"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用途</w:t>
                  </w:r>
                </w:p>
              </w:tc>
              <w:tc>
                <w:tcPr>
                  <w:tcW w:w="1600" w:type="pct"/>
                  <w:vMerge w:val="restart"/>
                  <w:vAlign w:val="center"/>
                </w:tcPr>
                <w:p>
                  <w:pPr>
                    <w:spacing w:line="240" w:lineRule="auto"/>
                    <w:ind w:firstLine="0" w:firstLineChars="0"/>
                    <w:contextualSpacing/>
                    <w:jc w:val="left"/>
                    <w:textAlignment w:val="auto"/>
                    <w:rPr>
                      <w:rFonts w:cs="Times New Roman"/>
                      <w:sz w:val="21"/>
                    </w:rPr>
                  </w:pPr>
                  <w:r>
                    <w:rPr>
                      <w:rFonts w:hint="eastAsia" w:cs="Times New Roman"/>
                      <w:sz w:val="21"/>
                    </w:rPr>
                    <w:drawing>
                      <wp:inline distT="0" distB="0" distL="114300" distR="114300">
                        <wp:extent cx="1630680" cy="1377315"/>
                        <wp:effectExtent l="0" t="0" r="7620" b="0"/>
                        <wp:docPr id="9" name="图片 9" descr="4800ded20ff1c05dd03f83533a4b98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800ded20ff1c05dd03f83533a4b983e"/>
                                <pic:cNvPicPr>
                                  <a:picLocks noChangeAspect="1"/>
                                </pic:cNvPicPr>
                              </pic:nvPicPr>
                              <pic:blipFill>
                                <a:blip r:embed="rId12"/>
                                <a:stretch>
                                  <a:fillRect/>
                                </a:stretch>
                              </pic:blipFill>
                              <pic:spPr>
                                <a:xfrm>
                                  <a:off x="0" y="0"/>
                                  <a:ext cx="1631976" cy="1378465"/>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03"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1</w:t>
                  </w:r>
                </w:p>
              </w:tc>
              <w:tc>
                <w:tcPr>
                  <w:tcW w:w="454"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塑料碎片</w:t>
                  </w:r>
                </w:p>
              </w:tc>
              <w:tc>
                <w:tcPr>
                  <w:tcW w:w="679"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29657.725</w:t>
                  </w:r>
                </w:p>
              </w:tc>
              <w:tc>
                <w:tcPr>
                  <w:tcW w:w="1019"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粒径为1-3cm；吨装（集装袋）</w:t>
                  </w:r>
                </w:p>
              </w:tc>
              <w:tc>
                <w:tcPr>
                  <w:tcW w:w="845" w:type="pct"/>
                  <w:vAlign w:val="center"/>
                </w:tcPr>
                <w:p>
                  <w:pPr>
                    <w:spacing w:line="240" w:lineRule="auto"/>
                    <w:ind w:firstLine="0" w:firstLineChars="0"/>
                    <w:contextualSpacing/>
                    <w:jc w:val="center"/>
                    <w:textAlignment w:val="auto"/>
                    <w:rPr>
                      <w:rFonts w:cs="Times New Roman"/>
                      <w:sz w:val="21"/>
                    </w:rPr>
                  </w:pPr>
                  <w:r>
                    <w:rPr>
                      <w:rFonts w:hint="eastAsia" w:cs="Times New Roman"/>
                      <w:sz w:val="21"/>
                    </w:rPr>
                    <w:t>外售至塑料厂作为塑料颗粒生产原料</w:t>
                  </w:r>
                </w:p>
              </w:tc>
              <w:tc>
                <w:tcPr>
                  <w:tcW w:w="1600" w:type="pct"/>
                  <w:vMerge w:val="continue"/>
                  <w:vAlign w:val="center"/>
                </w:tcPr>
                <w:p>
                  <w:pPr>
                    <w:spacing w:line="240" w:lineRule="auto"/>
                    <w:ind w:firstLine="0" w:firstLineChars="0"/>
                    <w:contextualSpacing/>
                    <w:jc w:val="center"/>
                    <w:textAlignment w:val="auto"/>
                    <w:rPr>
                      <w:rFonts w:cs="Times New Roman"/>
                      <w:sz w:val="21"/>
                    </w:rPr>
                  </w:pPr>
                </w:p>
              </w:tc>
            </w:tr>
          </w:tbl>
          <w:p>
            <w:pPr>
              <w:pStyle w:val="3"/>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3.主要设备</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项目主要生产设备见下表：</w:t>
            </w:r>
          </w:p>
          <w:p>
            <w:pPr>
              <w:spacing w:line="240" w:lineRule="auto"/>
              <w:ind w:firstLine="0" w:firstLineChars="0"/>
              <w:jc w:val="center"/>
              <w:textAlignment w:val="auto"/>
              <w:rPr>
                <w:rFonts w:cs="Times New Roman"/>
                <w:b/>
                <w:bCs/>
                <w:color w:val="000000"/>
                <w:sz w:val="21"/>
                <w:szCs w:val="21"/>
              </w:rPr>
            </w:pPr>
            <w:r>
              <w:rPr>
                <w:rFonts w:cs="Times New Roman"/>
                <w:b/>
                <w:bCs/>
                <w:color w:val="000000"/>
                <w:sz w:val="21"/>
                <w:szCs w:val="21"/>
              </w:rPr>
              <w:t xml:space="preserve">表2-4  </w:t>
            </w:r>
            <w:r>
              <w:rPr>
                <w:rFonts w:hint="eastAsia" w:cs="Times New Roman"/>
                <w:b/>
                <w:bCs/>
                <w:color w:val="000000"/>
                <w:sz w:val="21"/>
                <w:szCs w:val="21"/>
              </w:rPr>
              <w:t>主要设备一览表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415"/>
              <w:gridCol w:w="1381"/>
              <w:gridCol w:w="1302"/>
              <w:gridCol w:w="2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6"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序号</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名称</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单位</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数量</w:t>
                  </w:r>
                </w:p>
              </w:tc>
              <w:tc>
                <w:tcPr>
                  <w:tcW w:w="1392"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破碎机</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392"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1600型、1200型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4"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空分机</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2</w:t>
                  </w:r>
                </w:p>
              </w:tc>
              <w:tc>
                <w:tcPr>
                  <w:tcW w:w="1392"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600型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4"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3</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甩干机</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392"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4</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色选机</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2</w:t>
                  </w:r>
                </w:p>
              </w:tc>
              <w:tc>
                <w:tcPr>
                  <w:tcW w:w="1392"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1" w:hRule="atLeast"/>
              </w:trPr>
              <w:tc>
                <w:tcPr>
                  <w:tcW w:w="557"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5</w:t>
                  </w:r>
                </w:p>
              </w:tc>
              <w:tc>
                <w:tcPr>
                  <w:tcW w:w="1444"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输送带</w:t>
                  </w:r>
                </w:p>
              </w:tc>
              <w:tc>
                <w:tcPr>
                  <w:tcW w:w="826"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个</w:t>
                  </w:r>
                </w:p>
              </w:tc>
              <w:tc>
                <w:tcPr>
                  <w:tcW w:w="779" w:type="pct"/>
                </w:tcPr>
                <w:p>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3</w:t>
                  </w:r>
                </w:p>
              </w:tc>
              <w:tc>
                <w:tcPr>
                  <w:tcW w:w="1392" w:type="pct"/>
                </w:tcPr>
                <w:p>
                  <w:pPr>
                    <w:spacing w:line="240" w:lineRule="auto"/>
                    <w:ind w:firstLine="0" w:firstLineChars="0"/>
                    <w:contextualSpacing/>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12m×1，7m×1，3m×1</w:t>
                  </w:r>
                </w:p>
              </w:tc>
            </w:tr>
          </w:tbl>
          <w:p>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4.项目主要原辅材料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（1）主要原辅材料及能源消耗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项目主要原辅材料及能源消耗见下表。</w:t>
            </w:r>
          </w:p>
          <w:p>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表2-5  项目主要原辅材料及能源消耗量一览表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580"/>
              <w:gridCol w:w="1946"/>
              <w:gridCol w:w="1656"/>
              <w:gridCol w:w="994"/>
              <w:gridCol w:w="3181"/>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07"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原料名称</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单位</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年用量</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来源</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4"/>
                    </w:rPr>
                    <w:t>废塑料</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t</w:t>
                  </w:r>
                  <w:r>
                    <w:rPr>
                      <w:rFonts w:cs="Times New Roman"/>
                      <w:sz w:val="21"/>
                      <w:szCs w:val="21"/>
                    </w:rPr>
                    <w:t>/</w:t>
                  </w:r>
                  <w:r>
                    <w:rPr>
                      <w:rFonts w:hint="eastAsia" w:cs="Times New Roman"/>
                      <w:sz w:val="21"/>
                      <w:szCs w:val="21"/>
                    </w:rPr>
                    <w:t>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30000</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生活源废塑料；回收时就按PP和PE分开收集</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31"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水</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w:t>
                  </w:r>
                  <w:r>
                    <w:rPr>
                      <w:rFonts w:cs="Times New Roman"/>
                      <w:sz w:val="21"/>
                      <w:szCs w:val="21"/>
                      <w:vertAlign w:val="superscript"/>
                    </w:rPr>
                    <w:t>3</w:t>
                  </w:r>
                  <w:r>
                    <w:rPr>
                      <w:rFonts w:cs="Times New Roman"/>
                      <w:sz w:val="21"/>
                      <w:szCs w:val="21"/>
                    </w:rPr>
                    <w:t>/a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sz w:val="21"/>
                      <w:szCs w:val="21"/>
                    </w:rPr>
                    <w:t>3358.56</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由库尔勒市哈拉玉宫镇废旧物资回收加工产业园供水系统供给</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21" w:hRule="atLeast"/>
                <w:jc w:val="center"/>
              </w:trPr>
              <w:tc>
                <w:tcPr>
                  <w:tcW w:w="34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3</w:t>
                  </w:r>
                </w:p>
              </w:tc>
              <w:tc>
                <w:tcPr>
                  <w:tcW w:w="116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电</w:t>
                  </w:r>
                </w:p>
              </w:tc>
              <w:tc>
                <w:tcPr>
                  <w:tcW w:w="99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kWh/a</w:t>
                  </w:r>
                </w:p>
              </w:tc>
              <w:tc>
                <w:tcPr>
                  <w:tcW w:w="595"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sz w:val="21"/>
                      <w:szCs w:val="21"/>
                    </w:rPr>
                    <w:t>10万</w:t>
                  </w:r>
                </w:p>
              </w:tc>
              <w:tc>
                <w:tcPr>
                  <w:tcW w:w="190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由库尔勒市哈拉玉宫镇废旧物资回收加工产业园</w:t>
                  </w:r>
                  <w:r>
                    <w:rPr>
                      <w:rFonts w:hint="eastAsia" w:ascii="Calibri" w:hAnsi="Calibri" w:cs="Times New Roman"/>
                      <w:sz w:val="21"/>
                      <w:szCs w:val="24"/>
                    </w:rPr>
                    <w:t>电力系统供给</w:t>
                  </w:r>
                </w:p>
              </w:tc>
            </w:tr>
          </w:tbl>
          <w:p>
            <w:pPr>
              <w:adjustRightInd w:val="0"/>
              <w:snapToGrid w:val="0"/>
              <w:spacing w:line="240" w:lineRule="auto"/>
              <w:ind w:firstLine="0" w:firstLineChars="0"/>
              <w:jc w:val="center"/>
              <w:textAlignment w:val="auto"/>
              <w:rPr>
                <w:rFonts w:cs="Times New Roman"/>
                <w:b/>
                <w:sz w:val="21"/>
                <w:szCs w:val="21"/>
              </w:rPr>
            </w:pPr>
            <w:bookmarkStart w:id="6" w:name="_Hlk76403418"/>
            <w:bookmarkStart w:id="7" w:name="_Hlk97245573"/>
            <w:r>
              <w:rPr>
                <w:rFonts w:cs="Times New Roman"/>
                <w:b/>
                <w:sz w:val="21"/>
                <w:szCs w:val="21"/>
              </w:rPr>
              <w:t>表2-6  项目主要原辅材料</w:t>
            </w:r>
            <w:r>
              <w:rPr>
                <w:rFonts w:hint="eastAsia" w:cs="Times New Roman"/>
                <w:b/>
                <w:sz w:val="21"/>
                <w:szCs w:val="21"/>
              </w:rPr>
              <w:t>理化性质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897"/>
              <w:gridCol w:w="745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物料名称</w:t>
                  </w:r>
                </w:p>
              </w:tc>
              <w:tc>
                <w:tcPr>
                  <w:tcW w:w="4462"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理化性质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PE（聚乙烯塑料）</w:t>
                  </w:r>
                </w:p>
              </w:tc>
              <w:tc>
                <w:tcPr>
                  <w:tcW w:w="7455" w:type="dxa"/>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4"/>
                    </w:rPr>
                    <w:t>PE学名聚乙烯，由乙烯聚合而成的高分子化合物。工业上也包括乙烯与少量a</w:t>
                  </w:r>
                  <w:r>
                    <w:rPr>
                      <w:rFonts w:hint="eastAsia" w:cs="Times New Roman"/>
                      <w:sz w:val="21"/>
                      <w:szCs w:val="24"/>
                    </w:rPr>
                    <w:t>－</w:t>
                  </w:r>
                  <w:r>
                    <w:rPr>
                      <w:rFonts w:cs="Times New Roman"/>
                      <w:sz w:val="21"/>
                      <w:szCs w:val="24"/>
                    </w:rPr>
                    <w:t>烯烃的共聚物。有低分子量、高分子量两种。低分子量的一般是无色、无味、无臭、无毒的液体密度约0.92。不溶于水，微溶于松节油、石油醚、甲苯等。耐水和大多数化学品。可用作高级润滑油和涂料等。高分子量的纯品是乳白色蜡状固体粉末，经加入稳定剂后可加工成粒状。</w:t>
                  </w:r>
                  <w:r>
                    <w:rPr>
                      <w:rFonts w:hint="eastAsia" w:cs="Times New Roman"/>
                      <w:sz w:val="21"/>
                      <w:szCs w:val="24"/>
                    </w:rPr>
                    <w:t>具有</w:t>
                  </w:r>
                  <w:r>
                    <w:rPr>
                      <w:rFonts w:cs="Times New Roman"/>
                      <w:sz w:val="21"/>
                      <w:szCs w:val="24"/>
                    </w:rPr>
                    <w:t>热塑性。在常温下不溶于有机溶剂中，但在脂肪烃、芳香烃和卤代烃中长时间接触时能溶胀。在70℃以上时可稍溶于甲苯、醋酸戊酯等中。在空气中加热和受日光影响，发生氧化作用。能耐大多数酸碱的侵蚀，吸水性小。在低温时仍能保持柔软性。电绝缘性高。由不同制法可得不同密度</w:t>
                  </w:r>
                  <w:r>
                    <w:rPr>
                      <w:rFonts w:hint="eastAsia" w:cs="Times New Roman"/>
                      <w:sz w:val="21"/>
                      <w:szCs w:val="24"/>
                    </w:rPr>
                    <w:t>（</w:t>
                  </w:r>
                  <w:r>
                    <w:rPr>
                      <w:rFonts w:cs="Times New Roman"/>
                      <w:sz w:val="21"/>
                      <w:szCs w:val="24"/>
                    </w:rPr>
                    <w:t>0.86-0.96</w:t>
                  </w:r>
                  <w:r>
                    <w:rPr>
                      <w:rFonts w:hint="eastAsia" w:cs="Times New Roman"/>
                      <w:sz w:val="21"/>
                      <w:szCs w:val="24"/>
                    </w:rPr>
                    <w:t>）</w:t>
                  </w:r>
                  <w:r>
                    <w:rPr>
                      <w:rFonts w:cs="Times New Roman"/>
                      <w:sz w:val="21"/>
                      <w:szCs w:val="24"/>
                    </w:rPr>
                    <w:t>和不同物理机械性能的产品。比重高的机械强度、熔点和硬度等，都较比重低的高。可用一般热塑性塑料的成型方法加工。主要用以制造塑料制品。如包装薄膜、容器、管道、日用品、电视和雷达的高频电绝缘材料，也用于抽丝成纤维，以及用作金属、木材和织物的涂层等</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537"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PP（聚丙烯塑料）</w:t>
                  </w:r>
                </w:p>
              </w:tc>
              <w:tc>
                <w:tcPr>
                  <w:tcW w:w="7455" w:type="dxa"/>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1"/>
                    </w:rPr>
                    <w:t>PP学名聚丙烯，比重：0.9-0.91，成型收缩率：</w:t>
                  </w:r>
                  <w:r>
                    <w:rPr>
                      <w:rFonts w:hint="eastAsia" w:cs="Times New Roman"/>
                      <w:sz w:val="21"/>
                      <w:szCs w:val="21"/>
                    </w:rPr>
                    <w:t>1.0%—2.5%</w:t>
                  </w:r>
                  <w:r>
                    <w:rPr>
                      <w:rFonts w:cs="Times New Roman"/>
                      <w:sz w:val="21"/>
                      <w:szCs w:val="21"/>
                    </w:rPr>
                    <w:t>，成型温度：160-220℃。化学和物理特性：PP是一种半</w:t>
                  </w:r>
                  <w:r>
                    <w:rPr>
                      <w:rFonts w:hint="eastAsia" w:cs="Times New Roman"/>
                      <w:sz w:val="21"/>
                      <w:szCs w:val="21"/>
                    </w:rPr>
                    <w:t>结晶性</w:t>
                  </w:r>
                  <w:r>
                    <w:rPr>
                      <w:rFonts w:cs="Times New Roman"/>
                      <w:sz w:val="21"/>
                      <w:szCs w:val="21"/>
                    </w:rPr>
                    <w:t>材料。它比PE要更坚硬并且有更高的熔点。由于均聚物型的PP温度高于0℃以上时非常脆，因此许多商业的PP材料是加入</w:t>
                  </w:r>
                  <w:r>
                    <w:rPr>
                      <w:rFonts w:hint="eastAsia" w:cs="Times New Roman"/>
                      <w:sz w:val="21"/>
                      <w:szCs w:val="21"/>
                    </w:rPr>
                    <w:t>1%～4%</w:t>
                  </w:r>
                  <w:r>
                    <w:rPr>
                      <w:rFonts w:cs="Times New Roman"/>
                      <w:sz w:val="21"/>
                      <w:szCs w:val="21"/>
                    </w:rPr>
                    <w:t>乙烯的无规则共聚物或更高比率乙烯含量的共聚物。共聚物型的PP材料有较低的热扭曲温度（100℃</w:t>
                  </w:r>
                  <w:r>
                    <w:rPr>
                      <w:rFonts w:hint="eastAsia" w:cs="Times New Roman"/>
                      <w:sz w:val="21"/>
                      <w:szCs w:val="21"/>
                    </w:rPr>
                    <w:t>）</w:t>
                  </w:r>
                  <w:r>
                    <w:rPr>
                      <w:rFonts w:cs="Times New Roman"/>
                      <w:sz w:val="21"/>
                      <w:szCs w:val="21"/>
                    </w:rPr>
                    <w:t>低透明度、低光泽度、低刚性，但是有更强的抗冲击强度。PP的强度随着乙烯含量的增加而增大。PP的维卡软化温度为150℃。由于结晶度较高，这种材料的表面刚度和抗划痕特性很好。PP不存在环境应力开裂问题。通常，采用加入玻璃纤维、金属添加剂或热塑橡胶的方法对PP进行改性。PP的流动率MFR范围在1~40。低MFR的PP材料抗冲击特性较好但延展强度较低。对于相同MFR的材料，共聚物型的强度比均聚物型的要高。由于</w:t>
                  </w:r>
                  <w:r>
                    <w:rPr>
                      <w:rFonts w:hint="eastAsia" w:cs="Times New Roman"/>
                      <w:sz w:val="21"/>
                      <w:szCs w:val="21"/>
                    </w:rPr>
                    <w:t>结晶</w:t>
                  </w:r>
                  <w:r>
                    <w:rPr>
                      <w:rFonts w:cs="Times New Roman"/>
                      <w:sz w:val="21"/>
                      <w:szCs w:val="21"/>
                    </w:rPr>
                    <w:t>，PP的收缩率相当高，一般为</w:t>
                  </w:r>
                  <w:r>
                    <w:rPr>
                      <w:rFonts w:hint="eastAsia" w:cs="Times New Roman"/>
                      <w:sz w:val="21"/>
                      <w:szCs w:val="21"/>
                    </w:rPr>
                    <w:t>1.8%～2.5%</w:t>
                  </w:r>
                  <w:r>
                    <w:rPr>
                      <w:rFonts w:cs="Times New Roman"/>
                      <w:sz w:val="21"/>
                      <w:szCs w:val="21"/>
                    </w:rPr>
                    <w:t>。并且收缩率的方向均匀性比PE-HD等材料要好得多。加入30%的玻璃添加剂可以使收缩率降到0.7%。均聚物型和共聚物型的PP材料都具有优良的抗吸湿性、抗酸碱腐蚀性、抗溶解性。然而，它对芳香烃（如苯）溶剂、氯化烃（四氯化碳）溶剂等没有抵抗力</w:t>
                  </w:r>
                </w:p>
              </w:tc>
            </w:tr>
          </w:tbl>
          <w:p>
            <w:pPr>
              <w:widowControl/>
              <w:ind w:firstLine="480"/>
              <w:rPr>
                <w:rFonts w:cs="Times New Roman"/>
              </w:rPr>
            </w:pPr>
            <w:r>
              <w:rPr>
                <w:rFonts w:hint="eastAsia" w:cs="Times New Roman"/>
              </w:rPr>
              <w:t>（2）</w:t>
            </w:r>
            <w:r>
              <w:rPr>
                <w:rFonts w:cs="Times New Roman"/>
              </w:rPr>
              <w:t>物料平衡见下表2-7。</w:t>
            </w:r>
          </w:p>
          <w:p>
            <w:pPr>
              <w:spacing w:line="240" w:lineRule="auto"/>
              <w:ind w:firstLine="422"/>
              <w:jc w:val="center"/>
              <w:rPr>
                <w:b/>
              </w:rPr>
            </w:pPr>
            <w:r>
              <w:rPr>
                <w:rFonts w:cs="Times New Roman"/>
                <w:b/>
                <w:sz w:val="21"/>
                <w:szCs w:val="21"/>
              </w:rPr>
              <w:t>表2-7  物料平衡表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668"/>
              <w:gridCol w:w="2340"/>
              <w:gridCol w:w="1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97" w:hRule="atLeast"/>
                <w:jc w:val="center"/>
              </w:trPr>
              <w:tc>
                <w:tcPr>
                  <w:tcW w:w="1452" w:type="pct"/>
                  <w:vAlign w:val="center"/>
                </w:tcPr>
                <w:p>
                  <w:pPr>
                    <w:pStyle w:val="84"/>
                    <w:rPr>
                      <w:sz w:val="21"/>
                      <w:szCs w:val="21"/>
                    </w:rPr>
                  </w:pPr>
                  <w:r>
                    <w:rPr>
                      <w:sz w:val="21"/>
                      <w:szCs w:val="21"/>
                    </w:rPr>
                    <w:t>原料</w:t>
                  </w:r>
                </w:p>
              </w:tc>
              <w:tc>
                <w:tcPr>
                  <w:tcW w:w="998" w:type="pct"/>
                  <w:vAlign w:val="center"/>
                </w:tcPr>
                <w:p>
                  <w:pPr>
                    <w:pStyle w:val="84"/>
                    <w:rPr>
                      <w:sz w:val="21"/>
                      <w:szCs w:val="21"/>
                    </w:rPr>
                  </w:pPr>
                  <w:r>
                    <w:rPr>
                      <w:sz w:val="21"/>
                      <w:szCs w:val="21"/>
                    </w:rPr>
                    <w:t>进料量（t/a）</w:t>
                  </w:r>
                </w:p>
              </w:tc>
              <w:tc>
                <w:tcPr>
                  <w:tcW w:w="1399" w:type="pct"/>
                  <w:vAlign w:val="center"/>
                </w:tcPr>
                <w:p>
                  <w:pPr>
                    <w:pStyle w:val="84"/>
                    <w:rPr>
                      <w:sz w:val="21"/>
                      <w:szCs w:val="21"/>
                    </w:rPr>
                  </w:pPr>
                  <w:r>
                    <w:rPr>
                      <w:sz w:val="21"/>
                      <w:szCs w:val="21"/>
                    </w:rPr>
                    <w:t>产品等</w:t>
                  </w:r>
                </w:p>
              </w:tc>
              <w:tc>
                <w:tcPr>
                  <w:tcW w:w="1149" w:type="pct"/>
                  <w:vAlign w:val="center"/>
                </w:tcPr>
                <w:p>
                  <w:pPr>
                    <w:pStyle w:val="84"/>
                    <w:rPr>
                      <w:sz w:val="21"/>
                      <w:szCs w:val="21"/>
                    </w:rPr>
                  </w:pPr>
                  <w:r>
                    <w:rPr>
                      <w:sz w:val="21"/>
                      <w:szCs w:val="21"/>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52" w:type="pct"/>
                  <w:vAlign w:val="center"/>
                </w:tcPr>
                <w:p>
                  <w:pPr>
                    <w:widowControl/>
                    <w:spacing w:line="240" w:lineRule="auto"/>
                    <w:ind w:firstLine="0" w:firstLineChars="0"/>
                    <w:jc w:val="center"/>
                    <w:rPr>
                      <w:rFonts w:cs="Times New Roman"/>
                      <w:sz w:val="21"/>
                      <w:szCs w:val="21"/>
                    </w:rPr>
                  </w:pPr>
                  <w:r>
                    <w:rPr>
                      <w:rFonts w:cs="Times New Roman"/>
                      <w:sz w:val="21"/>
                      <w:szCs w:val="21"/>
                    </w:rPr>
                    <w:t>废</w:t>
                  </w:r>
                  <w:r>
                    <w:rPr>
                      <w:rFonts w:hint="eastAsia" w:cs="Times New Roman"/>
                      <w:sz w:val="21"/>
                      <w:szCs w:val="21"/>
                    </w:rPr>
                    <w:t>塑料</w:t>
                  </w:r>
                </w:p>
              </w:tc>
              <w:tc>
                <w:tcPr>
                  <w:tcW w:w="998" w:type="pct"/>
                  <w:vAlign w:val="center"/>
                </w:tcPr>
                <w:p>
                  <w:pPr>
                    <w:pStyle w:val="84"/>
                    <w:rPr>
                      <w:sz w:val="21"/>
                      <w:szCs w:val="21"/>
                    </w:rPr>
                  </w:pPr>
                  <w:r>
                    <w:rPr>
                      <w:sz w:val="21"/>
                      <w:szCs w:val="21"/>
                    </w:rPr>
                    <w:t>30000</w:t>
                  </w:r>
                </w:p>
              </w:tc>
              <w:tc>
                <w:tcPr>
                  <w:tcW w:w="1399" w:type="pct"/>
                  <w:vAlign w:val="center"/>
                </w:tcPr>
                <w:p>
                  <w:pPr>
                    <w:pStyle w:val="84"/>
                    <w:rPr>
                      <w:sz w:val="21"/>
                      <w:szCs w:val="21"/>
                    </w:rPr>
                  </w:pPr>
                  <w:r>
                    <w:rPr>
                      <w:rFonts w:hint="eastAsia"/>
                      <w:sz w:val="21"/>
                      <w:szCs w:val="21"/>
                    </w:rPr>
                    <w:t>塑料碎片</w:t>
                  </w:r>
                </w:p>
              </w:tc>
              <w:tc>
                <w:tcPr>
                  <w:tcW w:w="1149" w:type="pct"/>
                  <w:vAlign w:val="center"/>
                </w:tcPr>
                <w:p>
                  <w:pPr>
                    <w:pStyle w:val="84"/>
                    <w:rPr>
                      <w:sz w:val="21"/>
                      <w:szCs w:val="21"/>
                    </w:rPr>
                  </w:pPr>
                  <w:r>
                    <w:rPr>
                      <w:sz w:val="21"/>
                      <w:szCs w:val="21"/>
                    </w:rPr>
                    <w:t>29657.725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1452" w:type="pct"/>
                  <w:vAlign w:val="center"/>
                </w:tcPr>
                <w:p>
                  <w:pPr>
                    <w:pStyle w:val="84"/>
                    <w:rPr>
                      <w:sz w:val="21"/>
                      <w:szCs w:val="21"/>
                    </w:rPr>
                  </w:pPr>
                  <w:r>
                    <w:rPr>
                      <w:rFonts w:hint="eastAsia"/>
                      <w:sz w:val="21"/>
                      <w:szCs w:val="21"/>
                    </w:rPr>
                    <w:t>/</w:t>
                  </w:r>
                </w:p>
              </w:tc>
              <w:tc>
                <w:tcPr>
                  <w:tcW w:w="998" w:type="pct"/>
                  <w:vAlign w:val="center"/>
                </w:tcPr>
                <w:p>
                  <w:pPr>
                    <w:pStyle w:val="84"/>
                    <w:rPr>
                      <w:sz w:val="21"/>
                      <w:szCs w:val="21"/>
                    </w:rPr>
                  </w:pPr>
                  <w:r>
                    <w:rPr>
                      <w:rFonts w:hint="eastAsia"/>
                      <w:sz w:val="21"/>
                      <w:szCs w:val="21"/>
                    </w:rPr>
                    <w:t>/</w:t>
                  </w:r>
                </w:p>
              </w:tc>
              <w:tc>
                <w:tcPr>
                  <w:tcW w:w="1399" w:type="pct"/>
                  <w:vAlign w:val="center"/>
                </w:tcPr>
                <w:p>
                  <w:pPr>
                    <w:pStyle w:val="84"/>
                    <w:rPr>
                      <w:sz w:val="21"/>
                      <w:szCs w:val="21"/>
                    </w:rPr>
                  </w:pPr>
                  <w:r>
                    <w:rPr>
                      <w:rFonts w:hint="eastAsia"/>
                      <w:color w:val="000000" w:themeColor="text1"/>
                      <w:sz w:val="21"/>
                      <w:szCs w:val="21"/>
                      <w14:textFill>
                        <w14:solidFill>
                          <w14:schemeClr w14:val="tx1"/>
                        </w14:solidFill>
                      </w14:textFill>
                    </w:rPr>
                    <w:t>分拣废料</w:t>
                  </w:r>
                </w:p>
              </w:tc>
              <w:tc>
                <w:tcPr>
                  <w:tcW w:w="1149" w:type="pct"/>
                  <w:vAlign w:val="center"/>
                </w:tcPr>
                <w:p>
                  <w:pPr>
                    <w:pStyle w:val="84"/>
                    <w:rPr>
                      <w:sz w:val="21"/>
                      <w:szCs w:val="21"/>
                    </w:rPr>
                  </w:pPr>
                  <w:r>
                    <w:rPr>
                      <w:sz w:val="21"/>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15" w:hRule="atLeast"/>
                <w:jc w:val="center"/>
              </w:trPr>
              <w:tc>
                <w:tcPr>
                  <w:tcW w:w="1452" w:type="pct"/>
                  <w:vAlign w:val="center"/>
                </w:tcPr>
                <w:p>
                  <w:pPr>
                    <w:pStyle w:val="84"/>
                    <w:rPr>
                      <w:sz w:val="21"/>
                      <w:szCs w:val="21"/>
                    </w:rPr>
                  </w:pPr>
                  <w:r>
                    <w:rPr>
                      <w:sz w:val="21"/>
                      <w:szCs w:val="21"/>
                    </w:rPr>
                    <w:t>/</w:t>
                  </w:r>
                </w:p>
              </w:tc>
              <w:tc>
                <w:tcPr>
                  <w:tcW w:w="998" w:type="pct"/>
                  <w:vAlign w:val="center"/>
                </w:tcPr>
                <w:p>
                  <w:pPr>
                    <w:pStyle w:val="84"/>
                    <w:rPr>
                      <w:sz w:val="21"/>
                      <w:szCs w:val="21"/>
                    </w:rPr>
                  </w:pPr>
                  <w:r>
                    <w:rPr>
                      <w:sz w:val="21"/>
                      <w:szCs w:val="21"/>
                    </w:rPr>
                    <w:t>/</w:t>
                  </w:r>
                </w:p>
              </w:tc>
              <w:tc>
                <w:tcPr>
                  <w:tcW w:w="1399" w:type="pct"/>
                  <w:vAlign w:val="center"/>
                </w:tcPr>
                <w:p>
                  <w:pPr>
                    <w:pStyle w:val="84"/>
                    <w:rPr>
                      <w:sz w:val="21"/>
                      <w:szCs w:val="21"/>
                    </w:rPr>
                  </w:pPr>
                  <w:r>
                    <w:rPr>
                      <w:rFonts w:hint="eastAsia"/>
                      <w:sz w:val="21"/>
                      <w:szCs w:val="21"/>
                    </w:rPr>
                    <w:t>沉淀池沉渣</w:t>
                  </w:r>
                </w:p>
              </w:tc>
              <w:tc>
                <w:tcPr>
                  <w:tcW w:w="1149" w:type="pct"/>
                  <w:vAlign w:val="center"/>
                </w:tcPr>
                <w:p>
                  <w:pPr>
                    <w:pStyle w:val="84"/>
                    <w:rPr>
                      <w:sz w:val="21"/>
                      <w:szCs w:val="21"/>
                    </w:rPr>
                  </w:pPr>
                  <w:r>
                    <w:rPr>
                      <w:sz w:val="21"/>
                      <w:szCs w:val="21"/>
                    </w:rPr>
                    <w:t>41.15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1" w:hRule="atLeast"/>
                <w:jc w:val="center"/>
              </w:trPr>
              <w:tc>
                <w:tcPr>
                  <w:tcW w:w="1452" w:type="pct"/>
                  <w:vAlign w:val="center"/>
                </w:tcPr>
                <w:p>
                  <w:pPr>
                    <w:pStyle w:val="84"/>
                    <w:rPr>
                      <w:sz w:val="21"/>
                      <w:szCs w:val="21"/>
                    </w:rPr>
                  </w:pPr>
                  <w:r>
                    <w:rPr>
                      <w:sz w:val="21"/>
                      <w:szCs w:val="21"/>
                    </w:rPr>
                    <w:t>/</w:t>
                  </w:r>
                </w:p>
              </w:tc>
              <w:tc>
                <w:tcPr>
                  <w:tcW w:w="998" w:type="pct"/>
                  <w:vAlign w:val="center"/>
                </w:tcPr>
                <w:p>
                  <w:pPr>
                    <w:pStyle w:val="84"/>
                    <w:rPr>
                      <w:sz w:val="21"/>
                      <w:szCs w:val="21"/>
                    </w:rPr>
                  </w:pPr>
                  <w:r>
                    <w:rPr>
                      <w:sz w:val="21"/>
                      <w:szCs w:val="21"/>
                    </w:rPr>
                    <w:t>/</w:t>
                  </w:r>
                </w:p>
              </w:tc>
              <w:tc>
                <w:tcPr>
                  <w:tcW w:w="1399" w:type="pct"/>
                  <w:vAlign w:val="center"/>
                </w:tcPr>
                <w:p>
                  <w:pPr>
                    <w:pStyle w:val="84"/>
                    <w:rPr>
                      <w:sz w:val="21"/>
                      <w:szCs w:val="21"/>
                    </w:rPr>
                  </w:pPr>
                  <w:r>
                    <w:rPr>
                      <w:rFonts w:hint="eastAsia"/>
                      <w:sz w:val="21"/>
                      <w:szCs w:val="21"/>
                    </w:rPr>
                    <w:t>颗粒物</w:t>
                  </w:r>
                </w:p>
              </w:tc>
              <w:tc>
                <w:tcPr>
                  <w:tcW w:w="1149" w:type="pct"/>
                  <w:vAlign w:val="center"/>
                </w:tcPr>
                <w:p>
                  <w:pPr>
                    <w:pStyle w:val="84"/>
                    <w:rPr>
                      <w:sz w:val="21"/>
                      <w:szCs w:val="21"/>
                    </w:rPr>
                  </w:pPr>
                  <w:r>
                    <w:rPr>
                      <w:sz w:val="21"/>
                      <w:szCs w:val="21"/>
                    </w:rPr>
                    <w:t>1.125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52" w:type="pct"/>
                  <w:vAlign w:val="center"/>
                </w:tcPr>
                <w:p>
                  <w:pPr>
                    <w:pStyle w:val="84"/>
                    <w:rPr>
                      <w:sz w:val="21"/>
                      <w:szCs w:val="21"/>
                    </w:rPr>
                  </w:pPr>
                  <w:r>
                    <w:rPr>
                      <w:sz w:val="21"/>
                      <w:szCs w:val="21"/>
                    </w:rPr>
                    <w:t>总计</w:t>
                  </w:r>
                </w:p>
              </w:tc>
              <w:tc>
                <w:tcPr>
                  <w:tcW w:w="998" w:type="pct"/>
                  <w:vAlign w:val="center"/>
                </w:tcPr>
                <w:p>
                  <w:pPr>
                    <w:pStyle w:val="84"/>
                    <w:rPr>
                      <w:sz w:val="21"/>
                      <w:szCs w:val="21"/>
                    </w:rPr>
                  </w:pPr>
                  <w:r>
                    <w:rPr>
                      <w:sz w:val="21"/>
                      <w:szCs w:val="21"/>
                    </w:rPr>
                    <w:t>30000</w:t>
                  </w:r>
                </w:p>
              </w:tc>
              <w:tc>
                <w:tcPr>
                  <w:tcW w:w="1399" w:type="pct"/>
                  <w:vAlign w:val="center"/>
                </w:tcPr>
                <w:p>
                  <w:pPr>
                    <w:pStyle w:val="84"/>
                    <w:rPr>
                      <w:sz w:val="21"/>
                      <w:szCs w:val="21"/>
                    </w:rPr>
                  </w:pPr>
                  <w:r>
                    <w:rPr>
                      <w:sz w:val="21"/>
                      <w:szCs w:val="21"/>
                    </w:rPr>
                    <w:t>总计</w:t>
                  </w:r>
                </w:p>
              </w:tc>
              <w:tc>
                <w:tcPr>
                  <w:tcW w:w="1149" w:type="pct"/>
                  <w:vAlign w:val="center"/>
                </w:tcPr>
                <w:p>
                  <w:pPr>
                    <w:pStyle w:val="84"/>
                    <w:rPr>
                      <w:sz w:val="21"/>
                      <w:szCs w:val="21"/>
                    </w:rPr>
                  </w:pPr>
                  <w:r>
                    <w:rPr>
                      <w:sz w:val="21"/>
                      <w:szCs w:val="21"/>
                    </w:rPr>
                    <w:t>30000</w:t>
                  </w:r>
                </w:p>
              </w:tc>
            </w:tr>
          </w:tbl>
          <w:p>
            <w:pPr>
              <w:pStyle w:val="3"/>
            </w:pPr>
            <w:r>
              <w:t>2.4</w:t>
            </w:r>
            <w:r>
              <w:rPr>
                <w:rFonts w:hint="eastAsia"/>
              </w:rPr>
              <w:t>劳动定员及工作制度</w:t>
            </w:r>
          </w:p>
          <w:bookmarkEnd w:id="6"/>
          <w:p>
            <w:pPr>
              <w:pStyle w:val="3"/>
              <w:ind w:firstLine="480" w:firstLineChars="200"/>
              <w:rPr>
                <w:rFonts w:cs="Times New Roman"/>
                <w:b w:val="0"/>
                <w:bCs w:val="0"/>
                <w:color w:val="000000" w:themeColor="text1"/>
                <w:szCs w:val="22"/>
                <w14:textFill>
                  <w14:solidFill>
                    <w14:schemeClr w14:val="tx1"/>
                  </w14:solidFill>
                </w14:textFill>
              </w:rPr>
            </w:pPr>
            <w:r>
              <w:rPr>
                <w:rFonts w:hint="eastAsia" w:cs="Times New Roman"/>
                <w:b w:val="0"/>
                <w:bCs w:val="0"/>
                <w:color w:val="000000" w:themeColor="text1"/>
                <w:szCs w:val="22"/>
                <w14:textFill>
                  <w14:solidFill>
                    <w14:schemeClr w14:val="tx1"/>
                  </w14:solidFill>
                </w14:textFill>
              </w:rPr>
              <w:t>本项目年工作240天，每天10小时工作制，劳动定员3人。</w:t>
            </w:r>
          </w:p>
          <w:p>
            <w:pPr>
              <w:pStyle w:val="3"/>
              <w:rPr>
                <w:color w:val="000000" w:themeColor="text1"/>
                <w14:textFill>
                  <w14:solidFill>
                    <w14:schemeClr w14:val="tx1"/>
                  </w14:solidFill>
                </w14:textFill>
              </w:rPr>
            </w:pPr>
            <w:r>
              <w:rPr>
                <w:color w:val="000000" w:themeColor="text1"/>
                <w14:textFill>
                  <w14:solidFill>
                    <w14:schemeClr w14:val="tx1"/>
                  </w14:solidFill>
                </w14:textFill>
              </w:rPr>
              <w:t>2.5</w:t>
            </w:r>
            <w:r>
              <w:rPr>
                <w:rFonts w:hint="eastAsia"/>
                <w:color w:val="000000" w:themeColor="text1"/>
                <w14:textFill>
                  <w14:solidFill>
                    <w14:schemeClr w14:val="tx1"/>
                  </w14:solidFill>
                </w14:textFill>
              </w:rPr>
              <w:t>选址及总平面布置</w:t>
            </w:r>
            <w:bookmarkEnd w:id="7"/>
          </w:p>
          <w:p>
            <w:pPr>
              <w:ind w:firstLine="480"/>
            </w:pPr>
            <w:r>
              <w:rPr>
                <w:rFonts w:hint="eastAsia"/>
              </w:rPr>
              <w:t>根据项目功能要求及场地地形条件，生产车间采用L型布局，为单层（1F）彩钢结构。内部设置生产区，原料堆场位于其东侧，成品堆场设于东侧，并配套主出入口，便于原料输入与产品输出。原料堆场与成品堆场均紧邻生产区布置，有利于物料高效转运，缩短运输距离。危险废物贮存点位于车间东南角，独立设置，满足安全防护要求。</w:t>
            </w:r>
          </w:p>
          <w:p>
            <w:pPr>
              <w:ind w:firstLine="480"/>
            </w:pPr>
            <w:r>
              <w:rPr>
                <w:rFonts w:hint="eastAsia"/>
              </w:rPr>
              <w:t>本项目结合工艺要求及所租用原厂房的布局情况，充分利旧，优化空间利用，大幅减少施工期土建工程，降低施工期对环境的影响。该布置经济合理，满足工艺流程需求，加工组装便捷，物流运输顺畅。</w:t>
            </w:r>
          </w:p>
          <w:p>
            <w:pPr>
              <w:ind w:firstLine="480"/>
            </w:pPr>
            <w:r>
              <w:rPr>
                <w:rFonts w:hint="eastAsia"/>
              </w:rPr>
              <w:t>综上所述，本项目总平面布置功能分区明确，各项配套设施均在整体布局中统筹考虑，且兼顾环保要求。从环境保护角度分析，厂区总平面布置是合理的。厂区平面图见附图2。</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公用工程</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给水</w:t>
            </w:r>
          </w:p>
          <w:p>
            <w:pPr>
              <w:ind w:firstLine="480"/>
            </w:pPr>
            <w:r>
              <w:rPr>
                <w:rFonts w:hint="eastAsia"/>
              </w:rPr>
              <w:t>本项目用水主要包括原料清洗与破碎工序的生产用水、车间地面清洗用水及生活用水，由库尔勒市哈拉玉宫镇废旧物资回收加工产业园供水系统供给</w:t>
            </w:r>
            <w:r>
              <w:t>。</w:t>
            </w:r>
          </w:p>
          <w:p>
            <w:pPr>
              <w:ind w:firstLine="480"/>
              <w:rPr>
                <w:rFonts w:cs="Times New Roman"/>
                <w:color w:val="000000"/>
              </w:rPr>
            </w:pPr>
            <w:r>
              <w:rPr>
                <w:rFonts w:hint="eastAsia" w:ascii="宋体" w:hAnsi="宋体" w:cs="宋体"/>
                <w:color w:val="000000"/>
              </w:rPr>
              <w:t>①</w:t>
            </w:r>
            <w:r>
              <w:rPr>
                <w:rFonts w:cs="Times New Roman"/>
                <w:color w:val="000000"/>
              </w:rPr>
              <w:t>清洗用水</w:t>
            </w:r>
          </w:p>
          <w:p>
            <w:pPr>
              <w:ind w:firstLine="480"/>
              <w:rPr>
                <w:rFonts w:cs="Times New Roman"/>
                <w:color w:val="000000"/>
              </w:rPr>
            </w:pPr>
            <w:r>
              <w:rPr>
                <w:rFonts w:cs="Times New Roman"/>
                <w:color w:val="000000"/>
              </w:rPr>
              <w:t>参考《排放源统计调查产排污核算方法和系数手册-42废弃资源综合利用行业系数手册》“4220非金属废料和碎屑加工处理行业”中清洗或湿法破碎+清洗废水量（废PE/PP：1.0t/t-原料）</w:t>
            </w:r>
            <w:r>
              <w:rPr>
                <w:rFonts w:hint="eastAsia" w:cs="Times New Roman"/>
                <w:color w:val="000000"/>
              </w:rPr>
              <w:t>。</w:t>
            </w:r>
          </w:p>
          <w:p>
            <w:pPr>
              <w:ind w:firstLine="480"/>
              <w:rPr>
                <w:rFonts w:cs="Times New Roman"/>
                <w:color w:val="000000"/>
              </w:rPr>
            </w:pPr>
            <w:r>
              <w:rPr>
                <w:rFonts w:hint="eastAsia" w:cs="Times New Roman"/>
                <w:color w:val="000000"/>
              </w:rPr>
              <w:t>根据本项目物料平衡，经人工分拣后，实际进入湿法破碎与清洗工序的塑料原料量为29700t/a，核算清洗废水产生量为123.75m³/d（即29700m³/a）。</w:t>
            </w:r>
          </w:p>
          <w:p>
            <w:pPr>
              <w:ind w:firstLine="480"/>
              <w:rPr>
                <w:rFonts w:cs="Times New Roman"/>
                <w:color w:val="000000"/>
              </w:rPr>
            </w:pPr>
            <w:r>
              <w:rPr>
                <w:rFonts w:hint="eastAsia" w:cs="Times New Roman"/>
                <w:color w:val="000000"/>
              </w:rPr>
              <w:t>为维持系统水平衡，综合考虑清洗与破碎过程中的水分蒸发损失（按总用水量的10%计），本项目生产总用水量核定为</w:t>
            </w:r>
            <w:r>
              <w:rPr>
                <w:rFonts w:cs="Times New Roman"/>
                <w:color w:val="000000"/>
              </w:rPr>
              <w:t>137.5</w:t>
            </w:r>
            <w:r>
              <w:rPr>
                <w:rFonts w:hint="eastAsia" w:cs="Times New Roman"/>
                <w:color w:val="000000"/>
              </w:rPr>
              <w:t>m³/d（即</w:t>
            </w:r>
            <w:r>
              <w:rPr>
                <w:rFonts w:cs="Times New Roman"/>
                <w:color w:val="000000"/>
              </w:rPr>
              <w:t>33000</w:t>
            </w:r>
            <w:r>
              <w:rPr>
                <w:rFonts w:hint="eastAsia" w:cs="Times New Roman"/>
                <w:color w:val="000000"/>
              </w:rPr>
              <w:t>m³/a）。其中：123.75m³/d的废水排入废水处理系统。</w:t>
            </w:r>
            <w:r>
              <w:rPr>
                <w:rFonts w:cs="Times New Roman"/>
                <w:color w:val="000000"/>
              </w:rPr>
              <w:t>13.75</w:t>
            </w:r>
            <w:r>
              <w:rPr>
                <w:rFonts w:hint="eastAsia" w:cs="Times New Roman"/>
                <w:color w:val="000000"/>
              </w:rPr>
              <w:t>m³/d因蒸发损失，需由新鲜水补充。</w:t>
            </w:r>
          </w:p>
          <w:p>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车间地面清洗用水</w:t>
            </w:r>
          </w:p>
          <w:p>
            <w:pPr>
              <w:ind w:firstLine="480"/>
            </w:pPr>
            <w:r>
              <w:rPr>
                <w:rFonts w:hint="eastAsia"/>
              </w:rPr>
              <w:t>地面清洗区域主要为破碎机、甩干机等产生排水的生产设施所在区域，面积约</w:t>
            </w:r>
            <w:r>
              <w:t>200 m²</w:t>
            </w:r>
            <w:r>
              <w:rPr>
                <w:rFonts w:hint="eastAsia"/>
              </w:rPr>
              <w:t>。参照同类项目经验，地面清洗用水定额约为</w:t>
            </w:r>
            <w:r>
              <w:t>1.5</w:t>
            </w:r>
            <w:r>
              <w:rPr>
                <w:rFonts w:hint="eastAsia"/>
              </w:rPr>
              <w:t>～</w:t>
            </w:r>
            <w:r>
              <w:t>3.0 L/</w:t>
            </w:r>
            <w:r>
              <w:rPr>
                <w:rFonts w:hint="eastAsia"/>
              </w:rPr>
              <w:t>（</w:t>
            </w:r>
            <w:r>
              <w:t>m²·</w:t>
            </w:r>
            <w:r>
              <w:rPr>
                <w:rFonts w:hint="eastAsia"/>
              </w:rPr>
              <w:t>次），本项目取</w:t>
            </w:r>
            <w:r>
              <w:t>3 L/m²·</w:t>
            </w:r>
            <w:r>
              <w:rPr>
                <w:rFonts w:hint="eastAsia"/>
              </w:rPr>
              <w:t>次，每</w:t>
            </w:r>
            <w:r>
              <w:t>15</w:t>
            </w:r>
            <w:r>
              <w:rPr>
                <w:rFonts w:hint="eastAsia"/>
              </w:rPr>
              <w:t>天清洗一次，年工作</w:t>
            </w:r>
            <w:r>
              <w:t>240</w:t>
            </w:r>
            <w:r>
              <w:rPr>
                <w:rFonts w:hint="eastAsia"/>
              </w:rPr>
              <w:t>天。则每次地面清洗用水量为</w:t>
            </w:r>
            <w:r>
              <w:t>0.6 </w:t>
            </w:r>
            <w:r>
              <w:rPr>
                <w:rFonts w:cs="Times New Roman"/>
              </w:rPr>
              <w:t>m³</w:t>
            </w:r>
            <w:r>
              <w:t>/</w:t>
            </w:r>
            <w:r>
              <w:rPr>
                <w:rFonts w:hint="eastAsia"/>
              </w:rPr>
              <w:t>次，</w:t>
            </w:r>
            <w:r>
              <w:rPr>
                <w:rFonts w:hint="eastAsia" w:cs="Times New Roman"/>
                <w:color w:val="000000" w:themeColor="text1"/>
                <w14:textFill>
                  <w14:solidFill>
                    <w14:schemeClr w14:val="tx1"/>
                  </w14:solidFill>
                </w14:textFill>
              </w:rPr>
              <w:t>即0</w:t>
            </w:r>
            <w:r>
              <w:rPr>
                <w:rFonts w:cs="Times New Roman"/>
                <w:color w:val="000000" w:themeColor="text1"/>
                <w14:textFill>
                  <w14:solidFill>
                    <w14:schemeClr w14:val="tx1"/>
                  </w14:solidFill>
                </w14:textFill>
              </w:rPr>
              <w:t>.04</w:t>
            </w:r>
            <w:r>
              <w:rPr>
                <w:rFonts w:cs="Times New Roman"/>
              </w:rPr>
              <w:t>m³</w:t>
            </w:r>
            <w:r>
              <w:rPr>
                <w:rFonts w:cs="Times New Roman"/>
                <w:color w:val="000000" w:themeColor="text1"/>
                <w14:textFill>
                  <w14:solidFill>
                    <w14:schemeClr w14:val="tx1"/>
                  </w14:solidFill>
                </w14:textFill>
              </w:rPr>
              <w:t>/d</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9.6</w:t>
            </w:r>
            <w:r>
              <w:rPr>
                <w:rFonts w:cs="Times New Roman"/>
              </w:rPr>
              <w:t>m³</w:t>
            </w:r>
            <w:r>
              <w:rPr>
                <w:rFonts w:cs="Times New Roman"/>
                <w:color w:val="000000" w:themeColor="text1"/>
                <w14:textFill>
                  <w14:solidFill>
                    <w14:schemeClr w14:val="tx1"/>
                  </w14:solidFill>
                </w14:textFill>
              </w:rPr>
              <w:t>/a</w:t>
            </w:r>
            <w:r>
              <w:rPr>
                <w:rFonts w:hint="eastAsia" w:cs="Times New Roman"/>
                <w:color w:val="000000" w:themeColor="text1"/>
                <w14:textFill>
                  <w14:solidFill>
                    <w14:schemeClr w14:val="tx1"/>
                  </w14:solidFill>
                </w14:textFill>
              </w:rPr>
              <w:t>）。</w:t>
            </w:r>
          </w:p>
          <w:p>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生活</w:t>
            </w:r>
            <w:r>
              <w:t>用水</w:t>
            </w:r>
          </w:p>
          <w:p>
            <w:pPr>
              <w:ind w:firstLine="480"/>
            </w:pPr>
            <w:r>
              <w:rPr>
                <w:rFonts w:hint="eastAsia"/>
              </w:rPr>
              <w:t>生活用水参照《新疆维吾尔自治区生活用水定额标准》，本项目劳动定员为3人，年工作时间为240天，人员用水量按</w:t>
            </w:r>
            <w:r>
              <w:t>80</w:t>
            </w:r>
            <w:r>
              <w:rPr>
                <w:rFonts w:hint="eastAsia"/>
              </w:rPr>
              <w:t>L/人·d计，生活用水量为</w:t>
            </w:r>
            <w:r>
              <w:t>0.24</w:t>
            </w:r>
            <w:r>
              <w:rPr>
                <w:rFonts w:hint="eastAsia"/>
              </w:rPr>
              <w:t>m</w:t>
            </w:r>
            <w:r>
              <w:rPr>
                <w:rFonts w:hint="eastAsia"/>
                <w:vertAlign w:val="superscript"/>
              </w:rPr>
              <w:t>3</w:t>
            </w:r>
            <w:r>
              <w:rPr>
                <w:rFonts w:hint="eastAsia"/>
              </w:rPr>
              <w:t>/d，</w:t>
            </w:r>
            <w:r>
              <w:t>57.6</w:t>
            </w:r>
            <w:r>
              <w:rPr>
                <w:rFonts w:hint="eastAsia"/>
              </w:rPr>
              <w:t>m</w:t>
            </w:r>
            <w:r>
              <w:rPr>
                <w:rFonts w:hint="eastAsia"/>
                <w:vertAlign w:val="superscript"/>
              </w:rPr>
              <w:t>3</w:t>
            </w:r>
            <w:r>
              <w:rPr>
                <w:rFonts w:hint="eastAsia"/>
              </w:rPr>
              <w:t>/a。</w:t>
            </w:r>
          </w:p>
          <w:p>
            <w:pPr>
              <w:ind w:firstLine="480"/>
            </w:pPr>
            <w:r>
              <w:rPr>
                <w:rFonts w:cs="Times New Roman"/>
              </w:rPr>
              <w:t>综上，项目总用新鲜水量为生产新鲜水（</w:t>
            </w:r>
            <w:r>
              <w:rPr>
                <w:rFonts w:cs="Times New Roman"/>
                <w:color w:val="000000"/>
              </w:rPr>
              <w:t>13.75</w:t>
            </w:r>
            <w:r>
              <w:rPr>
                <w:rFonts w:cs="Times New Roman"/>
              </w:rPr>
              <w:t>m³/d）+生活新鲜水（0.24m³/d）</w:t>
            </w:r>
            <w:r>
              <w:rPr>
                <w:rFonts w:hint="eastAsia" w:cs="Times New Roman"/>
              </w:rPr>
              <w:t>+</w:t>
            </w:r>
            <w:r>
              <w:rPr>
                <w:rFonts w:hint="eastAsia"/>
              </w:rPr>
              <w:t>车间地面清洗用水（</w:t>
            </w:r>
            <w:r>
              <w:rPr>
                <w:rFonts w:hint="eastAsia" w:cs="Times New Roman"/>
                <w:color w:val="000000" w:themeColor="text1"/>
                <w14:textFill>
                  <w14:solidFill>
                    <w14:schemeClr w14:val="tx1"/>
                  </w14:solidFill>
                </w14:textFill>
              </w:rPr>
              <w:t>0</w:t>
            </w:r>
            <w:r>
              <w:rPr>
                <w:rFonts w:cs="Times New Roman"/>
                <w:color w:val="000000" w:themeColor="text1"/>
                <w14:textFill>
                  <w14:solidFill>
                    <w14:schemeClr w14:val="tx1"/>
                  </w14:solidFill>
                </w14:textFill>
              </w:rPr>
              <w:t>.004</w:t>
            </w:r>
            <w:r>
              <w:rPr>
                <w:rFonts w:cs="Times New Roman"/>
              </w:rPr>
              <w:t>m³</w:t>
            </w:r>
            <w:r>
              <w:rPr>
                <w:rFonts w:cs="Times New Roman"/>
                <w:color w:val="000000" w:themeColor="text1"/>
                <w14:textFill>
                  <w14:solidFill>
                    <w14:schemeClr w14:val="tx1"/>
                  </w14:solidFill>
                </w14:textFill>
              </w:rPr>
              <w:t>/d</w:t>
            </w:r>
            <w:r>
              <w:rPr>
                <w:rFonts w:hint="eastAsia"/>
              </w:rPr>
              <w:t>）</w:t>
            </w:r>
            <w:r>
              <w:rPr>
                <w:rFonts w:cs="Times New Roman"/>
              </w:rPr>
              <w:t>=13.994m³/d（即3358.56m³/a）</w:t>
            </w:r>
            <w:r>
              <w:t>。</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排水</w:t>
            </w:r>
          </w:p>
          <w:p>
            <w:pPr>
              <w:ind w:firstLine="480"/>
              <w:rPr>
                <w:rFonts w:cs="Times New Roman"/>
              </w:rPr>
            </w:pPr>
            <w:r>
              <w:rPr>
                <w:rFonts w:hint="eastAsia" w:cs="Times New Roman"/>
              </w:rPr>
              <w:t>本项目产生的废水主要包括原料清洗废水、车间地面冲洗废水以及生活污水。</w:t>
            </w:r>
          </w:p>
          <w:p>
            <w:pPr>
              <w:ind w:firstLine="480"/>
              <w:rPr>
                <w:rFonts w:cs="Times New Roman"/>
              </w:rPr>
            </w:pPr>
            <w:r>
              <w:rPr>
                <w:rFonts w:hint="eastAsia" w:cs="Times New Roman"/>
              </w:rPr>
              <w:t>①清洗废水</w:t>
            </w:r>
          </w:p>
          <w:p>
            <w:pPr>
              <w:ind w:firstLine="480"/>
              <w:rPr>
                <w:rFonts w:cs="Times New Roman"/>
              </w:rPr>
            </w:pPr>
            <w:r>
              <w:rPr>
                <w:rFonts w:hint="eastAsia" w:cs="Times New Roman"/>
              </w:rPr>
              <w:t>参考《排放源统计调查产排污核算方法和系数手册-42废弃资源综合利用行业系数手册》“4220非金属废料和碎屑加工处理行业”中清洗或湿法破碎+清洗废水量（废PE/PP：1.0t/t-原料）。</w:t>
            </w:r>
          </w:p>
          <w:p>
            <w:pPr>
              <w:ind w:firstLine="480"/>
              <w:rPr>
                <w:rFonts w:cs="Times New Roman"/>
              </w:rPr>
            </w:pPr>
            <w:r>
              <w:rPr>
                <w:rFonts w:hint="eastAsia" w:cs="Times New Roman"/>
              </w:rPr>
              <w:t>本项目实际进入湿法破碎与清洗工序的塑料原料量为29700t/a，核算清洗及破碎工序废水产生量为123.75m³/d（即29700m³/a）。</w:t>
            </w:r>
          </w:p>
          <w:p>
            <w:pPr>
              <w:ind w:firstLine="480"/>
              <w:rPr>
                <w:rFonts w:cs="Times New Roman"/>
              </w:rPr>
            </w:pPr>
            <w:r>
              <w:rPr>
                <w:rFonts w:hint="eastAsia" w:cs="Times New Roman"/>
              </w:rPr>
              <w:t>②</w:t>
            </w:r>
            <w:r>
              <w:rPr>
                <w:rFonts w:hint="eastAsia"/>
              </w:rPr>
              <w:t>车间地面清洗废水</w:t>
            </w:r>
          </w:p>
          <w:p>
            <w:pPr>
              <w:ind w:firstLine="480"/>
              <w:rPr>
                <w:rFonts w:cs="Times New Roman"/>
              </w:rPr>
            </w:pPr>
            <w:r>
              <w:rPr>
                <w:rFonts w:hint="eastAsia" w:cs="Times New Roman"/>
              </w:rPr>
              <w:t>车间地面清洗废水产生量按用水量的</w:t>
            </w:r>
            <w:r>
              <w:rPr>
                <w:rFonts w:cs="Times New Roman"/>
              </w:rPr>
              <w:t>90%</w:t>
            </w:r>
            <w:r>
              <w:rPr>
                <w:rFonts w:hint="eastAsia" w:cs="Times New Roman"/>
              </w:rPr>
              <w:t>计，则日均废水排放量为</w:t>
            </w:r>
            <w:r>
              <w:rPr>
                <w:rFonts w:cs="Times New Roman"/>
              </w:rPr>
              <w:t>0.036 m³/d</w:t>
            </w:r>
            <w:r>
              <w:rPr>
                <w:rFonts w:hint="eastAsia" w:cs="Times New Roman"/>
              </w:rPr>
              <w:t>，年排放量为</w:t>
            </w:r>
            <w:r>
              <w:rPr>
                <w:rFonts w:cs="Times New Roman"/>
              </w:rPr>
              <w:t>8.64 m³/a</w:t>
            </w:r>
            <w:r>
              <w:rPr>
                <w:rFonts w:hint="eastAsia" w:cs="Times New Roman"/>
              </w:rPr>
              <w:t>。</w:t>
            </w:r>
          </w:p>
          <w:p>
            <w:pPr>
              <w:ind w:firstLine="480"/>
              <w:rPr>
                <w:rFonts w:cs="Times New Roman"/>
              </w:rPr>
            </w:pPr>
            <w:r>
              <w:rPr>
                <w:rFonts w:hint="eastAsia" w:cs="Times New Roman"/>
              </w:rPr>
              <w:t>项目生产废水全部经沉淀后进入清水池回用于破碎、清洗工序，循环使用，无生产废水外排。</w:t>
            </w:r>
          </w:p>
          <w:p>
            <w:pPr>
              <w:ind w:firstLine="480"/>
              <w:rPr>
                <w:rFonts w:cs="Times New Roman"/>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cs="Times New Roman"/>
              </w:rPr>
              <w:t>生活污水</w:t>
            </w:r>
          </w:p>
          <w:p>
            <w:pPr>
              <w:ind w:firstLine="480"/>
              <w:rPr>
                <w:rFonts w:cs="Times New Roman"/>
              </w:rPr>
            </w:pPr>
            <w:r>
              <w:rPr>
                <w:rFonts w:hint="eastAsia" w:cs="Times New Roman"/>
              </w:rPr>
              <w:t>污水产生量按照产生系数0.8计，则生活污水排放量为0.192m</w:t>
            </w:r>
            <w:r>
              <w:rPr>
                <w:rFonts w:hint="eastAsia" w:cs="Times New Roman"/>
                <w:vertAlign w:val="superscript"/>
              </w:rPr>
              <w:t>3</w:t>
            </w:r>
            <w:r>
              <w:rPr>
                <w:rFonts w:hint="eastAsia" w:cs="Times New Roman"/>
              </w:rPr>
              <w:t>/d，46.08m</w:t>
            </w:r>
            <w:r>
              <w:rPr>
                <w:rFonts w:hint="eastAsia" w:cs="Times New Roman"/>
                <w:vertAlign w:val="superscript"/>
              </w:rPr>
              <w:t>3</w:t>
            </w:r>
            <w:r>
              <w:rPr>
                <w:rFonts w:hint="eastAsia" w:cs="Times New Roman"/>
              </w:rPr>
              <w:t>/a。</w:t>
            </w:r>
          </w:p>
          <w:p>
            <w:pPr>
              <w:ind w:firstLine="480"/>
            </w:pPr>
            <w:r>
              <w:rPr>
                <w:rFonts w:hint="eastAsia" w:cs="Times New Roman"/>
              </w:rPr>
              <w:t>生活污水进入</w:t>
            </w:r>
            <w:r>
              <w:rPr>
                <w:rFonts w:hint="eastAsia"/>
                <w:color w:val="000000" w:themeColor="text1"/>
                <w14:textFill>
                  <w14:solidFill>
                    <w14:schemeClr w14:val="tx1"/>
                  </w14:solidFill>
                </w14:textFill>
              </w:rPr>
              <w:t>库尔勒市</w:t>
            </w:r>
            <w:r>
              <w:rPr>
                <w:rFonts w:hint="eastAsia" w:cs="Times New Roman"/>
              </w:rPr>
              <w:t>哈拉玉宫镇废旧物资回收加工产业园配套建设的化粪池（总容积200m</w:t>
            </w:r>
            <w:r>
              <w:rPr>
                <w:rFonts w:hint="eastAsia" w:cs="Times New Roman"/>
                <w:vertAlign w:val="superscript"/>
              </w:rPr>
              <w:t>3</w:t>
            </w:r>
            <w:r>
              <w:rPr>
                <w:rFonts w:hint="eastAsia" w:cs="Times New Roman"/>
              </w:rPr>
              <w:t>）进行预处理后，定期由吸污车抽运至库尔勒市南市区污水处理厂处理</w:t>
            </w:r>
            <w:r>
              <w:rPr>
                <w:rFonts w:hint="eastAsia"/>
              </w:rPr>
              <w:t>。</w:t>
            </w:r>
          </w:p>
          <w:p>
            <w:pPr>
              <w:ind w:firstLine="480"/>
            </w:pPr>
            <w:r>
              <w:rPr>
                <w:rFonts w:hint="eastAsia"/>
              </w:rPr>
              <w:t>项目给排水平衡情况见表</w:t>
            </w:r>
            <w:r>
              <w:t>2-8</w:t>
            </w:r>
            <w:r>
              <w:rPr>
                <w:rFonts w:hint="eastAsia"/>
              </w:rPr>
              <w:t>，水平衡图见图</w:t>
            </w:r>
            <w:r>
              <w:t>2-1</w:t>
            </w:r>
            <w:r>
              <w:rPr>
                <w:rFonts w:hint="eastAsia"/>
              </w:rPr>
              <w:t>。</w:t>
            </w:r>
          </w:p>
          <w:p>
            <w:pPr>
              <w:spacing w:line="240" w:lineRule="auto"/>
              <w:ind w:firstLine="482" w:firstLineChars="0"/>
              <w:jc w:val="center"/>
              <w:textAlignment w:val="auto"/>
              <w:rPr>
                <w:rFonts w:cs="Times New Roman"/>
                <w:b/>
                <w:bCs/>
                <w:color w:val="000000"/>
                <w:sz w:val="21"/>
                <w:szCs w:val="21"/>
              </w:rPr>
            </w:pPr>
            <w:r>
              <w:rPr>
                <w:rFonts w:hint="eastAsia" w:cs="Times New Roman"/>
                <w:b/>
                <w:bCs/>
                <w:color w:val="000000"/>
                <w:sz w:val="21"/>
                <w:szCs w:val="21"/>
              </w:rPr>
              <w:t>表</w:t>
            </w:r>
            <w:r>
              <w:rPr>
                <w:rFonts w:cs="Times New Roman"/>
                <w:b/>
                <w:bCs/>
                <w:color w:val="000000"/>
                <w:sz w:val="21"/>
                <w:szCs w:val="21"/>
              </w:rPr>
              <w:t xml:space="preserve">2-8  </w:t>
            </w:r>
            <w:r>
              <w:rPr>
                <w:rFonts w:hint="eastAsia" w:cs="Times New Roman"/>
                <w:b/>
                <w:bCs/>
                <w:color w:val="000000"/>
                <w:sz w:val="21"/>
                <w:szCs w:val="21"/>
              </w:rPr>
              <w:t>项目新鲜水给排水情况（单位：</w:t>
            </w:r>
            <w:r>
              <w:rPr>
                <w:rFonts w:cs="Times New Roman"/>
                <w:b/>
                <w:bCs/>
                <w:color w:val="000000"/>
                <w:sz w:val="21"/>
                <w:szCs w:val="21"/>
              </w:rPr>
              <w:t>m</w:t>
            </w:r>
            <w:r>
              <w:rPr>
                <w:rFonts w:cs="Times New Roman"/>
                <w:b/>
                <w:bCs/>
                <w:color w:val="000000"/>
                <w:sz w:val="21"/>
                <w:szCs w:val="21"/>
                <w:vertAlign w:val="superscript"/>
              </w:rPr>
              <w:t>3</w:t>
            </w:r>
            <w:r>
              <w:rPr>
                <w:rFonts w:cs="Times New Roman"/>
                <w:b/>
                <w:bCs/>
                <w:color w:val="000000"/>
                <w:sz w:val="21"/>
                <w:szCs w:val="21"/>
              </w:rPr>
              <w:t>/d</w:t>
            </w:r>
            <w:r>
              <w:rPr>
                <w:rFonts w:hint="eastAsia" w:cs="Times New Roman"/>
                <w:b/>
                <w:bCs/>
                <w:color w:val="000000"/>
                <w:sz w:val="21"/>
                <w:szCs w:val="21"/>
              </w:rPr>
              <w:t>）</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33"/>
              <w:gridCol w:w="888"/>
              <w:gridCol w:w="1078"/>
              <w:gridCol w:w="882"/>
              <w:gridCol w:w="1080"/>
              <w:gridCol w:w="2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用水</w:t>
                  </w:r>
                </w:p>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单元</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总用水量</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ascii="Segoe UI" w:hAnsi="Segoe UI" w:cs="Segoe UI"/>
                      <w:color w:val="0F1115"/>
                      <w:sz w:val="21"/>
                      <w:szCs w:val="21"/>
                      <w:shd w:val="clear" w:color="auto" w:fill="FFFFFF"/>
                    </w:rPr>
                    <w:t>新鲜水补充量</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回用</w:t>
                  </w:r>
                </w:p>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水量</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蒸发损失</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废水产生量</w:t>
                  </w:r>
                </w:p>
              </w:tc>
              <w:tc>
                <w:tcPr>
                  <w:tcW w:w="1507"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清洗用水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123.75</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13.75</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123.75</w:t>
                  </w:r>
                </w:p>
              </w:tc>
              <w:tc>
                <w:tcPr>
                  <w:tcW w:w="1507" w:type="pct"/>
                  <w:vMerge w:val="restart"/>
                  <w:shd w:val="clear" w:color="auto" w:fill="auto"/>
                  <w:vAlign w:val="center"/>
                </w:tcPr>
                <w:p>
                  <w:pPr>
                    <w:spacing w:line="240" w:lineRule="auto"/>
                    <w:ind w:firstLine="0" w:firstLineChars="0"/>
                    <w:textAlignment w:val="auto"/>
                    <w:rPr>
                      <w:rFonts w:cs="Times New Roman"/>
                      <w:color w:val="000000"/>
                      <w:sz w:val="21"/>
                      <w:szCs w:val="21"/>
                    </w:rPr>
                  </w:pPr>
                  <w:r>
                    <w:rPr>
                      <w:rFonts w:hint="eastAsia" w:cs="Times New Roman"/>
                      <w:color w:val="000000"/>
                      <w:sz w:val="21"/>
                      <w:szCs w:val="21"/>
                    </w:rPr>
                    <w:t>生产废水全部经沉淀后回用于生产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车间地面清洗用水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0.04</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.004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0.036</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.004</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0.036</w:t>
                  </w:r>
                </w:p>
              </w:tc>
              <w:tc>
                <w:tcPr>
                  <w:tcW w:w="1507" w:type="pct"/>
                  <w:vMerge w:val="continue"/>
                  <w:shd w:val="clear" w:color="auto" w:fill="auto"/>
                  <w:vAlign w:val="center"/>
                </w:tcPr>
                <w:p>
                  <w:pPr>
                    <w:spacing w:line="240" w:lineRule="auto"/>
                    <w:ind w:firstLine="0" w:firstLineChars="0"/>
                    <w:textAlignment w:val="auto"/>
                    <w:rPr>
                      <w:rFonts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生活用水</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.24</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0.24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.048</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0.192</w:t>
                  </w:r>
                </w:p>
              </w:tc>
              <w:tc>
                <w:tcPr>
                  <w:tcW w:w="1507" w:type="pct"/>
                  <w:shd w:val="clear" w:color="auto" w:fill="auto"/>
                  <w:vAlign w:val="center"/>
                </w:tcPr>
                <w:p>
                  <w:pPr>
                    <w:spacing w:line="240" w:lineRule="auto"/>
                    <w:ind w:firstLine="0" w:firstLineChars="0"/>
                    <w:textAlignment w:val="auto"/>
                    <w:rPr>
                      <w:rFonts w:cs="Times New Roman"/>
                      <w:color w:val="000000"/>
                      <w:sz w:val="21"/>
                      <w:szCs w:val="21"/>
                    </w:rPr>
                  </w:pPr>
                  <w:r>
                    <w:rPr>
                      <w:rFonts w:hint="eastAsia" w:cs="Times New Roman"/>
                      <w:color w:val="000000"/>
                      <w:sz w:val="21"/>
                      <w:szCs w:val="21"/>
                    </w:rPr>
                    <w:t>生活污水经化粪池处理后，</w:t>
                  </w:r>
                  <w:r>
                    <w:rPr>
                      <w:rFonts w:hint="eastAsia" w:hAnsi="宋体" w:cs="Times New Roman"/>
                      <w:spacing w:val="-11"/>
                      <w:sz w:val="21"/>
                      <w:szCs w:val="21"/>
                    </w:rPr>
                    <w:t>定期由吸污车抽运至库尔勒市南市区污水处理厂处理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8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合计</w:t>
                  </w:r>
                </w:p>
              </w:tc>
              <w:tc>
                <w:tcPr>
                  <w:tcW w:w="55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37.78</w:t>
                  </w:r>
                </w:p>
              </w:tc>
              <w:tc>
                <w:tcPr>
                  <w:tcW w:w="531"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3.994</w:t>
                  </w:r>
                </w:p>
              </w:tc>
              <w:tc>
                <w:tcPr>
                  <w:tcW w:w="645"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23.786</w:t>
                  </w:r>
                </w:p>
              </w:tc>
              <w:tc>
                <w:tcPr>
                  <w:tcW w:w="528"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3.802</w:t>
                  </w:r>
                </w:p>
              </w:tc>
              <w:tc>
                <w:tcPr>
                  <w:tcW w:w="646"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1</w:t>
                  </w:r>
                  <w:r>
                    <w:rPr>
                      <w:rFonts w:cs="Times New Roman"/>
                      <w:color w:val="000000"/>
                      <w:sz w:val="21"/>
                      <w:szCs w:val="21"/>
                    </w:rPr>
                    <w:t>23.978</w:t>
                  </w:r>
                </w:p>
              </w:tc>
              <w:tc>
                <w:tcPr>
                  <w:tcW w:w="1507" w:type="pct"/>
                  <w:shd w:val="clear" w:color="auto" w:fill="auto"/>
                  <w:vAlign w:val="center"/>
                </w:tcPr>
                <w:p>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w:t>
                  </w:r>
                </w:p>
              </w:tc>
            </w:tr>
          </w:tbl>
          <w:p>
            <w:pPr>
              <w:ind w:firstLine="0" w:firstLineChars="0"/>
              <w:jc w:val="center"/>
            </w:pPr>
            <w:r>
              <w:drawing>
                <wp:inline distT="0" distB="0" distL="0" distR="0">
                  <wp:extent cx="5273675" cy="3198495"/>
                  <wp:effectExtent l="19050" t="19050" r="22225" b="209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80693" cy="3202766"/>
                          </a:xfrm>
                          <a:prstGeom prst="rect">
                            <a:avLst/>
                          </a:prstGeom>
                          <a:ln>
                            <a:solidFill>
                              <a:schemeClr val="tx1"/>
                            </a:solidFill>
                          </a:ln>
                        </pic:spPr>
                      </pic:pic>
                    </a:graphicData>
                  </a:graphic>
                </wp:inline>
              </w:drawing>
            </w:r>
          </w:p>
          <w:p>
            <w:pPr>
              <w:pStyle w:val="38"/>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项目水平衡图（单位：m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供暖</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生产线无需供热，生活区采用电取暖。</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.6.4</w:t>
            </w:r>
            <w:r>
              <w:rPr>
                <w:rFonts w:hint="eastAsia"/>
                <w:color w:val="000000" w:themeColor="text1"/>
                <w14:textFill>
                  <w14:solidFill>
                    <w14:schemeClr w14:val="tx1"/>
                  </w14:solidFill>
                </w14:textFill>
              </w:rPr>
              <w:t>供电</w:t>
            </w:r>
          </w:p>
          <w:p>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由库尔勒市哈拉玉宫镇废旧物资回收加工产业园电力系统供给。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7" w:type="dxa"/>
            <w:vAlign w:val="center"/>
          </w:tcPr>
          <w:p>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工艺流程和产排污环节</w:t>
            </w:r>
          </w:p>
        </w:tc>
        <w:tc>
          <w:tcPr>
            <w:tcW w:w="8603"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工艺流程与产污环节分析</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.7.1施工期工艺流程和产排污环节</w:t>
            </w:r>
          </w:p>
          <w:p>
            <w:pPr>
              <w:ind w:firstLine="480"/>
              <w:textAlignment w:val="auto"/>
            </w:pPr>
            <w:r>
              <w:rPr>
                <w:rFonts w:hint="eastAsia"/>
              </w:rPr>
              <w:t>本项目主要建设内容包括：新建1000 m²生产车间，实施4000 m²地面硬化工程，并配套建设原料堆场、成品堆场等附属设施。施工过程中将产生噪声、废气、废水和固体废物等污染物，主要产污环节及施工流程如下图所示。</w:t>
            </w:r>
          </w:p>
          <w:p>
            <w:pPr>
              <w:ind w:firstLine="0" w:firstLineChars="0"/>
              <w:jc w:val="center"/>
              <w:rPr>
                <w:rFonts w:ascii="Calibri" w:hAnsi="Calibri" w:cs="Times New Roman"/>
                <w:sz w:val="21"/>
                <w:szCs w:val="24"/>
              </w:rPr>
            </w:pPr>
            <w:r>
              <w:rPr>
                <w:rFonts w:ascii="Calibri" w:hAnsi="Calibri" w:cs="Times New Roman"/>
                <w:sz w:val="21"/>
                <w:szCs w:val="24"/>
              </w:rPr>
              <w:drawing>
                <wp:inline distT="0" distB="0" distL="0" distR="0">
                  <wp:extent cx="5139055" cy="1558925"/>
                  <wp:effectExtent l="9525" t="9525" r="17780" b="165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55394" cy="1563913"/>
                          </a:xfrm>
                          <a:prstGeom prst="rect">
                            <a:avLst/>
                          </a:prstGeom>
                          <a:noFill/>
                          <a:ln>
                            <a:solidFill>
                              <a:schemeClr val="tx1"/>
                            </a:solidFill>
                          </a:ln>
                        </pic:spPr>
                      </pic:pic>
                    </a:graphicData>
                  </a:graphic>
                </wp:inline>
              </w:drawing>
            </w:r>
          </w:p>
          <w:p>
            <w:pPr>
              <w:widowControl/>
              <w:ind w:firstLine="0" w:firstLineChars="0"/>
              <w:jc w:val="center"/>
              <w:textAlignment w:val="auto"/>
              <w:rPr>
                <w:rFonts w:cs="Times New Roman"/>
                <w:b/>
                <w:kern w:val="0"/>
                <w:sz w:val="21"/>
                <w:szCs w:val="21"/>
              </w:rPr>
            </w:pPr>
            <w:r>
              <w:rPr>
                <w:rFonts w:cs="Times New Roman"/>
                <w:b/>
                <w:kern w:val="0"/>
                <w:sz w:val="21"/>
                <w:szCs w:val="21"/>
              </w:rPr>
              <w:t>图</w:t>
            </w:r>
            <w:r>
              <w:rPr>
                <w:rFonts w:hint="eastAsia" w:cs="Times New Roman"/>
                <w:b/>
                <w:kern w:val="0"/>
                <w:sz w:val="21"/>
                <w:szCs w:val="21"/>
              </w:rPr>
              <w:t>2</w:t>
            </w:r>
            <w:r>
              <w:rPr>
                <w:rFonts w:cs="Times New Roman"/>
                <w:b/>
                <w:kern w:val="0"/>
                <w:sz w:val="21"/>
                <w:szCs w:val="21"/>
              </w:rPr>
              <w:t>-</w:t>
            </w:r>
            <w:r>
              <w:rPr>
                <w:rFonts w:hint="eastAsia" w:cs="Times New Roman"/>
                <w:b/>
                <w:kern w:val="0"/>
                <w:sz w:val="21"/>
                <w:szCs w:val="21"/>
              </w:rPr>
              <w:t>2</w:t>
            </w:r>
            <w:r>
              <w:rPr>
                <w:rFonts w:cs="Times New Roman"/>
                <w:b/>
                <w:kern w:val="0"/>
                <w:sz w:val="21"/>
                <w:szCs w:val="21"/>
              </w:rPr>
              <w:t xml:space="preserve">  </w:t>
            </w:r>
            <w:r>
              <w:rPr>
                <w:rFonts w:hint="eastAsia" w:cs="Times New Roman"/>
                <w:b/>
                <w:kern w:val="0"/>
                <w:sz w:val="21"/>
                <w:szCs w:val="21"/>
              </w:rPr>
              <w:t>施工工期</w:t>
            </w:r>
            <w:r>
              <w:rPr>
                <w:rFonts w:cs="Times New Roman"/>
                <w:b/>
                <w:kern w:val="0"/>
                <w:sz w:val="21"/>
                <w:szCs w:val="21"/>
              </w:rPr>
              <w:t>工艺流程及产污环节图</w:t>
            </w:r>
          </w:p>
          <w:p>
            <w:pPr>
              <w:ind w:firstLine="480"/>
            </w:pPr>
            <w:r>
              <w:rPr>
                <w:rFonts w:hint="eastAsia"/>
              </w:rPr>
              <w:t>废水：施工人员生活污水、施工作业废水。</w:t>
            </w:r>
          </w:p>
          <w:p>
            <w:pPr>
              <w:ind w:firstLine="480"/>
            </w:pPr>
            <w:r>
              <w:rPr>
                <w:rFonts w:hint="eastAsia"/>
              </w:rPr>
              <w:t>废气：施工扬尘、施工机械废气、车辆尾气。</w:t>
            </w:r>
          </w:p>
          <w:p>
            <w:pPr>
              <w:ind w:firstLine="480"/>
            </w:pPr>
            <w:r>
              <w:rPr>
                <w:rFonts w:hint="eastAsia"/>
              </w:rPr>
              <w:t>噪声：机械噪声、施工作业噪声、施工车辆噪声。</w:t>
            </w:r>
          </w:p>
          <w:p>
            <w:pPr>
              <w:ind w:firstLine="480"/>
            </w:pPr>
            <w:r>
              <w:rPr>
                <w:rFonts w:hint="eastAsia"/>
              </w:rPr>
              <w:t>固废：施工人员生活垃圾、建筑垃圾等。</w:t>
            </w:r>
          </w:p>
          <w:p>
            <w:pPr>
              <w:ind w:firstLine="480"/>
            </w:pPr>
            <w:r>
              <w:rPr>
                <w:rFonts w:hint="eastAsia"/>
              </w:rPr>
              <w:t>以上污染源和污染物均会对周围产生一定的环境影响，随着施工工期的结束，影响也将结束。</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.7.2</w:t>
            </w:r>
            <w:r>
              <w:t>运营期生产工艺流程及产污环节</w:t>
            </w:r>
          </w:p>
          <w:p>
            <w:pPr>
              <w:ind w:firstLine="0" w:firstLineChars="0"/>
              <w:jc w:val="center"/>
            </w:pPr>
            <w:r>
              <w:drawing>
                <wp:inline distT="0" distB="0" distL="0" distR="0">
                  <wp:extent cx="5325745" cy="5349875"/>
                  <wp:effectExtent l="19050" t="19050" r="27305" b="222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325745" cy="5349875"/>
                          </a:xfrm>
                          <a:prstGeom prst="rect">
                            <a:avLst/>
                          </a:prstGeom>
                          <a:ln>
                            <a:solidFill>
                              <a:schemeClr val="tx1"/>
                            </a:solidFill>
                          </a:ln>
                        </pic:spPr>
                      </pic:pic>
                    </a:graphicData>
                  </a:graphic>
                </wp:inline>
              </w:drawing>
            </w:r>
          </w:p>
          <w:p>
            <w:pPr>
              <w:ind w:firstLine="422"/>
              <w:jc w:val="center"/>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图2-</w:t>
            </w:r>
            <w:r>
              <w:rPr>
                <w:rFonts w:hint="eastAsia" w:cs="Times New Roman"/>
                <w:b/>
                <w:bCs/>
                <w:color w:val="000000" w:themeColor="text1"/>
                <w:sz w:val="21"/>
                <w:szCs w:val="21"/>
                <w14:textFill>
                  <w14:solidFill>
                    <w14:schemeClr w14:val="tx1"/>
                  </w14:solidFill>
                </w14:textFill>
              </w:rPr>
              <w:t>3</w:t>
            </w:r>
            <w:r>
              <w:rPr>
                <w:rFonts w:cs="Times New Roman"/>
                <w:b/>
                <w:bCs/>
                <w:color w:val="000000" w:themeColor="text1"/>
                <w:sz w:val="21"/>
                <w:szCs w:val="21"/>
                <w14:textFill>
                  <w14:solidFill>
                    <w14:schemeClr w14:val="tx1"/>
                  </w14:solidFill>
                </w14:textFill>
              </w:rPr>
              <w:t xml:space="preserve">  工艺流程及排污环节图</w:t>
            </w:r>
          </w:p>
          <w:p>
            <w:pPr>
              <w:ind w:firstLine="480"/>
              <w:rPr>
                <w:rFonts w:cs="Times New Roman"/>
                <w:szCs w:val="24"/>
              </w:rPr>
            </w:pPr>
            <w:r>
              <w:rPr>
                <w:rFonts w:cs="Times New Roman"/>
                <w:szCs w:val="24"/>
              </w:rPr>
              <w:t>工艺流程简述：</w:t>
            </w:r>
          </w:p>
          <w:p>
            <w:pPr>
              <w:ind w:firstLine="482"/>
              <w:rPr>
                <w:rFonts w:cs="Times New Roman"/>
                <w:b/>
                <w:bCs/>
                <w:szCs w:val="24"/>
              </w:rPr>
            </w:pPr>
            <w:r>
              <w:rPr>
                <w:rFonts w:hint="eastAsia" w:cs="Times New Roman"/>
                <w:b/>
                <w:bCs/>
                <w:szCs w:val="24"/>
              </w:rPr>
              <w:t>本项目所用原料不涉及受到危险化学品、农药等污染的废弃塑料包装物、废弃一次性医疗用塑料制品等塑料类危险废物，以及氟塑料等特种工程塑料，沾染油类的废旧塑料等，废塑料由本地废品回收站运输车辆运至厂区，暂存于原料堆场。</w:t>
            </w:r>
          </w:p>
          <w:p>
            <w:pPr>
              <w:ind w:firstLine="482"/>
            </w:pPr>
            <w:r>
              <w:rPr>
                <w:rFonts w:hint="eastAsia"/>
                <w:b/>
                <w:bCs/>
              </w:rPr>
              <w:t>人工分拣：</w:t>
            </w:r>
            <w:r>
              <w:rPr>
                <w:rFonts w:hint="eastAsia"/>
              </w:rPr>
              <w:t>通过人工分拣，筛除原料中的大块杂质，如纸张、石子等，并将分拣出的废料分类收集。该工序产生的主要污染物为固体废物；</w:t>
            </w:r>
          </w:p>
          <w:p>
            <w:pPr>
              <w:ind w:firstLine="482"/>
            </w:pPr>
            <w:r>
              <w:rPr>
                <w:rFonts w:hint="eastAsia"/>
                <w:b/>
                <w:bCs/>
              </w:rPr>
              <w:t>初次湿法破碎：</w:t>
            </w:r>
            <w:r>
              <w:rPr>
                <w:rFonts w:hint="eastAsia"/>
              </w:rPr>
              <w:t>经人工分拣后的物料通过输送带送入1600型破碎机，破碎成较大块状，为二次破碎做准备。本项目采用湿法破碎工艺，即在破碎过程中喷入定量水流。此举既可保护刀片、防止过热，又能有效抑制粉尘产生。破碎用水循环使用，定期补充。破碎后的物料经输送带送往二次湿式破碎工序。此工序主要污染物为少量粉尘和废水；</w:t>
            </w:r>
          </w:p>
          <w:p>
            <w:pPr>
              <w:ind w:firstLine="482"/>
            </w:pPr>
            <w:r>
              <w:rPr>
                <w:rFonts w:hint="eastAsia"/>
                <w:b/>
                <w:bCs/>
              </w:rPr>
              <w:t>二次湿法破碎：</w:t>
            </w:r>
            <w:r>
              <w:rPr>
                <w:rFonts w:hint="eastAsia"/>
              </w:rPr>
              <w:t>初次破碎后的大块物料进入1200型破碎机，进一步破碎成细小碎片。此工序产生的主要污染物为</w:t>
            </w:r>
            <w:r>
              <w:t>废水</w:t>
            </w:r>
            <w:r>
              <w:rPr>
                <w:rFonts w:hint="eastAsia"/>
              </w:rPr>
              <w:t>和恶臭；</w:t>
            </w:r>
          </w:p>
          <w:p>
            <w:pPr>
              <w:ind w:firstLine="482"/>
            </w:pPr>
            <w:r>
              <w:rPr>
                <w:rFonts w:hint="eastAsia" w:cs="Times New Roman"/>
                <w:b/>
                <w:bCs/>
                <w:szCs w:val="24"/>
              </w:rPr>
              <w:t>清洗：</w:t>
            </w:r>
            <w:r>
              <w:rPr>
                <w:rFonts w:hint="eastAsia"/>
              </w:rPr>
              <w:t>破碎后的塑料碎片进入三级清洗池，去除表面附着的泥沙等杂质。本项目使用自来水清洗，不添加任何化学药剂。清洗废水经沉淀池处理后回用于清洗工序，实现循环使用。该工序产生的主要污染物为清洗废水；</w:t>
            </w:r>
          </w:p>
          <w:p>
            <w:pPr>
              <w:ind w:firstLine="482"/>
            </w:pPr>
            <w:r>
              <w:rPr>
                <w:rFonts w:hint="eastAsia"/>
                <w:b/>
                <w:bCs/>
              </w:rPr>
              <w:t>甩干：</w:t>
            </w:r>
            <w:r>
              <w:rPr>
                <w:rFonts w:hint="eastAsia"/>
              </w:rPr>
              <w:t>清洗后的湿塑料碎片进入甩干机。在电机驱动下，旋转筒高速转动，利用离心力将碎片表面的附着水分离脱除；</w:t>
            </w:r>
          </w:p>
          <w:p>
            <w:pPr>
              <w:ind w:firstLine="482"/>
            </w:pPr>
            <w:r>
              <w:rPr>
                <w:rFonts w:hint="eastAsia"/>
                <w:b/>
                <w:bCs/>
              </w:rPr>
              <w:t>空分机：</w:t>
            </w:r>
            <w:r>
              <w:rPr>
                <w:rFonts w:hint="eastAsia"/>
              </w:rPr>
              <w:t>经甩干后的塑料碎片通过</w:t>
            </w:r>
            <w:r>
              <w:rPr>
                <w:rFonts w:hint="eastAsia" w:ascii="宋体" w:hAnsi="宋体" w:cs="宋体"/>
                <w:szCs w:val="24"/>
              </w:rPr>
              <w:t>空分机</w:t>
            </w:r>
            <w:r>
              <w:rPr>
                <w:rFonts w:hint="eastAsia"/>
              </w:rPr>
              <w:t>进行处理。利用可控气流将密度不同的碎片分离开，主要目的是去除残留的轻质杂质；</w:t>
            </w:r>
          </w:p>
          <w:p>
            <w:pPr>
              <w:ind w:firstLine="482"/>
              <w:rPr>
                <w:b/>
                <w:bCs/>
              </w:rPr>
            </w:pPr>
            <w:r>
              <w:rPr>
                <w:rFonts w:hint="eastAsia"/>
                <w:b/>
                <w:bCs/>
              </w:rPr>
              <w:t>色选机：</w:t>
            </w:r>
            <w:r>
              <w:rPr>
                <w:rFonts w:hint="eastAsia"/>
              </w:rPr>
              <w:t>由于PP、PE废塑料有各种颜色，需对不同颜色废塑料瓶进行分类。项目通过色选机，将废塑料片进行分选，同时人工辅助分选；</w:t>
            </w:r>
          </w:p>
          <w:p>
            <w:pPr>
              <w:ind w:firstLine="482"/>
            </w:pPr>
            <w:r>
              <w:rPr>
                <w:rFonts w:hint="eastAsia" w:cs="Times New Roman"/>
                <w:b/>
                <w:bCs/>
                <w:szCs w:val="24"/>
              </w:rPr>
              <w:t>打包外售：</w:t>
            </w:r>
            <w:r>
              <w:rPr>
                <w:rFonts w:hint="eastAsia"/>
              </w:rPr>
              <w:t>采用人工打包方式，使用编织袋对废旧塑料碎片进行袋装，并做好标识，存放于成品库区。袋装后的废旧塑料碎片重量无固定规格，外售时根据需求统一称重。</w:t>
            </w:r>
          </w:p>
          <w:p>
            <w:pPr>
              <w:pStyle w:val="4"/>
            </w:pPr>
            <w:r>
              <w:rPr>
                <w:rFonts w:hint="eastAsia"/>
              </w:rPr>
              <w:t>2</w:t>
            </w:r>
            <w:r>
              <w:t>.7.3</w:t>
            </w:r>
            <w:r>
              <w:rPr>
                <w:rFonts w:hint="eastAsia"/>
              </w:rPr>
              <w:t>产污环节</w:t>
            </w:r>
          </w:p>
          <w:p>
            <w:pPr>
              <w:ind w:firstLine="480"/>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本项目主要污染工序见表</w:t>
            </w:r>
            <w:r>
              <w:rPr>
                <w:bCs/>
                <w:color w:val="000000" w:themeColor="text1"/>
                <w:kern w:val="0"/>
                <w14:textFill>
                  <w14:solidFill>
                    <w14:schemeClr w14:val="tx1"/>
                  </w14:solidFill>
                </w14:textFill>
              </w:rPr>
              <w:t>2-9</w:t>
            </w:r>
            <w:r>
              <w:rPr>
                <w:rFonts w:hint="eastAsia"/>
                <w:bCs/>
                <w:color w:val="000000" w:themeColor="text1"/>
                <w:kern w:val="0"/>
                <w14:textFill>
                  <w14:solidFill>
                    <w14:schemeClr w14:val="tx1"/>
                  </w14:solidFill>
                </w14:textFill>
              </w:rPr>
              <w:t>：</w:t>
            </w:r>
          </w:p>
          <w:p>
            <w:pPr>
              <w:pStyle w:val="4"/>
              <w:spacing w:after="0"/>
              <w:jc w:val="center"/>
              <w:rPr>
                <w:rFonts w:cs="Times New Roman"/>
                <w:sz w:val="21"/>
                <w:szCs w:val="21"/>
              </w:rPr>
            </w:pPr>
            <w:r>
              <w:rPr>
                <w:rFonts w:cs="Times New Roman"/>
                <w:sz w:val="21"/>
                <w:szCs w:val="21"/>
              </w:rPr>
              <w:t>表2-9  主要污染工序汇总</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142"/>
              <w:gridCol w:w="2551"/>
              <w:gridCol w:w="3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768"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污染物类别</w:t>
                  </w: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产污工序</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污染源</w:t>
                  </w:r>
                </w:p>
              </w:tc>
              <w:tc>
                <w:tcPr>
                  <w:tcW w:w="202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废气</w:t>
                  </w: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湿法破碎</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粉尘、恶臭</w:t>
                  </w:r>
                </w:p>
              </w:tc>
              <w:tc>
                <w:tcPr>
                  <w:tcW w:w="202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颗粒物、臭气浓度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废水</w:t>
                  </w: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生活污水</w:t>
                  </w:r>
                </w:p>
              </w:tc>
              <w:tc>
                <w:tcPr>
                  <w:tcW w:w="2023" w:type="pct"/>
                  <w:vAlign w:val="center"/>
                </w:tcPr>
                <w:p>
                  <w:pPr>
                    <w:spacing w:line="240" w:lineRule="auto"/>
                    <w:ind w:firstLine="0" w:firstLineChars="0"/>
                    <w:contextualSpacing/>
                    <w:rPr>
                      <w:rFonts w:cs="Times New Roman"/>
                      <w:color w:val="000000"/>
                      <w:sz w:val="21"/>
                      <w:szCs w:val="21"/>
                    </w:rPr>
                  </w:pPr>
                  <w:r>
                    <w:rPr>
                      <w:rFonts w:hint="eastAsia" w:eastAsia="TimesNewRomanPSMT" w:cs="Times New Roman"/>
                      <w:color w:val="000000"/>
                      <w:sz w:val="21"/>
                      <w:szCs w:val="21"/>
                    </w:rPr>
                    <w:t>pH</w:t>
                  </w:r>
                  <w:r>
                    <w:rPr>
                      <w:rFonts w:hint="eastAsia" w:ascii="宋体" w:hAnsi="宋体" w:cs="宋体"/>
                      <w:color w:val="000000"/>
                      <w:sz w:val="21"/>
                      <w:szCs w:val="21"/>
                    </w:rPr>
                    <w:t>、</w:t>
                  </w:r>
                  <w:r>
                    <w:rPr>
                      <w:rFonts w:eastAsia="TimesNewRomanPSMT" w:cs="Times New Roman"/>
                      <w:color w:val="000000"/>
                      <w:sz w:val="21"/>
                      <w:szCs w:val="21"/>
                    </w:rPr>
                    <w:t>COD</w:t>
                  </w:r>
                  <w:r>
                    <w:rPr>
                      <w:rFonts w:cs="Times New Roman"/>
                      <w:color w:val="000000"/>
                      <w:sz w:val="21"/>
                      <w:szCs w:val="21"/>
                    </w:rPr>
                    <w:t>、</w:t>
                  </w:r>
                  <w:r>
                    <w:rPr>
                      <w:rFonts w:eastAsia="TimesNewRomanPSMT" w:cs="Times New Roman"/>
                      <w:color w:val="000000"/>
                      <w:sz w:val="21"/>
                      <w:szCs w:val="21"/>
                    </w:rPr>
                    <w:t>BOD</w:t>
                  </w:r>
                  <w:r>
                    <w:rPr>
                      <w:rFonts w:eastAsia="TimesNewRomanPSMT" w:cs="Times New Roman"/>
                      <w:color w:val="000000"/>
                      <w:sz w:val="21"/>
                      <w:szCs w:val="21"/>
                      <w:vertAlign w:val="subscript"/>
                    </w:rPr>
                    <w:t>5</w:t>
                  </w:r>
                  <w:r>
                    <w:rPr>
                      <w:rFonts w:cs="Times New Roman"/>
                      <w:color w:val="000000"/>
                      <w:sz w:val="21"/>
                      <w:szCs w:val="21"/>
                    </w:rPr>
                    <w:t>、</w:t>
                  </w:r>
                  <w:r>
                    <w:rPr>
                      <w:rFonts w:eastAsia="TimesNewRomanPSMT" w:cs="Times New Roman"/>
                      <w:color w:val="000000"/>
                      <w:sz w:val="21"/>
                      <w:szCs w:val="21"/>
                    </w:rPr>
                    <w:t>NH</w:t>
                  </w:r>
                  <w:r>
                    <w:rPr>
                      <w:rFonts w:hint="eastAsia" w:cs="Times New Roman"/>
                      <w:color w:val="000000"/>
                      <w:sz w:val="21"/>
                      <w:szCs w:val="21"/>
                      <w:vertAlign w:val="subscript"/>
                    </w:rPr>
                    <w:t>3</w:t>
                  </w:r>
                  <w:r>
                    <w:rPr>
                      <w:rFonts w:eastAsia="TimesNewRomanPSMT" w:cs="Times New Roman"/>
                      <w:color w:val="000000"/>
                      <w:sz w:val="21"/>
                      <w:szCs w:val="21"/>
                    </w:rPr>
                    <w:t>-N</w:t>
                  </w:r>
                  <w:r>
                    <w:rPr>
                      <w:rFonts w:cs="Times New Roman"/>
                      <w:color w:val="000000"/>
                      <w:sz w:val="21"/>
                      <w:szCs w:val="21"/>
                    </w:rPr>
                    <w:t>、</w:t>
                  </w:r>
                  <w:r>
                    <w:rPr>
                      <w:rFonts w:eastAsia="TimesNewRomanPSMT" w:cs="Times New Roman"/>
                      <w:color w:val="000000"/>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清洗</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生产废水</w:t>
                  </w:r>
                </w:p>
              </w:tc>
              <w:tc>
                <w:tcPr>
                  <w:tcW w:w="2023" w:type="pct"/>
                  <w:vAlign w:val="center"/>
                </w:tcPr>
                <w:p>
                  <w:pPr>
                    <w:spacing w:line="240" w:lineRule="auto"/>
                    <w:ind w:firstLine="0" w:firstLineChars="0"/>
                    <w:contextualSpacing/>
                    <w:jc w:val="center"/>
                    <w:rPr>
                      <w:color w:val="000000"/>
                      <w:sz w:val="21"/>
                      <w:szCs w:val="21"/>
                    </w:rPr>
                  </w:pPr>
                  <w:r>
                    <w:rPr>
                      <w:rFonts w:hint="eastAsia" w:cs="Times New Roman"/>
                      <w:color w:val="000000" w:themeColor="text1"/>
                      <w:sz w:val="21"/>
                      <w:szCs w:val="21"/>
                      <w14:textFill>
                        <w14:solidFill>
                          <w14:schemeClr w14:val="tx1"/>
                        </w14:solidFill>
                      </w14:textFill>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rPr>
              <w:tc>
                <w:tcPr>
                  <w:tcW w:w="768" w:type="pct"/>
                  <w:vMerge w:val="restart"/>
                  <w:vAlign w:val="center"/>
                </w:tcPr>
                <w:p>
                  <w:pPr>
                    <w:spacing w:line="240" w:lineRule="auto"/>
                    <w:ind w:firstLine="0" w:firstLineChars="0"/>
                    <w:contextualSpacing/>
                    <w:jc w:val="center"/>
                    <w:rPr>
                      <w:color w:val="000000"/>
                      <w:sz w:val="21"/>
                      <w:szCs w:val="21"/>
                    </w:rPr>
                  </w:pPr>
                  <w:r>
                    <w:rPr>
                      <w:rFonts w:hint="eastAsia"/>
                      <w:color w:val="000000"/>
                      <w:sz w:val="21"/>
                      <w:szCs w:val="21"/>
                    </w:rPr>
                    <w:t>固体废物</w:t>
                  </w: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生活垃圾</w:t>
                  </w:r>
                </w:p>
              </w:tc>
              <w:tc>
                <w:tcPr>
                  <w:tcW w:w="202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生活垃圾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2"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生产过程</w:t>
                  </w:r>
                </w:p>
              </w:tc>
              <w:tc>
                <w:tcPr>
                  <w:tcW w:w="1526" w:type="pct"/>
                  <w:vAlign w:val="center"/>
                </w:tcPr>
                <w:p>
                  <w:pPr>
                    <w:spacing w:line="240" w:lineRule="auto"/>
                    <w:ind w:firstLine="0" w:firstLineChars="0"/>
                    <w:contextualSpacing/>
                    <w:rPr>
                      <w:color w:val="000000"/>
                      <w:sz w:val="21"/>
                      <w:szCs w:val="21"/>
                    </w:rPr>
                  </w:pPr>
                  <w:r>
                    <w:rPr>
                      <w:rFonts w:hint="eastAsia" w:cs="Times New Roman"/>
                      <w:sz w:val="21"/>
                      <w:szCs w:val="21"/>
                    </w:rPr>
                    <w:t>沉淀池沉渣、分拣废料</w:t>
                  </w:r>
                </w:p>
              </w:tc>
              <w:tc>
                <w:tcPr>
                  <w:tcW w:w="2023" w:type="pct"/>
                  <w:vAlign w:val="center"/>
                </w:tcPr>
                <w:p>
                  <w:pPr>
                    <w:spacing w:line="240" w:lineRule="auto"/>
                    <w:ind w:firstLine="0" w:firstLineChars="0"/>
                    <w:contextualSpacing/>
                    <w:jc w:val="center"/>
                    <w:rPr>
                      <w:color w:val="000000"/>
                      <w:sz w:val="21"/>
                      <w:szCs w:val="21"/>
                    </w:rPr>
                  </w:pPr>
                  <w:r>
                    <w:rPr>
                      <w:rFonts w:hint="eastAsia"/>
                      <w:sz w:val="21"/>
                      <w:szCs w:val="21"/>
                    </w:rPr>
                    <w:t>一般固体废物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5" w:hRule="atLeast"/>
              </w:trPr>
              <w:tc>
                <w:tcPr>
                  <w:tcW w:w="768" w:type="pct"/>
                  <w:vMerge w:val="continue"/>
                  <w:vAlign w:val="center"/>
                </w:tcPr>
                <w:p>
                  <w:pPr>
                    <w:spacing w:line="240" w:lineRule="auto"/>
                    <w:ind w:firstLine="0" w:firstLineChars="0"/>
                    <w:contextualSpacing/>
                    <w:jc w:val="center"/>
                    <w:rPr>
                      <w:color w:val="000000"/>
                      <w:sz w:val="21"/>
                      <w:szCs w:val="21"/>
                    </w:rPr>
                  </w:pPr>
                </w:p>
              </w:tc>
              <w:tc>
                <w:tcPr>
                  <w:tcW w:w="68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设备维修</w:t>
                  </w:r>
                </w:p>
              </w:tc>
              <w:tc>
                <w:tcPr>
                  <w:tcW w:w="1526"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废机油、沾有废机油的废抹布和废手套、废机油桶</w:t>
                  </w:r>
                </w:p>
              </w:tc>
              <w:tc>
                <w:tcPr>
                  <w:tcW w:w="2023"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危险废物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68" w:type="pct"/>
                  <w:vAlign w:val="center"/>
                </w:tcPr>
                <w:p>
                  <w:pPr>
                    <w:spacing w:line="240" w:lineRule="auto"/>
                    <w:ind w:firstLine="0" w:firstLineChars="0"/>
                    <w:contextualSpacing/>
                    <w:jc w:val="center"/>
                    <w:rPr>
                      <w:color w:val="000000"/>
                      <w:sz w:val="21"/>
                      <w:szCs w:val="21"/>
                    </w:rPr>
                  </w:pPr>
                  <w:r>
                    <w:rPr>
                      <w:rFonts w:hint="eastAsia"/>
                      <w:color w:val="000000"/>
                      <w:sz w:val="21"/>
                      <w:szCs w:val="21"/>
                    </w:rPr>
                    <w:t>噪声</w:t>
                  </w:r>
                </w:p>
              </w:tc>
              <w:tc>
                <w:tcPr>
                  <w:tcW w:w="4232" w:type="pct"/>
                  <w:gridSpan w:val="3"/>
                  <w:vAlign w:val="center"/>
                </w:tcPr>
                <w:p>
                  <w:pPr>
                    <w:spacing w:line="240" w:lineRule="auto"/>
                    <w:ind w:firstLine="0" w:firstLineChars="0"/>
                    <w:contextualSpacing/>
                    <w:rPr>
                      <w:color w:val="000000"/>
                      <w:sz w:val="21"/>
                      <w:szCs w:val="21"/>
                    </w:rPr>
                  </w:pPr>
                  <w:r>
                    <w:rPr>
                      <w:rFonts w:hint="eastAsia"/>
                      <w:color w:val="000000"/>
                      <w:sz w:val="21"/>
                      <w:szCs w:val="21"/>
                    </w:rPr>
                    <w:t>本项目运营期噪声污染源主要是来自生产设备的噪声</w:t>
                  </w:r>
                </w:p>
              </w:tc>
            </w:tr>
          </w:tbl>
          <w:p>
            <w:pPr>
              <w:ind w:firstLine="480"/>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457" w:type="dxa"/>
            <w:vAlign w:val="center"/>
          </w:tcPr>
          <w:p>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与项目有关的原有环境污染问题</w:t>
            </w:r>
          </w:p>
        </w:tc>
        <w:tc>
          <w:tcPr>
            <w:tcW w:w="8603" w:type="dxa"/>
            <w:vAlign w:val="center"/>
          </w:tcPr>
          <w:p>
            <w:pPr>
              <w:pStyle w:val="69"/>
              <w:ind w:firstLine="520"/>
              <w:jc w:val="center"/>
            </w:pPr>
            <w:r>
              <w:rPr>
                <w:rFonts w:hint="eastAsia"/>
              </w:rPr>
              <w:t>无</w:t>
            </w:r>
          </w:p>
        </w:tc>
      </w:tr>
    </w:tbl>
    <w:p>
      <w:pPr>
        <w:ind w:firstLine="480"/>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start="1"/>
          <w:cols w:space="425" w:num="1"/>
          <w:docGrid w:type="lines" w:linePitch="326" w:charSpace="0"/>
        </w:sectPr>
      </w:pP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三、区域环境质量现状、环境保护目标及评价标准</w:t>
      </w:r>
    </w:p>
    <w:tbl>
      <w:tblPr>
        <w:tblStyle w:val="25"/>
        <w:tblW w:w="481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3"/>
        <w:gridCol w:w="8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6" w:hRule="atLeast"/>
          <w:jc w:val="center"/>
        </w:trPr>
        <w:tc>
          <w:tcPr>
            <w:tcW w:w="387"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区域</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质量</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现状</w:t>
            </w:r>
          </w:p>
        </w:tc>
        <w:tc>
          <w:tcPr>
            <w:tcW w:w="4613" w:type="pct"/>
            <w:vAlign w:val="center"/>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3.环境空气质量评价</w:t>
            </w:r>
          </w:p>
          <w:p>
            <w:pPr>
              <w:keepNext/>
              <w:keepLines/>
              <w:spacing w:before="120" w:after="60" w:line="240" w:lineRule="auto"/>
              <w:ind w:firstLine="0" w:firstLineChars="0"/>
              <w:textAlignment w:val="auto"/>
              <w:outlineLvl w:val="1"/>
              <w:rPr>
                <w:rFonts w:cs="Times New Roman"/>
                <w:b/>
                <w:bCs/>
                <w:color w:val="000000" w:themeColor="text1"/>
                <w:szCs w:val="32"/>
                <w14:textFill>
                  <w14:solidFill>
                    <w14:schemeClr w14:val="tx1"/>
                  </w14:solidFill>
                </w14:textFill>
              </w:rPr>
            </w:pPr>
            <w:r>
              <w:rPr>
                <w:rFonts w:hint="eastAsia" w:cs="Times New Roman"/>
                <w:b/>
                <w:bCs/>
                <w:color w:val="000000" w:themeColor="text1"/>
                <w:szCs w:val="32"/>
                <w14:textFill>
                  <w14:solidFill>
                    <w14:schemeClr w14:val="tx1"/>
                  </w14:solidFill>
                </w14:textFill>
              </w:rPr>
              <w:t>3.1基本污染物环境质量现状评价</w:t>
            </w:r>
          </w:p>
          <w:p>
            <w:pPr>
              <w:ind w:firstLine="480"/>
              <w:rPr>
                <w:rFonts w:cs="Times New Roman"/>
                <w:szCs w:val="24"/>
              </w:rPr>
            </w:pPr>
            <w:r>
              <w:rPr>
                <w:rFonts w:cs="Times New Roman"/>
              </w:rPr>
              <w:t>根据《</w:t>
            </w:r>
            <w:r>
              <w:rPr>
                <w:rFonts w:hint="eastAsia" w:cs="Times New Roman"/>
              </w:rPr>
              <w:t>巴音郭楞蒙古自治州2024年生态环境状况公报</w:t>
            </w:r>
            <w:r>
              <w:rPr>
                <w:rFonts w:cs="Times New Roman"/>
              </w:rPr>
              <w:t>》，</w:t>
            </w:r>
            <w:r>
              <w:rPr>
                <w:rFonts w:hint="eastAsia" w:cs="Times New Roman"/>
              </w:rPr>
              <w:t>2024年，全州空气质量综合指数为5.22，同比下降7.9%，空气质量明显好于2023年。全州平均优良天数比例为62%，同比增加15.7%，PM</w:t>
            </w:r>
            <w:r>
              <w:rPr>
                <w:rFonts w:hint="eastAsia" w:cs="Times New Roman"/>
                <w:vertAlign w:val="subscript"/>
              </w:rPr>
              <w:t>10</w:t>
            </w:r>
            <w:r>
              <w:rPr>
                <w:rFonts w:hint="eastAsia" w:cs="Times New Roman"/>
              </w:rPr>
              <w:t>为首要污染物，未出现PM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w:t>
            </w:r>
            <w:r>
              <w:rPr>
                <w:rFonts w:cs="Times New Roman"/>
              </w:rPr>
              <w:t>h</w:t>
            </w:r>
            <w:r>
              <w:rPr>
                <w:rFonts w:hint="eastAsia" w:cs="Times New Roman"/>
              </w:rPr>
              <w:t>、SO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、CO为首要污染物的超标天</w:t>
            </w:r>
            <w:r>
              <w:rPr>
                <w:rFonts w:cs="Times New Roman"/>
              </w:rPr>
              <w:t>。</w:t>
            </w:r>
            <w:r>
              <w:rPr>
                <w:rFonts w:hint="eastAsia"/>
              </w:rPr>
              <w:t>库尔勒市降水pH值范围为7.5~8.4，未监测到酸雨。全州八县一市年均降尘量为22.63t/km</w:t>
            </w:r>
            <w:r>
              <w:rPr>
                <w:rFonts w:hint="eastAsia"/>
                <w:vertAlign w:val="superscript"/>
              </w:rPr>
              <w:t>2</w:t>
            </w:r>
            <w:r>
              <w:rPr>
                <w:rFonts w:hint="eastAsia"/>
              </w:rPr>
              <w:t>·月。</w:t>
            </w:r>
          </w:p>
          <w:p>
            <w:pPr>
              <w:ind w:firstLine="480"/>
              <w:rPr>
                <w:rFonts w:cs="Times New Roman"/>
                <w:szCs w:val="24"/>
              </w:rPr>
            </w:pPr>
            <w:r>
              <w:rPr>
                <w:rFonts w:cs="Times New Roman"/>
              </w:rPr>
              <w:t>根据《</w:t>
            </w:r>
            <w:r>
              <w:rPr>
                <w:rFonts w:hint="eastAsia" w:cs="Times New Roman"/>
              </w:rPr>
              <w:t>巴音郭楞蒙古自治州2024年生态环境状况公报</w:t>
            </w:r>
            <w:r>
              <w:rPr>
                <w:rFonts w:cs="Times New Roman"/>
              </w:rPr>
              <w:t>》结论，项目所在区域</w:t>
            </w:r>
            <w:r>
              <w:rPr>
                <w:rFonts w:hint="eastAsia" w:cs="Times New Roman"/>
              </w:rPr>
              <w:t>PM</w:t>
            </w:r>
            <w:r>
              <w:rPr>
                <w:rFonts w:hint="eastAsia" w:cs="Times New Roman"/>
                <w:vertAlign w:val="subscript"/>
              </w:rPr>
              <w:t>2.5</w:t>
            </w:r>
            <w:r>
              <w:rPr>
                <w:rFonts w:hint="eastAsia" w:cs="Times New Roman"/>
              </w:rPr>
              <w:t>、O</w:t>
            </w:r>
            <w:r>
              <w:rPr>
                <w:rFonts w:hint="eastAsia" w:cs="Times New Roman"/>
                <w:vertAlign w:val="subscript"/>
              </w:rPr>
              <w:t>3</w:t>
            </w:r>
            <w:r>
              <w:rPr>
                <w:rFonts w:hint="eastAsia" w:cs="Times New Roman"/>
              </w:rPr>
              <w:t>-8H、SO</w:t>
            </w:r>
            <w:r>
              <w:rPr>
                <w:rFonts w:hint="eastAsia" w:cs="Times New Roman"/>
                <w:vertAlign w:val="subscript"/>
              </w:rPr>
              <w:t>2</w:t>
            </w:r>
            <w:r>
              <w:rPr>
                <w:rFonts w:hint="eastAsia" w:cs="Times New Roman"/>
              </w:rPr>
              <w:t>、NO</w:t>
            </w:r>
            <w:r>
              <w:rPr>
                <w:rFonts w:hint="eastAsia" w:cs="Times New Roman"/>
                <w:vertAlign w:val="subscript"/>
              </w:rPr>
              <w:t>2</w:t>
            </w:r>
            <w:r>
              <w:rPr>
                <w:rFonts w:hint="eastAsia" w:cs="Times New Roman"/>
              </w:rPr>
              <w:t>、CO平</w:t>
            </w:r>
            <w:r>
              <w:rPr>
                <w:rFonts w:cs="Times New Roman"/>
              </w:rPr>
              <w:t>均浓度均满足《环境空气质量标准》（GB3095-2012）的二级标准要求；</w:t>
            </w:r>
            <w:r>
              <w:rPr>
                <w:rFonts w:cs="Times New Roman"/>
                <w:kern w:val="0"/>
              </w:rPr>
              <w:t>受沙尘天气影响PM</w:t>
            </w:r>
            <w:r>
              <w:rPr>
                <w:rFonts w:cs="Times New Roman"/>
                <w:kern w:val="0"/>
                <w:vertAlign w:val="subscript"/>
              </w:rPr>
              <w:t>10</w:t>
            </w:r>
            <w:r>
              <w:rPr>
                <w:rFonts w:cs="Times New Roman"/>
                <w:kern w:val="0"/>
              </w:rPr>
              <w:t>年均值浓度超过《环</w:t>
            </w:r>
            <w:r>
              <w:rPr>
                <w:rFonts w:cs="Times New Roman"/>
                <w:color w:val="000000" w:themeColor="text1"/>
                <w14:textFill>
                  <w14:solidFill>
                    <w14:schemeClr w14:val="tx1"/>
                  </w14:solidFill>
                </w14:textFill>
              </w:rPr>
              <w:t>境空气质量标准》（GB3095-2012）的二级标准要求，本项目所在区域为非达标区域</w:t>
            </w:r>
            <w:r>
              <w:rPr>
                <w:rFonts w:hint="eastAsia" w:cs="Times New Roman"/>
                <w:color w:val="000000" w:themeColor="text1"/>
                <w14:textFill>
                  <w14:solidFill>
                    <w14:schemeClr w14:val="tx1"/>
                  </w14:solidFill>
                </w14:textFill>
              </w:rPr>
              <w:t>。</w:t>
            </w:r>
          </w:p>
          <w:p>
            <w:pPr>
              <w:ind w:firstLine="480"/>
              <w:rPr>
                <w:rFonts w:cs="Times New Roman"/>
                <w:szCs w:val="24"/>
              </w:rPr>
            </w:pPr>
            <w:r>
              <w:rPr>
                <w:rFonts w:hint="eastAsia" w:cs="Times New Roman"/>
                <w:color w:val="000000" w:themeColor="text1"/>
                <w14:textFill>
                  <w14:solidFill>
                    <w14:schemeClr w14:val="tx1"/>
                  </w14:solidFill>
                </w14:textFill>
              </w:rPr>
              <w:t>对于环境空气质量不达标区域需提交《大气环境不达标区域削减方案》，根据关于</w:t>
            </w:r>
            <w:r>
              <w:rPr>
                <w:rFonts w:hint="eastAsia"/>
                <w:kern w:val="0"/>
              </w:rPr>
              <w:t>将巴音郭楞蒙古自治州吐鲁番市哈密市纳入执行《环境影响评价技术导则大气环境（HJ2.2-2018）》差别化政策范围的复函（环办环评函〔2020〕341号），本地区新建项目可不提供颗粒物区域削减方案。</w:t>
            </w:r>
          </w:p>
          <w:p>
            <w:pPr>
              <w:pStyle w:val="3"/>
              <w:rPr>
                <w:color w:val="000000" w:themeColor="text1"/>
                <w14:textFill>
                  <w14:solidFill>
                    <w14:schemeClr w14:val="tx1"/>
                  </w14:solidFill>
                </w14:textFill>
              </w:rPr>
            </w:pPr>
            <w:r>
              <w:rPr>
                <w:color w:val="000000" w:themeColor="text1"/>
                <w14:textFill>
                  <w14:solidFill>
                    <w14:schemeClr w14:val="tx1"/>
                  </w14:solidFill>
                </w14:textFill>
              </w:rPr>
              <w:t>3.1.1</w:t>
            </w:r>
            <w:r>
              <w:rPr>
                <w:rFonts w:hint="eastAsia"/>
                <w:color w:val="000000" w:themeColor="text1"/>
                <w14:textFill>
                  <w14:solidFill>
                    <w14:schemeClr w14:val="tx1"/>
                  </w14:solidFill>
                </w14:textFill>
              </w:rPr>
              <w:t>其他污染物质量现状评价</w:t>
            </w:r>
          </w:p>
          <w:p>
            <w:pPr>
              <w:numPr>
                <w:ilvl w:val="0"/>
                <w:numId w:val="1"/>
              </w:num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监测布点</w:t>
            </w:r>
          </w:p>
          <w:p>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大气环境现状监测依据《建设项目环境影响报告表编制技术指南（污染影响类）（试行）》中监测点设置要求，本次评价选择《库尔勒经济技术开发区国土空间总体规划（2021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2035年）》环境影响评价现状监测报告中的监测数据，作为本项目环境空气现状评价基本污染物的数据来源。监测点位于本项目东南侧，距离约为4.9公里，坐标：经度86.124743°、纬度41.586413°。</w:t>
            </w:r>
          </w:p>
          <w:p>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 xml:space="preserve">3-1  </w:t>
            </w:r>
            <w:r>
              <w:rPr>
                <w:rFonts w:hint="eastAsia"/>
                <w:b/>
                <w:color w:val="000000" w:themeColor="text1"/>
                <w:sz w:val="21"/>
                <w14:textFill>
                  <w14:solidFill>
                    <w14:schemeClr w14:val="tx1"/>
                  </w14:solidFill>
                </w14:textFill>
              </w:rPr>
              <w:t>特征污染物监测点位基本信息</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12"/>
              <w:gridCol w:w="1072"/>
              <w:gridCol w:w="1680"/>
              <w:gridCol w:w="1309"/>
              <w:gridCol w:w="1329"/>
              <w:gridCol w:w="13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3" w:hRule="atLeast"/>
              </w:trPr>
              <w:tc>
                <w:tcPr>
                  <w:tcW w:w="81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监测点名称</w:t>
                  </w:r>
                </w:p>
              </w:tc>
              <w:tc>
                <w:tcPr>
                  <w:tcW w:w="669" w:type="pct"/>
                  <w:vAlign w:val="center"/>
                </w:tcPr>
                <w:p>
                  <w:pPr>
                    <w:spacing w:line="240" w:lineRule="auto"/>
                    <w:ind w:firstLine="0" w:firstLineChars="0"/>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监测因子</w:t>
                  </w:r>
                </w:p>
              </w:tc>
              <w:tc>
                <w:tcPr>
                  <w:tcW w:w="104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监测时段</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相对方位</w:t>
                  </w:r>
                </w:p>
              </w:tc>
              <w:tc>
                <w:tcPr>
                  <w:tcW w:w="830"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相对距离</w:t>
                  </w:r>
                  <w:r>
                    <w:rPr>
                      <w:color w:val="000000" w:themeColor="text1"/>
                      <w:sz w:val="21"/>
                      <w14:textFill>
                        <w14:solidFill>
                          <w14:schemeClr w14:val="tx1"/>
                        </w14:solidFill>
                      </w14:textFill>
                    </w:rPr>
                    <w:t>/m</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数据来源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1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项目区东南侧</w:t>
                  </w:r>
                  <w:r>
                    <w:rPr>
                      <w:color w:val="000000" w:themeColor="text1"/>
                      <w:sz w:val="21"/>
                      <w14:textFill>
                        <w14:solidFill>
                          <w14:schemeClr w14:val="tx1"/>
                        </w14:solidFill>
                      </w14:textFill>
                    </w:rPr>
                    <w:t>4900m</w:t>
                  </w:r>
                </w:p>
              </w:tc>
              <w:tc>
                <w:tcPr>
                  <w:tcW w:w="66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1049"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24小时均值</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东南</w:t>
                  </w:r>
                </w:p>
              </w:tc>
              <w:tc>
                <w:tcPr>
                  <w:tcW w:w="830"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4900</w:t>
                  </w:r>
                </w:p>
              </w:tc>
              <w:tc>
                <w:tcPr>
                  <w:tcW w:w="817"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引用数据</w:t>
                  </w:r>
                </w:p>
              </w:tc>
            </w:tr>
          </w:tbl>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）监测时间及频率</w:t>
            </w:r>
          </w:p>
          <w:p>
            <w:pPr>
              <w:ind w:firstLine="480"/>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监测时间：</w:t>
            </w:r>
            <w:r>
              <w:rPr>
                <w:rFonts w:cs="Times New Roman"/>
                <w:color w:val="000000" w:themeColor="text1"/>
                <w14:textFill>
                  <w14:solidFill>
                    <w14:schemeClr w14:val="tx1"/>
                  </w14:solidFill>
                </w14:textFill>
              </w:rPr>
              <w:t>2025</w:t>
            </w:r>
            <w:r>
              <w:rPr>
                <w:rFonts w:hint="eastAsia" w:cs="Times New Roman"/>
                <w:color w:val="000000" w:themeColor="text1"/>
                <w14:textFill>
                  <w14:solidFill>
                    <w14:schemeClr w14:val="tx1"/>
                  </w14:solidFill>
                </w14:textFill>
              </w:rPr>
              <w:t>年</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日至</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10</w:t>
            </w:r>
            <w:r>
              <w:rPr>
                <w:rFonts w:hint="eastAsia" w:cs="Times New Roman"/>
                <w:color w:val="000000" w:themeColor="text1"/>
                <w14:textFill>
                  <w14:solidFill>
                    <w14:schemeClr w14:val="tx1"/>
                  </w14:solidFill>
                </w14:textFill>
              </w:rPr>
              <w:t>日，</w:t>
            </w:r>
            <w:r>
              <w:rPr>
                <w:rFonts w:hint="eastAsia"/>
                <w:color w:val="000000" w:themeColor="text1"/>
                <w14:textFill>
                  <w14:solidFill>
                    <w14:schemeClr w14:val="tx1"/>
                  </w14:solidFill>
                </w14:textFill>
              </w:rPr>
              <w:t>连续采样监测7天，由新疆中测测试有限责任公司完成。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TSP</w:t>
            </w:r>
            <w:r>
              <w:rPr>
                <w:rFonts w:hint="eastAsia"/>
                <w:color w:val="000000" w:themeColor="text1"/>
                <w14:textFill>
                  <w14:solidFill>
                    <w14:schemeClr w14:val="tx1"/>
                  </w14:solidFill>
                </w14:textFill>
              </w:rPr>
              <w:t>每日监测</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次日均值。</w:t>
            </w:r>
          </w:p>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）监测结果及评价</w:t>
            </w:r>
          </w:p>
          <w:p>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特征污染物环境质量现状监测结果见表</w:t>
            </w:r>
            <w:r>
              <w:rPr>
                <w:rFonts w:cs="Times New Roman"/>
                <w:color w:val="000000" w:themeColor="text1"/>
                <w14:textFill>
                  <w14:solidFill>
                    <w14:schemeClr w14:val="tx1"/>
                  </w14:solidFill>
                </w14:textFill>
              </w:rPr>
              <w:t>3-2</w:t>
            </w:r>
            <w:r>
              <w:rPr>
                <w:rFonts w:hint="eastAsia" w:cs="Times New Roman"/>
                <w:color w:val="000000" w:themeColor="text1"/>
                <w14:textFill>
                  <w14:solidFill>
                    <w14:schemeClr w14:val="tx1"/>
                  </w14:solidFill>
                </w14:textFill>
              </w:rPr>
              <w:t>。</w:t>
            </w:r>
          </w:p>
          <w:p>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3-2</w:t>
            </w:r>
            <w:r>
              <w:rPr>
                <w:rFonts w:hint="eastAsia"/>
                <w:b/>
                <w:color w:val="000000" w:themeColor="text1"/>
                <w:sz w:val="21"/>
                <w14:textFill>
                  <w14:solidFill>
                    <w14:schemeClr w14:val="tx1"/>
                  </w14:solidFill>
                </w14:textFill>
              </w:rPr>
              <w:t xml:space="preserve">  特征污染物环境质量现状监测结果</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764"/>
              <w:gridCol w:w="995"/>
              <w:gridCol w:w="1200"/>
              <w:gridCol w:w="1559"/>
              <w:gridCol w:w="1110"/>
              <w:gridCol w:w="809"/>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w:t>
                  </w:r>
                </w:p>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点位</w:t>
                  </w:r>
                </w:p>
              </w:tc>
              <w:tc>
                <w:tcPr>
                  <w:tcW w:w="477"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污染物</w:t>
                  </w:r>
                </w:p>
              </w:tc>
              <w:tc>
                <w:tcPr>
                  <w:tcW w:w="621"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平均</w:t>
                  </w:r>
                </w:p>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时间</w:t>
                  </w:r>
                </w:p>
              </w:tc>
              <w:tc>
                <w:tcPr>
                  <w:tcW w:w="7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评价标准</w:t>
                  </w:r>
                  <w:r>
                    <w:rPr>
                      <w:rFonts w:cs="Times New Roman"/>
                      <w:color w:val="000000" w:themeColor="text1"/>
                      <w:sz w:val="21"/>
                      <w14:textFill>
                        <w14:solidFill>
                          <w14:schemeClr w14:val="tx1"/>
                        </w14:solidFill>
                      </w14:textFill>
                    </w:rPr>
                    <w:t>（mg/m</w:t>
                  </w:r>
                  <w:r>
                    <w:rPr>
                      <w:rFonts w:cs="Times New Roman"/>
                      <w:color w:val="000000" w:themeColor="text1"/>
                      <w:sz w:val="21"/>
                      <w:vertAlign w:val="superscript"/>
                      <w14:textFill>
                        <w14:solidFill>
                          <w14:schemeClr w14:val="tx1"/>
                        </w14:solidFill>
                      </w14:textFill>
                    </w:rPr>
                    <w:t>3</w:t>
                  </w:r>
                  <w:r>
                    <w:rPr>
                      <w:rFonts w:cs="Times New Roman"/>
                      <w:color w:val="000000" w:themeColor="text1"/>
                      <w:sz w:val="21"/>
                      <w14:textFill>
                        <w14:solidFill>
                          <w14:schemeClr w14:val="tx1"/>
                        </w14:solidFill>
                      </w14:textFill>
                    </w:rPr>
                    <w:t>）</w:t>
                  </w:r>
                </w:p>
              </w:tc>
              <w:tc>
                <w:tcPr>
                  <w:tcW w:w="97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监测浓度范围（mg/m</w:t>
                  </w:r>
                  <w:r>
                    <w:rPr>
                      <w:color w:val="000000" w:themeColor="text1"/>
                      <w:sz w:val="21"/>
                      <w:vertAlign w:val="superscript"/>
                      <w14:textFill>
                        <w14:solidFill>
                          <w14:schemeClr w14:val="tx1"/>
                        </w14:solidFill>
                      </w14:textFill>
                    </w:rPr>
                    <w:t>3</w:t>
                  </w:r>
                  <w:r>
                    <w:rPr>
                      <w:color w:val="000000" w:themeColor="text1"/>
                      <w:sz w:val="21"/>
                      <w14:textFill>
                        <w14:solidFill>
                          <w14:schemeClr w14:val="tx1"/>
                        </w14:solidFill>
                      </w14:textFill>
                    </w:rPr>
                    <w:t>）</w:t>
                  </w:r>
                </w:p>
              </w:tc>
              <w:tc>
                <w:tcPr>
                  <w:tcW w:w="69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最大浓度占标率%</w:t>
                  </w:r>
                </w:p>
              </w:tc>
              <w:tc>
                <w:tcPr>
                  <w:tcW w:w="505"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超标率%</w:t>
                  </w:r>
                </w:p>
              </w:tc>
              <w:tc>
                <w:tcPr>
                  <w:tcW w:w="53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4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01</w:t>
                  </w:r>
                </w:p>
              </w:tc>
              <w:tc>
                <w:tcPr>
                  <w:tcW w:w="477"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621"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24小时</w:t>
                  </w:r>
                </w:p>
              </w:tc>
              <w:tc>
                <w:tcPr>
                  <w:tcW w:w="749"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0.3</w:t>
                  </w:r>
                </w:p>
              </w:tc>
              <w:tc>
                <w:tcPr>
                  <w:tcW w:w="97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0.217</w:t>
                  </w: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0.701</w:t>
                  </w:r>
                </w:p>
              </w:tc>
              <w:tc>
                <w:tcPr>
                  <w:tcW w:w="693"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233.7</w:t>
                  </w:r>
                </w:p>
              </w:tc>
              <w:tc>
                <w:tcPr>
                  <w:tcW w:w="505" w:type="pct"/>
                  <w:vAlign w:val="center"/>
                </w:tcPr>
                <w:p>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42.9</w:t>
                  </w:r>
                </w:p>
              </w:tc>
              <w:tc>
                <w:tcPr>
                  <w:tcW w:w="533" w:type="pct"/>
                  <w:vAlign w:val="center"/>
                </w:tcPr>
                <w:p>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w:t>
                  </w:r>
                  <w:r>
                    <w:rPr>
                      <w:color w:val="000000" w:themeColor="text1"/>
                      <w:sz w:val="21"/>
                      <w14:textFill>
                        <w14:solidFill>
                          <w14:schemeClr w14:val="tx1"/>
                        </w14:solidFill>
                      </w14:textFill>
                    </w:rPr>
                    <w:t>达标</w:t>
                  </w:r>
                </w:p>
              </w:tc>
            </w:tr>
          </w:tbl>
          <w:p>
            <w:pPr>
              <w:ind w:firstLine="480"/>
              <w:rPr>
                <w:b/>
                <w:color w:val="000000" w:themeColor="text1"/>
                <w14:textFill>
                  <w14:solidFill>
                    <w14:schemeClr w14:val="tx1"/>
                  </w14:solidFill>
                </w14:textFill>
              </w:rPr>
            </w:pPr>
            <w:r>
              <w:rPr>
                <w:rFonts w:hint="eastAsia" w:cs="Times New Roman"/>
                <w:color w:val="000000" w:themeColor="text1"/>
                <w:kern w:val="0"/>
                <w14:textFill>
                  <w14:solidFill>
                    <w14:schemeClr w14:val="tx1"/>
                  </w14:solidFill>
                </w14:textFill>
              </w:rPr>
              <w:t>从监测结果可知，</w:t>
            </w:r>
            <w:r>
              <w:rPr>
                <w:rFonts w:cs="Times New Roman"/>
                <w:color w:val="000000" w:themeColor="text1"/>
                <w14:textFill>
                  <w14:solidFill>
                    <w14:schemeClr w14:val="tx1"/>
                  </w14:solidFill>
                </w14:textFill>
              </w:rPr>
              <w:t>TSP</w:t>
            </w:r>
            <w:r>
              <w:rPr>
                <w:rFonts w:hint="eastAsia" w:cs="Times New Roman"/>
                <w:color w:val="000000" w:themeColor="text1"/>
                <w14:textFill>
                  <w14:solidFill>
                    <w14:schemeClr w14:val="tx1"/>
                  </w14:solidFill>
                </w14:textFill>
              </w:rPr>
              <w:t>超过《环境空气质量标准》（</w:t>
            </w:r>
            <w:r>
              <w:rPr>
                <w:rFonts w:cs="Times New Roman"/>
                <w:color w:val="000000" w:themeColor="text1"/>
                <w14:textFill>
                  <w14:solidFill>
                    <w14:schemeClr w14:val="tx1"/>
                  </w14:solidFill>
                </w14:textFill>
              </w:rPr>
              <w:t>GB3095</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2012</w:t>
            </w:r>
            <w:r>
              <w:rPr>
                <w:rFonts w:hint="eastAsia" w:cs="Times New Roman"/>
                <w:color w:val="000000" w:themeColor="text1"/>
                <w14:textFill>
                  <w14:solidFill>
                    <w14:schemeClr w14:val="tx1"/>
                  </w14:solidFill>
                </w14:textFill>
              </w:rPr>
              <w:t>）中的二级标准限值要求，最大浓度占标率为</w:t>
            </w:r>
            <w:r>
              <w:rPr>
                <w:rFonts w:cs="Times New Roman"/>
                <w:color w:val="000000" w:themeColor="text1"/>
                <w14:textFill>
                  <w14:solidFill>
                    <w14:schemeClr w14:val="tx1"/>
                  </w14:solidFill>
                </w14:textFill>
              </w:rPr>
              <w:t>233.7%</w:t>
            </w:r>
            <w:r>
              <w:rPr>
                <w:rFonts w:hint="eastAsia" w:cs="Times New Roman"/>
                <w:color w:val="000000" w:themeColor="text1"/>
                <w14:textFill>
                  <w14:solidFill>
                    <w14:schemeClr w14:val="tx1"/>
                  </w14:solidFill>
                </w14:textFill>
              </w:rPr>
              <w:t>，最大超标率为</w:t>
            </w:r>
            <w:r>
              <w:rPr>
                <w:rFonts w:cs="Times New Roman"/>
                <w:color w:val="000000" w:themeColor="text1"/>
                <w14:textFill>
                  <w14:solidFill>
                    <w14:schemeClr w14:val="tx1"/>
                  </w14:solidFill>
                </w14:textFill>
              </w:rPr>
              <w:t>42.9%</w:t>
            </w:r>
            <w:r>
              <w:rPr>
                <w:rFonts w:hint="eastAsia" w:cs="Times New Roman"/>
                <w:color w:val="000000" w:themeColor="text1"/>
                <w14:textFill>
                  <w14:solidFill>
                    <w14:schemeClr w14:val="tx1"/>
                  </w14:solidFill>
                </w14:textFill>
              </w:rPr>
              <w:t>，</w:t>
            </w:r>
            <w:r>
              <w:rPr>
                <w:rFonts w:hint="eastAsia" w:cs="Times New Roman"/>
                <w:color w:val="000000" w:themeColor="text1"/>
                <w:kern w:val="0"/>
                <w:szCs w:val="24"/>
                <w14:textFill>
                  <w14:solidFill>
                    <w14:schemeClr w14:val="tx1"/>
                  </w14:solidFill>
                </w14:textFill>
              </w:rPr>
              <w:t>季节性沙尘天气对环境空气质量影响很大，是造成</w:t>
            </w:r>
            <w:r>
              <w:rPr>
                <w:rFonts w:cs="Times New Roman"/>
                <w:color w:val="000000" w:themeColor="text1"/>
                <w:kern w:val="0"/>
                <w:szCs w:val="24"/>
                <w14:textFill>
                  <w14:solidFill>
                    <w14:schemeClr w14:val="tx1"/>
                  </w14:solidFill>
                </w14:textFill>
              </w:rPr>
              <w:t>TSP</w:t>
            </w:r>
            <w:r>
              <w:rPr>
                <w:rFonts w:hint="eastAsia" w:cs="Times New Roman"/>
                <w:color w:val="000000" w:themeColor="text1"/>
                <w:kern w:val="0"/>
                <w:szCs w:val="24"/>
                <w14:textFill>
                  <w14:solidFill>
                    <w14:schemeClr w14:val="tx1"/>
                  </w14:solidFill>
                </w14:textFill>
              </w:rPr>
              <w:t>空气质量不达标的主要因素。</w:t>
            </w:r>
          </w:p>
          <w:p>
            <w:pPr>
              <w:ind w:firstLine="0"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3.2地表水环境质量现状</w:t>
            </w:r>
          </w:p>
          <w:p>
            <w:pPr>
              <w:ind w:firstLine="480"/>
              <w:rPr>
                <w:szCs w:val="24"/>
              </w:rPr>
            </w:pPr>
            <w:bookmarkStart w:id="8" w:name="_Hlk97245670"/>
            <w:r>
              <w:rPr>
                <w:rFonts w:cs="Times New Roman"/>
                <w:color w:val="000000"/>
              </w:rPr>
              <w:t>根据《巴音郭楞蒙古自治州2024年生态环境状况公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r>
              <w:rPr>
                <w:szCs w:val="24"/>
              </w:rPr>
              <w:t>。</w:t>
            </w:r>
          </w:p>
          <w:p>
            <w:pPr>
              <w:ind w:firstLine="480"/>
              <w:rPr>
                <w:rFonts w:cs="Times New Roman"/>
                <w:bCs/>
              </w:rPr>
            </w:pPr>
            <w:r>
              <w:rPr>
                <w:rFonts w:hint="eastAsia"/>
              </w:rPr>
              <w:t>本项目北距孔雀河13.</w:t>
            </w:r>
            <w:r>
              <w:t>3</w:t>
            </w:r>
            <w:r>
              <w:rPr>
                <w:rFonts w:hint="eastAsia"/>
              </w:rPr>
              <w:t>km</w:t>
            </w:r>
            <w:r>
              <w:rPr>
                <w:rFonts w:cs="Times New Roman"/>
                <w:bCs/>
              </w:rPr>
              <w:t>，</w:t>
            </w:r>
            <w:r>
              <w:rPr>
                <w:rFonts w:cs="Times New Roman"/>
                <w:color w:val="000000"/>
              </w:rPr>
              <w:t>根据《巴音郭楞蒙古自治州2024年生态环境状况公报》，6条主要河流19个监测断面中Ⅰ~Ⅲ类优良水质断面占100%，水质状况良好</w:t>
            </w:r>
            <w:r>
              <w:rPr>
                <w:rFonts w:hint="eastAsia" w:cs="Times New Roman"/>
                <w:color w:val="000000"/>
              </w:rPr>
              <w:t>，</w:t>
            </w:r>
            <w:r>
              <w:rPr>
                <w:rFonts w:cs="Times New Roman"/>
                <w:color w:val="000000"/>
              </w:rPr>
              <w:t>孔雀河水环境质量可达到《地表水环境质量标准》（GB3838-2002）Ⅲ类水质标准。</w:t>
            </w:r>
          </w:p>
          <w:bookmarkEnd w:id="8"/>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3.3声环境质量现状</w:t>
            </w:r>
          </w:p>
          <w:p>
            <w:pPr>
              <w:pStyle w:val="3"/>
              <w:spacing w:line="360" w:lineRule="auto"/>
              <w:ind w:firstLine="480" w:firstLineChars="200"/>
              <w:rPr>
                <w:rFonts w:cstheme="minorBidi"/>
                <w:b w:val="0"/>
                <w:bCs w:val="0"/>
                <w:szCs w:val="22"/>
              </w:rPr>
            </w:pPr>
            <w:r>
              <w:rPr>
                <w:rFonts w:hint="eastAsia" w:cstheme="minorBidi"/>
                <w:b w:val="0"/>
                <w:bCs w:val="0"/>
                <w:szCs w:val="22"/>
              </w:rPr>
              <w:t>根据</w:t>
            </w:r>
            <w:r>
              <w:rPr>
                <w:rFonts w:hint="eastAsia" w:cstheme="minorBidi"/>
                <w:b w:val="0"/>
                <w:bCs w:val="0"/>
                <w:szCs w:val="22"/>
                <w:lang w:val="zh-CN"/>
              </w:rPr>
              <w:t>《建设项目环境影响报告表编制技术指南（污染影响类）（试行）》</w:t>
            </w:r>
            <w:r>
              <w:rPr>
                <w:rFonts w:hint="eastAsia" w:cstheme="minorBidi"/>
                <w:b w:val="0"/>
                <w:bCs w:val="0"/>
                <w:szCs w:val="22"/>
              </w:rPr>
              <w:t>要求，本项目厂界外50m范围内无声环境敏感目标，以废旧物资回收企业为主，无需开展保护目标声环境质量现状监测。</w:t>
            </w:r>
          </w:p>
          <w:p>
            <w:pPr>
              <w:pStyle w:val="4"/>
            </w:pPr>
            <w:r>
              <w:rPr>
                <w:rFonts w:hint="eastAsia"/>
              </w:rPr>
              <w:t>3.4地下水、土壤环境</w:t>
            </w:r>
          </w:p>
          <w:p>
            <w:pPr>
              <w:ind w:firstLine="480"/>
              <w:textAlignment w:val="auto"/>
              <w:rPr>
                <w:rFonts w:cs="Times New Roman"/>
                <w:color w:val="000000" w:themeColor="text1"/>
                <w14:textFill>
                  <w14:solidFill>
                    <w14:schemeClr w14:val="tx1"/>
                  </w14:solidFill>
                </w14:textFill>
              </w:rPr>
            </w:pPr>
            <w:r>
              <w:rPr>
                <w:rFonts w:hint="eastAsia" w:cs="Times New Roman"/>
              </w:rPr>
              <w:t>根据《建设项目环境影响报告表编制技术指南（污染影响类）（试行）》的相关要求：报告表原则上不开展地下水环境和土壤环境质量现状评价，建设项目存在地下水环境污染途径的，应结合污染源、保护目标分布情况开展现</w:t>
            </w:r>
            <w:r>
              <w:rPr>
                <w:rFonts w:cs="Times New Roman"/>
              </w:rPr>
              <w:t>状调查以留作背景值。</w:t>
            </w:r>
            <w:r>
              <w:rPr>
                <w:rFonts w:hint="eastAsia" w:cs="Times New Roman"/>
              </w:rPr>
              <w:t>本项目生产废水经沉淀池处理后回用，沉淀池满足一般防渗区的防渗要求，危险废物贮存点满足《危险废物贮存污染控制标准》（GB18597-2023）中关于防渗防腐的相关规定。在正常工况下，无地下水环境污染途径，因此无需开展地下水环境现状调查，亦不进行土壤和地下水环境质量现状评价</w:t>
            </w:r>
            <w:r>
              <w:rPr>
                <w:rFonts w:hint="eastAsia" w:cs="Times New Roman"/>
                <w:color w:val="000000" w:themeColor="text1"/>
                <w14:textFill>
                  <w14:solidFill>
                    <w14:schemeClr w14:val="tx1"/>
                  </w14:solidFill>
                </w14:textFill>
              </w:rPr>
              <w:t>。</w:t>
            </w:r>
          </w:p>
          <w:p>
            <w:pPr>
              <w:pStyle w:val="4"/>
            </w:pPr>
            <w:r>
              <w:rPr>
                <w:rFonts w:hint="eastAsia"/>
              </w:rPr>
              <w:t>3.5生态环境</w:t>
            </w:r>
          </w:p>
          <w:p>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本项目位于库尔勒市哈拉玉宫镇废旧物资回收加工产业园</w:t>
            </w:r>
            <w:r>
              <w:rPr>
                <w:rFonts w:hint="eastAsia" w:cs="Times New Roman"/>
                <w:color w:val="000000" w:themeColor="text1"/>
                <w14:textFill>
                  <w14:solidFill>
                    <w14:schemeClr w14:val="tx1"/>
                  </w14:solidFill>
                </w14:textFill>
              </w:rPr>
              <w:t>内</w:t>
            </w:r>
            <w:r>
              <w:rPr>
                <w:rFonts w:hint="eastAsia"/>
                <w:color w:val="000000" w:themeColor="text1"/>
                <w14:textFill>
                  <w14:solidFill>
                    <w14:schemeClr w14:val="tx1"/>
                  </w14:solidFill>
                </w14:textFill>
              </w:rPr>
              <w:t>，占地范围内不涉及生态保护红线、饮用水水源保护区、风景名胜区、文物古迹等生态敏感区，区域内无珍稀濒危野生动植物存在，无生态环境保护目标存在。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387"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保护</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目标</w:t>
            </w:r>
          </w:p>
        </w:tc>
        <w:tc>
          <w:tcPr>
            <w:tcW w:w="4613" w:type="pct"/>
          </w:tcPr>
          <w:p>
            <w:pPr>
              <w:ind w:firstLine="0" w:firstLineChars="0"/>
              <w:rPr>
                <w:b/>
                <w:bCs/>
              </w:rPr>
            </w:pPr>
            <w:r>
              <w:rPr>
                <w:rFonts w:hint="eastAsia"/>
                <w:b/>
                <w:bCs/>
              </w:rPr>
              <w:t>1.大气环境</w:t>
            </w:r>
          </w:p>
          <w:p>
            <w:pPr>
              <w:ind w:firstLine="480"/>
            </w:pPr>
            <w:r>
              <w:rPr>
                <w:rFonts w:hint="eastAsia"/>
              </w:rPr>
              <w:t>本项目场界外</w:t>
            </w:r>
            <w:r>
              <w:t>500m</w:t>
            </w:r>
            <w:r>
              <w:rPr>
                <w:rFonts w:hint="eastAsia"/>
              </w:rPr>
              <w:t>范围内无自然保护区、风景名胜区、居住区、文化区和农村地区中人群较集中的区域等大气环境保护目标；</w:t>
            </w:r>
          </w:p>
          <w:p>
            <w:pPr>
              <w:ind w:firstLine="0" w:firstLineChars="0"/>
              <w:rPr>
                <w:b/>
                <w:bCs/>
              </w:rPr>
            </w:pPr>
            <w:r>
              <w:rPr>
                <w:rFonts w:hint="eastAsia"/>
                <w:b/>
                <w:bCs/>
              </w:rPr>
              <w:t>2.声环境</w:t>
            </w:r>
          </w:p>
          <w:p>
            <w:pPr>
              <w:ind w:firstLine="480"/>
            </w:pPr>
            <w:r>
              <w:rPr>
                <w:rFonts w:hint="eastAsia"/>
              </w:rPr>
              <w:t>根据《环境影响评价技术导则 声环境》（HJ2.4-2021），声环境敏感目标指医院、学校、机关、科研单位、住宅、自然保护区等对噪声敏感的建筑物或区域。本项目场界外50m范围内无声环境保护目标；</w:t>
            </w:r>
          </w:p>
          <w:p>
            <w:pPr>
              <w:ind w:firstLine="0" w:firstLineChars="0"/>
              <w:rPr>
                <w:b/>
                <w:bCs/>
              </w:rPr>
            </w:pPr>
            <w:r>
              <w:rPr>
                <w:rFonts w:hint="eastAsia"/>
                <w:b/>
                <w:bCs/>
              </w:rPr>
              <w:t>3.地下水环境</w:t>
            </w:r>
          </w:p>
          <w:p>
            <w:pPr>
              <w:ind w:firstLine="480"/>
            </w:pPr>
            <w:r>
              <w:rPr>
                <w:rFonts w:hint="eastAsia"/>
              </w:rPr>
              <w:t>本项目厂界外500m范围内无地下水集中式饮用水水源和热水、矿泉水、温泉等特殊地下水资源；</w:t>
            </w:r>
          </w:p>
          <w:p>
            <w:pPr>
              <w:ind w:firstLine="0" w:firstLineChars="0"/>
              <w:rPr>
                <w:b/>
                <w:bCs/>
              </w:rPr>
            </w:pPr>
            <w:r>
              <w:rPr>
                <w:rFonts w:hint="eastAsia"/>
                <w:b/>
                <w:bCs/>
              </w:rPr>
              <w:t>4.生态环境</w:t>
            </w:r>
          </w:p>
          <w:p>
            <w:pPr>
              <w:ind w:firstLine="480"/>
              <w:rPr>
                <w:color w:val="000000" w:themeColor="text1"/>
                <w14:textFill>
                  <w14:solidFill>
                    <w14:schemeClr w14:val="tx1"/>
                  </w14:solidFill>
                </w14:textFill>
              </w:rPr>
            </w:pPr>
            <w:r>
              <w:rPr>
                <w:rFonts w:hint="eastAsia"/>
              </w:rPr>
              <w:t>本项目位于</w:t>
            </w:r>
            <w:r>
              <w:rPr>
                <w:rFonts w:hint="eastAsia" w:hAnsi="宋体" w:cs="宋体"/>
                <w:szCs w:val="21"/>
              </w:rPr>
              <w:t>库尔勒市哈拉玉宫镇废旧物资回收加工产业园</w:t>
            </w:r>
            <w:r>
              <w:rPr>
                <w:rFonts w:hint="eastAsia"/>
              </w:rPr>
              <w:t>内，用地范围内及周边不涉及生态环境保护目标。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387" w:type="pct"/>
            <w:tcMar>
              <w:left w:w="28" w:type="dxa"/>
              <w:right w:w="28" w:type="dxa"/>
            </w:tcMar>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污染</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物排</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放控</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制标</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准</w:t>
            </w:r>
          </w:p>
        </w:tc>
        <w:tc>
          <w:tcPr>
            <w:tcW w:w="4613" w:type="pct"/>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1.大气污染物排放标准</w:t>
            </w:r>
          </w:p>
          <w:p>
            <w:pPr>
              <w:ind w:firstLine="480"/>
              <w:rPr>
                <w:rFonts w:cs="Times New Roman"/>
                <w:kern w:val="0"/>
              </w:rPr>
            </w:pPr>
            <w:r>
              <w:rPr>
                <w:rFonts w:hint="eastAsia"/>
                <w:color w:val="000000" w:themeColor="text1"/>
                <w14:textFill>
                  <w14:solidFill>
                    <w14:schemeClr w14:val="tx1"/>
                  </w14:solidFill>
                </w14:textFill>
              </w:rPr>
              <w:t>本项目颗粒物无组织废气执行《大气污染物综合排放标准》（GB16297-1996）表2中的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要求。臭气浓度执行《恶臭污染物排放标准》（GB14554-93）表1恶臭污染物厂界标准值新扩改建项目二级标准。</w:t>
            </w:r>
          </w:p>
          <w:p>
            <w:pPr>
              <w:pStyle w:val="38"/>
              <w:spacing w:before="163"/>
            </w:pPr>
            <w:r>
              <w:rPr>
                <w:rFonts w:hint="eastAsia"/>
              </w:rPr>
              <w:t>表3</w:t>
            </w:r>
            <w:r>
              <w:t>-3  大气污染物无组织排放限值</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005"/>
              <w:gridCol w:w="1732"/>
              <w:gridCol w:w="30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4" w:type="pct"/>
                  <w:vAlign w:val="center"/>
                </w:tcPr>
                <w:p>
                  <w:pPr>
                    <w:pStyle w:val="33"/>
                  </w:pPr>
                  <w:r>
                    <w:rPr>
                      <w:rFonts w:hint="eastAsia"/>
                    </w:rPr>
                    <w:t>污染物</w:t>
                  </w:r>
                </w:p>
              </w:tc>
              <w:tc>
                <w:tcPr>
                  <w:tcW w:w="2333" w:type="pct"/>
                  <w:gridSpan w:val="2"/>
                  <w:vAlign w:val="center"/>
                </w:tcPr>
                <w:p>
                  <w:pPr>
                    <w:pStyle w:val="33"/>
                  </w:pPr>
                  <w:r>
                    <w:rPr>
                      <w:rFonts w:hint="eastAsia"/>
                    </w:rPr>
                    <w:t>无组织排放监控浓度</w:t>
                  </w:r>
                </w:p>
              </w:tc>
              <w:tc>
                <w:tcPr>
                  <w:tcW w:w="1933" w:type="pct"/>
                  <w:vAlign w:val="center"/>
                </w:tcPr>
                <w:p>
                  <w:pPr>
                    <w:pStyle w:val="33"/>
                  </w:pPr>
                  <w:r>
                    <w:rPr>
                      <w:rFonts w:hint="eastAsi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7" w:hRule="atLeast"/>
              </w:trPr>
              <w:tc>
                <w:tcPr>
                  <w:tcW w:w="734" w:type="pct"/>
                  <w:vMerge w:val="restart"/>
                  <w:vAlign w:val="center"/>
                </w:tcPr>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252" w:type="pct"/>
                  <w:vAlign w:val="center"/>
                </w:tcPr>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监控点</w:t>
                  </w:r>
                </w:p>
              </w:tc>
              <w:tc>
                <w:tcPr>
                  <w:tcW w:w="1081" w:type="pct"/>
                  <w:vAlign w:val="center"/>
                </w:tcPr>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c>
                <w:tcPr>
                  <w:tcW w:w="1933" w:type="pct"/>
                  <w:vMerge w:val="restart"/>
                  <w:vAlign w:val="center"/>
                </w:tcPr>
                <w:p>
                  <w:pPr>
                    <w:pStyle w:val="33"/>
                    <w:rPr>
                      <w:color w:val="000000" w:themeColor="text1"/>
                      <w14:textFill>
                        <w14:solidFill>
                          <w14:schemeClr w14:val="tx1"/>
                        </w14:solidFill>
                      </w14:textFill>
                    </w:rPr>
                  </w:pPr>
                  <w:r>
                    <w:rPr>
                      <w:rFonts w:hint="eastAsia"/>
                      <w:color w:val="000000" w:themeColor="text1"/>
                      <w14:textFill>
                        <w14:solidFill>
                          <w14:schemeClr w14:val="tx1"/>
                        </w14:solidFill>
                      </w14:textFill>
                    </w:rPr>
                    <w:t>《大气污染物综合排放标准》（GB16297-1996）表2中的</w:t>
                  </w:r>
                  <w:r>
                    <w:rPr>
                      <w:rFonts w:ascii="SourceHanSansCN-Regular" w:hAnsi="SourceHanSansCN-Regular"/>
                      <w:color w:val="000000"/>
                    </w:rPr>
                    <w:t>无组织排放监控点浓度限值</w:t>
                  </w:r>
                  <w:r>
                    <w:rPr>
                      <w:rFonts w:hint="eastAsia"/>
                      <w:color w:val="000000" w:themeColor="text1"/>
                      <w14:textFill>
                        <w14:solidFill>
                          <w14:schemeClr w14:val="tx1"/>
                        </w14:solidFill>
                      </w14:textFill>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4" w:hRule="atLeast"/>
              </w:trPr>
              <w:tc>
                <w:tcPr>
                  <w:tcW w:w="734" w:type="pct"/>
                  <w:vMerge w:val="continue"/>
                  <w:vAlign w:val="center"/>
                </w:tcPr>
                <w:p>
                  <w:pPr>
                    <w:pStyle w:val="33"/>
                  </w:pPr>
                </w:p>
              </w:tc>
              <w:tc>
                <w:tcPr>
                  <w:tcW w:w="1252" w:type="pct"/>
                  <w:vAlign w:val="center"/>
                </w:tcPr>
                <w:p>
                  <w:pPr>
                    <w:pStyle w:val="33"/>
                  </w:pPr>
                  <w:r>
                    <w:rPr>
                      <w:rFonts w:hint="eastAsia"/>
                    </w:rPr>
                    <w:t>周界外浓度最高点</w:t>
                  </w:r>
                </w:p>
              </w:tc>
              <w:tc>
                <w:tcPr>
                  <w:tcW w:w="1081" w:type="pct"/>
                  <w:vAlign w:val="center"/>
                </w:tcPr>
                <w:p>
                  <w:pPr>
                    <w:pStyle w:val="33"/>
                  </w:pPr>
                  <w:r>
                    <w:rPr>
                      <w:rFonts w:hint="eastAsia"/>
                    </w:rPr>
                    <w:t>1.0</w:t>
                  </w:r>
                </w:p>
              </w:tc>
              <w:tc>
                <w:tcPr>
                  <w:tcW w:w="1933" w:type="pct"/>
                  <w:vMerge w:val="continue"/>
                  <w:vAlign w:val="center"/>
                </w:tcPr>
                <w:p>
                  <w:pPr>
                    <w:pStyle w:val="33"/>
                  </w:pPr>
                </w:p>
              </w:tc>
            </w:tr>
          </w:tbl>
          <w:p>
            <w:pPr>
              <w:pStyle w:val="38"/>
              <w:spacing w:before="163"/>
              <w:ind w:firstLine="480"/>
            </w:pPr>
            <w:r>
              <w:rPr>
                <w:rFonts w:hint="eastAsia"/>
              </w:rPr>
              <w:t>表3-</w:t>
            </w:r>
            <w:r>
              <w:t>4</w:t>
            </w:r>
            <w:r>
              <w:rPr>
                <w:rFonts w:hint="eastAsia"/>
              </w:rPr>
              <w:t xml:space="preserve">  恶臭污染物排放标准</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211"/>
              <w:gridCol w:w="2331"/>
              <w:gridCol w:w="2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5" w:hRule="atLeast"/>
                <w:jc w:val="center"/>
              </w:trPr>
              <w:tc>
                <w:tcPr>
                  <w:tcW w:w="915" w:type="pct"/>
                  <w:tcBorders>
                    <w:tl2br w:val="nil"/>
                    <w:tr2bl w:val="nil"/>
                  </w:tcBorders>
                  <w:vAlign w:val="center"/>
                </w:tcPr>
                <w:p>
                  <w:pPr>
                    <w:pStyle w:val="33"/>
                    <w:rPr>
                      <w:rFonts w:cs="Times New Roman"/>
                    </w:rPr>
                  </w:pPr>
                  <w:r>
                    <w:rPr>
                      <w:rFonts w:cs="Times New Roman"/>
                    </w:rPr>
                    <w:t>污染物</w:t>
                  </w:r>
                  <w:r>
                    <w:rPr>
                      <w:rFonts w:hint="eastAsia" w:cs="Times New Roman"/>
                    </w:rPr>
                    <w:t>工序</w:t>
                  </w:r>
                </w:p>
              </w:tc>
              <w:tc>
                <w:tcPr>
                  <w:tcW w:w="756" w:type="pct"/>
                  <w:tcBorders>
                    <w:tl2br w:val="nil"/>
                    <w:tr2bl w:val="nil"/>
                  </w:tcBorders>
                  <w:vAlign w:val="center"/>
                </w:tcPr>
                <w:p>
                  <w:pPr>
                    <w:pStyle w:val="33"/>
                    <w:rPr>
                      <w:rFonts w:cs="Times New Roman"/>
                    </w:rPr>
                  </w:pPr>
                  <w:r>
                    <w:rPr>
                      <w:rFonts w:hint="eastAsia" w:cs="Times New Roman"/>
                    </w:rPr>
                    <w:t>污染物</w:t>
                  </w:r>
                </w:p>
              </w:tc>
              <w:tc>
                <w:tcPr>
                  <w:tcW w:w="1456" w:type="pct"/>
                  <w:tcBorders>
                    <w:tl2br w:val="nil"/>
                    <w:tr2bl w:val="nil"/>
                  </w:tcBorders>
                  <w:vAlign w:val="center"/>
                </w:tcPr>
                <w:p>
                  <w:pPr>
                    <w:pStyle w:val="33"/>
                    <w:rPr>
                      <w:rFonts w:cs="Times New Roman"/>
                    </w:rPr>
                  </w:pPr>
                  <w:r>
                    <w:rPr>
                      <w:rFonts w:hint="eastAsia" w:cs="Times New Roman"/>
                    </w:rPr>
                    <w:t>厂界无组织排放标准</w:t>
                  </w:r>
                </w:p>
              </w:tc>
              <w:tc>
                <w:tcPr>
                  <w:tcW w:w="1873" w:type="pct"/>
                  <w:tcBorders>
                    <w:tl2br w:val="nil"/>
                    <w:tr2bl w:val="nil"/>
                  </w:tcBorders>
                  <w:vAlign w:val="center"/>
                </w:tcPr>
                <w:p>
                  <w:pPr>
                    <w:pStyle w:val="33"/>
                    <w:rPr>
                      <w:rFonts w:cs="Times New Roman"/>
                    </w:rPr>
                  </w:pPr>
                  <w:r>
                    <w:rPr>
                      <w:rFonts w:hint="eastAsia"/>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5" w:type="pct"/>
                  <w:tcBorders>
                    <w:tl2br w:val="nil"/>
                    <w:tr2bl w:val="nil"/>
                  </w:tcBorders>
                  <w:vAlign w:val="center"/>
                </w:tcPr>
                <w:p>
                  <w:pPr>
                    <w:pStyle w:val="33"/>
                    <w:rPr>
                      <w:rFonts w:cs="Times New Roman"/>
                    </w:rPr>
                  </w:pPr>
                  <w:r>
                    <w:rPr>
                      <w:rFonts w:hint="eastAsia" w:cs="Times New Roman"/>
                    </w:rPr>
                    <w:t>预处理</w:t>
                  </w:r>
                </w:p>
              </w:tc>
              <w:tc>
                <w:tcPr>
                  <w:tcW w:w="756" w:type="pct"/>
                  <w:tcBorders>
                    <w:tl2br w:val="nil"/>
                    <w:tr2bl w:val="nil"/>
                  </w:tcBorders>
                  <w:vAlign w:val="center"/>
                </w:tcPr>
                <w:p>
                  <w:pPr>
                    <w:pStyle w:val="33"/>
                    <w:rPr>
                      <w:rFonts w:cs="Times New Roman"/>
                    </w:rPr>
                  </w:pPr>
                  <w:r>
                    <w:rPr>
                      <w:rFonts w:hint="eastAsia" w:cs="Times New Roman"/>
                    </w:rPr>
                    <w:t>臭气浓度</w:t>
                  </w:r>
                </w:p>
              </w:tc>
              <w:tc>
                <w:tcPr>
                  <w:tcW w:w="1456" w:type="pct"/>
                  <w:tcBorders>
                    <w:tl2br w:val="nil"/>
                    <w:tr2bl w:val="nil"/>
                  </w:tcBorders>
                  <w:vAlign w:val="center"/>
                </w:tcPr>
                <w:p>
                  <w:pPr>
                    <w:pStyle w:val="33"/>
                    <w:ind w:firstLine="480"/>
                    <w:rPr>
                      <w:rFonts w:cs="Times New Roman"/>
                    </w:rPr>
                  </w:pPr>
                  <w:r>
                    <w:rPr>
                      <w:rFonts w:hint="eastAsia" w:cs="Times New Roman"/>
                    </w:rPr>
                    <w:t>20（无量纲）</w:t>
                  </w:r>
                </w:p>
              </w:tc>
              <w:tc>
                <w:tcPr>
                  <w:tcW w:w="1873" w:type="pct"/>
                  <w:tcBorders>
                    <w:tl2br w:val="nil"/>
                    <w:tr2bl w:val="nil"/>
                  </w:tcBorders>
                  <w:vAlign w:val="center"/>
                </w:tcPr>
                <w:p>
                  <w:pPr>
                    <w:pStyle w:val="33"/>
                    <w:rPr>
                      <w:rFonts w:cs="Times New Roman"/>
                    </w:rPr>
                  </w:pPr>
                  <w:r>
                    <w:rPr>
                      <w:rFonts w:hint="eastAsia"/>
                    </w:rPr>
                    <w:t>《</w:t>
                  </w:r>
                  <w:bookmarkStart w:id="9" w:name="OLE_LINK3"/>
                  <w:r>
                    <w:rPr>
                      <w:rFonts w:hint="eastAsia"/>
                    </w:rPr>
                    <w:t>恶臭污染物排放标准</w:t>
                  </w:r>
                  <w:bookmarkEnd w:id="9"/>
                  <w:r>
                    <w:rPr>
                      <w:rFonts w:hint="eastAsia"/>
                    </w:rPr>
                    <w:t>》（GB14554-93）</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2.废水</w:t>
            </w:r>
          </w:p>
          <w:p>
            <w:pPr>
              <w:ind w:firstLine="480"/>
            </w:pPr>
            <w:r>
              <w:rPr>
                <w:rFonts w:hint="eastAsia"/>
                <w:color w:val="000000" w:themeColor="text1"/>
                <w14:textFill>
                  <w14:solidFill>
                    <w14:schemeClr w14:val="tx1"/>
                  </w14:solidFill>
                </w14:textFill>
              </w:rPr>
              <w:t>本项目产生的生产废水经沉淀处理后全部循环利用，不外排。生活污水进入库尔勒市哈拉玉宫镇废旧物资回收加工产业园配套建设的化粪池进行预处理后，定期由吸污车抽运至库尔勒市南市区污水处理厂处理</w:t>
            </w:r>
            <w:r>
              <w:rPr>
                <w:rFonts w:hint="eastAsia"/>
              </w:rPr>
              <w:t>。</w:t>
            </w:r>
          </w:p>
          <w:p>
            <w:pPr>
              <w:ind w:firstLine="480"/>
              <w:textAlignment w:val="auto"/>
            </w:pPr>
            <w:r>
              <w:t>化粪池处理后废水排放指标需满足《污水综合排放标准》（GB8978-1996）表4三级标准要求，详见表</w:t>
            </w:r>
            <w:r>
              <w:rPr>
                <w:rFonts w:hint="eastAsia"/>
              </w:rPr>
              <w:t>3</w:t>
            </w:r>
            <w:r>
              <w:t>-5</w:t>
            </w:r>
            <w:r>
              <w:rPr>
                <w:rFonts w:hint="eastAsia"/>
              </w:rPr>
              <w:t>。</w:t>
            </w:r>
          </w:p>
          <w:p>
            <w:pPr>
              <w:pStyle w:val="80"/>
              <w:spacing w:before="240"/>
              <w:ind w:firstLine="480"/>
              <w:rPr>
                <w:rFonts w:ascii="Times New Roman" w:hAnsi="Times New Roman" w:cs="Times New Roman"/>
                <w:sz w:val="21"/>
                <w:szCs w:val="21"/>
              </w:rPr>
            </w:pPr>
            <w:r>
              <w:rPr>
                <w:rFonts w:ascii="Times New Roman" w:hAnsi="Times New Roman" w:cs="Times New Roman"/>
                <w:sz w:val="21"/>
                <w:szCs w:val="21"/>
              </w:rPr>
              <w:t>表</w:t>
            </w:r>
            <w:r>
              <w:rPr>
                <w:rFonts w:hint="eastAsia" w:ascii="Times New Roman" w:hAnsi="Times New Roman" w:cs="Times New Roman"/>
                <w:sz w:val="21"/>
                <w:szCs w:val="21"/>
              </w:rPr>
              <w:t>3</w:t>
            </w:r>
            <w:r>
              <w:rPr>
                <w:rFonts w:ascii="Times New Roman" w:hAnsi="Times New Roman" w:cs="Times New Roman"/>
                <w:sz w:val="21"/>
                <w:szCs w:val="21"/>
              </w:rPr>
              <w:t>-5  《污水综合排放标准》（GB8978-1996）  单位：mg/L</w:t>
            </w:r>
          </w:p>
          <w:tbl>
            <w:tblPr>
              <w:tblStyle w:val="25"/>
              <w:tblW w:w="49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590"/>
              <w:gridCol w:w="1511"/>
              <w:gridCol w:w="1595"/>
              <w:gridCol w:w="16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5" w:hRule="atLeast"/>
                <w:jc w:val="center"/>
              </w:trPr>
              <w:tc>
                <w:tcPr>
                  <w:tcW w:w="1545" w:type="dxa"/>
                  <w:vAlign w:val="center"/>
                </w:tcPr>
                <w:p>
                  <w:pPr>
                    <w:pStyle w:val="81"/>
                    <w:rPr>
                      <w:rFonts w:cs="Times New Roman"/>
                      <w:color w:val="000000"/>
                    </w:rPr>
                  </w:pPr>
                  <w:r>
                    <w:rPr>
                      <w:rFonts w:cs="Times New Roman"/>
                      <w:color w:val="000000"/>
                    </w:rPr>
                    <w:t>污染物</w:t>
                  </w:r>
                </w:p>
              </w:tc>
              <w:tc>
                <w:tcPr>
                  <w:tcW w:w="1567" w:type="dxa"/>
                  <w:vAlign w:val="center"/>
                </w:tcPr>
                <w:p>
                  <w:pPr>
                    <w:pStyle w:val="81"/>
                    <w:rPr>
                      <w:rFonts w:cs="Times New Roman"/>
                      <w:color w:val="000000"/>
                    </w:rPr>
                  </w:pPr>
                  <w:r>
                    <w:rPr>
                      <w:rFonts w:cs="Times New Roman"/>
                      <w:color w:val="000000"/>
                    </w:rPr>
                    <w:t>COD</w:t>
                  </w:r>
                </w:p>
              </w:tc>
              <w:tc>
                <w:tcPr>
                  <w:tcW w:w="1489" w:type="dxa"/>
                  <w:vAlign w:val="center"/>
                </w:tcPr>
                <w:p>
                  <w:pPr>
                    <w:pStyle w:val="81"/>
                    <w:rPr>
                      <w:rFonts w:cs="Times New Roman"/>
                      <w:color w:val="000000"/>
                    </w:rPr>
                  </w:pPr>
                  <w:r>
                    <w:rPr>
                      <w:rFonts w:hint="eastAsia" w:cs="Times New Roman"/>
                      <w:color w:val="000000"/>
                    </w:rPr>
                    <w:t>B</w:t>
                  </w:r>
                  <w:r>
                    <w:rPr>
                      <w:rFonts w:cs="Times New Roman"/>
                      <w:color w:val="000000"/>
                    </w:rPr>
                    <w:t>OD</w:t>
                  </w:r>
                  <w:r>
                    <w:rPr>
                      <w:rFonts w:cs="Times New Roman"/>
                      <w:color w:val="000000"/>
                      <w:vertAlign w:val="subscript"/>
                    </w:rPr>
                    <w:t>5</w:t>
                  </w:r>
                </w:p>
              </w:tc>
              <w:tc>
                <w:tcPr>
                  <w:tcW w:w="1572" w:type="dxa"/>
                  <w:vAlign w:val="center"/>
                </w:tcPr>
                <w:p>
                  <w:pPr>
                    <w:pStyle w:val="81"/>
                    <w:rPr>
                      <w:rFonts w:cs="Times New Roman"/>
                      <w:color w:val="000000"/>
                    </w:rPr>
                  </w:pPr>
                  <w:r>
                    <w:rPr>
                      <w:rFonts w:cs="Times New Roman"/>
                      <w:color w:val="000000"/>
                    </w:rPr>
                    <w:t>SS</w:t>
                  </w:r>
                </w:p>
              </w:tc>
              <w:tc>
                <w:tcPr>
                  <w:tcW w:w="1618" w:type="dxa"/>
                  <w:vAlign w:val="center"/>
                </w:tcPr>
                <w:p>
                  <w:pPr>
                    <w:pStyle w:val="81"/>
                    <w:rPr>
                      <w:rFonts w:cs="Times New Roman"/>
                      <w:color w:val="000000"/>
                    </w:rPr>
                  </w:pPr>
                  <w:r>
                    <w:rPr>
                      <w:rFonts w:cs="Times New Roman"/>
                      <w:color w:val="000000"/>
                    </w:rPr>
                    <w:t>NH</w:t>
                  </w:r>
                  <w:r>
                    <w:rPr>
                      <w:rFonts w:cs="Times New Roman"/>
                      <w:color w:val="000000"/>
                      <w:vertAlign w:val="subscript"/>
                    </w:rPr>
                    <w:t>3</w:t>
                  </w:r>
                  <w:r>
                    <w:rPr>
                      <w:rFonts w:cs="Times New Roman"/>
                      <w:color w:val="000000"/>
                    </w:rPr>
                    <w:t>-N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545" w:type="dxa"/>
                  <w:vAlign w:val="center"/>
                </w:tcPr>
                <w:p>
                  <w:pPr>
                    <w:pStyle w:val="81"/>
                    <w:rPr>
                      <w:rFonts w:cs="Times New Roman"/>
                      <w:color w:val="000000"/>
                    </w:rPr>
                  </w:pPr>
                  <w:r>
                    <w:rPr>
                      <w:rFonts w:cs="Times New Roman"/>
                      <w:color w:val="000000"/>
                    </w:rPr>
                    <w:t>标准值</w:t>
                  </w:r>
                </w:p>
              </w:tc>
              <w:tc>
                <w:tcPr>
                  <w:tcW w:w="1567" w:type="dxa"/>
                  <w:vAlign w:val="center"/>
                </w:tcPr>
                <w:p>
                  <w:pPr>
                    <w:pStyle w:val="81"/>
                    <w:rPr>
                      <w:rFonts w:cs="Times New Roman"/>
                      <w:color w:val="000000"/>
                    </w:rPr>
                  </w:pPr>
                  <w:r>
                    <w:rPr>
                      <w:rFonts w:cs="Times New Roman"/>
                      <w:color w:val="000000"/>
                    </w:rPr>
                    <w:t>500</w:t>
                  </w:r>
                </w:p>
              </w:tc>
              <w:tc>
                <w:tcPr>
                  <w:tcW w:w="1489" w:type="dxa"/>
                  <w:vAlign w:val="center"/>
                </w:tcPr>
                <w:p>
                  <w:pPr>
                    <w:pStyle w:val="81"/>
                    <w:rPr>
                      <w:rFonts w:cs="Times New Roman"/>
                      <w:color w:val="000000"/>
                    </w:rPr>
                  </w:pPr>
                  <w:r>
                    <w:rPr>
                      <w:rFonts w:hint="eastAsia" w:cs="Times New Roman"/>
                      <w:color w:val="000000"/>
                    </w:rPr>
                    <w:t>3</w:t>
                  </w:r>
                  <w:r>
                    <w:rPr>
                      <w:rFonts w:cs="Times New Roman"/>
                      <w:color w:val="000000"/>
                    </w:rPr>
                    <w:t>00</w:t>
                  </w:r>
                </w:p>
              </w:tc>
              <w:tc>
                <w:tcPr>
                  <w:tcW w:w="1572" w:type="dxa"/>
                  <w:vAlign w:val="center"/>
                </w:tcPr>
                <w:p>
                  <w:pPr>
                    <w:pStyle w:val="81"/>
                    <w:rPr>
                      <w:rFonts w:cs="Times New Roman"/>
                      <w:color w:val="000000"/>
                    </w:rPr>
                  </w:pPr>
                  <w:r>
                    <w:rPr>
                      <w:rFonts w:cs="Times New Roman"/>
                      <w:color w:val="000000"/>
                    </w:rPr>
                    <w:t>400</w:t>
                  </w:r>
                </w:p>
              </w:tc>
              <w:tc>
                <w:tcPr>
                  <w:tcW w:w="1618" w:type="dxa"/>
                  <w:vAlign w:val="center"/>
                </w:tcPr>
                <w:p>
                  <w:pPr>
                    <w:pStyle w:val="81"/>
                    <w:rPr>
                      <w:rFonts w:cs="Times New Roman"/>
                      <w:color w:val="000000"/>
                    </w:rPr>
                  </w:pPr>
                  <w:r>
                    <w:rPr>
                      <w:rFonts w:cs="Times New Roman"/>
                      <w:color w:val="000000"/>
                    </w:rPr>
                    <w:t>—</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3.噪声排放标准</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项目施工期噪声执行《</w:t>
            </w:r>
            <w:r>
              <w:rPr>
                <w:rFonts w:hint="eastAsia"/>
                <w:color w:val="000000" w:themeColor="text1"/>
                <w14:textFill>
                  <w14:solidFill>
                    <w14:schemeClr w14:val="tx1"/>
                  </w14:solidFill>
                </w14:textFill>
              </w:rPr>
              <w:t>建筑施工噪声排放标准</w:t>
            </w:r>
            <w:r>
              <w:rPr>
                <w:color w:val="000000" w:themeColor="text1"/>
                <w14:textFill>
                  <w14:solidFill>
                    <w14:schemeClr w14:val="tx1"/>
                  </w14:solidFill>
                </w14:textFill>
              </w:rPr>
              <w:t>》（GB12523-20</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），详见表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运营期噪声执行《工业企业厂界环境噪声排放标准》（GB12348-2008）中2类标准，标准值见表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-7。</w:t>
            </w:r>
          </w:p>
          <w:p>
            <w:pPr>
              <w:pStyle w:val="38"/>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 xml:space="preserve">  建筑施工场界噪声排放限值   单位：dB（A</w:t>
            </w:r>
            <w:r>
              <w:rPr>
                <w:color w:val="000000" w:themeColor="text1"/>
                <w14:textFill>
                  <w14:solidFill>
                    <w14:schemeClr w14:val="tx1"/>
                  </w14:solidFill>
                </w14:textFill>
              </w:rPr>
              <w:t>）</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43"/>
              <w:gridCol w:w="3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2164"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70</w:t>
                  </w:r>
                </w:p>
              </w:tc>
              <w:tc>
                <w:tcPr>
                  <w:tcW w:w="2164"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55</w:t>
                  </w:r>
                </w:p>
              </w:tc>
            </w:tr>
          </w:tbl>
          <w:p>
            <w:pPr>
              <w:pStyle w:val="38"/>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  工业企业厂界环境噪声排放标准 等效声级dB（A</w:t>
            </w:r>
            <w:r>
              <w:rPr>
                <w:color w:val="000000" w:themeColor="text1"/>
                <w14:textFill>
                  <w14:solidFill>
                    <w14:schemeClr w14:val="tx1"/>
                  </w14:solidFill>
                </w14:textFill>
              </w:rPr>
              <w:t>）</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37"/>
              <w:gridCol w:w="3502"/>
              <w:gridCol w:w="2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51" w:hRule="atLeast"/>
              </w:trPr>
              <w:tc>
                <w:tcPr>
                  <w:tcW w:w="114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类别</w:t>
                  </w:r>
                </w:p>
              </w:tc>
              <w:tc>
                <w:tcPr>
                  <w:tcW w:w="218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166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 w:hRule="atLeast"/>
              </w:trPr>
              <w:tc>
                <w:tcPr>
                  <w:tcW w:w="114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2类</w:t>
                  </w:r>
                </w:p>
              </w:tc>
              <w:tc>
                <w:tcPr>
                  <w:tcW w:w="2186"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60</w:t>
                  </w:r>
                </w:p>
              </w:tc>
              <w:tc>
                <w:tcPr>
                  <w:tcW w:w="1667" w:type="pct"/>
                  <w:tcBorders>
                    <w:tl2br w:val="nil"/>
                    <w:tr2bl w:val="nil"/>
                  </w:tcBorders>
                  <w:vAlign w:val="center"/>
                </w:tcPr>
                <w:p>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50</w:t>
                  </w:r>
                </w:p>
              </w:tc>
            </w:tr>
          </w:tbl>
          <w:p>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4.固体废物</w:t>
            </w:r>
          </w:p>
          <w:p>
            <w:pPr>
              <w:ind w:firstLine="480"/>
            </w:pPr>
            <w:r>
              <w:rPr>
                <w:rFonts w:hint="eastAsia"/>
              </w:rPr>
              <w:t>根据《中华人民共和国固体废物污染环境防治法》第二十条规定，产生、收集、贮存、运输、利用、处置固体废物的单位和其他生产经营者，应当采取防扬散、防流失、防渗漏或者其他防止污染环境的措施，不得擅自倾倒、堆放、丢弃、遗撒固体废物。本项目一般工业固体废物在厂区内暂存应严格执行《一般工业固体废物贮存和填埋污染控制标准》（GB18599-2020）中的“其贮存过程应满足相应防渗漏、防雨淋、防扬尘等环境保护要求”；危险废物执行《危险废物贮存污染控制标准》（GB18597-2023）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30" w:hRule="atLeast"/>
          <w:jc w:val="center"/>
        </w:trPr>
        <w:tc>
          <w:tcPr>
            <w:tcW w:w="387" w:type="pct"/>
            <w:vAlign w:val="center"/>
          </w:tcPr>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总量</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控制</w:t>
            </w:r>
          </w:p>
          <w:p>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指标</w:t>
            </w:r>
          </w:p>
        </w:tc>
        <w:tc>
          <w:tcPr>
            <w:tcW w:w="4613" w:type="pct"/>
          </w:tcPr>
          <w:p>
            <w:pPr>
              <w:widowControl/>
              <w:ind w:firstLine="480"/>
              <w:rPr>
                <w:rFonts w:cs="Times New Roman"/>
                <w:color w:val="000000" w:themeColor="text1"/>
                <w:sz w:val="25"/>
                <w:szCs w:val="25"/>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根据《“十四五”污染减排综合工作方案编制技术指南》，国家实施总量控制的污染物指标有大气污染物：</w:t>
            </w:r>
            <w:r>
              <w:rPr>
                <w:color w:val="000000" w:themeColor="text1"/>
                <w:kern w:val="0"/>
                <w:lang w:bidi="ar"/>
                <w14:textFill>
                  <w14:solidFill>
                    <w14:schemeClr w14:val="tx1"/>
                  </w14:solidFill>
                </w14:textFill>
              </w:rPr>
              <w:t>NOx</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VOCs</w:t>
            </w:r>
            <w:r>
              <w:rPr>
                <w:rFonts w:hint="eastAsia" w:ascii="宋体" w:hAnsi="宋体" w:cs="宋体"/>
                <w:color w:val="000000" w:themeColor="text1"/>
                <w:kern w:val="0"/>
                <w:lang w:bidi="ar"/>
                <w14:textFill>
                  <w14:solidFill>
                    <w14:schemeClr w14:val="tx1"/>
                  </w14:solidFill>
                </w14:textFill>
              </w:rPr>
              <w:t>；水污染物：</w:t>
            </w:r>
            <w:r>
              <w:rPr>
                <w:color w:val="000000" w:themeColor="text1"/>
                <w:kern w:val="0"/>
                <w:lang w:bidi="ar"/>
                <w14:textFill>
                  <w14:solidFill>
                    <w14:schemeClr w14:val="tx1"/>
                  </w14:solidFill>
                </w14:textFill>
              </w:rPr>
              <w:t>COD</w:t>
            </w:r>
            <w:r>
              <w:rPr>
                <w:rFonts w:hint="eastAsia" w:ascii="宋体" w:hAnsi="宋体" w:cs="宋体"/>
                <w:color w:val="000000" w:themeColor="text1"/>
                <w:kern w:val="0"/>
                <w:lang w:bidi="ar"/>
                <w14:textFill>
                  <w14:solidFill>
                    <w14:schemeClr w14:val="tx1"/>
                  </w14:solidFill>
                </w14:textFill>
              </w:rPr>
              <w:t>和</w:t>
            </w:r>
            <w:r>
              <w:rPr>
                <w:color w:val="000000" w:themeColor="text1"/>
                <w:kern w:val="0"/>
                <w:lang w:bidi="ar"/>
                <w14:textFill>
                  <w14:solidFill>
                    <w14:schemeClr w14:val="tx1"/>
                  </w14:solidFill>
                </w14:textFill>
              </w:rPr>
              <w:t>NH</w:t>
            </w:r>
            <w:r>
              <w:rPr>
                <w:rFonts w:hint="eastAsia"/>
                <w:color w:val="000000" w:themeColor="text1"/>
                <w:kern w:val="0"/>
                <w:vertAlign w:val="subscript"/>
                <w:lang w:bidi="ar"/>
                <w14:textFill>
                  <w14:solidFill>
                    <w14:schemeClr w14:val="tx1"/>
                  </w14:solidFill>
                </w14:textFill>
              </w:rPr>
              <w:t>3</w:t>
            </w:r>
            <w:r>
              <w:rPr>
                <w:color w:val="000000" w:themeColor="text1"/>
                <w:kern w:val="0"/>
                <w:lang w:bidi="ar"/>
                <w14:textFill>
                  <w14:solidFill>
                    <w14:schemeClr w14:val="tx1"/>
                  </w14:solidFill>
                </w14:textFill>
              </w:rPr>
              <w:t>-N</w:t>
            </w:r>
            <w:r>
              <w:rPr>
                <w:rFonts w:cs="Times New Roman"/>
                <w:color w:val="000000" w:themeColor="text1"/>
                <w:sz w:val="25"/>
                <w:szCs w:val="25"/>
                <w14:textFill>
                  <w14:solidFill>
                    <w14:schemeClr w14:val="tx1"/>
                  </w14:solidFill>
                </w14:textFill>
              </w:rPr>
              <w:t>。</w:t>
            </w:r>
          </w:p>
          <w:p>
            <w:pPr>
              <w:ind w:firstLine="480"/>
              <w:textAlignment w:val="auto"/>
              <w:rPr>
                <w:rFonts w:cs="Times New Roman"/>
                <w:szCs w:val="24"/>
              </w:rPr>
            </w:pPr>
            <w:r>
              <w:rPr>
                <w:rFonts w:cs="Times New Roman"/>
                <w:color w:val="000000" w:themeColor="text1"/>
                <w:szCs w:val="24"/>
                <w14:textFill>
                  <w14:solidFill>
                    <w14:schemeClr w14:val="tx1"/>
                  </w14:solidFill>
                </w14:textFill>
              </w:rPr>
              <w:t>根据</w:t>
            </w:r>
            <w:r>
              <w:rPr>
                <w:rFonts w:hint="eastAsia" w:cs="Times New Roman"/>
                <w:color w:val="000000" w:themeColor="text1"/>
                <w:szCs w:val="24"/>
                <w14:textFill>
                  <w14:solidFill>
                    <w14:schemeClr w14:val="tx1"/>
                  </w14:solidFill>
                </w14:textFill>
              </w:rPr>
              <w:t>项目</w:t>
            </w:r>
            <w:r>
              <w:rPr>
                <w:rFonts w:cs="Times New Roman"/>
                <w:color w:val="000000" w:themeColor="text1"/>
                <w:szCs w:val="24"/>
                <w14:textFill>
                  <w14:solidFill>
                    <w14:schemeClr w14:val="tx1"/>
                  </w14:solidFill>
                </w14:textFill>
              </w:rPr>
              <w:t>分析，营运期不涉及大气总量控制指标。</w:t>
            </w:r>
            <w:r>
              <w:rPr>
                <w:rFonts w:hint="eastAsia"/>
                <w:color w:val="000000" w:themeColor="text1"/>
                <w:szCs w:val="24"/>
                <w14:textFill>
                  <w14:solidFill>
                    <w14:schemeClr w14:val="tx1"/>
                  </w14:solidFill>
                </w14:textFill>
              </w:rPr>
              <w:t>项目产生的生产废水经沉淀处理后全部循环利用，不外排。生活污水经化粪池处理后，定期由吸污车抽运至库尔勒市南市区污水处理厂处理。</w:t>
            </w:r>
            <w:r>
              <w:t>故不设总量控制指标。</w:t>
            </w:r>
          </w:p>
          <w:p>
            <w:pPr>
              <w:adjustRightInd w:val="0"/>
              <w:snapToGrid w:val="0"/>
              <w:spacing w:line="500" w:lineRule="exact"/>
              <w:ind w:firstLine="500"/>
              <w:rPr>
                <w:rFonts w:cs="Times New Roman"/>
                <w:color w:val="000000" w:themeColor="text1"/>
                <w:sz w:val="25"/>
                <w:szCs w:val="25"/>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pStyle w:val="24"/>
            </w:pPr>
          </w:p>
          <w:p>
            <w:pPr>
              <w:ind w:firstLine="480"/>
            </w:pPr>
          </w:p>
          <w:p>
            <w:pPr>
              <w:ind w:firstLine="480"/>
            </w:pPr>
          </w:p>
          <w:p>
            <w:pPr>
              <w:ind w:firstLine="480"/>
            </w:pPr>
          </w:p>
          <w:p>
            <w:pPr>
              <w:ind w:firstLine="480"/>
            </w:pPr>
          </w:p>
          <w:p>
            <w:pPr>
              <w:ind w:firstLine="480"/>
            </w:pPr>
          </w:p>
          <w:p>
            <w:pPr>
              <w:ind w:firstLine="0" w:firstLineChars="0"/>
              <w:rPr>
                <w:color w:val="000000" w:themeColor="text1"/>
                <w14:textFill>
                  <w14:solidFill>
                    <w14:schemeClr w14:val="tx1"/>
                  </w14:solidFill>
                </w14:textFill>
              </w:rPr>
            </w:pPr>
          </w:p>
        </w:tc>
      </w:tr>
    </w:tbl>
    <w:p>
      <w:pPr>
        <w:pStyle w:val="2"/>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主要环境影响和保护措施</w:t>
      </w:r>
    </w:p>
    <w:tbl>
      <w:tblPr>
        <w:tblStyle w:val="25"/>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
        <w:gridCol w:w="8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8" w:hRule="atLeast"/>
          <w:jc w:val="center"/>
        </w:trPr>
        <w:tc>
          <w:tcPr>
            <w:tcW w:w="158" w:type="pct"/>
            <w:tcMar>
              <w:left w:w="28" w:type="dxa"/>
              <w:right w:w="28" w:type="dxa"/>
            </w:tcMar>
            <w:vAlign w:val="center"/>
          </w:tcPr>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施工</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期环</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境保</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护措</w:t>
            </w:r>
          </w:p>
          <w:p>
            <w:pPr>
              <w:widowControl/>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szCs w:val="24"/>
              </w:rPr>
              <w:t>施</w:t>
            </w:r>
          </w:p>
        </w:tc>
        <w:tc>
          <w:tcPr>
            <w:tcW w:w="4841" w:type="pct"/>
          </w:tcPr>
          <w:p>
            <w:pPr>
              <w:adjustRightInd w:val="0"/>
              <w:snapToGrid w:val="0"/>
              <w:ind w:firstLine="0" w:firstLineChars="0"/>
              <w:textAlignment w:val="auto"/>
              <w:rPr>
                <w:rFonts w:cs="Times New Roman"/>
                <w:b/>
                <w:bCs/>
                <w:snapToGrid w:val="0"/>
                <w:color w:val="000000"/>
                <w:kern w:val="0"/>
                <w:szCs w:val="24"/>
                <w:lang w:bidi="ar"/>
              </w:rPr>
            </w:pPr>
            <w:bookmarkStart w:id="10" w:name="_Toc517195126"/>
            <w:r>
              <w:rPr>
                <w:rFonts w:cs="Times New Roman"/>
                <w:b/>
                <w:bCs/>
                <w:snapToGrid w:val="0"/>
                <w:color w:val="000000"/>
                <w:kern w:val="0"/>
                <w:szCs w:val="24"/>
                <w:lang w:bidi="ar"/>
              </w:rPr>
              <w:t>4.1施工期环境保护措施</w:t>
            </w:r>
          </w:p>
          <w:p>
            <w:pPr>
              <w:adjustRightInd w:val="0"/>
              <w:snapToGrid w:val="0"/>
              <w:ind w:firstLine="480"/>
              <w:textAlignment w:val="auto"/>
              <w:rPr>
                <w:rFonts w:cs="Times New Roman"/>
                <w:bCs/>
                <w:szCs w:val="24"/>
              </w:rPr>
            </w:pPr>
            <w:r>
              <w:rPr>
                <w:rFonts w:hint="eastAsia" w:ascii="宋体" w:hAnsi="宋体" w:cs="宋体"/>
                <w:snapToGrid w:val="0"/>
                <w:color w:val="000000"/>
                <w:kern w:val="0"/>
                <w:szCs w:val="24"/>
                <w:lang w:bidi="ar"/>
              </w:rPr>
              <w:t>本项目施工期主要活动包括：在租赁的厂区内建设生产车间，并进行设备基础施工、设备就位安装、管线敷设、电气系统安装、环保设施建设（如清洗池、沉淀池）以及必要的室内外场地改造等。</w:t>
            </w:r>
          </w:p>
          <w:p>
            <w:pPr>
              <w:adjustRightInd w:val="0"/>
              <w:snapToGrid w:val="0"/>
              <w:ind w:firstLine="0" w:firstLineChars="0"/>
              <w:textAlignment w:val="auto"/>
              <w:rPr>
                <w:rFonts w:cs="Times New Roman"/>
                <w:bCs/>
                <w:szCs w:val="24"/>
              </w:rPr>
            </w:pPr>
            <w:r>
              <w:rPr>
                <w:rFonts w:cs="Times New Roman"/>
                <w:b/>
                <w:szCs w:val="24"/>
              </w:rPr>
              <w:t>4.1.</w:t>
            </w:r>
            <w:r>
              <w:rPr>
                <w:rFonts w:hint="eastAsia" w:cs="Times New Roman"/>
                <w:b/>
                <w:szCs w:val="24"/>
              </w:rPr>
              <w:t>1施工工期</w:t>
            </w:r>
            <w:r>
              <w:rPr>
                <w:rFonts w:cs="Times New Roman"/>
                <w:b/>
                <w:szCs w:val="24"/>
              </w:rPr>
              <w:t>废</w:t>
            </w:r>
            <w:r>
              <w:rPr>
                <w:rFonts w:hint="eastAsia" w:cs="Times New Roman"/>
                <w:b/>
                <w:szCs w:val="24"/>
              </w:rPr>
              <w:t>气</w:t>
            </w:r>
            <w:r>
              <w:rPr>
                <w:rFonts w:cs="Times New Roman"/>
                <w:b/>
                <w:szCs w:val="24"/>
              </w:rPr>
              <w:t>污染防治措施</w:t>
            </w:r>
          </w:p>
          <w:p>
            <w:pPr>
              <w:adjustRightInd w:val="0"/>
              <w:snapToGrid w:val="0"/>
              <w:ind w:firstLine="480"/>
              <w:textAlignment w:val="auto"/>
              <w:rPr>
                <w:rFonts w:cs="Times New Roman"/>
                <w:bCs/>
                <w:szCs w:val="24"/>
              </w:rPr>
            </w:pPr>
            <w:r>
              <w:rPr>
                <w:rFonts w:hint="eastAsia"/>
              </w:rPr>
              <w:t>施工期大气污染源主要包括施工扬尘、运输车辆尾气、施工机械燃油废气等。应采取以下防治措施：</w:t>
            </w:r>
          </w:p>
          <w:p>
            <w:pPr>
              <w:adjustRightInd w:val="0"/>
              <w:snapToGrid w:val="0"/>
              <w:ind w:firstLine="480"/>
              <w:textAlignment w:val="auto"/>
            </w:pPr>
            <w:r>
              <w:rPr>
                <w:rFonts w:hint="eastAsia"/>
              </w:rPr>
              <w:t>（1）施工机械及运输车辆尾气</w:t>
            </w:r>
          </w:p>
          <w:p>
            <w:pPr>
              <w:adjustRightInd w:val="0"/>
              <w:snapToGrid w:val="0"/>
              <w:ind w:firstLine="480"/>
              <w:textAlignment w:val="auto"/>
            </w:pPr>
            <w:r>
              <w:rPr>
                <w:rFonts w:hint="eastAsia"/>
              </w:rPr>
              <w:t>施工机械（如挖掘机、起重机、自卸汽车等）和运输车辆以柴油为燃料，在运行过程中会排放少量</w:t>
            </w:r>
            <w:r>
              <w:t>CO</w:t>
            </w:r>
            <w:r>
              <w:rPr>
                <w:rFonts w:hint="eastAsia"/>
              </w:rPr>
              <w:t>、</w:t>
            </w:r>
            <w:r>
              <w:t>NO</w:t>
            </w:r>
            <w:r>
              <w:rPr>
                <w:vertAlign w:val="subscript"/>
              </w:rPr>
              <w:t>x</w:t>
            </w:r>
            <w:r>
              <w:rPr>
                <w:rFonts w:hint="eastAsia"/>
              </w:rPr>
              <w:t>、</w:t>
            </w:r>
            <w:r>
              <w:t>HC</w:t>
            </w:r>
            <w:r>
              <w:rPr>
                <w:rFonts w:hint="eastAsia"/>
              </w:rPr>
              <w:t>、</w:t>
            </w:r>
            <w:r>
              <w:t>SO</w:t>
            </w:r>
            <w:r>
              <w:rPr>
                <w:vertAlign w:val="subscript"/>
              </w:rPr>
              <w:t>2</w:t>
            </w:r>
            <w:r>
              <w:rPr>
                <w:rFonts w:hint="eastAsia"/>
              </w:rPr>
              <w:t>、烟尘等污染物，属间断性无组织排放。由于项目所在区域地势平坦、开阔，空气流通条件良好，废气易于扩散，对周边环境空气质量影响较小。但仍需合理控制施工车辆进出频次，避免集中作业，最大限度降低尾气累积影响。</w:t>
            </w:r>
          </w:p>
          <w:p>
            <w:pPr>
              <w:adjustRightInd w:val="0"/>
              <w:snapToGrid w:val="0"/>
              <w:ind w:firstLine="480"/>
              <w:textAlignment w:val="auto"/>
            </w:pPr>
            <w:r>
              <w:rPr>
                <w:rFonts w:hint="eastAsia"/>
              </w:rPr>
              <w:t>（2）扬尘污染防控</w:t>
            </w:r>
          </w:p>
          <w:p>
            <w:pPr>
              <w:adjustRightInd w:val="0"/>
              <w:snapToGrid w:val="0"/>
              <w:ind w:firstLine="480"/>
              <w:textAlignment w:val="auto"/>
            </w:pPr>
            <w:r>
              <w:rPr>
                <w:rFonts w:hint="eastAsia"/>
              </w:rPr>
              <w:t>施工过程中产生的扬尘主要来源于土方开挖与回填、物料搬运、道路运输及露天堆放等环节。施工单位须严格落实以下防尘降尘措施：</w:t>
            </w:r>
          </w:p>
          <w:p>
            <w:pPr>
              <w:adjustRightInd w:val="0"/>
              <w:snapToGrid w:val="0"/>
              <w:ind w:firstLine="480"/>
              <w:textAlignment w:val="auto"/>
            </w:pPr>
            <w:r>
              <w:rPr>
                <w:rFonts w:hint="eastAsia"/>
              </w:rPr>
              <w:t>①落实扬尘管控责任：施工单位应制定《施工扬尘污染防治实施方案》，明确责任人，落实施工全过程扬尘管控要求，确保文明施工、绿色施工。</w:t>
            </w:r>
          </w:p>
          <w:p>
            <w:pPr>
              <w:adjustRightInd w:val="0"/>
              <w:snapToGrid w:val="0"/>
              <w:ind w:firstLine="480"/>
              <w:textAlignment w:val="auto"/>
            </w:pPr>
            <w:r>
              <w:rPr>
                <w:rFonts w:hint="eastAsia"/>
              </w:rPr>
              <w:t>②加强物料管理：施工现场建筑材料、构件、料具应按总平面布置分类码放整齐；水泥及其他易产生扬尘的细颗粒物必须密闭存放或采用防尘布覆盖，防止风力扬散。</w:t>
            </w:r>
          </w:p>
          <w:p>
            <w:pPr>
              <w:adjustRightInd w:val="0"/>
              <w:snapToGrid w:val="0"/>
              <w:ind w:firstLine="480"/>
              <w:textAlignment w:val="auto"/>
            </w:pPr>
            <w:r>
              <w:rPr>
                <w:rFonts w:hint="eastAsia"/>
              </w:rPr>
              <w:t>③实施湿法作业：土方作业时应采取洒水抑尘措施；主要施工道路应定期清扫并洒水保湿，保持路面湿润；施工现场出入口设置车辆冲洗装置，严禁带泥上路；对撒落渣土及时清理，减少二次扬尘。</w:t>
            </w:r>
          </w:p>
          <w:p>
            <w:pPr>
              <w:adjustRightInd w:val="0"/>
              <w:snapToGrid w:val="0"/>
              <w:ind w:firstLine="480"/>
              <w:textAlignment w:val="auto"/>
            </w:pPr>
            <w:r>
              <w:rPr>
                <w:rFonts w:hint="eastAsia"/>
              </w:rPr>
              <w:t>④实行封闭施工：施工现场应设置高度不低于2.5m的硬质围挡，实行全封闭管理。围挡应坚固、稳定、整洁、美观。脚手架外侧应采用符合标准的密目式安全网进行封闭，且封闭高度应高于作业面，并同步搭设。安全网应定期清洗维护，保持清洁完好，防止建筑垃圾和粉尘外溢。</w:t>
            </w:r>
          </w:p>
          <w:p>
            <w:pPr>
              <w:adjustRightInd w:val="0"/>
              <w:snapToGrid w:val="0"/>
              <w:ind w:firstLine="480"/>
              <w:textAlignment w:val="auto"/>
            </w:pPr>
            <w:r>
              <w:rPr>
                <w:rFonts w:hint="eastAsia"/>
              </w:rPr>
              <w:t>⑤硬化场地与车辆管理：施工现场主要道路及材料加工区地面应进行硬化处理；裸露地面及临时堆土区应采取覆盖、固化或绿化等防尘措施；运输车辆限速行驶，禁止鸣笛，减少扰民。</w:t>
            </w:r>
          </w:p>
          <w:p>
            <w:pPr>
              <w:adjustRightInd w:val="0"/>
              <w:snapToGrid w:val="0"/>
              <w:ind w:firstLine="0" w:firstLineChars="0"/>
              <w:textAlignment w:val="auto"/>
              <w:rPr>
                <w:rFonts w:cs="Times New Roman"/>
                <w:bCs/>
                <w:szCs w:val="24"/>
              </w:rPr>
            </w:pPr>
            <w:r>
              <w:rPr>
                <w:rFonts w:cs="Times New Roman"/>
                <w:b/>
                <w:szCs w:val="24"/>
              </w:rPr>
              <w:t>4.1.2</w:t>
            </w:r>
            <w:r>
              <w:rPr>
                <w:rFonts w:hint="eastAsia" w:cs="Times New Roman"/>
                <w:b/>
                <w:szCs w:val="24"/>
              </w:rPr>
              <w:t>施工工期</w:t>
            </w:r>
            <w:r>
              <w:rPr>
                <w:rFonts w:cs="Times New Roman"/>
                <w:b/>
                <w:szCs w:val="24"/>
              </w:rPr>
              <w:t>废水污染防治措施</w:t>
            </w:r>
          </w:p>
          <w:p>
            <w:pPr>
              <w:adjustRightInd w:val="0"/>
              <w:snapToGrid w:val="0"/>
              <w:ind w:firstLine="480"/>
              <w:textAlignment w:val="auto"/>
              <w:rPr>
                <w:rFonts w:cs="Times New Roman"/>
                <w:bCs/>
                <w:szCs w:val="24"/>
              </w:rPr>
            </w:pPr>
            <w:r>
              <w:rPr>
                <w:rFonts w:cs="Times New Roman"/>
                <w:bCs/>
                <w:szCs w:val="24"/>
              </w:rPr>
              <w:t>（1）施工废水</w:t>
            </w:r>
          </w:p>
          <w:p>
            <w:pPr>
              <w:adjustRightInd w:val="0"/>
              <w:snapToGrid w:val="0"/>
              <w:ind w:firstLine="480"/>
              <w:textAlignment w:val="auto"/>
              <w:rPr>
                <w:rFonts w:cs="Times New Roman"/>
                <w:bCs/>
                <w:szCs w:val="24"/>
              </w:rPr>
            </w:pPr>
            <w:r>
              <w:rPr>
                <w:rFonts w:hint="eastAsia"/>
                <w:bCs/>
              </w:rPr>
              <w:t>施工废水主要为混凝土养护废水和设备、工具清洗废水，产生量较小，主要污染物为悬浮物。工地应设置临时沉淀池，少量施工废水不得直接排放，需集中收集，并经过沉淀池沉淀处理后，用于洒水抑尘。施工结束后，应及时拆除临时沉淀池。通过以上措施，可确保施工工期废水无乱排现象</w:t>
            </w:r>
            <w:r>
              <w:rPr>
                <w:rFonts w:cs="Times New Roman"/>
                <w:bCs/>
                <w:szCs w:val="24"/>
              </w:rPr>
              <w:t>。</w:t>
            </w:r>
          </w:p>
          <w:p>
            <w:pPr>
              <w:adjustRightInd w:val="0"/>
              <w:snapToGrid w:val="0"/>
              <w:ind w:firstLine="480"/>
              <w:textAlignment w:val="auto"/>
              <w:rPr>
                <w:rFonts w:cs="Times New Roman"/>
                <w:bCs/>
                <w:szCs w:val="24"/>
              </w:rPr>
            </w:pPr>
            <w:r>
              <w:rPr>
                <w:rFonts w:cs="Times New Roman"/>
                <w:bCs/>
                <w:szCs w:val="24"/>
              </w:rPr>
              <w:t>（2）</w:t>
            </w:r>
            <w:r>
              <w:rPr>
                <w:rFonts w:hint="eastAsia" w:cs="Times New Roman"/>
                <w:bCs/>
                <w:szCs w:val="24"/>
              </w:rPr>
              <w:t>生活污水</w:t>
            </w:r>
          </w:p>
          <w:p>
            <w:pPr>
              <w:adjustRightInd w:val="0"/>
              <w:snapToGrid w:val="0"/>
              <w:ind w:firstLine="480"/>
              <w:textAlignment w:val="auto"/>
              <w:rPr>
                <w:rFonts w:cs="Times New Roman"/>
                <w:szCs w:val="24"/>
              </w:rPr>
            </w:pPr>
            <w:r>
              <w:rPr>
                <w:rFonts w:cs="Times New Roman"/>
                <w:szCs w:val="24"/>
              </w:rPr>
              <w:t>项目施工人员不在项目区住宿，不设置施工生活区，无施工</w:t>
            </w:r>
            <w:r>
              <w:rPr>
                <w:rFonts w:hint="eastAsia" w:cs="Times New Roman"/>
                <w:bCs/>
                <w:szCs w:val="24"/>
              </w:rPr>
              <w:t>生活污水</w:t>
            </w:r>
            <w:r>
              <w:rPr>
                <w:rFonts w:cs="Times New Roman"/>
                <w:szCs w:val="24"/>
              </w:rPr>
              <w:t>产生。</w:t>
            </w:r>
          </w:p>
          <w:p>
            <w:pPr>
              <w:adjustRightInd w:val="0"/>
              <w:snapToGrid w:val="0"/>
              <w:ind w:firstLine="0" w:firstLineChars="0"/>
              <w:textAlignment w:val="auto"/>
              <w:rPr>
                <w:rFonts w:cs="Times New Roman"/>
                <w:b/>
                <w:bCs/>
                <w:szCs w:val="24"/>
              </w:rPr>
            </w:pPr>
            <w:r>
              <w:rPr>
                <w:rFonts w:cs="Times New Roman"/>
                <w:b/>
                <w:bCs/>
                <w:szCs w:val="24"/>
              </w:rPr>
              <w:t>4.1.3</w:t>
            </w:r>
            <w:r>
              <w:rPr>
                <w:rFonts w:hint="eastAsia" w:cs="Times New Roman"/>
                <w:b/>
                <w:bCs/>
                <w:szCs w:val="24"/>
              </w:rPr>
              <w:t>施工工期</w:t>
            </w:r>
            <w:r>
              <w:rPr>
                <w:rFonts w:cs="Times New Roman"/>
                <w:b/>
                <w:bCs/>
                <w:szCs w:val="24"/>
              </w:rPr>
              <w:t>噪声防治措施</w:t>
            </w:r>
          </w:p>
          <w:p>
            <w:pPr>
              <w:adjustRightInd w:val="0"/>
              <w:snapToGrid w:val="0"/>
              <w:ind w:firstLine="480"/>
              <w:textAlignment w:val="auto"/>
              <w:rPr>
                <w:rFonts w:cs="Times New Roman"/>
                <w:bCs/>
                <w:szCs w:val="24"/>
              </w:rPr>
            </w:pPr>
            <w:r>
              <w:rPr>
                <w:rFonts w:hint="eastAsia" w:cs="Times New Roman"/>
                <w:bCs/>
                <w:szCs w:val="24"/>
              </w:rPr>
              <w:t>施工噪声主要来自机械设备运行及运输车辆进出。为减轻噪声影响，应采取以下措施：</w:t>
            </w:r>
          </w:p>
          <w:p>
            <w:pPr>
              <w:adjustRightInd w:val="0"/>
              <w:snapToGrid w:val="0"/>
              <w:ind w:firstLine="480"/>
              <w:textAlignment w:val="auto"/>
              <w:rPr>
                <w:rFonts w:cs="Times New Roman"/>
                <w:bCs/>
                <w:szCs w:val="24"/>
              </w:rPr>
            </w:pPr>
            <w:r>
              <w:rPr>
                <w:rFonts w:cs="Times New Roman"/>
                <w:bCs/>
                <w:szCs w:val="24"/>
              </w:rPr>
              <w:t>（1）合理安排施工时间，应尽可能避免大量高噪声设备同时施工，使用高噪声设备的施工阶段应尽量安排在白天，无特殊施工要求，夜间不施工；</w:t>
            </w:r>
          </w:p>
          <w:p>
            <w:pPr>
              <w:adjustRightInd w:val="0"/>
              <w:snapToGrid w:val="0"/>
              <w:ind w:firstLine="480"/>
              <w:textAlignment w:val="auto"/>
              <w:rPr>
                <w:rFonts w:cs="Times New Roman"/>
                <w:bCs/>
                <w:szCs w:val="24"/>
              </w:rPr>
            </w:pPr>
            <w:r>
              <w:rPr>
                <w:rFonts w:cs="Times New Roman"/>
                <w:bCs/>
                <w:szCs w:val="24"/>
              </w:rPr>
              <w:t>（2）合理布置施工现场，应避免在施工现场的同一地点安排大量的高噪声设备，造成局部声级过高。</w:t>
            </w:r>
          </w:p>
          <w:p>
            <w:pPr>
              <w:adjustRightInd w:val="0"/>
              <w:snapToGrid w:val="0"/>
              <w:ind w:firstLine="480"/>
              <w:textAlignment w:val="auto"/>
              <w:rPr>
                <w:rFonts w:cs="Times New Roman"/>
                <w:bCs/>
                <w:szCs w:val="24"/>
              </w:rPr>
            </w:pPr>
            <w:r>
              <w:rPr>
                <w:rFonts w:cs="Times New Roman"/>
                <w:bCs/>
                <w:szCs w:val="24"/>
              </w:rPr>
              <w:t>（3）施工设备选型时尽量采用低噪声设备，如振捣器采用高频振捣器等；</w:t>
            </w:r>
          </w:p>
          <w:p>
            <w:pPr>
              <w:adjustRightInd w:val="0"/>
              <w:snapToGrid w:val="0"/>
              <w:ind w:firstLine="480"/>
              <w:textAlignment w:val="auto"/>
              <w:rPr>
                <w:rFonts w:cs="Times New Roman"/>
                <w:bCs/>
                <w:szCs w:val="24"/>
              </w:rPr>
            </w:pPr>
            <w:r>
              <w:rPr>
                <w:rFonts w:cs="Times New Roman"/>
                <w:bCs/>
                <w:szCs w:val="24"/>
              </w:rPr>
              <w:t>（4）对动力机械设备定期进行维修和养护，避免因松动部件振动或消声器损坏而加大设备工作时的声级；</w:t>
            </w:r>
          </w:p>
          <w:p>
            <w:pPr>
              <w:adjustRightInd w:val="0"/>
              <w:snapToGrid w:val="0"/>
              <w:ind w:firstLine="480"/>
              <w:textAlignment w:val="auto"/>
              <w:rPr>
                <w:rFonts w:cs="Times New Roman"/>
                <w:bCs/>
                <w:szCs w:val="24"/>
              </w:rPr>
            </w:pPr>
            <w:r>
              <w:rPr>
                <w:rFonts w:cs="Times New Roman"/>
                <w:bCs/>
                <w:szCs w:val="24"/>
              </w:rPr>
              <w:t>（5）模板、支架拆卸过程中，遵守作业规定，减少碰撞</w:t>
            </w:r>
            <w:r>
              <w:rPr>
                <w:rFonts w:hint="eastAsia" w:cs="Times New Roman"/>
                <w:bCs/>
                <w:szCs w:val="24"/>
              </w:rPr>
              <w:t>噪声</w:t>
            </w:r>
            <w:r>
              <w:rPr>
                <w:rFonts w:cs="Times New Roman"/>
                <w:bCs/>
                <w:szCs w:val="24"/>
              </w:rPr>
              <w:t>；尽量少用哨子、喇叭、笛等指挥作业，减少人为噪声；</w:t>
            </w:r>
          </w:p>
          <w:p>
            <w:pPr>
              <w:ind w:firstLine="480"/>
              <w:rPr>
                <w:rFonts w:cs="Times New Roman"/>
                <w:bCs/>
                <w:kern w:val="0"/>
                <w:szCs w:val="24"/>
              </w:rPr>
            </w:pPr>
            <w:r>
              <w:rPr>
                <w:rFonts w:cs="Times New Roman"/>
                <w:bCs/>
                <w:szCs w:val="24"/>
              </w:rPr>
              <w:t>（6）尽量减少运输车辆夜间的运输量，运输车辆在进入施工区附近区域后，要适当降低车速，避免或杜绝鸣笛。</w:t>
            </w:r>
          </w:p>
          <w:p>
            <w:pPr>
              <w:ind w:firstLine="0" w:firstLineChars="0"/>
              <w:rPr>
                <w:rFonts w:cs="Times New Roman"/>
                <w:bCs/>
                <w:kern w:val="0"/>
                <w:szCs w:val="24"/>
              </w:rPr>
            </w:pPr>
            <w:r>
              <w:rPr>
                <w:rFonts w:cs="Times New Roman"/>
                <w:b/>
                <w:szCs w:val="24"/>
              </w:rPr>
              <w:t>4.1.4</w:t>
            </w:r>
            <w:r>
              <w:rPr>
                <w:rFonts w:hint="eastAsia" w:cs="Times New Roman"/>
                <w:b/>
                <w:szCs w:val="24"/>
              </w:rPr>
              <w:t>施工工期固体废物</w:t>
            </w:r>
            <w:r>
              <w:rPr>
                <w:rFonts w:cs="Times New Roman"/>
                <w:b/>
                <w:szCs w:val="24"/>
              </w:rPr>
              <w:t>污染防治措施</w:t>
            </w:r>
          </w:p>
          <w:p>
            <w:pPr>
              <w:ind w:firstLine="480"/>
              <w:textAlignment w:val="auto"/>
              <w:rPr>
                <w:rFonts w:cs="Times New Roman"/>
                <w:szCs w:val="24"/>
              </w:rPr>
            </w:pPr>
            <w:r>
              <w:rPr>
                <w:rFonts w:hint="eastAsia" w:cs="Times New Roman"/>
                <w:szCs w:val="24"/>
              </w:rPr>
              <w:t>施工期产生的固体废物主要包括建筑垃圾和施工人员生活垃圾。</w:t>
            </w:r>
          </w:p>
          <w:p>
            <w:pPr>
              <w:ind w:firstLine="480"/>
              <w:textAlignment w:val="auto"/>
              <w:rPr>
                <w:rFonts w:cs="Times New Roman"/>
                <w:szCs w:val="24"/>
              </w:rPr>
            </w:pPr>
            <w:r>
              <w:rPr>
                <w:rFonts w:hint="eastAsia" w:cs="Times New Roman"/>
                <w:szCs w:val="24"/>
              </w:rPr>
              <w:t>（1）建筑垃圾</w:t>
            </w:r>
          </w:p>
          <w:p>
            <w:pPr>
              <w:ind w:firstLine="480"/>
              <w:textAlignment w:val="auto"/>
              <w:rPr>
                <w:rFonts w:cs="Times New Roman"/>
                <w:szCs w:val="24"/>
              </w:rPr>
            </w:pPr>
            <w:r>
              <w:rPr>
                <w:rFonts w:hint="eastAsia" w:cs="Times New Roman"/>
                <w:szCs w:val="24"/>
              </w:rPr>
              <w:t>主要包括碎砖块、废混凝土、废弃包装材料、边角料等。各施工队伍应分类收集、及时清运至当地环卫部门指定场所处置。</w:t>
            </w:r>
          </w:p>
          <w:p>
            <w:pPr>
              <w:ind w:firstLine="480"/>
              <w:textAlignment w:val="auto"/>
              <w:rPr>
                <w:rFonts w:cs="Times New Roman"/>
                <w:szCs w:val="24"/>
              </w:rPr>
            </w:pPr>
            <w:r>
              <w:rPr>
                <w:rFonts w:hint="eastAsia" w:cs="Times New Roman"/>
                <w:szCs w:val="24"/>
              </w:rPr>
              <w:t>施工过程中产生的土方主要用于后期回填及场地平整，多余弃土应及时清运。在厂区北侧设置临时土方堆存区，堆存期间应使用防尘网全覆盖，并配合洒水降尘措施，防止扬尘和水土流失。</w:t>
            </w:r>
          </w:p>
          <w:p>
            <w:pPr>
              <w:ind w:firstLine="480"/>
              <w:textAlignment w:val="auto"/>
              <w:rPr>
                <w:rFonts w:cs="Times New Roman"/>
                <w:szCs w:val="24"/>
              </w:rPr>
            </w:pPr>
            <w:r>
              <w:rPr>
                <w:rFonts w:hint="eastAsia" w:cs="Times New Roman"/>
                <w:szCs w:val="24"/>
              </w:rPr>
              <w:t>（2）生活垃圾</w:t>
            </w:r>
          </w:p>
          <w:p>
            <w:pPr>
              <w:ind w:firstLine="480"/>
              <w:textAlignment w:val="auto"/>
              <w:rPr>
                <w:rFonts w:cs="Times New Roman"/>
                <w:szCs w:val="24"/>
              </w:rPr>
            </w:pPr>
            <w:r>
              <w:rPr>
                <w:rFonts w:hint="eastAsia" w:cs="Times New Roman"/>
                <w:szCs w:val="24"/>
              </w:rPr>
              <w:t>施工高峰期日均施工人数约10人，人均生活垃圾产生量按0.5kg/人·d计，则日产生量约为5kg（即0.005t），整个施工期（按6个月计，共180天）生活垃圾总产生量约为0.9t。</w:t>
            </w:r>
          </w:p>
          <w:p>
            <w:pPr>
              <w:ind w:firstLine="480"/>
              <w:textAlignment w:val="auto"/>
              <w:rPr>
                <w:rFonts w:cs="Times New Roman"/>
                <w:szCs w:val="24"/>
              </w:rPr>
            </w:pPr>
            <w:r>
              <w:rPr>
                <w:rFonts w:hint="eastAsia" w:cs="Times New Roman"/>
                <w:szCs w:val="24"/>
              </w:rPr>
              <w:t>施工单位应在现场设置带盖生活垃圾收集箱，集中收集后委托当地环卫部门定期清运处理，做到日产日清，防止蚊蝇滋生和异味扩散。</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58" w:type="pct"/>
            <w:tcMar>
              <w:left w:w="28" w:type="dxa"/>
              <w:right w:w="28" w:type="dxa"/>
            </w:tcMar>
            <w:vAlign w:val="center"/>
          </w:tcPr>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运营</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期环</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境影</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响和</w:t>
            </w:r>
          </w:p>
          <w:p>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保护</w:t>
            </w:r>
          </w:p>
          <w:p>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bCs/>
                <w:szCs w:val="24"/>
              </w:rPr>
              <w:t>措施</w:t>
            </w:r>
          </w:p>
        </w:tc>
        <w:tc>
          <w:tcPr>
            <w:tcW w:w="4841" w:type="pct"/>
          </w:tcPr>
          <w:p>
            <w:pPr>
              <w:pStyle w:val="3"/>
            </w:pPr>
            <w:r>
              <w:rPr>
                <w:rFonts w:hint="eastAsia"/>
              </w:rPr>
              <w:t>4</w:t>
            </w:r>
            <w:r>
              <w:t>.2</w:t>
            </w:r>
            <w:r>
              <w:rPr>
                <w:rFonts w:hint="eastAsia"/>
              </w:rPr>
              <w:t>运营期环境影响和保护措施</w:t>
            </w:r>
          </w:p>
          <w:p>
            <w:pPr>
              <w:pStyle w:val="3"/>
            </w:pPr>
            <w:r>
              <w:t>4.2.1</w:t>
            </w:r>
            <w:r>
              <w:rPr>
                <w:rFonts w:hint="eastAsia"/>
              </w:rPr>
              <w:t>大气环境影响分析及保护措施</w:t>
            </w:r>
          </w:p>
          <w:p>
            <w:pPr>
              <w:ind w:firstLine="0" w:firstLineChars="0"/>
              <w:rPr>
                <w:b/>
                <w:bCs/>
              </w:rPr>
            </w:pPr>
            <w:r>
              <w:rPr>
                <w:rFonts w:hint="eastAsia"/>
                <w:b/>
                <w:bCs/>
              </w:rPr>
              <w:t>4</w:t>
            </w:r>
            <w:r>
              <w:rPr>
                <w:b/>
                <w:bCs/>
              </w:rPr>
              <w:t>.2.1.1</w:t>
            </w:r>
            <w:r>
              <w:rPr>
                <w:rFonts w:hint="eastAsia"/>
                <w:b/>
                <w:bCs/>
              </w:rPr>
              <w:t>废气源强分析</w:t>
            </w:r>
          </w:p>
          <w:p>
            <w:pPr>
              <w:ind w:firstLine="480"/>
              <w:rPr>
                <w:rFonts w:cs="Times New Roman"/>
              </w:rPr>
            </w:pPr>
            <w:r>
              <w:rPr>
                <w:rFonts w:hint="eastAsia" w:cs="Times New Roman"/>
              </w:rPr>
              <w:t>本项目主要废气产生环节为原料破碎过程中产生的粉尘和微量恶臭气体。</w:t>
            </w:r>
          </w:p>
          <w:p>
            <w:pPr>
              <w:ind w:firstLine="480"/>
              <w:rPr>
                <w:rFonts w:cs="Times New Roman"/>
              </w:rPr>
            </w:pPr>
            <w:r>
              <w:rPr>
                <w:rFonts w:hint="eastAsia" w:cs="Times New Roman"/>
              </w:rPr>
              <w:t>（1）湿法破碎</w:t>
            </w:r>
          </w:p>
          <w:p>
            <w:pPr>
              <w:ind w:firstLine="480"/>
              <w:rPr>
                <w:rFonts w:cs="Times New Roman"/>
              </w:rPr>
            </w:pPr>
            <w:r>
              <w:rPr>
                <w:rFonts w:hint="eastAsia" w:cs="Times New Roman"/>
              </w:rPr>
              <w:t>本项目废塑料破碎工序全程采用湿法工艺，有效抑制粉尘产生。但由于物料输送及设备运行过程中可能产生微量粉尘，在车间内部以无组织形式逸散，整体产尘量较低。</w:t>
            </w:r>
          </w:p>
          <w:p>
            <w:pPr>
              <w:ind w:firstLine="480"/>
              <w:rPr>
                <w:rFonts w:cs="Times New Roman"/>
              </w:rPr>
            </w:pPr>
            <w:r>
              <w:rPr>
                <w:rFonts w:hint="eastAsia" w:cs="Times New Roman"/>
              </w:rPr>
              <w:t>根据</w:t>
            </w:r>
            <w:r>
              <w:rPr>
                <w:rFonts w:cs="Times New Roman"/>
              </w:rPr>
              <w:t>《排放源统计调查产排污核算方法和系数手册》（42废弃资源综合利用行业系数手册）中“4220非金属废料和碎屑加工处理”行业系数表，废PE/PP采用干法破碎工艺时，颗粒物的产污系数为375克/吨－原料。</w:t>
            </w:r>
          </w:p>
          <w:p>
            <w:pPr>
              <w:ind w:firstLine="480"/>
              <w:rPr>
                <w:rFonts w:cs="Times New Roman"/>
              </w:rPr>
            </w:pPr>
            <w:r>
              <w:rPr>
                <w:rFonts w:hint="eastAsia" w:cs="Times New Roman"/>
              </w:rPr>
              <w:t>本项目采用湿法破碎工艺，该工艺通过在产尘点喷水，通过润湿、增重等效应从源头抑制粉尘，被工程实践公认为最有效的粉尘控制方法之一。参考行业共识及相关工程经验，湿法破碎对粉尘的抑制效率通常可超过90%。为保守估算本项目排放量，本次评价取90%的抑制效率进行计算。</w:t>
            </w:r>
          </w:p>
          <w:p>
            <w:pPr>
              <w:ind w:firstLine="480"/>
              <w:rPr>
                <w:rFonts w:cs="Times New Roman"/>
              </w:rPr>
            </w:pPr>
            <w:r>
              <w:rPr>
                <w:rFonts w:hint="eastAsia" w:cs="Times New Roman"/>
              </w:rPr>
              <w:t>因此，本项目的颗粒物排放量按干法破碎产污系数的10%进行核算。本项目年处理废塑料共计</w:t>
            </w:r>
            <w:r>
              <w:rPr>
                <w:rFonts w:cs="Times New Roman"/>
              </w:rPr>
              <w:t>30</w:t>
            </w:r>
            <w:r>
              <w:rPr>
                <w:rFonts w:hint="eastAsia" w:cs="Times New Roman"/>
              </w:rPr>
              <w:t>000吨，则粉尘排放量为</w:t>
            </w:r>
            <w:r>
              <w:rPr>
                <w:rFonts w:cs="Times New Roman"/>
              </w:rPr>
              <w:t>1.125</w:t>
            </w:r>
            <w:r>
              <w:rPr>
                <w:rFonts w:hint="eastAsia" w:cs="Times New Roman"/>
              </w:rPr>
              <w:t>t/a。此部分粉尘在密闭车间内无组织排放，通过加强车间通风，其对环境的影响可控。</w:t>
            </w:r>
          </w:p>
          <w:p>
            <w:pPr>
              <w:ind w:firstLine="480"/>
              <w:rPr>
                <w:rFonts w:cs="Times New Roman"/>
              </w:rPr>
            </w:pPr>
            <w:r>
              <w:rPr>
                <w:rFonts w:cs="Times New Roman"/>
              </w:rPr>
              <w:t>（2）臭气浓度</w:t>
            </w:r>
          </w:p>
          <w:p>
            <w:pPr>
              <w:ind w:firstLine="500"/>
              <w:rPr>
                <w:rFonts w:cs="Times New Roman"/>
              </w:rPr>
            </w:pPr>
            <w:r>
              <w:rPr>
                <w:rFonts w:cs="Times New Roman"/>
                <w:sz w:val="25"/>
                <w:szCs w:val="25"/>
              </w:rPr>
              <w:t>本项目在废塑料预处理过程（如破碎、</w:t>
            </w:r>
            <w:r>
              <w:rPr>
                <w:rFonts w:hint="eastAsia" w:cs="Times New Roman"/>
                <w:sz w:val="25"/>
                <w:szCs w:val="25"/>
              </w:rPr>
              <w:t>清洗</w:t>
            </w:r>
            <w:r>
              <w:rPr>
                <w:rFonts w:cs="Times New Roman"/>
                <w:sz w:val="25"/>
                <w:szCs w:val="25"/>
              </w:rPr>
              <w:t>等）中会产生少量恶臭气体。根据同类项目竣工验收监测结果，厂界臭气浓度最高均值为12（无量纲）；另据《新疆淋闰沣吉再生资源有限公司瓶片加工利用基地建设项目》的预测结果，臭气浓度贡献值为1.1671（无量纲）。综合考虑，本项目以实测最大值12作为厂界臭气浓度预测值</w:t>
            </w:r>
            <w:r>
              <w:rPr>
                <w:rFonts w:hint="eastAsia" w:cs="Times New Roman"/>
                <w:sz w:val="25"/>
                <w:szCs w:val="25"/>
              </w:rPr>
              <w:t>，满足</w:t>
            </w:r>
            <w:r>
              <w:rPr>
                <w:rFonts w:cs="Times New Roman"/>
                <w:sz w:val="25"/>
                <w:szCs w:val="25"/>
              </w:rPr>
              <w:t>《恶臭污染物排放标准》（GB14554-93）表1规定的</w:t>
            </w:r>
            <w:r>
              <w:rPr>
                <w:rFonts w:hint="eastAsia" w:cs="Times New Roman"/>
                <w:sz w:val="25"/>
                <w:szCs w:val="25"/>
              </w:rPr>
              <w:t>“</w:t>
            </w:r>
            <w:r>
              <w:rPr>
                <w:rFonts w:cs="Times New Roman"/>
                <w:sz w:val="25"/>
                <w:szCs w:val="25"/>
              </w:rPr>
              <w:t>新扩改建项目二级标准限值</w:t>
            </w:r>
            <w:r>
              <w:rPr>
                <w:rFonts w:hint="eastAsia" w:cs="Times New Roman"/>
                <w:sz w:val="25"/>
                <w:szCs w:val="25"/>
              </w:rPr>
              <w:t>”</w:t>
            </w:r>
            <w:r>
              <w:rPr>
                <w:rFonts w:cs="Times New Roman"/>
                <w:sz w:val="25"/>
                <w:szCs w:val="25"/>
              </w:rPr>
              <w:t>（臭气浓度≤20）</w:t>
            </w:r>
            <w:r>
              <w:rPr>
                <w:rFonts w:cs="Times New Roman"/>
              </w:rPr>
              <w:t>。</w:t>
            </w:r>
          </w:p>
          <w:p>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表4-1  项目废气产生及排放情况表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520"/>
              <w:gridCol w:w="912"/>
              <w:gridCol w:w="1362"/>
              <w:gridCol w:w="1005"/>
              <w:gridCol w:w="1007"/>
              <w:gridCol w:w="986"/>
              <w:gridCol w:w="788"/>
              <w:gridCol w:w="15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产污环节</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种类</w:t>
                  </w:r>
                </w:p>
              </w:tc>
              <w:tc>
                <w:tcPr>
                  <w:tcW w:w="7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产生量</w:t>
                  </w:r>
                </w:p>
              </w:tc>
              <w:tc>
                <w:tcPr>
                  <w:tcW w:w="582"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排放</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形式</w:t>
                  </w: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治理措施</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处理效率</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是否为可行技术</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污染物排放量、速率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86" w:hRule="atLeast"/>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破碎</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颗粒物</w:t>
                  </w:r>
                </w:p>
              </w:tc>
              <w:tc>
                <w:tcPr>
                  <w:tcW w:w="7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4.69</w:t>
                  </w:r>
                  <w:r>
                    <w:rPr>
                      <w:rFonts w:hint="eastAsia" w:cs="Times New Roman"/>
                      <w:sz w:val="21"/>
                      <w:szCs w:val="21"/>
                    </w:rPr>
                    <w:t>kg/h</w:t>
                  </w:r>
                </w:p>
              </w:tc>
              <w:tc>
                <w:tcPr>
                  <w:tcW w:w="582" w:type="pct"/>
                  <w:vMerge w:val="restar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无组织</w:t>
                  </w: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湿法破碎</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90</w:t>
                  </w:r>
                  <w:r>
                    <w:rPr>
                      <w:rFonts w:hint="eastAsia" w:cs="Times New Roman"/>
                      <w:sz w:val="21"/>
                      <w:szCs w:val="21"/>
                    </w:rPr>
                    <w:t>%</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w:t>
                  </w:r>
                  <w:r>
                    <w:rPr>
                      <w:rFonts w:cs="Times New Roman"/>
                      <w:sz w:val="21"/>
                      <w:szCs w:val="21"/>
                    </w:rPr>
                    <w:t>47</w:t>
                  </w:r>
                  <w:r>
                    <w:rPr>
                      <w:rFonts w:hint="eastAsia" w:cs="Times New Roman"/>
                      <w:sz w:val="21"/>
                      <w:szCs w:val="21"/>
                    </w:rPr>
                    <w:t>kg/h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2</w:t>
                  </w:r>
                </w:p>
              </w:tc>
              <w:tc>
                <w:tcPr>
                  <w:tcW w:w="30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预处理</w:t>
                  </w:r>
                </w:p>
              </w:tc>
              <w:tc>
                <w:tcPr>
                  <w:tcW w:w="528"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臭气浓度</w:t>
                  </w:r>
                </w:p>
              </w:tc>
              <w:tc>
                <w:tcPr>
                  <w:tcW w:w="789" w:type="pct"/>
                  <w:vAlign w:val="center"/>
                </w:tcPr>
                <w:p>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582" w:type="pct"/>
                  <w:vMerge w:val="continue"/>
                  <w:vAlign w:val="center"/>
                </w:tcPr>
                <w:p>
                  <w:pPr>
                    <w:adjustRightInd w:val="0"/>
                    <w:snapToGrid w:val="0"/>
                    <w:spacing w:line="240" w:lineRule="auto"/>
                    <w:ind w:firstLine="0" w:firstLineChars="0"/>
                    <w:jc w:val="center"/>
                    <w:textAlignment w:val="auto"/>
                    <w:rPr>
                      <w:rFonts w:cs="Times New Roman"/>
                      <w:sz w:val="21"/>
                      <w:szCs w:val="21"/>
                    </w:rPr>
                  </w:pPr>
                </w:p>
              </w:tc>
              <w:tc>
                <w:tcPr>
                  <w:tcW w:w="583"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加强设备维护及管理</w:t>
                  </w:r>
                </w:p>
              </w:tc>
              <w:tc>
                <w:tcPr>
                  <w:tcW w:w="571"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456"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889"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r>
          </w:tbl>
          <w:p>
            <w:pPr>
              <w:ind w:firstLine="0" w:firstLineChars="0"/>
              <w:rPr>
                <w:b/>
                <w:bCs/>
              </w:rPr>
            </w:pPr>
            <w:r>
              <w:rPr>
                <w:rFonts w:hint="eastAsia"/>
                <w:b/>
                <w:bCs/>
              </w:rPr>
              <w:t>4</w:t>
            </w:r>
            <w:r>
              <w:rPr>
                <w:b/>
                <w:bCs/>
              </w:rPr>
              <w:t>.2.1.</w:t>
            </w:r>
            <w:r>
              <w:rPr>
                <w:rFonts w:hint="eastAsia"/>
                <w:b/>
                <w:bCs/>
              </w:rPr>
              <w:t>2达标分析</w:t>
            </w:r>
          </w:p>
          <w:p>
            <w:pPr>
              <w:ind w:firstLine="480"/>
              <w:rPr>
                <w:rFonts w:cs="Times New Roman"/>
              </w:rPr>
            </w:pPr>
            <w:r>
              <w:rPr>
                <w:rFonts w:cs="Times New Roman"/>
              </w:rPr>
              <w:t>本项目破碎工序采用湿法作业，该工艺属于源头抑尘措施，通过水雾对物料的润湿作用，能有效增加粉尘粒径和重量，从根本上抑制其产生与逸散。根据《排污许可证申请与核发技术规范 废弃资源加工工业》（HJ1034-2019），对于颗粒物，其可行的治理技术包括密闭作业与湿法抑尘等措施。本项目采用的湿法破碎工艺，其抑尘原理与效果同规范精神相符，技术可行。</w:t>
            </w:r>
          </w:p>
          <w:p>
            <w:pPr>
              <w:ind w:firstLine="480"/>
              <w:rPr>
                <w:rFonts w:cs="Times New Roman"/>
              </w:rPr>
            </w:pPr>
            <w:r>
              <w:rPr>
                <w:rFonts w:cs="Times New Roman"/>
              </w:rPr>
              <w:t>在上述湿法抑尘措施的基础上，辅以生产车间密闭管理，本项目破碎工序产生的粉尘无组织排放速率及浓度，颗粒物可满足《大气污染物综合排放标准》（GB16297-1996）表2中无组织排放监控浓度限值的要求，</w:t>
            </w:r>
            <w:r>
              <w:rPr>
                <w:rFonts w:cs="Times New Roman"/>
                <w:sz w:val="25"/>
                <w:szCs w:val="25"/>
              </w:rPr>
              <w:t>臭气浓度满足《恶臭污染物排放标准》（GB14554-93）表1恶臭污染物厂界标准值新扩改建项目二级标准（臭气浓度≤20）。</w:t>
            </w:r>
            <w:r>
              <w:rPr>
                <w:rFonts w:cs="Times New Roman"/>
              </w:rPr>
              <w:t>对周边大气环境影响较小</w:t>
            </w:r>
            <w:r>
              <w:rPr>
                <w:rFonts w:hint="eastAsia" w:cs="Times New Roman"/>
              </w:rPr>
              <w:t>。</w:t>
            </w:r>
          </w:p>
          <w:p>
            <w:pPr>
              <w:ind w:firstLine="0" w:firstLineChars="0"/>
              <w:rPr>
                <w:rFonts w:cs="Times New Roman"/>
              </w:rPr>
            </w:pPr>
            <w:r>
              <w:rPr>
                <w:rFonts w:hint="eastAsia"/>
                <w:b/>
                <w:bCs/>
              </w:rPr>
              <w:t>4</w:t>
            </w:r>
            <w:r>
              <w:rPr>
                <w:b/>
                <w:bCs/>
              </w:rPr>
              <w:t>.2.1.3</w:t>
            </w:r>
            <w:r>
              <w:rPr>
                <w:rFonts w:hint="eastAsia"/>
                <w:b/>
                <w:bCs/>
              </w:rPr>
              <w:t>非正常工况污染源强分析</w:t>
            </w:r>
          </w:p>
          <w:p>
            <w:pPr>
              <w:ind w:firstLine="480"/>
              <w:rPr>
                <w:color w:val="000000"/>
              </w:rPr>
            </w:pPr>
            <w:r>
              <w:rPr>
                <w:rFonts w:hint="eastAsia"/>
                <w:color w:val="000000"/>
              </w:rPr>
              <w:t>本项目营运期非正常工况主要为：湿法破碎系统故障（如供水管路或喷嘴堵塞/损坏），导致抑尘功能失效，致使破碎工序粉尘无组织排放量显著增加。</w:t>
            </w:r>
          </w:p>
          <w:p>
            <w:pPr>
              <w:ind w:firstLine="480"/>
              <w:rPr>
                <w:color w:val="000000"/>
              </w:rPr>
            </w:pPr>
            <w:r>
              <w:rPr>
                <w:rFonts w:hint="eastAsia"/>
                <w:color w:val="000000"/>
              </w:rPr>
              <w:t>建设方在运营期期间杜绝非正常情况的发生，防止非正常排放的废气对周围敏感目标产生影响，本次环评提出以下废气非正常排放的对策措施：</w:t>
            </w:r>
          </w:p>
          <w:p>
            <w:pPr>
              <w:ind w:firstLine="480"/>
              <w:rPr>
                <w:color w:val="000000"/>
              </w:rPr>
            </w:pPr>
            <w:r>
              <w:rPr>
                <w:rFonts w:hint="eastAsia"/>
                <w:color w:val="000000"/>
              </w:rPr>
              <w:t>①设备巡检与即时停产制度</w:t>
            </w:r>
          </w:p>
          <w:p>
            <w:pPr>
              <w:ind w:firstLine="480"/>
              <w:rPr>
                <w:color w:val="000000"/>
              </w:rPr>
            </w:pPr>
            <w:r>
              <w:rPr>
                <w:rFonts w:hint="eastAsia"/>
                <w:color w:val="000000"/>
              </w:rPr>
              <w:t>建立废气治理设施（特别是湿法喷淋系统）的定期巡检与维护制度；一旦发现喷淋系统破损、堵塞或密封不严，导致粉尘逸散量异常增大，必须立即停止相关生产作业，并及时组织检修与更换；待系统修复完毕，经确认抑尘功能恢复正常后，方可恢复生产。</w:t>
            </w:r>
          </w:p>
          <w:p>
            <w:pPr>
              <w:ind w:firstLine="480"/>
              <w:rPr>
                <w:color w:val="000000"/>
              </w:rPr>
            </w:pPr>
            <w:r>
              <w:rPr>
                <w:rFonts w:hint="eastAsia"/>
                <w:color w:val="000000"/>
              </w:rPr>
              <w:t>②规范操作与人员培训</w:t>
            </w:r>
          </w:p>
          <w:p>
            <w:pPr>
              <w:ind w:firstLine="480"/>
              <w:rPr>
                <w:color w:val="000000"/>
              </w:rPr>
            </w:pPr>
            <w:r>
              <w:rPr>
                <w:rFonts w:hint="eastAsia"/>
                <w:color w:val="000000"/>
              </w:rPr>
              <w:t>对废气治理设施及主要产污设备实行规范化、制度化管理；操作人员必须经过系统培训，熟悉湿法抑尘原理与故障识别，严格执行操作规程，从源头降低因操作失误导致事故性排放的概率。</w:t>
            </w:r>
          </w:p>
          <w:p>
            <w:pPr>
              <w:ind w:firstLine="480"/>
              <w:rPr>
                <w:color w:val="000000"/>
              </w:rPr>
            </w:pPr>
            <w:r>
              <w:rPr>
                <w:rFonts w:hint="eastAsia"/>
                <w:color w:val="000000"/>
              </w:rPr>
              <w:t>③制定事故及时处理计划</w:t>
            </w:r>
          </w:p>
          <w:p>
            <w:pPr>
              <w:ind w:firstLine="480"/>
              <w:rPr>
                <w:color w:val="000000"/>
              </w:rPr>
            </w:pPr>
            <w:r>
              <w:rPr>
                <w:rFonts w:hint="eastAsia"/>
                <w:color w:val="000000"/>
              </w:rPr>
              <w:t>制定事故处理应急计划，建立事故处理机构，落实各部门、各岗位、各操作管理人员的责任，一旦发生事故，及时采取处理措施并通知环保等管理部门在最短时间内排除故障。</w:t>
            </w:r>
          </w:p>
          <w:p>
            <w:pPr>
              <w:ind w:firstLine="480"/>
              <w:rPr>
                <w:color w:val="000000"/>
              </w:rPr>
            </w:pPr>
            <w:r>
              <w:rPr>
                <w:rFonts w:hint="eastAsia"/>
                <w:color w:val="000000"/>
              </w:rPr>
              <w:t>综上所述，项目运营期加强废气治理设施运行管理，定期维护加强对操作人员的岗位培训，确保废气稳定达标排放，杜绝事故性排放，建立健全环保管理机制和各项环保规章制度，落实岗位环保责任制，加强环境风险防范工作，防止事故排放导致环境问题。</w:t>
            </w:r>
          </w:p>
          <w:p>
            <w:pPr>
              <w:pStyle w:val="3"/>
            </w:pPr>
            <w:r>
              <w:t>4.2.2废水</w:t>
            </w:r>
            <w:r>
              <w:rPr>
                <w:rFonts w:hint="eastAsia"/>
              </w:rPr>
              <w:t>环境影响分析及保护措施</w:t>
            </w:r>
          </w:p>
          <w:p>
            <w:pPr>
              <w:ind w:firstLine="480"/>
            </w:pPr>
            <w:r>
              <w:rPr>
                <w:rFonts w:hint="eastAsia"/>
              </w:rPr>
              <w:t>本项目产生的废水主要包括原料清洗废水、车间地面冲洗废水以及生活污水</w:t>
            </w:r>
            <w:r>
              <w:t>。</w:t>
            </w:r>
          </w:p>
          <w:p>
            <w:pPr>
              <w:ind w:firstLine="480"/>
              <w:rPr>
                <w:rFonts w:cs="Times New Roman"/>
              </w:rPr>
            </w:pPr>
            <w:r>
              <w:rPr>
                <w:rFonts w:hint="eastAsia" w:ascii="宋体" w:hAnsi="宋体" w:cs="宋体"/>
                <w:color w:val="000000"/>
              </w:rPr>
              <w:t>①</w:t>
            </w:r>
            <w:r>
              <w:rPr>
                <w:rFonts w:cs="Times New Roman"/>
                <w:color w:val="000000"/>
              </w:rPr>
              <w:t>清洗废水</w:t>
            </w:r>
          </w:p>
          <w:p>
            <w:pPr>
              <w:ind w:firstLine="480"/>
              <w:rPr>
                <w:rFonts w:cs="Times New Roman"/>
                <w:color w:val="000000"/>
              </w:rPr>
            </w:pPr>
            <w:r>
              <w:rPr>
                <w:rFonts w:cs="Times New Roman"/>
                <w:color w:val="000000"/>
              </w:rPr>
              <w:t>参考《排放源统计调查产排污核算方法和系数手册-42废弃资源综合利用行业系数手册》“</w:t>
            </w:r>
            <w:r>
              <w:rPr>
                <w:rFonts w:eastAsia="TimesNewRomanPSMT" w:cs="Times New Roman"/>
                <w:color w:val="000000"/>
              </w:rPr>
              <w:t>4220</w:t>
            </w:r>
            <w:r>
              <w:rPr>
                <w:rFonts w:cs="Times New Roman"/>
                <w:color w:val="000000"/>
              </w:rPr>
              <w:t>非金属废料和碎屑加工处理行业”中</w:t>
            </w:r>
            <w:r>
              <w:rPr>
                <w:rFonts w:cs="Times New Roman"/>
                <w:szCs w:val="24"/>
              </w:rPr>
              <w:t>清洗或湿法破碎+清洗</w:t>
            </w:r>
            <w:r>
              <w:rPr>
                <w:rFonts w:cs="Times New Roman"/>
                <w:color w:val="000000"/>
              </w:rPr>
              <w:t>废水量（废</w:t>
            </w:r>
            <w:r>
              <w:rPr>
                <w:rFonts w:eastAsia="TimesNewRomanPSMT" w:cs="Times New Roman"/>
                <w:color w:val="000000"/>
              </w:rPr>
              <w:t>PE/PP</w:t>
            </w:r>
            <w:r>
              <w:rPr>
                <w:rFonts w:cs="Times New Roman"/>
                <w:color w:val="000000"/>
              </w:rPr>
              <w:t>：</w:t>
            </w:r>
            <w:r>
              <w:rPr>
                <w:rFonts w:eastAsia="TimesNewRomanPSMT" w:cs="Times New Roman"/>
                <w:color w:val="000000"/>
              </w:rPr>
              <w:t>1.0t/t-</w:t>
            </w:r>
            <w:r>
              <w:rPr>
                <w:rFonts w:cs="Times New Roman"/>
                <w:color w:val="000000"/>
              </w:rPr>
              <w:t>原料）</w:t>
            </w:r>
            <w:r>
              <w:rPr>
                <w:rFonts w:hint="eastAsia" w:cs="Times New Roman"/>
                <w:color w:val="000000"/>
              </w:rPr>
              <w:t>。</w:t>
            </w:r>
          </w:p>
          <w:p>
            <w:pPr>
              <w:ind w:firstLine="480"/>
              <w:rPr>
                <w:rFonts w:cs="Times New Roman"/>
                <w:color w:val="000000"/>
              </w:rPr>
            </w:pPr>
            <w:r>
              <w:rPr>
                <w:rFonts w:hint="eastAsia" w:cs="Times New Roman"/>
                <w:color w:val="000000"/>
              </w:rPr>
              <w:t>本项目实际进入湿法破碎与清洗工序的塑料原料量为29700t/a，核算清洗及破碎工序废水产生量为123.75m³/d（即29700m³/a）</w:t>
            </w:r>
            <w:r>
              <w:rPr>
                <w:rFonts w:cs="Times New Roman"/>
                <w:color w:val="000000"/>
              </w:rPr>
              <w:t>。</w:t>
            </w:r>
          </w:p>
          <w:p>
            <w:pPr>
              <w:ind w:firstLine="480"/>
              <w:rPr>
                <w:rFonts w:cs="Times New Roman"/>
              </w:rPr>
            </w:pPr>
            <w:r>
              <w:rPr>
                <w:rFonts w:hint="eastAsia" w:cs="Times New Roman"/>
              </w:rPr>
              <w:t>②</w:t>
            </w:r>
            <w:r>
              <w:rPr>
                <w:rFonts w:hint="eastAsia"/>
              </w:rPr>
              <w:t>车间地面清洗废水</w:t>
            </w:r>
          </w:p>
          <w:p>
            <w:pPr>
              <w:ind w:firstLine="480"/>
              <w:rPr>
                <w:rFonts w:cs="Times New Roman"/>
              </w:rPr>
            </w:pPr>
            <w:r>
              <w:rPr>
                <w:rFonts w:hint="eastAsia" w:cs="Times New Roman"/>
              </w:rPr>
              <w:t>车间地面清洗废水产生量按用水量的</w:t>
            </w:r>
            <w:r>
              <w:rPr>
                <w:rFonts w:cs="Times New Roman"/>
              </w:rPr>
              <w:t>90%</w:t>
            </w:r>
            <w:r>
              <w:rPr>
                <w:rFonts w:hint="eastAsia" w:cs="Times New Roman"/>
              </w:rPr>
              <w:t>计，则日均废水排放量为</w:t>
            </w:r>
            <w:r>
              <w:rPr>
                <w:rFonts w:cs="Times New Roman"/>
              </w:rPr>
              <w:t>0.036 m³/d</w:t>
            </w:r>
            <w:r>
              <w:rPr>
                <w:rFonts w:hint="eastAsia" w:cs="Times New Roman"/>
              </w:rPr>
              <w:t>，年排放量为</w:t>
            </w:r>
            <w:r>
              <w:rPr>
                <w:rFonts w:cs="Times New Roman"/>
              </w:rPr>
              <w:t>8.64 m³/a</w:t>
            </w:r>
            <w:r>
              <w:rPr>
                <w:rFonts w:hint="eastAsia" w:cs="Times New Roman"/>
              </w:rPr>
              <w:t>。</w:t>
            </w:r>
          </w:p>
          <w:p>
            <w:pPr>
              <w:ind w:firstLine="480"/>
              <w:rPr>
                <w:rFonts w:cs="Times New Roman"/>
                <w:color w:val="000000"/>
              </w:rPr>
            </w:pPr>
            <w:r>
              <w:rPr>
                <w:rFonts w:hint="eastAsia" w:cs="Times New Roman"/>
              </w:rPr>
              <w:t>项目生产废水全部经沉淀后进入清水池回用于破碎、清洗工序，循环使用，无生产废水外排。</w:t>
            </w:r>
          </w:p>
          <w:p>
            <w:pPr>
              <w:ind w:firstLine="480"/>
              <w:rPr>
                <w:rFonts w:cs="Times New Roman"/>
                <w:color w:val="000000" w:themeColor="text1"/>
                <w14:textFill>
                  <w14:solidFill>
                    <w14:schemeClr w14:val="tx1"/>
                  </w14:solidFill>
                </w14:textFill>
              </w:rPr>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cs="Times New Roman"/>
                <w:color w:val="000000" w:themeColor="text1"/>
                <w14:textFill>
                  <w14:solidFill>
                    <w14:schemeClr w14:val="tx1"/>
                  </w14:solidFill>
                </w14:textFill>
              </w:rPr>
              <w:t>生活污水</w:t>
            </w:r>
          </w:p>
          <w:p>
            <w:pPr>
              <w:ind w:firstLine="480"/>
            </w:pPr>
            <w:r>
              <w:rPr>
                <w:rFonts w:hint="eastAsia"/>
              </w:rPr>
              <w:t>污水产生量按照产生系数0.8计，则生活污水排放量为</w:t>
            </w:r>
            <w:r>
              <w:t>0.192</w:t>
            </w:r>
            <w:r>
              <w:rPr>
                <w:rFonts w:hint="eastAsia"/>
              </w:rPr>
              <w:t>m</w:t>
            </w:r>
            <w:r>
              <w:rPr>
                <w:rFonts w:hint="eastAsia"/>
                <w:vertAlign w:val="superscript"/>
              </w:rPr>
              <w:t>3</w:t>
            </w:r>
            <w:r>
              <w:rPr>
                <w:rFonts w:hint="eastAsia"/>
              </w:rPr>
              <w:t>/d，</w:t>
            </w:r>
            <w:r>
              <w:t>46.08</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r>
              <w:rPr>
                <w:rFonts w:hint="eastAsia"/>
              </w:rPr>
              <w:t>生活污水经化粪池处理后，定期由吸污车抽运至库尔勒市南市区污水处理厂处理。</w:t>
            </w:r>
          </w:p>
          <w:p>
            <w:pPr>
              <w:ind w:firstLine="480"/>
            </w:pPr>
            <w:r>
              <w:rPr>
                <w:rFonts w:hint="eastAsia"/>
              </w:rPr>
              <w:t>主要污染物为COD</w:t>
            </w:r>
            <w:r>
              <w:rPr>
                <w:color w:val="000000" w:themeColor="text1"/>
                <w:sz w:val="21"/>
                <w:szCs w:val="21"/>
                <w14:textFill>
                  <w14:solidFill>
                    <w14:schemeClr w14:val="tx1"/>
                  </w14:solidFill>
                </w14:textFill>
              </w:rPr>
              <w:t>cr</w:t>
            </w:r>
            <w:r>
              <w:rPr>
                <w:rFonts w:hint="eastAsia"/>
              </w:rPr>
              <w:t>、BOD</w:t>
            </w:r>
            <w:r>
              <w:rPr>
                <w:rFonts w:hint="eastAsia"/>
                <w:vertAlign w:val="subscript"/>
              </w:rPr>
              <w:t>5</w:t>
            </w:r>
            <w:r>
              <w:rPr>
                <w:rFonts w:hint="eastAsia"/>
              </w:rPr>
              <w:t>、氨氮、SS等。典型生活污水主要污染物产生浓度COD</w:t>
            </w:r>
            <w:r>
              <w:rPr>
                <w:color w:val="000000" w:themeColor="text1"/>
                <w:sz w:val="21"/>
                <w:szCs w:val="21"/>
                <w14:textFill>
                  <w14:solidFill>
                    <w14:schemeClr w14:val="tx1"/>
                  </w14:solidFill>
                </w14:textFill>
              </w:rPr>
              <w:t>cr</w:t>
            </w:r>
            <w:r>
              <w:rPr>
                <w:rFonts w:hint="eastAsia"/>
              </w:rPr>
              <w:t>400mg</w:t>
            </w:r>
            <w:r>
              <w:t>/</w:t>
            </w:r>
            <w:r>
              <w:rPr>
                <w:rFonts w:hint="eastAsia"/>
              </w:rPr>
              <w:t>L、BOD</w:t>
            </w:r>
            <w:r>
              <w:rPr>
                <w:vertAlign w:val="subscript"/>
              </w:rPr>
              <w:t>5</w:t>
            </w:r>
            <w:r>
              <w:rPr>
                <w:rFonts w:hint="eastAsia"/>
              </w:rPr>
              <w:t>200mg</w:t>
            </w:r>
            <w:r>
              <w:t>/</w:t>
            </w:r>
            <w:r>
              <w:rPr>
                <w:rFonts w:hint="eastAsia"/>
              </w:rPr>
              <w:t>L、SS220mg/L、NH</w:t>
            </w:r>
            <w:r>
              <w:rPr>
                <w:vertAlign w:val="subscript"/>
              </w:rPr>
              <w:t>3</w:t>
            </w:r>
            <w:r>
              <w:rPr>
                <w:rFonts w:hint="eastAsia"/>
              </w:rPr>
              <w:t>-N25mg</w:t>
            </w:r>
            <w:r>
              <w:t>/L</w:t>
            </w:r>
            <w:r>
              <w:rPr>
                <w:rFonts w:hint="eastAsia"/>
              </w:rPr>
              <w:t>。污染物的产生情况见下表。</w:t>
            </w:r>
          </w:p>
          <w:p>
            <w:pPr>
              <w:spacing w:before="163" w:beforeLines="50" w:line="240" w:lineRule="auto"/>
              <w:ind w:firstLine="0" w:firstLineChars="0"/>
              <w:jc w:val="center"/>
              <w:rPr>
                <w:b/>
                <w:sz w:val="21"/>
              </w:rPr>
            </w:pPr>
            <w:r>
              <w:rPr>
                <w:rFonts w:hint="eastAsia"/>
                <w:b/>
                <w:sz w:val="21"/>
              </w:rPr>
              <w:t>表</w:t>
            </w:r>
            <w:r>
              <w:rPr>
                <w:b/>
                <w:sz w:val="21"/>
              </w:rPr>
              <w:t xml:space="preserve">4-2  </w:t>
            </w:r>
            <w:r>
              <w:rPr>
                <w:rFonts w:hint="eastAsia"/>
                <w:b/>
                <w:sz w:val="21"/>
              </w:rPr>
              <w:t>项目生活污水排放量一览表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78"/>
              <w:gridCol w:w="979"/>
              <w:gridCol w:w="1133"/>
              <w:gridCol w:w="1080"/>
              <w:gridCol w:w="850"/>
              <w:gridCol w:w="1155"/>
              <w:gridCol w:w="1024"/>
              <w:gridCol w:w="969"/>
              <w:gridCol w:w="87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污染源</w:t>
                  </w:r>
                </w:p>
              </w:tc>
              <w:tc>
                <w:tcPr>
                  <w:tcW w:w="567"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w:t>
                  </w:r>
                </w:p>
              </w:tc>
              <w:tc>
                <w:tcPr>
                  <w:tcW w:w="1281" w:type="pct"/>
                  <w:gridSpan w:val="2"/>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进水</w:t>
                  </w:r>
                </w:p>
              </w:tc>
              <w:tc>
                <w:tcPr>
                  <w:tcW w:w="492"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治理措施</w:t>
                  </w:r>
                </w:p>
              </w:tc>
              <w:tc>
                <w:tcPr>
                  <w:tcW w:w="668"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去除</w:t>
                  </w:r>
                </w:p>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效率（</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p>
              </w:tc>
              <w:tc>
                <w:tcPr>
                  <w:tcW w:w="1154" w:type="pct"/>
                  <w:gridSpan w:val="2"/>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出水</w:t>
                  </w:r>
                </w:p>
              </w:tc>
              <w:tc>
                <w:tcPr>
                  <w:tcW w:w="50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是否为可行技术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w:t>
                  </w:r>
                </w:p>
              </w:tc>
              <w:tc>
                <w:tcPr>
                  <w:tcW w:w="492"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668"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93" w:type="pct"/>
                  <w:vAlign w:val="center"/>
                </w:tcPr>
                <w:p>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560" w:type="pct"/>
                  <w:vAlign w:val="center"/>
                </w:tcPr>
                <w:p>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w:t>
                  </w:r>
                </w:p>
              </w:tc>
              <w:tc>
                <w:tcPr>
                  <w:tcW w:w="50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w:t>
                  </w: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492"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cs="Times New Roman"/>
                      <w:snapToGrid w:val="0"/>
                      <w:kern w:val="0"/>
                      <w:sz w:val="21"/>
                      <w:szCs w:val="24"/>
                    </w:rPr>
                    <w:t>化粪池</w:t>
                  </w: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504" w:type="pct"/>
                  <w:vMerge w:val="restar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CODcr</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0.018</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0.017</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00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0.009</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0.010</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165</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pPr>
                    <w:spacing w:line="240" w:lineRule="auto"/>
                    <w:ind w:firstLine="0" w:firstLineChars="0"/>
                    <w:contextualSpacing/>
                    <w:jc w:val="center"/>
                    <w:rPr>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40" w:hRule="atLeast"/>
              </w:trPr>
              <w:tc>
                <w:tcPr>
                  <w:tcW w:w="334" w:type="pct"/>
                  <w:vMerge w:val="continue"/>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c>
                <w:tcPr>
                  <w:tcW w:w="656"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625"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492" w:type="pct"/>
                  <w:vMerge w:val="continue"/>
                  <w:vAlign w:val="center"/>
                </w:tcPr>
                <w:p>
                  <w:pPr>
                    <w:spacing w:line="240" w:lineRule="auto"/>
                    <w:ind w:firstLine="0" w:firstLineChars="0"/>
                    <w:contextualSpacing/>
                    <w:jc w:val="center"/>
                    <w:rPr>
                      <w:color w:val="FF0000"/>
                      <w:sz w:val="21"/>
                      <w:szCs w:val="21"/>
                    </w:rPr>
                  </w:pPr>
                </w:p>
              </w:tc>
              <w:tc>
                <w:tcPr>
                  <w:tcW w:w="668"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593"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24.25</w:t>
                  </w:r>
                </w:p>
              </w:tc>
              <w:tc>
                <w:tcPr>
                  <w:tcW w:w="560" w:type="pct"/>
                  <w:vAlign w:val="center"/>
                </w:tcPr>
                <w:p>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504" w:type="pct"/>
                  <w:vMerge w:val="continue"/>
                  <w:vAlign w:val="center"/>
                </w:tcPr>
                <w:p>
                  <w:pPr>
                    <w:spacing w:line="240" w:lineRule="auto"/>
                    <w:ind w:firstLine="0" w:firstLineChars="0"/>
                    <w:contextualSpacing/>
                    <w:jc w:val="center"/>
                    <w:rPr>
                      <w:color w:val="FF0000"/>
                      <w:sz w:val="21"/>
                      <w:szCs w:val="21"/>
                    </w:rPr>
                  </w:pPr>
                </w:p>
              </w:tc>
            </w:tr>
          </w:tbl>
          <w:p>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表4-3</w:t>
            </w:r>
            <w:r>
              <w:rPr>
                <w:rFonts w:hint="eastAsia" w:cs="Times New Roman"/>
                <w:b/>
                <w:bCs/>
                <w:sz w:val="21"/>
                <w:szCs w:val="21"/>
              </w:rPr>
              <w:t xml:space="preserve">  </w:t>
            </w:r>
            <w:r>
              <w:rPr>
                <w:rFonts w:cs="Times New Roman"/>
                <w:b/>
                <w:bCs/>
                <w:sz w:val="21"/>
                <w:szCs w:val="21"/>
              </w:rPr>
              <w:t>废水间接排放基本情况表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72"/>
              <w:gridCol w:w="1372"/>
              <w:gridCol w:w="1584"/>
              <w:gridCol w:w="824"/>
              <w:gridCol w:w="1071"/>
              <w:gridCol w:w="841"/>
              <w:gridCol w:w="15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6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序号</w:t>
                  </w:r>
                </w:p>
              </w:tc>
              <w:tc>
                <w:tcPr>
                  <w:tcW w:w="563"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废水排放量/（</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cs="Times New Roman"/>
                      <w:sz w:val="21"/>
                      <w:szCs w:val="21"/>
                    </w:rPr>
                    <w:t>）</w:t>
                  </w:r>
                </w:p>
              </w:tc>
              <w:tc>
                <w:tcPr>
                  <w:tcW w:w="79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排放去向</w:t>
                  </w:r>
                </w:p>
              </w:tc>
              <w:tc>
                <w:tcPr>
                  <w:tcW w:w="91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排放规律</w:t>
                  </w:r>
                </w:p>
              </w:tc>
              <w:tc>
                <w:tcPr>
                  <w:tcW w:w="47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间歇排放时段</w:t>
                  </w:r>
                </w:p>
              </w:tc>
              <w:tc>
                <w:tcPr>
                  <w:tcW w:w="1985" w:type="pct"/>
                  <w:gridSpan w:val="3"/>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4" w:hRule="atLeast"/>
                <w:jc w:val="center"/>
              </w:trPr>
              <w:tc>
                <w:tcPr>
                  <w:tcW w:w="264"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563"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794"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917"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477" w:type="pct"/>
                  <w:vMerge w:val="continue"/>
                  <w:tcBorders>
                    <w:tl2br w:val="nil"/>
                    <w:tr2bl w:val="nil"/>
                  </w:tcBorders>
                  <w:vAlign w:val="center"/>
                </w:tcPr>
                <w:p>
                  <w:pPr>
                    <w:widowControl/>
                    <w:spacing w:line="240" w:lineRule="auto"/>
                    <w:ind w:firstLine="0" w:firstLineChars="0"/>
                    <w:jc w:val="left"/>
                    <w:textAlignment w:val="auto"/>
                    <w:rPr>
                      <w:rFonts w:cs="Times New Roman"/>
                      <w:sz w:val="21"/>
                      <w:szCs w:val="21"/>
                    </w:rPr>
                  </w:pPr>
                </w:p>
              </w:tc>
              <w:tc>
                <w:tcPr>
                  <w:tcW w:w="620"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名称</w:t>
                  </w: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污染物种类</w:t>
                  </w:r>
                </w:p>
              </w:tc>
              <w:tc>
                <w:tcPr>
                  <w:tcW w:w="878"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国家或地方污染物排放标准浓度限值/（mg/L）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3" w:hRule="atLeast"/>
                <w:jc w:val="center"/>
              </w:trPr>
              <w:tc>
                <w:tcPr>
                  <w:tcW w:w="264"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1</w:t>
                  </w:r>
                </w:p>
              </w:tc>
              <w:tc>
                <w:tcPr>
                  <w:tcW w:w="563"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46.08</w:t>
                  </w:r>
                </w:p>
              </w:tc>
              <w:tc>
                <w:tcPr>
                  <w:tcW w:w="794" w:type="pct"/>
                  <w:vMerge w:val="restart"/>
                  <w:tcBorders>
                    <w:tl2br w:val="nil"/>
                    <w:tr2bl w:val="nil"/>
                  </w:tcBorders>
                  <w:vAlign w:val="center"/>
                </w:tcPr>
                <w:p>
                  <w:pPr>
                    <w:spacing w:line="240" w:lineRule="auto"/>
                    <w:ind w:firstLine="0" w:firstLineChars="0"/>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91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间断排放，排放期间流量不稳定且无规律，但不属于冲击性排放</w:t>
                  </w:r>
                </w:p>
              </w:tc>
              <w:tc>
                <w:tcPr>
                  <w:tcW w:w="477"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z w:val="21"/>
                      <w:szCs w:val="21"/>
                    </w:rPr>
                    <w:t>/</w:t>
                  </w:r>
                </w:p>
              </w:tc>
              <w:tc>
                <w:tcPr>
                  <w:tcW w:w="620" w:type="pct"/>
                  <w:vMerge w:val="restart"/>
                  <w:tcBorders>
                    <w:tl2br w:val="nil"/>
                    <w:tr2bl w:val="nil"/>
                  </w:tcBorders>
                  <w:vAlign w:val="center"/>
                </w:tcPr>
                <w:p>
                  <w:pPr>
                    <w:spacing w:line="240" w:lineRule="auto"/>
                    <w:ind w:firstLine="0" w:firstLineChars="0"/>
                    <w:jc w:val="center"/>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COD</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0"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BOD</w:t>
                  </w:r>
                  <w:r>
                    <w:rPr>
                      <w:rFonts w:cs="Times New Roman"/>
                      <w:snapToGrid w:val="0"/>
                      <w:kern w:val="0"/>
                      <w:sz w:val="21"/>
                      <w:szCs w:val="21"/>
                      <w:vertAlign w:val="subscript"/>
                    </w:rPr>
                    <w:t>5</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3</w:t>
                  </w:r>
                  <w:r>
                    <w:rPr>
                      <w:rFonts w:cs="Times New Roman"/>
                      <w:snapToGrid w:val="0"/>
                      <w:kern w:val="0"/>
                      <w:sz w:val="21"/>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SS</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4</w:t>
                  </w:r>
                  <w:r>
                    <w:rPr>
                      <w:rFonts w:cs="Times New Roman"/>
                      <w:snapToGrid w:val="0"/>
                      <w:kern w:val="0"/>
                      <w:sz w:val="21"/>
                      <w:szCs w:val="21"/>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5" w:hRule="atLeast"/>
                <w:jc w:val="center"/>
              </w:trPr>
              <w:tc>
                <w:tcPr>
                  <w:tcW w:w="26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1"/>
                    </w:rPr>
                    <w:t>氨氮</w:t>
                  </w:r>
                </w:p>
              </w:tc>
              <w:tc>
                <w:tcPr>
                  <w:tcW w:w="878" w:type="pct"/>
                  <w:tcBorders>
                    <w:tl2br w:val="nil"/>
                    <w:tr2bl w:val="nil"/>
                  </w:tcBorders>
                  <w:vAlign w:val="center"/>
                </w:tcPr>
                <w:p>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w:t>
                  </w:r>
                  <w:r>
                    <w:rPr>
                      <w:rFonts w:cs="Times New Roman"/>
                      <w:snapToGrid w:val="0"/>
                      <w:kern w:val="0"/>
                      <w:sz w:val="21"/>
                      <w:szCs w:val="21"/>
                    </w:rPr>
                    <w:t>--</w:t>
                  </w:r>
                </w:p>
              </w:tc>
            </w:tr>
          </w:tbl>
          <w:p>
            <w:pPr>
              <w:ind w:firstLine="0" w:firstLineChars="0"/>
              <w:rPr>
                <w:rFonts w:cs="Times New Roman"/>
                <w:b/>
                <w:bCs/>
              </w:rPr>
            </w:pPr>
            <w:r>
              <w:rPr>
                <w:rFonts w:cs="Times New Roman"/>
                <w:b/>
                <w:bCs/>
                <w:color w:val="000000" w:themeColor="text1"/>
                <w14:textFill>
                  <w14:solidFill>
                    <w14:schemeClr w14:val="tx1"/>
                  </w14:solidFill>
                </w14:textFill>
              </w:rPr>
              <w:t>4.2.2.1</w:t>
            </w:r>
            <w:r>
              <w:rPr>
                <w:rFonts w:hint="eastAsia" w:cs="Times New Roman"/>
                <w:b/>
                <w:bCs/>
                <w:color w:val="000000" w:themeColor="text1"/>
                <w14:textFill>
                  <w14:solidFill>
                    <w14:schemeClr w14:val="tx1"/>
                  </w14:solidFill>
                </w14:textFill>
              </w:rPr>
              <w:t>生活污水</w:t>
            </w:r>
            <w:r>
              <w:rPr>
                <w:rFonts w:hint="eastAsia" w:cs="Times New Roman"/>
                <w:b/>
                <w:bCs/>
                <w:snapToGrid w:val="0"/>
                <w:kern w:val="0"/>
                <w:szCs w:val="24"/>
              </w:rPr>
              <w:t>拉运可行性分析</w:t>
            </w:r>
          </w:p>
          <w:p>
            <w:pPr>
              <w:spacing w:line="336" w:lineRule="auto"/>
              <w:ind w:firstLine="480"/>
              <w:rPr>
                <w:rFonts w:cs="Times New Roman"/>
                <w:szCs w:val="21"/>
              </w:rPr>
            </w:pPr>
            <w:r>
              <w:rPr>
                <w:rFonts w:hint="eastAsia" w:hAnsi="宋体"/>
                <w:szCs w:val="21"/>
              </w:rPr>
              <w:t>本项目生活污水排放量为</w:t>
            </w:r>
            <w:r>
              <w:rPr>
                <w:rFonts w:hAnsi="宋体"/>
                <w:szCs w:val="21"/>
              </w:rPr>
              <w:t>0.192</w:t>
            </w:r>
            <w:r>
              <w:rPr>
                <w:rFonts w:cs="Times New Roman"/>
                <w:szCs w:val="21"/>
              </w:rPr>
              <w:t> </w:t>
            </w:r>
            <w:r>
              <w:rPr>
                <w:rFonts w:hAnsi="宋体"/>
                <w:szCs w:val="21"/>
              </w:rPr>
              <w:t>m</w:t>
            </w:r>
            <w:r>
              <w:rPr>
                <w:rFonts w:hint="eastAsia" w:hAnsi="宋体"/>
                <w:szCs w:val="21"/>
              </w:rPr>
              <w:t>³</w:t>
            </w:r>
            <w:r>
              <w:rPr>
                <w:rFonts w:hAnsi="宋体"/>
                <w:szCs w:val="21"/>
              </w:rPr>
              <w:t>/d</w:t>
            </w:r>
            <w:r>
              <w:rPr>
                <w:rFonts w:hint="eastAsia" w:hAnsi="宋体"/>
                <w:szCs w:val="21"/>
              </w:rPr>
              <w:t>（</w:t>
            </w:r>
            <w:r>
              <w:rPr>
                <w:rFonts w:hAnsi="宋体"/>
                <w:szCs w:val="21"/>
              </w:rPr>
              <w:t>46.08</w:t>
            </w:r>
            <w:r>
              <w:rPr>
                <w:rFonts w:cs="Times New Roman"/>
                <w:szCs w:val="21"/>
              </w:rPr>
              <w:t> </w:t>
            </w:r>
            <w:r>
              <w:rPr>
                <w:rFonts w:hAnsi="宋体"/>
                <w:szCs w:val="21"/>
              </w:rPr>
              <w:t>m</w:t>
            </w:r>
            <w:r>
              <w:rPr>
                <w:rFonts w:hint="eastAsia" w:hAnsi="宋体"/>
                <w:szCs w:val="21"/>
              </w:rPr>
              <w:t>³</w:t>
            </w:r>
            <w:r>
              <w:rPr>
                <w:rFonts w:hAnsi="宋体"/>
                <w:szCs w:val="21"/>
              </w:rPr>
              <w:t>/a</w:t>
            </w:r>
            <w:r>
              <w:rPr>
                <w:rFonts w:hint="eastAsia" w:hAnsi="宋体"/>
                <w:szCs w:val="21"/>
              </w:rPr>
              <w:t>），进入库尔勒市哈拉玉宫镇废旧物资回收加工产业园配套建设</w:t>
            </w:r>
            <w:r>
              <w:rPr>
                <w:rFonts w:hint="eastAsia" w:cs="Times New Roman"/>
                <w:szCs w:val="21"/>
              </w:rPr>
              <w:t>的</w:t>
            </w:r>
            <w:r>
              <w:rPr>
                <w:rFonts w:cs="Times New Roman"/>
                <w:szCs w:val="21"/>
              </w:rPr>
              <w:t>2</w:t>
            </w:r>
            <w:r>
              <w:rPr>
                <w:rFonts w:hint="eastAsia" w:cs="Times New Roman"/>
                <w:szCs w:val="21"/>
              </w:rPr>
              <w:t>座</w:t>
            </w:r>
            <w:r>
              <w:rPr>
                <w:rFonts w:cs="Times New Roman"/>
                <w:szCs w:val="21"/>
              </w:rPr>
              <w:t>100m³</w:t>
            </w:r>
            <w:r>
              <w:rPr>
                <w:rFonts w:hint="eastAsia" w:cs="Times New Roman"/>
                <w:szCs w:val="21"/>
              </w:rPr>
              <w:t>化粪池进行预处理</w:t>
            </w:r>
            <w:r>
              <w:rPr>
                <w:rFonts w:cs="Times New Roman"/>
                <w:szCs w:val="21"/>
              </w:rPr>
              <w:t>。化粪池总容积为200 m³，远大于本项目日排放量，具备充足的缓冲与暂存能力。经预处理后，废水水质满足《污水综合排放标准》（GB8978-1996）三级标准要求。由于污水产生量极小，清运频次可根据实际运行情况安排，定期由吸污车抽运至库尔勒市南市区污水处理厂进行集中处理。</w:t>
            </w:r>
          </w:p>
          <w:p>
            <w:pPr>
              <w:ind w:firstLine="480"/>
              <w:rPr>
                <w:rFonts w:cs="Times New Roman"/>
                <w:szCs w:val="21"/>
              </w:rPr>
            </w:pPr>
            <w:r>
              <w:rPr>
                <w:rFonts w:cs="Times New Roman"/>
                <w:szCs w:val="21"/>
              </w:rPr>
              <w:t>库尔勒市南市区污水处理厂位于</w:t>
            </w:r>
            <w:r>
              <w:rPr>
                <w:rFonts w:cs="Times New Roman"/>
              </w:rPr>
              <w:t>库尔勒市哈拉玉宫镇废旧物资回收加工产业园</w:t>
            </w:r>
            <w:r>
              <w:rPr>
                <w:rFonts w:cs="Times New Roman"/>
                <w:szCs w:val="21"/>
              </w:rPr>
              <w:t>东侧约5.95km处，中心坐标为：经度86°9′44.382″，纬度41°38′39.205″。污水处理规模为10万m</w:t>
            </w:r>
            <w:r>
              <w:rPr>
                <w:rFonts w:cs="Times New Roman"/>
                <w:szCs w:val="21"/>
                <w:vertAlign w:val="superscript"/>
              </w:rPr>
              <w:t>3</w:t>
            </w:r>
            <w:r>
              <w:rPr>
                <w:rFonts w:cs="Times New Roman"/>
                <w:szCs w:val="21"/>
              </w:rPr>
              <w:t>/d，采用“粗细格栅+曝气沉砂池+调节池+气浮池+初沉池+水解酸化池+中沉池+改良A</w:t>
            </w:r>
            <w:r>
              <w:rPr>
                <w:rFonts w:cs="Times New Roman"/>
                <w:szCs w:val="21"/>
                <w:vertAlign w:val="superscript"/>
              </w:rPr>
              <w:t>2</w:t>
            </w:r>
            <w:r>
              <w:rPr>
                <w:rFonts w:cs="Times New Roman"/>
                <w:szCs w:val="21"/>
              </w:rPr>
              <w:t>/O生物池+二沉池+深度处理车间（混凝、沉淀、过滤）+臭氧接触池+曝气生物滤池+次氯酸钠溶液消毒”处理工艺，出水执行《城镇污水处理厂污染物排放标准》（GB18918-2002）中的一级A标准。库尔勒市南市区污水处理厂排污许可证编号：91652801MA77CJFF18001W，有效期2022年6月13日至2027年6月12日，于2022年8月11日通过自主验收。库尔勒市南市区污水处理厂现状废水处理量约5.4万m</w:t>
            </w:r>
            <w:r>
              <w:rPr>
                <w:rFonts w:cs="Times New Roman"/>
                <w:szCs w:val="21"/>
                <w:vertAlign w:val="superscript"/>
              </w:rPr>
              <w:t>3</w:t>
            </w:r>
            <w:r>
              <w:rPr>
                <w:rFonts w:cs="Times New Roman"/>
                <w:szCs w:val="21"/>
              </w:rPr>
              <w:t>/d，可满足产业园生活污水处理需求。库尔勒市南市区污水处理厂距产业园5.95km，主要沿现有道路运输，运输距离较短。</w:t>
            </w:r>
          </w:p>
          <w:p>
            <w:pPr>
              <w:ind w:firstLine="480"/>
              <w:rPr>
                <w:rFonts w:cs="Times New Roman"/>
                <w:szCs w:val="21"/>
              </w:rPr>
            </w:pPr>
            <w:r>
              <w:rPr>
                <w:rFonts w:cs="Times New Roman"/>
                <w:szCs w:val="21"/>
              </w:rPr>
              <w:t>综上分析，本项目</w:t>
            </w:r>
            <w:r>
              <w:rPr>
                <w:rFonts w:cs="Times New Roman"/>
              </w:rPr>
              <w:t>生活污水</w:t>
            </w:r>
            <w:r>
              <w:rPr>
                <w:rFonts w:cs="Times New Roman"/>
                <w:szCs w:val="21"/>
              </w:rPr>
              <w:t>依托库尔勒市南市区污水处理厂处理可行。</w:t>
            </w:r>
          </w:p>
          <w:p>
            <w:pPr>
              <w:spacing w:line="379" w:lineRule="auto"/>
              <w:ind w:firstLine="480"/>
              <w:rPr>
                <w:rFonts w:cs="Times New Roman"/>
                <w:szCs w:val="21"/>
              </w:rPr>
            </w:pPr>
            <w:r>
              <w:rPr>
                <w:rFonts w:cs="Times New Roman"/>
                <w:szCs w:val="21"/>
              </w:rPr>
              <w:t>评价要求吸污车运输过程中须采取以下措施：</w:t>
            </w:r>
          </w:p>
          <w:p>
            <w:pPr>
              <w:spacing w:line="379" w:lineRule="auto"/>
              <w:ind w:firstLine="480"/>
              <w:rPr>
                <w:rFonts w:cs="Times New Roman"/>
                <w:color w:val="FF0000"/>
                <w:szCs w:val="21"/>
              </w:rPr>
            </w:pPr>
            <w:r>
              <w:rPr>
                <w:rFonts w:cs="Times New Roman"/>
                <w:szCs w:val="21"/>
              </w:rPr>
              <w:t>①吸污过程中应防止生活污水“跑、冒、滴、漏”。</w:t>
            </w:r>
          </w:p>
          <w:p>
            <w:pPr>
              <w:spacing w:line="379" w:lineRule="auto"/>
              <w:ind w:firstLine="480"/>
              <w:rPr>
                <w:szCs w:val="21"/>
              </w:rPr>
            </w:pPr>
            <w:r>
              <w:rPr>
                <w:rFonts w:hint="eastAsia"/>
                <w:szCs w:val="21"/>
              </w:rPr>
              <w:t>②运输过程中应采用密闭、环保、高效的运输车辆，提高装备水平，采取全密闭箱体防止臭气外溢和渗滤液滴漏，减少运输过程中的二次污染；</w:t>
            </w:r>
          </w:p>
          <w:p>
            <w:pPr>
              <w:spacing w:line="379" w:lineRule="auto"/>
              <w:ind w:firstLine="480"/>
              <w:rPr>
                <w:szCs w:val="21"/>
              </w:rPr>
            </w:pPr>
            <w:r>
              <w:rPr>
                <w:rFonts w:hint="eastAsia"/>
                <w:szCs w:val="21"/>
              </w:rPr>
              <w:t>③认真执行罐车巡检、回检以及维护、修理管理办法，保持罐车完整性。</w:t>
            </w:r>
          </w:p>
          <w:p>
            <w:pPr>
              <w:spacing w:line="440" w:lineRule="exact"/>
              <w:ind w:firstLine="0" w:firstLineChars="0"/>
              <w:jc w:val="left"/>
              <w:rPr>
                <w:color w:val="000000" w:themeColor="text1"/>
                <w:kern w:val="0"/>
                <w14:textFill>
                  <w14:solidFill>
                    <w14:schemeClr w14:val="tx1"/>
                  </w14:solidFill>
                </w14:textFill>
              </w:rPr>
            </w:pPr>
            <w:r>
              <w:rPr>
                <w:rFonts w:hint="eastAsia"/>
                <w:b/>
                <w:bCs/>
              </w:rPr>
              <w:t>4</w:t>
            </w:r>
            <w:r>
              <w:rPr>
                <w:b/>
                <w:bCs/>
              </w:rPr>
              <w:t>.2.</w:t>
            </w:r>
            <w:r>
              <w:rPr>
                <w:rFonts w:hint="eastAsia"/>
                <w:b/>
                <w:bCs/>
              </w:rPr>
              <w:t>3噪声环境影响与评价</w:t>
            </w:r>
          </w:p>
          <w:p>
            <w:pPr>
              <w:pStyle w:val="4"/>
              <w:ind w:firstLine="480"/>
              <w:rPr>
                <w:b w:val="0"/>
                <w:bCs w:val="0"/>
                <w:szCs w:val="24"/>
                <w:lang w:bidi="ar"/>
              </w:rPr>
            </w:pPr>
            <w:r>
              <w:rPr>
                <w:b w:val="0"/>
                <w:bCs w:val="0"/>
                <w:szCs w:val="24"/>
                <w:lang w:bidi="ar"/>
              </w:rPr>
              <w:t>（1）噪声污染源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运行后，主要噪声源为破碎机、空分机、甩干机、色选机等设备运行产生的噪声。通过设置基础减振、加强设备检修与维护、合理布局以及厂区绿化等措施，可有效降低噪声影响。采用上述方法，能够确保厂界噪声达到相关标准要求。</w:t>
            </w:r>
            <w:r>
              <w:rPr>
                <w:lang w:bidi="ar"/>
              </w:rPr>
              <w:t>噪声源强为75~90</w:t>
            </w:r>
            <w:r>
              <w:rPr>
                <w:spacing w:val="-2"/>
              </w:rPr>
              <w:t>dB</w:t>
            </w:r>
            <w:r>
              <w:rPr>
                <w:rFonts w:hint="eastAsia"/>
                <w:spacing w:val="-2"/>
              </w:rPr>
              <w:t>（</w:t>
            </w:r>
            <w:r>
              <w:rPr>
                <w:spacing w:val="-2"/>
              </w:rPr>
              <w:t>A</w:t>
            </w:r>
            <w:r>
              <w:rPr>
                <w:rFonts w:hint="eastAsia"/>
                <w:spacing w:val="-2"/>
              </w:rPr>
              <w:t>）。</w:t>
            </w:r>
          </w:p>
          <w:p>
            <w:pPr>
              <w:spacing w:line="240" w:lineRule="auto"/>
              <w:ind w:firstLine="422"/>
              <w:jc w:val="center"/>
              <w:rPr>
                <w:rFonts w:cs="Times New Roman"/>
                <w:b/>
                <w:bCs/>
                <w:sz w:val="21"/>
                <w:szCs w:val="21"/>
              </w:rPr>
            </w:pPr>
            <w:r>
              <w:rPr>
                <w:rFonts w:cs="Times New Roman"/>
                <w:b/>
                <w:bCs/>
                <w:sz w:val="21"/>
                <w:szCs w:val="21"/>
              </w:rPr>
              <w:t>表4-4  工业企业噪声源强调查清单（室内声源）</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2"/>
              <w:gridCol w:w="412"/>
              <w:gridCol w:w="576"/>
              <w:gridCol w:w="368"/>
              <w:gridCol w:w="347"/>
              <w:gridCol w:w="253"/>
              <w:gridCol w:w="368"/>
              <w:gridCol w:w="347"/>
              <w:gridCol w:w="347"/>
              <w:gridCol w:w="350"/>
              <w:gridCol w:w="368"/>
              <w:gridCol w:w="347"/>
              <w:gridCol w:w="347"/>
              <w:gridCol w:w="350"/>
              <w:gridCol w:w="412"/>
              <w:gridCol w:w="368"/>
              <w:gridCol w:w="347"/>
              <w:gridCol w:w="347"/>
              <w:gridCol w:w="350"/>
              <w:gridCol w:w="368"/>
              <w:gridCol w:w="347"/>
              <w:gridCol w:w="347"/>
              <w:gridCol w:w="347"/>
              <w:gridCol w:w="2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6" w:hRule="exact"/>
              </w:trPr>
              <w:tc>
                <w:tcPr>
                  <w:tcW w:w="239" w:type="pct"/>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序号</w:t>
                  </w:r>
                </w:p>
              </w:tc>
              <w:tc>
                <w:tcPr>
                  <w:tcW w:w="239" w:type="pct"/>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声源名称</w:t>
                  </w:r>
                </w:p>
              </w:tc>
              <w:tc>
                <w:tcPr>
                  <w:tcW w:w="334" w:type="pc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声源源强</w:t>
                  </w:r>
                </w:p>
              </w:tc>
              <w:tc>
                <w:tcPr>
                  <w:tcW w:w="560" w:type="pct"/>
                  <w:gridSpan w:val="3"/>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空间相对位置</w:t>
                  </w:r>
                  <w:r>
                    <w:rPr>
                      <w:rFonts w:cs="Times New Roman"/>
                      <w:sz w:val="21"/>
                      <w:szCs w:val="21"/>
                    </w:rPr>
                    <w:t>/m</w:t>
                  </w:r>
                </w:p>
              </w:tc>
              <w:tc>
                <w:tcPr>
                  <w:tcW w:w="817" w:type="pct"/>
                  <w:gridSpan w:val="4"/>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距室内边界距离</w:t>
                  </w:r>
                  <w:r>
                    <w:rPr>
                      <w:rFonts w:cs="Times New Roman"/>
                      <w:sz w:val="21"/>
                      <w:szCs w:val="21"/>
                    </w:rPr>
                    <w:t>/m</w:t>
                  </w:r>
                </w:p>
              </w:tc>
              <w:tc>
                <w:tcPr>
                  <w:tcW w:w="817" w:type="pct"/>
                  <w:gridSpan w:val="4"/>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室内边界声级</w:t>
                  </w:r>
                  <w:r>
                    <w:rPr>
                      <w:rFonts w:cs="Times New Roman"/>
                      <w:sz w:val="21"/>
                      <w:szCs w:val="21"/>
                    </w:rPr>
                    <w:t>/dB(A)</w:t>
                  </w:r>
                </w:p>
              </w:tc>
              <w:tc>
                <w:tcPr>
                  <w:tcW w:w="238" w:type="pct"/>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运行时段</w:t>
                  </w:r>
                </w:p>
              </w:tc>
              <w:tc>
                <w:tcPr>
                  <w:tcW w:w="817" w:type="pct"/>
                  <w:gridSpan w:val="4"/>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建筑物插入损失</w:t>
                  </w:r>
                  <w:r>
                    <w:rPr>
                      <w:rFonts w:cs="Times New Roman"/>
                      <w:sz w:val="21"/>
                      <w:szCs w:val="21"/>
                    </w:rPr>
                    <w:t>/dB(A)</w:t>
                  </w:r>
                  <w:bookmarkStart w:id="11" w:name="PT_10"/>
                  <w:bookmarkEnd w:id="11"/>
                </w:p>
              </w:tc>
              <w:tc>
                <w:tcPr>
                  <w:tcW w:w="940" w:type="pct"/>
                  <w:gridSpan w:val="5"/>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建筑物外噪声声压级</w:t>
                  </w:r>
                  <w:r>
                    <w:rPr>
                      <w:rFonts w:cs="Times New Roman"/>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vMerge w:val="continue"/>
                  <w:vAlign w:val="center"/>
                </w:tcPr>
                <w:p>
                  <w:pPr>
                    <w:widowControl/>
                    <w:spacing w:line="240" w:lineRule="auto"/>
                    <w:ind w:firstLine="0" w:firstLineChars="0"/>
                    <w:jc w:val="center"/>
                    <w:textAlignment w:val="auto"/>
                    <w:rPr>
                      <w:rFonts w:cs="Times New Roman"/>
                      <w:sz w:val="21"/>
                      <w:szCs w:val="21"/>
                    </w:rPr>
                  </w:pPr>
                </w:p>
              </w:tc>
              <w:tc>
                <w:tcPr>
                  <w:tcW w:w="239" w:type="pct"/>
                  <w:vMerge w:val="continue"/>
                  <w:vAlign w:val="center"/>
                </w:tcPr>
                <w:p>
                  <w:pPr>
                    <w:widowControl/>
                    <w:spacing w:line="240" w:lineRule="auto"/>
                    <w:ind w:firstLine="0" w:firstLineChars="0"/>
                    <w:jc w:val="center"/>
                    <w:textAlignment w:val="auto"/>
                    <w:rPr>
                      <w:rFonts w:cs="Times New Roman"/>
                      <w:sz w:val="21"/>
                      <w:szCs w:val="21"/>
                    </w:rPr>
                  </w:pPr>
                </w:p>
              </w:tc>
              <w:tc>
                <w:tcPr>
                  <w:tcW w:w="334"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声功率级</w:t>
                  </w:r>
                  <w:r>
                    <w:rPr>
                      <w:rFonts w:cs="Times New Roman"/>
                      <w:sz w:val="21"/>
                      <w:szCs w:val="21"/>
                    </w:rPr>
                    <w:t>/dB(A)</w:t>
                  </w:r>
                </w:p>
              </w:tc>
              <w:tc>
                <w:tcPr>
                  <w:tcW w:w="21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cs="Times New Roman"/>
                      <w:sz w:val="21"/>
                      <w:szCs w:val="21"/>
                    </w:rPr>
                    <w:t>X</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cs="Times New Roman"/>
                      <w:sz w:val="21"/>
                      <w:szCs w:val="21"/>
                    </w:rPr>
                    <w:t>Y</w:t>
                  </w:r>
                </w:p>
              </w:tc>
              <w:tc>
                <w:tcPr>
                  <w:tcW w:w="146"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cs="Times New Roman"/>
                      <w:sz w:val="21"/>
                      <w:szCs w:val="21"/>
                    </w:rPr>
                    <w:t>Z</w:t>
                  </w:r>
                </w:p>
              </w:tc>
              <w:tc>
                <w:tcPr>
                  <w:tcW w:w="21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北</w:t>
                  </w:r>
                </w:p>
              </w:tc>
              <w:tc>
                <w:tcPr>
                  <w:tcW w:w="21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北</w:t>
                  </w:r>
                </w:p>
              </w:tc>
              <w:tc>
                <w:tcPr>
                  <w:tcW w:w="238" w:type="pct"/>
                  <w:vMerge w:val="continue"/>
                  <w:vAlign w:val="center"/>
                </w:tcPr>
                <w:p>
                  <w:pPr>
                    <w:widowControl/>
                    <w:spacing w:line="240" w:lineRule="auto"/>
                    <w:ind w:firstLine="0" w:firstLineChars="0"/>
                    <w:jc w:val="center"/>
                    <w:textAlignment w:val="auto"/>
                    <w:rPr>
                      <w:rFonts w:cs="Times New Roman"/>
                      <w:sz w:val="21"/>
                      <w:szCs w:val="21"/>
                    </w:rPr>
                  </w:pPr>
                </w:p>
              </w:tc>
              <w:tc>
                <w:tcPr>
                  <w:tcW w:w="21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北</w:t>
                  </w:r>
                </w:p>
              </w:tc>
              <w:tc>
                <w:tcPr>
                  <w:tcW w:w="21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北</w:t>
                  </w:r>
                </w:p>
              </w:tc>
              <w:tc>
                <w:tcPr>
                  <w:tcW w:w="123" w:type="pct"/>
                  <w:shd w:val="clear" w:color="auto" w:fill="FFFFFF"/>
                  <w:tcMar>
                    <w:top w:w="0" w:type="dxa"/>
                    <w:left w:w="0" w:type="dxa"/>
                    <w:bottom w:w="0" w:type="dxa"/>
                    <w:right w:w="0" w:type="dxa"/>
                  </w:tcMar>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建筑物外距离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破碎机</w:t>
                  </w:r>
                  <w:r>
                    <w:rPr>
                      <w:rFonts w:cs="Times New Roman"/>
                      <w:sz w:val="21"/>
                      <w:szCs w:val="21"/>
                    </w:rPr>
                    <w:t>1</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90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-41.8</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-18.6</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20.1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1.8</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46.3</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78.9</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77.6</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52.9</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51.6</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破碎机</w:t>
                  </w:r>
                  <w:r>
                    <w:rPr>
                      <w:rFonts w:cs="Times New Roman"/>
                      <w:sz w:val="21"/>
                      <w:szCs w:val="21"/>
                    </w:rPr>
                    <w:t>2</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90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-39.3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18.7</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15.5</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32.6</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77.3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51.3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空分机</w:t>
                  </w:r>
                  <w:r>
                    <w:rPr>
                      <w:rFonts w:cs="Times New Roman"/>
                      <w:sz w:val="21"/>
                      <w:szCs w:val="21"/>
                    </w:rPr>
                    <w:t>1</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-23.9</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0.3</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3.9</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22.5</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21.2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25.9</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62.7</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36.7</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空分机</w:t>
                  </w:r>
                  <w:r>
                    <w:rPr>
                      <w:rFonts w:cs="Times New Roman"/>
                      <w:sz w:val="21"/>
                      <w:szCs w:val="21"/>
                    </w:rPr>
                    <w:t>2</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-40.1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2.8</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20.2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23.3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4.9</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24.9</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62.5</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36.5</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甩干机</w:t>
                  </w:r>
                  <w:r>
                    <w:rPr>
                      <w:rFonts w:cs="Times New Roman"/>
                      <w:sz w:val="21"/>
                      <w:szCs w:val="21"/>
                    </w:rPr>
                    <w:t>1</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-21.8</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10.8</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2.7</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33.2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22.8</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15.3</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63.1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37.1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甩干机</w:t>
                  </w:r>
                  <w:r>
                    <w:rPr>
                      <w:rFonts w:cs="Times New Roman"/>
                      <w:sz w:val="21"/>
                      <w:szCs w:val="21"/>
                    </w:rPr>
                    <w:t>2</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-38.4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12.7</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19.4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33.4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14.9</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62.3</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36.3</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7</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色选机</w:t>
                  </w:r>
                  <w:r>
                    <w:rPr>
                      <w:rFonts w:cs="Times New Roman"/>
                      <w:sz w:val="21"/>
                      <w:szCs w:val="21"/>
                    </w:rPr>
                    <w:t>1</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80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21.6</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2.8</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44.0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23.1</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4.5</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68.0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67.6</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42.0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41.6</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8</w:t>
                  </w:r>
                </w:p>
              </w:tc>
              <w:tc>
                <w:tcPr>
                  <w:tcW w:w="239"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色选机</w:t>
                  </w:r>
                  <w:r>
                    <w:rPr>
                      <w:rFonts w:cs="Times New Roman"/>
                      <w:sz w:val="21"/>
                      <w:szCs w:val="21"/>
                    </w:rPr>
                    <w:t>2</w:t>
                  </w:r>
                </w:p>
              </w:tc>
              <w:tc>
                <w:tcPr>
                  <w:tcW w:w="334"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80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-37.4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23.5</w:t>
                  </w:r>
                </w:p>
              </w:tc>
              <w:tc>
                <w:tcPr>
                  <w:tcW w:w="146"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19.3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44.2</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6.6</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67.6</w:t>
                  </w:r>
                </w:p>
              </w:tc>
              <w:tc>
                <w:tcPr>
                  <w:tcW w:w="238"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41.3</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41.4</w:t>
                  </w:r>
                </w:p>
              </w:tc>
              <w:tc>
                <w:tcPr>
                  <w:tcW w:w="201"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41.6</w:t>
                  </w:r>
                </w:p>
              </w:tc>
              <w:tc>
                <w:tcPr>
                  <w:tcW w:w="123" w:type="pct"/>
                  <w:shd w:val="clear" w:color="auto" w:fill="FFFFFF"/>
                  <w:tcMar>
                    <w:top w:w="0" w:type="dxa"/>
                    <w:left w:w="0" w:type="dxa"/>
                    <w:bottom w:w="0" w:type="dxa"/>
                    <w:right w:w="0" w:type="dxa"/>
                  </w:tcMar>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000" w:type="pct"/>
                  <w:gridSpan w:val="24"/>
                  <w:shd w:val="clear" w:color="auto" w:fill="FFFFFF"/>
                  <w:tcMar>
                    <w:top w:w="0" w:type="dxa"/>
                    <w:left w:w="0" w:type="dxa"/>
                    <w:bottom w:w="0" w:type="dxa"/>
                    <w:right w:w="0" w:type="dxa"/>
                  </w:tcMar>
                  <w:vAlign w:val="center"/>
                </w:tcPr>
                <w:p>
                  <w:pPr>
                    <w:widowControl/>
                    <w:spacing w:line="240" w:lineRule="auto"/>
                    <w:ind w:firstLine="0" w:firstLineChars="0"/>
                    <w:textAlignment w:val="auto"/>
                    <w:rPr>
                      <w:rFonts w:cs="Times New Roman"/>
                      <w:sz w:val="21"/>
                      <w:szCs w:val="21"/>
                    </w:rPr>
                  </w:pPr>
                  <w:r>
                    <w:rPr>
                      <w:rFonts w:hint="eastAsia"/>
                      <w:color w:val="000000" w:themeColor="text1"/>
                      <w:sz w:val="21"/>
                      <w:szCs w:val="20"/>
                      <w14:textFill>
                        <w14:solidFill>
                          <w14:schemeClr w14:val="tx1"/>
                        </w14:solidFill>
                      </w14:textFill>
                    </w:rPr>
                    <w:t>表中坐标以厂界中心（</w:t>
                  </w:r>
                  <w:r>
                    <w:rPr>
                      <w:color w:val="000000" w:themeColor="text1"/>
                      <w:sz w:val="21"/>
                      <w:szCs w:val="20"/>
                      <w14:textFill>
                        <w14:solidFill>
                          <w14:schemeClr w14:val="tx1"/>
                        </w14:solidFill>
                      </w14:textFill>
                    </w:rPr>
                    <w:t>86.0935822,41.631382</w:t>
                  </w:r>
                  <w:r>
                    <w:rPr>
                      <w:rFonts w:hint="eastAsia"/>
                      <w:color w:val="000000" w:themeColor="text1"/>
                      <w:sz w:val="21"/>
                      <w:szCs w:val="20"/>
                      <w14:textFill>
                        <w14:solidFill>
                          <w14:schemeClr w14:val="tx1"/>
                        </w14:solidFill>
                      </w14:textFill>
                    </w:rPr>
                    <w:t>）为坐标原点，正东向为</w:t>
                  </w:r>
                  <w:r>
                    <w:rPr>
                      <w:color w:val="000000" w:themeColor="text1"/>
                      <w:sz w:val="21"/>
                      <w:szCs w:val="20"/>
                      <w14:textFill>
                        <w14:solidFill>
                          <w14:schemeClr w14:val="tx1"/>
                        </w14:solidFill>
                      </w14:textFill>
                    </w:rPr>
                    <w:t>X</w:t>
                  </w:r>
                  <w:r>
                    <w:rPr>
                      <w:rFonts w:hint="eastAsia"/>
                      <w:color w:val="000000" w:themeColor="text1"/>
                      <w:sz w:val="21"/>
                      <w:szCs w:val="20"/>
                      <w14:textFill>
                        <w14:solidFill>
                          <w14:schemeClr w14:val="tx1"/>
                        </w14:solidFill>
                      </w14:textFill>
                    </w:rPr>
                    <w:t>轴正方向，正北向为</w:t>
                  </w:r>
                  <w:r>
                    <w:rPr>
                      <w:color w:val="000000" w:themeColor="text1"/>
                      <w:sz w:val="21"/>
                      <w:szCs w:val="20"/>
                      <w14:textFill>
                        <w14:solidFill>
                          <w14:schemeClr w14:val="tx1"/>
                        </w14:solidFill>
                      </w14:textFill>
                    </w:rPr>
                    <w:t>Y</w:t>
                  </w:r>
                  <w:r>
                    <w:rPr>
                      <w:rFonts w:hint="eastAsia"/>
                      <w:color w:val="000000" w:themeColor="text1"/>
                      <w:sz w:val="21"/>
                      <w:szCs w:val="20"/>
                      <w14:textFill>
                        <w14:solidFill>
                          <w14:schemeClr w14:val="tx1"/>
                        </w14:solidFill>
                      </w14:textFill>
                    </w:rPr>
                    <w:t>轴正方向</w:t>
                  </w:r>
                </w:p>
              </w:tc>
            </w:tr>
          </w:tbl>
          <w:p>
            <w:pPr>
              <w:pStyle w:val="15"/>
              <w:numPr>
                <w:ilvl w:val="0"/>
                <w:numId w:val="3"/>
              </w:numPr>
              <w:spacing w:line="360" w:lineRule="auto"/>
              <w:ind w:firstLine="480"/>
              <w:jc w:val="both"/>
              <w:rPr>
                <w:sz w:val="24"/>
                <w:szCs w:val="24"/>
                <w:lang w:bidi="ar"/>
              </w:rPr>
            </w:pPr>
            <w:r>
              <w:rPr>
                <w:sz w:val="24"/>
                <w:szCs w:val="24"/>
                <w:lang w:bidi="ar"/>
              </w:rPr>
              <w:t>预测模式</w:t>
            </w:r>
          </w:p>
          <w:p>
            <w:pPr>
              <w:pStyle w:val="15"/>
              <w:spacing w:line="360" w:lineRule="auto"/>
              <w:ind w:firstLine="480"/>
              <w:jc w:val="both"/>
              <w:rPr>
                <w:snapToGrid w:val="0"/>
                <w:kern w:val="0"/>
                <w:sz w:val="24"/>
                <w:szCs w:val="22"/>
              </w:rPr>
            </w:pPr>
            <w:r>
              <w:rPr>
                <w:rFonts w:hint="eastAsia"/>
                <w:snapToGrid w:val="0"/>
                <w:kern w:val="0"/>
                <w:sz w:val="24"/>
                <w:szCs w:val="22"/>
              </w:rPr>
              <w:t>根据项目建设内容及《环境影响评价技术导则—声环境》（HJ2.4-2021）的要求，项目环评采用的模型为《环境影响评价技术导则 声环境》（HJ2.4.2021）附录A（规范性附录）户外声传播的衰减和附录B（规范性附录）中“B.1工业噪声预测计算模型”。具体预测公式如下：</w:t>
            </w:r>
          </w:p>
          <w:p>
            <w:pPr>
              <w:widowControl/>
              <w:ind w:firstLine="480"/>
              <w:jc w:val="left"/>
              <w:rPr>
                <w:rFonts w:cs="Times New Roman"/>
                <w:bCs/>
              </w:rPr>
            </w:pPr>
            <w:r>
              <w:rPr>
                <w:rFonts w:cs="Times New Roman"/>
                <w:bCs/>
              </w:rPr>
              <w:t>对室内噪声源采用室内声源噪声模式并换算成等效的室外声源：</w:t>
            </w:r>
          </w:p>
          <w:p>
            <w:pPr>
              <w:widowControl/>
              <w:ind w:left="420" w:firstLine="480"/>
              <w:rPr>
                <w:rFonts w:cs="Times New Roman"/>
                <w:bCs/>
                <w:szCs w:val="21"/>
              </w:rPr>
            </w:pPr>
            <w:r>
              <w:rPr>
                <w:rFonts w:hint="eastAsia" w:cs="Times New Roman"/>
                <w:szCs w:val="21"/>
              </w:rPr>
              <w:t xml:space="preserve">                 </w:t>
            </w:r>
            <w:r>
              <w:rPr>
                <w:rFonts w:cs="Times New Roman"/>
                <w:szCs w:val="21"/>
              </w:rPr>
              <w:drawing>
                <wp:inline distT="0" distB="0" distL="0" distR="0">
                  <wp:extent cx="1590675" cy="390525"/>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90675" cy="390525"/>
                          </a:xfrm>
                          <a:prstGeom prst="rect">
                            <a:avLst/>
                          </a:prstGeom>
                          <a:noFill/>
                          <a:ln>
                            <a:noFill/>
                          </a:ln>
                        </pic:spPr>
                      </pic:pic>
                    </a:graphicData>
                  </a:graphic>
                </wp:inline>
              </w:drawing>
            </w:r>
          </w:p>
          <w:p>
            <w:pPr>
              <w:widowControl/>
              <w:ind w:firstLine="240" w:firstLineChars="100"/>
              <w:jc w:val="center"/>
              <w:rPr>
                <w:rFonts w:cs="Times New Roman"/>
                <w:bCs/>
                <w:szCs w:val="21"/>
              </w:rPr>
            </w:pPr>
            <w:r>
              <w:rPr>
                <w:rFonts w:cs="Times New Roman"/>
                <w:szCs w:val="21"/>
              </w:rPr>
              <w:drawing>
                <wp:inline distT="0" distB="0" distL="0" distR="0">
                  <wp:extent cx="1638300" cy="228600"/>
                  <wp:effectExtent l="0" t="0" r="762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38300" cy="228600"/>
                          </a:xfrm>
                          <a:prstGeom prst="rect">
                            <a:avLst/>
                          </a:prstGeom>
                          <a:noFill/>
                          <a:ln>
                            <a:noFill/>
                          </a:ln>
                        </pic:spPr>
                      </pic:pic>
                    </a:graphicData>
                  </a:graphic>
                </wp:inline>
              </w:drawing>
            </w:r>
          </w:p>
          <w:p>
            <w:pPr>
              <w:widowControl/>
              <w:ind w:firstLine="480"/>
              <w:jc w:val="left"/>
              <w:rPr>
                <w:rFonts w:cs="Times New Roman"/>
                <w:bCs/>
              </w:rPr>
            </w:pPr>
            <w:r>
              <w:rPr>
                <w:rFonts w:cs="Times New Roman"/>
                <w:bCs/>
              </w:rPr>
              <w:t>式中：Ln——室内靠近围护结构处产生的声压级，dB；</w:t>
            </w:r>
          </w:p>
          <w:p>
            <w:pPr>
              <w:widowControl/>
              <w:ind w:firstLine="1200" w:firstLineChars="500"/>
              <w:jc w:val="left"/>
              <w:rPr>
                <w:rFonts w:cs="Times New Roman"/>
                <w:bCs/>
              </w:rPr>
            </w:pPr>
            <w:r>
              <w:rPr>
                <w:rFonts w:cs="Times New Roman"/>
                <w:bCs/>
              </w:rPr>
              <w:t>L</w:t>
            </w:r>
            <w:r>
              <w:rPr>
                <w:rFonts w:cs="Times New Roman"/>
                <w:bCs/>
                <w:vertAlign w:val="subscript"/>
              </w:rPr>
              <w:t>W</w:t>
            </w:r>
            <w:r>
              <w:rPr>
                <w:rFonts w:cs="Times New Roman"/>
                <w:bCs/>
              </w:rPr>
              <w:t>——室外靠近围护结构处产生的声压级，dB；</w:t>
            </w:r>
          </w:p>
          <w:p>
            <w:pPr>
              <w:widowControl/>
              <w:ind w:firstLine="1200" w:firstLineChars="500"/>
              <w:jc w:val="left"/>
              <w:rPr>
                <w:rFonts w:cs="Times New Roman"/>
                <w:bCs/>
              </w:rPr>
            </w:pPr>
            <w:r>
              <w:rPr>
                <w:rFonts w:cs="Times New Roman"/>
                <w:bCs/>
              </w:rPr>
              <w:t>Le——声源的声压级，dB</w:t>
            </w:r>
          </w:p>
          <w:p>
            <w:pPr>
              <w:widowControl/>
              <w:ind w:firstLine="1200" w:firstLineChars="500"/>
              <w:jc w:val="left"/>
              <w:rPr>
                <w:rFonts w:cs="Times New Roman"/>
                <w:bCs/>
              </w:rPr>
            </w:pPr>
            <w:r>
              <w:rPr>
                <w:rFonts w:cs="Times New Roman"/>
                <w:bCs/>
              </w:rPr>
              <w:t>r——声源与室内靠近围护结构处的距离，m；</w:t>
            </w:r>
          </w:p>
          <w:p>
            <w:pPr>
              <w:widowControl/>
              <w:ind w:firstLine="1200" w:firstLineChars="500"/>
              <w:jc w:val="left"/>
              <w:rPr>
                <w:rFonts w:cs="Times New Roman"/>
                <w:bCs/>
              </w:rPr>
            </w:pPr>
            <w:r>
              <w:rPr>
                <w:rFonts w:cs="Times New Roman"/>
                <w:bCs/>
              </w:rPr>
              <w:t>R——房间常数，m</w:t>
            </w:r>
            <w:r>
              <w:rPr>
                <w:rFonts w:cs="Times New Roman"/>
                <w:bCs/>
                <w:vertAlign w:val="superscript"/>
              </w:rPr>
              <w:t>2</w:t>
            </w:r>
            <w:r>
              <w:rPr>
                <w:rFonts w:cs="Times New Roman"/>
                <w:bCs/>
              </w:rPr>
              <w:t>；</w:t>
            </w:r>
          </w:p>
          <w:p>
            <w:pPr>
              <w:widowControl/>
              <w:ind w:firstLine="1200" w:firstLineChars="500"/>
              <w:jc w:val="left"/>
              <w:rPr>
                <w:rFonts w:cs="Times New Roman"/>
                <w:bCs/>
              </w:rPr>
            </w:pPr>
            <w:r>
              <w:rPr>
                <w:rFonts w:cs="Times New Roman"/>
                <w:bCs/>
              </w:rPr>
              <w:t>Q——方向性因子；</w:t>
            </w:r>
          </w:p>
          <w:p>
            <w:pPr>
              <w:widowControl/>
              <w:ind w:firstLine="1200" w:firstLineChars="500"/>
              <w:jc w:val="left"/>
              <w:rPr>
                <w:rFonts w:cs="Times New Roman"/>
                <w:bCs/>
              </w:rPr>
            </w:pPr>
            <w:r>
              <w:rPr>
                <w:rFonts w:cs="Times New Roman"/>
                <w:bCs/>
              </w:rPr>
              <w:t>TL——围护结构的传输损失，dB；</w:t>
            </w:r>
          </w:p>
          <w:p>
            <w:pPr>
              <w:widowControl/>
              <w:ind w:firstLine="1200" w:firstLineChars="500"/>
              <w:jc w:val="left"/>
              <w:rPr>
                <w:rFonts w:cs="Times New Roman"/>
                <w:snapToGrid w:val="0"/>
                <w:kern w:val="0"/>
              </w:rPr>
            </w:pPr>
            <w:r>
              <w:rPr>
                <w:rFonts w:cs="Times New Roman"/>
                <w:bCs/>
              </w:rPr>
              <w:t>S—</w:t>
            </w:r>
            <w:r>
              <w:rPr>
                <w:rFonts w:cs="Times New Roman"/>
                <w:snapToGrid w:val="0"/>
                <w:kern w:val="0"/>
              </w:rPr>
              <w:t>—透声面积，m</w:t>
            </w:r>
            <w:r>
              <w:rPr>
                <w:rFonts w:cs="Times New Roman"/>
                <w:snapToGrid w:val="0"/>
                <w:kern w:val="0"/>
                <w:vertAlign w:val="superscript"/>
              </w:rPr>
              <w:t>2</w:t>
            </w:r>
          </w:p>
          <w:p>
            <w:pPr>
              <w:ind w:firstLine="480"/>
              <w:rPr>
                <w:rFonts w:cs="Times New Roman"/>
                <w:snapToGrid w:val="0"/>
                <w:kern w:val="0"/>
              </w:rPr>
            </w:pPr>
            <w:r>
              <w:rPr>
                <w:rFonts w:cs="Times New Roman"/>
                <w:snapToGrid w:val="0"/>
                <w:kern w:val="0"/>
              </w:rPr>
              <w:t>对两个以上多个声源同时存在时，其预测点总声压级采用下面公式：</w:t>
            </w:r>
          </w:p>
          <w:p>
            <w:pPr>
              <w:ind w:firstLine="480"/>
              <w:jc w:val="center"/>
              <w:rPr>
                <w:rFonts w:cs="Times New Roman"/>
                <w:snapToGrid w:val="0"/>
                <w:kern w:val="0"/>
              </w:rPr>
            </w:pPr>
            <w:r>
              <w:rPr>
                <w:rFonts w:cs="Times New Roman"/>
                <w:snapToGrid w:val="0"/>
                <w:kern w:val="0"/>
              </w:rPr>
              <w:t>L</w:t>
            </w:r>
            <w:r>
              <w:rPr>
                <w:rFonts w:cs="Times New Roman"/>
                <w:snapToGrid w:val="0"/>
                <w:kern w:val="0"/>
                <w:vertAlign w:val="subscript"/>
              </w:rPr>
              <w:t>eq</w:t>
            </w:r>
            <w:r>
              <w:rPr>
                <w:rFonts w:cs="Times New Roman"/>
                <w:snapToGrid w:val="0"/>
                <w:kern w:val="0"/>
              </w:rPr>
              <w:t>=10lg</w:t>
            </w:r>
            <w:r>
              <w:rPr>
                <w:rFonts w:hint="eastAsia" w:cs="Times New Roman"/>
                <w:snapToGrid w:val="0"/>
                <w:kern w:val="0"/>
              </w:rPr>
              <w:t>（</w:t>
            </w:r>
            <w:r>
              <w:rPr>
                <w:rFonts w:cs="Times New Roman"/>
                <w:snapToGrid w:val="0"/>
                <w:kern w:val="0"/>
              </w:rPr>
              <w:t>100.1Li</w:t>
            </w:r>
            <w:r>
              <w:rPr>
                <w:rFonts w:hint="eastAsia" w:cs="Times New Roman"/>
                <w:snapToGrid w:val="0"/>
                <w:kern w:val="0"/>
              </w:rPr>
              <w:t>）</w:t>
            </w:r>
          </w:p>
          <w:p>
            <w:pPr>
              <w:ind w:firstLine="480"/>
              <w:rPr>
                <w:rFonts w:cs="Times New Roman"/>
                <w:snapToGrid w:val="0"/>
                <w:kern w:val="0"/>
              </w:rPr>
            </w:pPr>
            <w:r>
              <w:rPr>
                <w:rFonts w:cs="Times New Roman"/>
                <w:snapToGrid w:val="0"/>
                <w:kern w:val="0"/>
              </w:rPr>
              <w:t>式中：L</w:t>
            </w:r>
            <w:r>
              <w:rPr>
                <w:rFonts w:cs="Times New Roman"/>
                <w:snapToGrid w:val="0"/>
                <w:kern w:val="0"/>
                <w:vertAlign w:val="subscript"/>
              </w:rPr>
              <w:t>eq</w:t>
            </w:r>
            <w:r>
              <w:rPr>
                <w:rFonts w:cs="Times New Roman"/>
                <w:snapToGrid w:val="0"/>
                <w:kern w:val="0"/>
              </w:rPr>
              <w:t>-----预测点的总等效声级，dB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pPr>
              <w:ind w:firstLine="1200" w:firstLineChars="500"/>
              <w:rPr>
                <w:rFonts w:cs="Times New Roman"/>
                <w:snapToGrid w:val="0"/>
                <w:kern w:val="0"/>
              </w:rPr>
            </w:pPr>
            <w:r>
              <w:rPr>
                <w:rFonts w:cs="Times New Roman"/>
                <w:snapToGrid w:val="0"/>
                <w:kern w:val="0"/>
              </w:rPr>
              <w:t>Li-----第i个声源对预测点的声级影响，dB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（3）执行标准</w:t>
            </w:r>
          </w:p>
          <w:p>
            <w:pPr>
              <w:pStyle w:val="20"/>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厂界处噪声执行《工业企业厂界环境噪声排放标准》</w:t>
            </w:r>
            <w:r>
              <w:rPr>
                <w:rFonts w:hint="eastAsia" w:ascii="Times New Roman" w:hAnsi="Times New Roman"/>
                <w:kern w:val="2"/>
                <w:lang w:bidi="ar"/>
              </w:rPr>
              <w:t>（</w:t>
            </w:r>
            <w:r>
              <w:rPr>
                <w:rFonts w:ascii="Times New Roman" w:hAnsi="Times New Roman"/>
                <w:kern w:val="2"/>
                <w:lang w:bidi="ar"/>
              </w:rPr>
              <w:t>GB12348-2008</w:t>
            </w:r>
            <w:r>
              <w:rPr>
                <w:rFonts w:hint="eastAsia" w:ascii="Times New Roman" w:hAnsi="Times New Roman"/>
                <w:kern w:val="2"/>
                <w:lang w:bidi="ar"/>
              </w:rPr>
              <w:t>）</w:t>
            </w:r>
            <w:r>
              <w:rPr>
                <w:rFonts w:ascii="Times New Roman" w:hAnsi="Times New Roman"/>
                <w:kern w:val="2"/>
                <w:lang w:bidi="ar"/>
              </w:rPr>
              <w:t>中2类标准。</w:t>
            </w:r>
          </w:p>
          <w:p>
            <w:pPr>
              <w:pStyle w:val="20"/>
              <w:widowControl w:val="0"/>
              <w:spacing w:before="0" w:beforeAutospacing="0" w:after="0" w:afterAutospacing="0" w:line="360" w:lineRule="auto"/>
              <w:ind w:firstLine="480" w:firstLineChars="200"/>
              <w:jc w:val="both"/>
              <w:rPr>
                <w:rFonts w:ascii="Times New Roman" w:hAnsi="Times New Roman" w:cstheme="minorBidi"/>
                <w:snapToGrid w:val="0"/>
                <w:szCs w:val="22"/>
              </w:rPr>
            </w:pPr>
            <w:r>
              <w:rPr>
                <w:rFonts w:hint="eastAsia" w:ascii="Times New Roman" w:hAnsi="Times New Roman" w:cstheme="minorBidi"/>
                <w:snapToGrid w:val="0"/>
                <w:szCs w:val="22"/>
              </w:rPr>
              <w:t>（4）预测结果</w:t>
            </w:r>
          </w:p>
          <w:p>
            <w:pPr>
              <w:pStyle w:val="15"/>
              <w:spacing w:line="360" w:lineRule="auto"/>
              <w:ind w:firstLine="480"/>
              <w:jc w:val="both"/>
              <w:rPr>
                <w:sz w:val="24"/>
                <w:szCs w:val="24"/>
                <w:lang w:bidi="ar"/>
              </w:rPr>
            </w:pPr>
            <w:r>
              <w:rPr>
                <w:rFonts w:hint="eastAsia"/>
                <w:snapToGrid w:val="0"/>
                <w:kern w:val="0"/>
                <w:sz w:val="24"/>
                <w:szCs w:val="22"/>
              </w:rPr>
              <w:t>项目设备主要安装在室内，本评价以室内设备噪声源进行预测，隔声较好，项目噪声预测结果见表4-5。</w:t>
            </w:r>
          </w:p>
          <w:p>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表4-5  厂界噪声预测结果与达标分析表</w:t>
            </w:r>
            <w:bookmarkStart w:id="12" w:name="PT_7"/>
          </w:p>
          <w:tbl>
            <w:tblPr>
              <w:tblStyle w:val="25"/>
              <w:tblW w:w="85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02"/>
              <w:gridCol w:w="803"/>
              <w:gridCol w:w="803"/>
              <w:gridCol w:w="992"/>
              <w:gridCol w:w="1417"/>
              <w:gridCol w:w="1418"/>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10" w:hRule="exact"/>
                <w:jc w:val="center"/>
              </w:trPr>
              <w:tc>
                <w:tcPr>
                  <w:tcW w:w="1099" w:type="dxa"/>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预测方位</w:t>
                  </w:r>
                </w:p>
              </w:tc>
              <w:tc>
                <w:tcPr>
                  <w:tcW w:w="2408" w:type="dxa"/>
                  <w:gridSpan w:val="3"/>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最大值点空间相对位置</w:t>
                  </w:r>
                  <w:r>
                    <w:rPr>
                      <w:rFonts w:cs="Times New Roman"/>
                      <w:sz w:val="21"/>
                      <w:szCs w:val="21"/>
                    </w:rPr>
                    <w:t>/m</w:t>
                  </w:r>
                </w:p>
              </w:tc>
              <w:tc>
                <w:tcPr>
                  <w:tcW w:w="992" w:type="dxa"/>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时段</w:t>
                  </w:r>
                </w:p>
              </w:tc>
              <w:tc>
                <w:tcPr>
                  <w:tcW w:w="1417" w:type="dxa"/>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贡献值</w:t>
                  </w:r>
                </w:p>
                <w:p>
                  <w:pPr>
                    <w:widowControl/>
                    <w:spacing w:line="240" w:lineRule="auto"/>
                    <w:ind w:firstLine="0" w:firstLineChars="0"/>
                    <w:jc w:val="center"/>
                    <w:textAlignment w:val="auto"/>
                    <w:rPr>
                      <w:rFonts w:cs="Times New Roman"/>
                      <w:sz w:val="21"/>
                      <w:szCs w:val="21"/>
                    </w:rPr>
                  </w:pPr>
                  <w:r>
                    <w:rPr>
                      <w:rFonts w:cs="Times New Roman"/>
                      <w:sz w:val="21"/>
                      <w:szCs w:val="21"/>
                    </w:rPr>
                    <w:t>dB</w:t>
                  </w:r>
                  <w:r>
                    <w:rPr>
                      <w:rFonts w:hint="eastAsia" w:cs="Times New Roman"/>
                      <w:sz w:val="21"/>
                      <w:szCs w:val="21"/>
                    </w:rPr>
                    <w:t>（</w:t>
                  </w:r>
                  <w:r>
                    <w:rPr>
                      <w:rFonts w:cs="Times New Roman"/>
                      <w:sz w:val="21"/>
                      <w:szCs w:val="21"/>
                    </w:rPr>
                    <w:t>A</w:t>
                  </w:r>
                  <w:r>
                    <w:rPr>
                      <w:rFonts w:hint="eastAsia" w:cs="Times New Roman"/>
                      <w:sz w:val="21"/>
                      <w:szCs w:val="21"/>
                    </w:rPr>
                    <w:t>）</w:t>
                  </w:r>
                </w:p>
              </w:tc>
              <w:tc>
                <w:tcPr>
                  <w:tcW w:w="1418" w:type="dxa"/>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标准限值</w:t>
                  </w:r>
                </w:p>
                <w:p>
                  <w:pPr>
                    <w:widowControl/>
                    <w:spacing w:line="240" w:lineRule="auto"/>
                    <w:ind w:firstLine="0" w:firstLineChars="0"/>
                    <w:jc w:val="center"/>
                    <w:textAlignment w:val="auto"/>
                    <w:rPr>
                      <w:rFonts w:cs="Times New Roman"/>
                      <w:sz w:val="21"/>
                      <w:szCs w:val="21"/>
                    </w:rPr>
                  </w:pPr>
                  <w:r>
                    <w:rPr>
                      <w:rFonts w:cs="Times New Roman"/>
                      <w:sz w:val="21"/>
                      <w:szCs w:val="21"/>
                    </w:rPr>
                    <w:t>dB</w:t>
                  </w:r>
                  <w:r>
                    <w:rPr>
                      <w:rFonts w:hint="eastAsia" w:cs="Times New Roman"/>
                      <w:sz w:val="21"/>
                      <w:szCs w:val="21"/>
                    </w:rPr>
                    <w:t>（</w:t>
                  </w:r>
                  <w:r>
                    <w:rPr>
                      <w:rFonts w:cs="Times New Roman"/>
                      <w:sz w:val="21"/>
                      <w:szCs w:val="21"/>
                    </w:rPr>
                    <w:t>A</w:t>
                  </w:r>
                  <w:r>
                    <w:rPr>
                      <w:rFonts w:hint="eastAsia" w:cs="Times New Roman"/>
                      <w:sz w:val="21"/>
                      <w:szCs w:val="21"/>
                    </w:rPr>
                    <w:t>）</w:t>
                  </w:r>
                </w:p>
              </w:tc>
              <w:tc>
                <w:tcPr>
                  <w:tcW w:w="1187" w:type="dxa"/>
                  <w:vMerge w:val="restart"/>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99" w:type="dxa"/>
                  <w:vMerge w:val="continue"/>
                  <w:vAlign w:val="center"/>
                </w:tcPr>
                <w:p>
                  <w:pPr>
                    <w:widowControl/>
                    <w:spacing w:line="240" w:lineRule="auto"/>
                    <w:ind w:firstLine="0" w:firstLineChars="0"/>
                    <w:jc w:val="center"/>
                    <w:textAlignment w:val="auto"/>
                    <w:rPr>
                      <w:rFonts w:cs="Times New Roman"/>
                      <w:sz w:val="21"/>
                      <w:szCs w:val="21"/>
                    </w:rPr>
                  </w:pPr>
                </w:p>
              </w:tc>
              <w:tc>
                <w:tcPr>
                  <w:tcW w:w="802"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X</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Y</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Z</w:t>
                  </w:r>
                </w:p>
              </w:tc>
              <w:tc>
                <w:tcPr>
                  <w:tcW w:w="992" w:type="dxa"/>
                  <w:vMerge w:val="continue"/>
                  <w:vAlign w:val="center"/>
                </w:tcPr>
                <w:p>
                  <w:pPr>
                    <w:widowControl/>
                    <w:spacing w:line="240" w:lineRule="auto"/>
                    <w:ind w:firstLine="0" w:firstLineChars="0"/>
                    <w:jc w:val="center"/>
                    <w:textAlignment w:val="auto"/>
                    <w:rPr>
                      <w:rFonts w:cs="Times New Roman"/>
                      <w:sz w:val="21"/>
                      <w:szCs w:val="21"/>
                    </w:rPr>
                  </w:pPr>
                </w:p>
              </w:tc>
              <w:tc>
                <w:tcPr>
                  <w:tcW w:w="1417" w:type="dxa"/>
                  <w:vMerge w:val="continue"/>
                  <w:vAlign w:val="center"/>
                </w:tcPr>
                <w:p>
                  <w:pPr>
                    <w:widowControl/>
                    <w:spacing w:line="240" w:lineRule="auto"/>
                    <w:ind w:firstLine="0" w:firstLineChars="0"/>
                    <w:jc w:val="center"/>
                    <w:textAlignment w:val="auto"/>
                    <w:rPr>
                      <w:rFonts w:cs="Times New Roman"/>
                      <w:sz w:val="21"/>
                      <w:szCs w:val="21"/>
                    </w:rPr>
                  </w:pPr>
                </w:p>
              </w:tc>
              <w:tc>
                <w:tcPr>
                  <w:tcW w:w="1418" w:type="dxa"/>
                  <w:vMerge w:val="continue"/>
                  <w:vAlign w:val="center"/>
                </w:tcPr>
                <w:p>
                  <w:pPr>
                    <w:widowControl/>
                    <w:spacing w:line="240" w:lineRule="auto"/>
                    <w:ind w:firstLine="0" w:firstLineChars="0"/>
                    <w:jc w:val="center"/>
                    <w:textAlignment w:val="auto"/>
                    <w:rPr>
                      <w:rFonts w:cs="Times New Roman"/>
                      <w:sz w:val="21"/>
                      <w:szCs w:val="21"/>
                    </w:rPr>
                  </w:pPr>
                </w:p>
              </w:tc>
              <w:tc>
                <w:tcPr>
                  <w:tcW w:w="1187" w:type="dxa"/>
                  <w:vMerge w:val="continue"/>
                  <w:vAlign w:val="center"/>
                </w:tcPr>
                <w:p>
                  <w:pPr>
                    <w:widowControl/>
                    <w:spacing w:line="240" w:lineRule="auto"/>
                    <w:ind w:firstLine="0" w:firstLineChars="0"/>
                    <w:jc w:val="center"/>
                    <w:textAlignment w:val="auto"/>
                    <w:rPr>
                      <w:rFonts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restart"/>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东侧</w:t>
                  </w:r>
                </w:p>
              </w:tc>
              <w:tc>
                <w:tcPr>
                  <w:tcW w:w="80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52.6</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-4.5</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昼间</w:t>
                  </w:r>
                </w:p>
              </w:tc>
              <w:tc>
                <w:tcPr>
                  <w:tcW w:w="141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29.5</w:t>
                  </w:r>
                </w:p>
              </w:tc>
              <w:tc>
                <w:tcPr>
                  <w:tcW w:w="1418"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60</w:t>
                  </w:r>
                </w:p>
              </w:tc>
              <w:tc>
                <w:tcPr>
                  <w:tcW w:w="118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continue"/>
                  <w:vAlign w:val="center"/>
                </w:tcPr>
                <w:p>
                  <w:pPr>
                    <w:widowControl/>
                    <w:spacing w:line="240" w:lineRule="auto"/>
                    <w:ind w:firstLine="0" w:firstLineChars="0"/>
                    <w:jc w:val="center"/>
                    <w:textAlignment w:val="auto"/>
                    <w:rPr>
                      <w:rFonts w:cs="Times New Roman"/>
                      <w:sz w:val="21"/>
                      <w:szCs w:val="21"/>
                    </w:rPr>
                  </w:pPr>
                </w:p>
              </w:tc>
              <w:tc>
                <w:tcPr>
                  <w:tcW w:w="802"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52.6</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-4.5</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夜间</w:t>
                  </w:r>
                </w:p>
              </w:tc>
              <w:tc>
                <w:tcPr>
                  <w:tcW w:w="1417"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29.5</w:t>
                  </w:r>
                </w:p>
              </w:tc>
              <w:tc>
                <w:tcPr>
                  <w:tcW w:w="1418"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50</w:t>
                  </w:r>
                </w:p>
              </w:tc>
              <w:tc>
                <w:tcPr>
                  <w:tcW w:w="1187"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restart"/>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南侧</w:t>
                  </w:r>
                </w:p>
              </w:tc>
              <w:tc>
                <w:tcPr>
                  <w:tcW w:w="80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-36.6</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-26.8</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昼间</w:t>
                  </w:r>
                </w:p>
              </w:tc>
              <w:tc>
                <w:tcPr>
                  <w:tcW w:w="141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41.4</w:t>
                  </w:r>
                </w:p>
              </w:tc>
              <w:tc>
                <w:tcPr>
                  <w:tcW w:w="1418"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60</w:t>
                  </w:r>
                </w:p>
              </w:tc>
              <w:tc>
                <w:tcPr>
                  <w:tcW w:w="118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continue"/>
                  <w:vAlign w:val="center"/>
                </w:tcPr>
                <w:p>
                  <w:pPr>
                    <w:widowControl/>
                    <w:spacing w:line="240" w:lineRule="auto"/>
                    <w:ind w:firstLine="0" w:firstLineChars="0"/>
                    <w:jc w:val="center"/>
                    <w:textAlignment w:val="auto"/>
                    <w:rPr>
                      <w:rFonts w:cs="Times New Roman"/>
                      <w:sz w:val="21"/>
                      <w:szCs w:val="21"/>
                    </w:rPr>
                  </w:pPr>
                </w:p>
              </w:tc>
              <w:tc>
                <w:tcPr>
                  <w:tcW w:w="802"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-36.6</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-26.8</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夜间</w:t>
                  </w:r>
                </w:p>
              </w:tc>
              <w:tc>
                <w:tcPr>
                  <w:tcW w:w="1417"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41.4</w:t>
                  </w:r>
                </w:p>
              </w:tc>
              <w:tc>
                <w:tcPr>
                  <w:tcW w:w="1418"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50</w:t>
                  </w:r>
                </w:p>
              </w:tc>
              <w:tc>
                <w:tcPr>
                  <w:tcW w:w="1187"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restart"/>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西侧</w:t>
                  </w:r>
                </w:p>
              </w:tc>
              <w:tc>
                <w:tcPr>
                  <w:tcW w:w="80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-19.1</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-8.8</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昼间</w:t>
                  </w:r>
                </w:p>
              </w:tc>
              <w:tc>
                <w:tcPr>
                  <w:tcW w:w="141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41.9</w:t>
                  </w:r>
                </w:p>
              </w:tc>
              <w:tc>
                <w:tcPr>
                  <w:tcW w:w="1418"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60</w:t>
                  </w:r>
                </w:p>
              </w:tc>
              <w:tc>
                <w:tcPr>
                  <w:tcW w:w="118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continue"/>
                  <w:vAlign w:val="center"/>
                </w:tcPr>
                <w:p>
                  <w:pPr>
                    <w:widowControl/>
                    <w:spacing w:line="240" w:lineRule="auto"/>
                    <w:ind w:firstLine="0" w:firstLineChars="0"/>
                    <w:jc w:val="center"/>
                    <w:textAlignment w:val="auto"/>
                    <w:rPr>
                      <w:rFonts w:cs="Times New Roman"/>
                      <w:sz w:val="21"/>
                      <w:szCs w:val="21"/>
                    </w:rPr>
                  </w:pPr>
                </w:p>
              </w:tc>
              <w:tc>
                <w:tcPr>
                  <w:tcW w:w="802"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-19.1</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-8.8</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夜间</w:t>
                  </w:r>
                </w:p>
              </w:tc>
              <w:tc>
                <w:tcPr>
                  <w:tcW w:w="1417"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41.9</w:t>
                  </w:r>
                </w:p>
              </w:tc>
              <w:tc>
                <w:tcPr>
                  <w:tcW w:w="1418"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50</w:t>
                  </w:r>
                </w:p>
              </w:tc>
              <w:tc>
                <w:tcPr>
                  <w:tcW w:w="1187"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restart"/>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北侧</w:t>
                  </w:r>
                </w:p>
              </w:tc>
              <w:tc>
                <w:tcPr>
                  <w:tcW w:w="80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0.3</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0.1</w:t>
                  </w:r>
                </w:p>
              </w:tc>
              <w:tc>
                <w:tcPr>
                  <w:tcW w:w="803"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昼间</w:t>
                  </w:r>
                </w:p>
              </w:tc>
              <w:tc>
                <w:tcPr>
                  <w:tcW w:w="141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38.9</w:t>
                  </w:r>
                </w:p>
              </w:tc>
              <w:tc>
                <w:tcPr>
                  <w:tcW w:w="1418"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cs="Times New Roman"/>
                      <w:sz w:val="21"/>
                      <w:szCs w:val="21"/>
                    </w:rPr>
                    <w:t>60</w:t>
                  </w:r>
                </w:p>
              </w:tc>
              <w:tc>
                <w:tcPr>
                  <w:tcW w:w="1187" w:type="dxa"/>
                  <w:shd w:val="clear" w:color="auto" w:fill="FFFFFF"/>
                  <w:vAlign w:val="center"/>
                </w:tcPr>
                <w:p>
                  <w:pPr>
                    <w:widowControl/>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exact"/>
                <w:jc w:val="center"/>
              </w:trPr>
              <w:tc>
                <w:tcPr>
                  <w:tcW w:w="1099" w:type="dxa"/>
                  <w:vMerge w:val="continue"/>
                  <w:vAlign w:val="center"/>
                </w:tcPr>
                <w:p>
                  <w:pPr>
                    <w:widowControl/>
                    <w:spacing w:line="240" w:lineRule="auto"/>
                    <w:ind w:firstLine="0" w:firstLineChars="0"/>
                    <w:jc w:val="center"/>
                    <w:textAlignment w:val="auto"/>
                    <w:rPr>
                      <w:rFonts w:cs="Times New Roman"/>
                      <w:sz w:val="21"/>
                      <w:szCs w:val="21"/>
                    </w:rPr>
                  </w:pPr>
                </w:p>
              </w:tc>
              <w:tc>
                <w:tcPr>
                  <w:tcW w:w="802"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0.3</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0.1</w:t>
                  </w:r>
                </w:p>
              </w:tc>
              <w:tc>
                <w:tcPr>
                  <w:tcW w:w="803"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1.2</w:t>
                  </w:r>
                </w:p>
              </w:tc>
              <w:tc>
                <w:tcPr>
                  <w:tcW w:w="992"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夜间</w:t>
                  </w:r>
                </w:p>
              </w:tc>
              <w:tc>
                <w:tcPr>
                  <w:tcW w:w="1417"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38.9</w:t>
                  </w:r>
                </w:p>
              </w:tc>
              <w:tc>
                <w:tcPr>
                  <w:tcW w:w="1418" w:type="dxa"/>
                  <w:shd w:val="clear" w:color="auto" w:fill="FFFFFF"/>
                  <w:vAlign w:val="center"/>
                </w:tcPr>
                <w:p>
                  <w:pPr>
                    <w:spacing w:line="240" w:lineRule="auto"/>
                    <w:ind w:firstLine="0" w:firstLineChars="0"/>
                    <w:jc w:val="center"/>
                    <w:textAlignment w:val="auto"/>
                    <w:rPr>
                      <w:rFonts w:cs="Times New Roman"/>
                      <w:sz w:val="21"/>
                      <w:szCs w:val="21"/>
                    </w:rPr>
                  </w:pPr>
                  <w:r>
                    <w:rPr>
                      <w:rFonts w:cs="Times New Roman"/>
                      <w:sz w:val="21"/>
                      <w:szCs w:val="21"/>
                    </w:rPr>
                    <w:t>50</w:t>
                  </w:r>
                </w:p>
              </w:tc>
              <w:tc>
                <w:tcPr>
                  <w:tcW w:w="1187" w:type="dxa"/>
                  <w:shd w:val="clear" w:color="auto" w:fill="FFFFFF"/>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03" w:hRule="exact"/>
                <w:jc w:val="center"/>
              </w:trPr>
              <w:tc>
                <w:tcPr>
                  <w:tcW w:w="8521" w:type="dxa"/>
                  <w:gridSpan w:val="8"/>
                  <w:vAlign w:val="center"/>
                </w:tcPr>
                <w:p>
                  <w:pPr>
                    <w:spacing w:line="240" w:lineRule="auto"/>
                    <w:ind w:firstLine="0" w:firstLineChars="0"/>
                    <w:rPr>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表中坐标以厂界中心（</w:t>
                  </w:r>
                  <w:bookmarkStart w:id="13" w:name="PO_7"/>
                  <w:r>
                    <w:rPr>
                      <w:color w:val="000000" w:themeColor="text1"/>
                      <w:sz w:val="21"/>
                      <w:szCs w:val="20"/>
                      <w14:textFill>
                        <w14:solidFill>
                          <w14:schemeClr w14:val="tx1"/>
                        </w14:solidFill>
                      </w14:textFill>
                    </w:rPr>
                    <w:t>86.0935822,41.631382</w:t>
                  </w:r>
                  <w:bookmarkEnd w:id="13"/>
                  <w:r>
                    <w:rPr>
                      <w:rFonts w:hint="eastAsia"/>
                      <w:color w:val="000000" w:themeColor="text1"/>
                      <w:sz w:val="21"/>
                      <w:szCs w:val="20"/>
                      <w14:textFill>
                        <w14:solidFill>
                          <w14:schemeClr w14:val="tx1"/>
                        </w14:solidFill>
                      </w14:textFill>
                    </w:rPr>
                    <w:t>）为坐标原点，正东向为</w:t>
                  </w:r>
                  <w:r>
                    <w:rPr>
                      <w:color w:val="000000" w:themeColor="text1"/>
                      <w:sz w:val="21"/>
                      <w:szCs w:val="20"/>
                      <w14:textFill>
                        <w14:solidFill>
                          <w14:schemeClr w14:val="tx1"/>
                        </w14:solidFill>
                      </w14:textFill>
                    </w:rPr>
                    <w:t>X</w:t>
                  </w:r>
                  <w:r>
                    <w:rPr>
                      <w:rFonts w:hint="eastAsia"/>
                      <w:color w:val="000000" w:themeColor="text1"/>
                      <w:sz w:val="21"/>
                      <w:szCs w:val="20"/>
                      <w14:textFill>
                        <w14:solidFill>
                          <w14:schemeClr w14:val="tx1"/>
                        </w14:solidFill>
                      </w14:textFill>
                    </w:rPr>
                    <w:t>轴正方向，正北向为</w:t>
                  </w:r>
                  <w:r>
                    <w:rPr>
                      <w:color w:val="000000" w:themeColor="text1"/>
                      <w:sz w:val="21"/>
                      <w:szCs w:val="20"/>
                      <w14:textFill>
                        <w14:solidFill>
                          <w14:schemeClr w14:val="tx1"/>
                        </w14:solidFill>
                      </w14:textFill>
                    </w:rPr>
                    <w:t>Y</w:t>
                  </w:r>
                  <w:r>
                    <w:rPr>
                      <w:rFonts w:hint="eastAsia"/>
                      <w:color w:val="000000" w:themeColor="text1"/>
                      <w:sz w:val="21"/>
                      <w:szCs w:val="20"/>
                      <w14:textFill>
                        <w14:solidFill>
                          <w14:schemeClr w14:val="tx1"/>
                        </w14:solidFill>
                      </w14:textFill>
                    </w:rPr>
                    <w:t>轴正方向</w:t>
                  </w:r>
                </w:p>
              </w:tc>
            </w:tr>
            <w:bookmarkEnd w:id="12"/>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根据上表可知，本项目设备噪声在距离衰减情况下，四周厂界可满足《工业企业厂界环境噪声排放标准》（</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类标准。本项目产生的噪声经治理后对厂区周边声环境影响较小。为了进一步减少运营期噪声对外环境的干扰，主要噪声防治措施如下：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①本项目主要噪声设备布置集中，可通过距离消减有效降低厂界的噪声。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②加强文明生产管理，减小原材料装卸作业的撞击声及人为噪声。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③严格禁止运输车辆超载。</w:t>
            </w:r>
          </w:p>
          <w:p>
            <w:pPr>
              <w:spacing w:line="440" w:lineRule="exact"/>
              <w:ind w:firstLine="0" w:firstLineChars="0"/>
              <w:jc w:val="left"/>
              <w:rPr>
                <w:b/>
                <w:bCs/>
              </w:rPr>
            </w:pPr>
            <w:r>
              <w:rPr>
                <w:rFonts w:hint="eastAsia"/>
                <w:b/>
                <w:bCs/>
              </w:rPr>
              <w:t>4</w:t>
            </w:r>
            <w:r>
              <w:rPr>
                <w:b/>
                <w:bCs/>
              </w:rPr>
              <w:t>.2.</w:t>
            </w:r>
            <w:r>
              <w:rPr>
                <w:rFonts w:hint="eastAsia"/>
                <w:b/>
                <w:bCs/>
              </w:rPr>
              <w:t>4固体废物影响与评价</w:t>
            </w:r>
          </w:p>
          <w:p>
            <w:pPr>
              <w:ind w:firstLine="480"/>
              <w:rPr>
                <w:rFonts w:cs="Times New Roman"/>
              </w:rPr>
            </w:pPr>
            <w:r>
              <w:rPr>
                <w:rFonts w:hint="eastAsia"/>
                <w:color w:val="000000"/>
              </w:rPr>
              <w:t>项目营运期产生的固体废物主要为：生活垃圾、一般工业固体废物、危险废物</w:t>
            </w:r>
            <w:r>
              <w:rPr>
                <w:rFonts w:hint="eastAsia" w:cs="Times New Roman"/>
              </w:rPr>
              <w:t>。</w:t>
            </w:r>
          </w:p>
          <w:p>
            <w:pPr>
              <w:ind w:firstLine="480"/>
            </w:pPr>
            <w:bookmarkStart w:id="14" w:name="_Hlk156401327"/>
            <w:r>
              <w:t>（1）生活</w:t>
            </w:r>
            <w:r>
              <w:rPr>
                <w:rFonts w:hint="eastAsia"/>
              </w:rPr>
              <w:t>垃圾</w:t>
            </w:r>
          </w:p>
          <w:p>
            <w:pPr>
              <w:ind w:firstLine="480"/>
              <w:rPr>
                <w:rFonts w:cs="Times New Roman"/>
                <w:color w:val="000000" w:themeColor="text1"/>
                <w14:textFill>
                  <w14:solidFill>
                    <w14:schemeClr w14:val="tx1"/>
                  </w14:solidFill>
                </w14:textFill>
              </w:rPr>
            </w:pPr>
            <w:r>
              <w:t>项目劳</w:t>
            </w:r>
            <w:r>
              <w:rPr>
                <w:rFonts w:cs="Times New Roman"/>
                <w:color w:val="000000" w:themeColor="text1"/>
                <w14:textFill>
                  <w14:solidFill>
                    <w14:schemeClr w14:val="tx1"/>
                  </w14:solidFill>
                </w14:textFill>
              </w:rPr>
              <w:t>动定员3人，按每人每天产生生活垃圾0.5kg计算，项目年生产240天，则年产生量为0.36t/a。</w:t>
            </w:r>
            <w:r>
              <w:rPr>
                <w:rFonts w:hint="eastAsia"/>
                <w:color w:val="000000" w:themeColor="text1"/>
                <w:szCs w:val="21"/>
                <w14:textFill>
                  <w14:solidFill>
                    <w14:schemeClr w14:val="tx1"/>
                  </w14:solidFill>
                </w14:textFill>
              </w:rPr>
              <w:t>生活垃圾集中收集至垃圾箱后</w:t>
            </w:r>
            <w:r>
              <w:rPr>
                <w:snapToGrid w:val="0"/>
                <w:kern w:val="0"/>
                <w:szCs w:val="21"/>
              </w:rPr>
              <w:t>由环卫部门统一清运</w:t>
            </w:r>
            <w:r>
              <w:rPr>
                <w:rFonts w:cs="Times New Roman"/>
                <w:color w:val="000000" w:themeColor="text1"/>
                <w14:textFill>
                  <w14:solidFill>
                    <w14:schemeClr w14:val="tx1"/>
                  </w14:solidFill>
                </w14:textFill>
              </w:rPr>
              <w:t>。</w:t>
            </w:r>
          </w:p>
          <w:p>
            <w:pPr>
              <w:ind w:firstLine="480"/>
            </w:pPr>
            <w:r>
              <w:rPr>
                <w:rFonts w:hint="eastAsia"/>
              </w:rPr>
              <w:t>（</w:t>
            </w:r>
            <w:r>
              <w:t>2</w:t>
            </w:r>
            <w:r>
              <w:rPr>
                <w:rFonts w:hint="eastAsia"/>
              </w:rPr>
              <w:t>）分拣废料</w:t>
            </w:r>
          </w:p>
          <w:p>
            <w:pPr>
              <w:ind w:firstLine="480"/>
            </w:pPr>
            <w:r>
              <w:rPr>
                <w:rFonts w:hint="eastAsia"/>
              </w:rPr>
              <w:t>项目人工分拣物主要是指废旧物资在人工分拣过程中分拣出的玻璃、沙石、织物等杂物以及不合格的其他材质原料。根据建设单位提供资料，并类比同类型企业，杂物约占原料的1%，则项目分拣废料产生量约为</w:t>
            </w:r>
            <w:r>
              <w:t>300</w:t>
            </w:r>
            <w:r>
              <w:rPr>
                <w:rFonts w:hint="eastAsia"/>
              </w:rPr>
              <w:t>t/a。分拣废料属于《固体废物分类与代码目录》中SW59其他工业固体废物，类别代码为900-099-S59。分拣废料集中收集后定期外售至废品回收站，不得擅自丢弃、倾倒、焚烧或填埋。</w:t>
            </w:r>
          </w:p>
          <w:p>
            <w:pPr>
              <w:ind w:firstLine="480"/>
            </w:pPr>
            <w:r>
              <w:rPr>
                <w:rFonts w:hint="eastAsia"/>
              </w:rPr>
              <w:t>（3）沉淀池沉渣</w:t>
            </w:r>
          </w:p>
          <w:p>
            <w:pPr>
              <w:ind w:firstLine="480"/>
            </w:pPr>
            <w:r>
              <w:rPr>
                <w:rFonts w:cs="Times New Roman"/>
              </w:rPr>
              <w:t>根据前文，废水处理量为29700m³/a。设计进水SS浓度为1500mg/L，出水为100mg/L。沉渣干重采用公式W=Q×（C</w:t>
            </w:r>
            <w:r>
              <w:rPr>
                <w:rFonts w:cs="Times New Roman"/>
                <w:vertAlign w:val="subscript"/>
              </w:rPr>
              <w:t>进</w:t>
            </w:r>
            <w:r>
              <w:rPr>
                <w:rFonts w:cs="Times New Roman"/>
              </w:rPr>
              <w:t>-C</w:t>
            </w:r>
            <w:r>
              <w:rPr>
                <w:rFonts w:cs="Times New Roman"/>
                <w:vertAlign w:val="subscript"/>
              </w:rPr>
              <w:t>出</w:t>
            </w:r>
            <w:r>
              <w:rPr>
                <w:rFonts w:cs="Times New Roman"/>
              </w:rPr>
              <w:t>）×10⁻⁶计算，得出理论干沉渣量约为41.58t/a</w:t>
            </w:r>
            <w:r>
              <w:rPr>
                <w:rFonts w:hint="eastAsia" w:cs="Times New Roman"/>
              </w:rPr>
              <w:t>（干重）</w:t>
            </w:r>
            <w:r>
              <w:rPr>
                <w:rFonts w:hint="eastAsia"/>
              </w:rPr>
              <w:t>。沉淀池沉渣属于《固体废物分类与代码目录》中的SW07类污泥，类别代码为900-099-S07，污泥定期清掏、晾晒干化后，送往一般工业固废填埋场。</w:t>
            </w:r>
          </w:p>
          <w:p>
            <w:pPr>
              <w:ind w:firstLine="480"/>
            </w:pPr>
            <w:r>
              <w:rPr>
                <w:rFonts w:hint="eastAsia"/>
              </w:rPr>
              <w:t>（</w:t>
            </w:r>
            <w:r>
              <w:t>4</w:t>
            </w:r>
            <w:r>
              <w:rPr>
                <w:rFonts w:hint="eastAsia"/>
              </w:rPr>
              <w:t>）废机油</w:t>
            </w:r>
          </w:p>
          <w:p>
            <w:pPr>
              <w:ind w:firstLine="480"/>
              <w:rPr>
                <w:rFonts w:cs="Times New Roman"/>
              </w:rPr>
            </w:pPr>
            <w:r>
              <w:rPr>
                <w:rFonts w:hint="eastAsia"/>
              </w:rPr>
              <w:t>项目生产设备保养及维修过程产生的废机油，根据《国家危险废物名录》（2</w:t>
            </w:r>
            <w:r>
              <w:t>025</w:t>
            </w:r>
            <w:r>
              <w:rPr>
                <w:rFonts w:hint="eastAsia"/>
              </w:rPr>
              <w:t>年版），废机油为危险废物，废物类别为</w:t>
            </w:r>
            <w:r>
              <w:t>HW08</w:t>
            </w:r>
            <w:r>
              <w:rPr>
                <w:rFonts w:hint="eastAsia"/>
              </w:rPr>
              <w:t>废矿物油与含矿物油废物，废物代码为</w:t>
            </w:r>
            <w:r>
              <w:t>900-21</w:t>
            </w:r>
            <w:r>
              <w:rPr>
                <w:bCs/>
              </w:rPr>
              <w:t>4-08</w:t>
            </w:r>
            <w:r>
              <w:rPr>
                <w:rFonts w:hint="eastAsia"/>
                <w:bCs/>
              </w:rPr>
              <w:t>，年产生量约</w:t>
            </w:r>
            <w:r>
              <w:rPr>
                <w:bCs/>
              </w:rPr>
              <w:t>0.1t/a</w:t>
            </w:r>
            <w:r>
              <w:rPr>
                <w:rFonts w:hint="eastAsia"/>
                <w:bCs/>
              </w:rPr>
              <w:t>。废机油集中收集后存放于危险废物贮存点</w:t>
            </w:r>
            <w:r>
              <w:rPr>
                <w:rFonts w:cs="Times New Roman"/>
              </w:rPr>
              <w:t>，定期交由有危险废物处理资质的单位回收处理</w:t>
            </w:r>
            <w:r>
              <w:rPr>
                <w:rFonts w:hint="eastAsia" w:cs="Times New Roman"/>
              </w:rPr>
              <w:t>。</w:t>
            </w:r>
          </w:p>
          <w:p>
            <w:pPr>
              <w:ind w:firstLine="480"/>
            </w:pPr>
            <w:r>
              <w:rPr>
                <w:rFonts w:hint="eastAsia"/>
              </w:rPr>
              <w:t>（5）沾有废机油的废抹布和废手套</w:t>
            </w:r>
          </w:p>
          <w:p>
            <w:pPr>
              <w:ind w:firstLine="480"/>
            </w:pPr>
            <w:r>
              <w:rPr>
                <w:rFonts w:hint="eastAsia"/>
              </w:rPr>
              <w:t>项目在维护保养设备时会产生沾有废机油的废抹布和废手套，产生量为0.01t</w:t>
            </w:r>
            <w:r>
              <w:t>/</w:t>
            </w:r>
            <w:r>
              <w:rPr>
                <w:rFonts w:hint="eastAsia"/>
              </w:rPr>
              <w:t>a。根据</w:t>
            </w:r>
            <w:r>
              <w:rPr>
                <w:rFonts w:hint="eastAsia" w:cs="Times New Roman"/>
              </w:rPr>
              <w:t>《国家危险废物名录》（202</w:t>
            </w:r>
            <w:r>
              <w:rPr>
                <w:rFonts w:cs="Times New Roman"/>
              </w:rPr>
              <w:t>5</w:t>
            </w:r>
            <w:r>
              <w:rPr>
                <w:rFonts w:hint="eastAsia" w:cs="Times New Roman"/>
              </w:rPr>
              <w:t>版）</w:t>
            </w:r>
            <w:r>
              <w:rPr>
                <w:rFonts w:hint="eastAsia"/>
              </w:rPr>
              <w:t>，沾有废机油的废抹布和废手套属于HW49其他废物900-041-49含有或沾染毒性、感染性危险废物的废弃包装物、容器、过滤吸附介质中的危险废物，</w:t>
            </w:r>
            <w:r>
              <w:rPr>
                <w:rFonts w:hint="eastAsia" w:ascii="宋体" w:hAnsi="宋体" w:cs="宋体"/>
              </w:rPr>
              <w:t>集中收集后存放于危险废物贮存点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rFonts w:hint="eastAsia"/>
              </w:rPr>
              <w:t>。</w:t>
            </w:r>
          </w:p>
          <w:p>
            <w:pPr>
              <w:autoSpaceDE w:val="0"/>
              <w:autoSpaceDN w:val="0"/>
              <w:ind w:firstLine="480"/>
              <w:rPr>
                <w:color w:val="000000"/>
              </w:rPr>
            </w:pPr>
            <w:r>
              <w:rPr>
                <w:rFonts w:hint="eastAsia"/>
              </w:rPr>
              <w:t>（6）</w:t>
            </w:r>
            <w:r>
              <w:rPr>
                <w:color w:val="000000"/>
              </w:rPr>
              <w:t>废</w:t>
            </w:r>
            <w:r>
              <w:rPr>
                <w:rFonts w:hint="eastAsia"/>
                <w:color w:val="000000"/>
              </w:rPr>
              <w:t>机油</w:t>
            </w:r>
            <w:r>
              <w:rPr>
                <w:kern w:val="0"/>
              </w:rPr>
              <w:t>桶</w:t>
            </w:r>
          </w:p>
          <w:p>
            <w:pPr>
              <w:ind w:firstLine="480"/>
            </w:pPr>
            <w:r>
              <w:rPr>
                <w:color w:val="0F1115"/>
                <w:shd w:val="clear" w:color="auto" w:fill="FFFFFF"/>
              </w:rPr>
              <w:t>项目设备检维修过程中，更换润滑油会产生</w:t>
            </w:r>
            <w:r>
              <w:rPr>
                <w:color w:val="000000"/>
              </w:rPr>
              <w:t>废</w:t>
            </w:r>
            <w:r>
              <w:rPr>
                <w:rFonts w:hint="eastAsia"/>
                <w:color w:val="000000"/>
              </w:rPr>
              <w:t>机油</w:t>
            </w:r>
            <w:r>
              <w:rPr>
                <w:color w:val="0F1115"/>
                <w:shd w:val="clear" w:color="auto" w:fill="FFFFFF"/>
              </w:rPr>
              <w:t>桶。产生量为0.01t/a，</w:t>
            </w:r>
            <w:r>
              <w:rPr>
                <w:rFonts w:hint="eastAsia"/>
                <w:color w:val="0F1115"/>
                <w:shd w:val="clear" w:color="auto" w:fill="FFFFFF"/>
              </w:rPr>
              <w:t>废机油桶</w:t>
            </w:r>
            <w:r>
              <w:rPr>
                <w:snapToGrid w:val="0"/>
                <w:kern w:val="0"/>
              </w:rPr>
              <w:t>属于《国家危险废物名录（2025年）》所列的HW08非特定行业中900-249-08</w:t>
            </w:r>
            <w:r>
              <w:rPr>
                <w:rFonts w:hint="eastAsia"/>
                <w:snapToGrid w:val="0"/>
                <w:kern w:val="0"/>
              </w:rPr>
              <w:t>“</w:t>
            </w:r>
            <w:r>
              <w:rPr>
                <w:snapToGrid w:val="0"/>
                <w:kern w:val="0"/>
              </w:rPr>
              <w:t>其他生产、销售、使用过程中产生的废矿物油及沾染矿物油的废弃包装物</w:t>
            </w:r>
            <w:r>
              <w:rPr>
                <w:rFonts w:hint="eastAsia"/>
                <w:snapToGrid w:val="0"/>
                <w:kern w:val="0"/>
              </w:rPr>
              <w:t>”</w:t>
            </w:r>
            <w:r>
              <w:rPr>
                <w:snapToGrid w:val="0"/>
                <w:kern w:val="0"/>
              </w:rPr>
              <w:t>，</w:t>
            </w:r>
            <w:r>
              <w:rPr>
                <w:rFonts w:hint="eastAsia" w:ascii="宋体" w:hAnsi="宋体" w:cs="宋体"/>
              </w:rPr>
              <w:t>集中收集后分类存放于危险废物贮存点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snapToGrid w:val="0"/>
                <w:kern w:val="0"/>
              </w:rPr>
              <w:t>。</w:t>
            </w:r>
          </w:p>
          <w:bookmarkEnd w:id="14"/>
          <w:p>
            <w:pPr>
              <w:spacing w:before="163" w:beforeLines="50" w:line="240" w:lineRule="auto"/>
              <w:ind w:firstLine="0" w:firstLineChars="0"/>
              <w:jc w:val="center"/>
              <w:rPr>
                <w:rFonts w:cs="Times New Roman"/>
                <w:b/>
                <w:color w:val="000000"/>
                <w:sz w:val="21"/>
              </w:rPr>
            </w:pPr>
            <w:r>
              <w:rPr>
                <w:rFonts w:hint="eastAsia" w:cs="Times New Roman"/>
                <w:b/>
                <w:color w:val="000000"/>
                <w:sz w:val="21"/>
              </w:rPr>
              <w:t>表4</w:t>
            </w:r>
            <w:r>
              <w:rPr>
                <w:rFonts w:cs="Times New Roman"/>
                <w:b/>
                <w:color w:val="000000"/>
                <w:sz w:val="21"/>
              </w:rPr>
              <w:t xml:space="preserve">-6  </w:t>
            </w:r>
            <w:r>
              <w:rPr>
                <w:rFonts w:hint="eastAsia" w:cs="Times New Roman"/>
                <w:b/>
                <w:color w:val="000000"/>
                <w:sz w:val="21"/>
              </w:rPr>
              <w:t>固体废物产生情况一览表</w:t>
            </w:r>
          </w:p>
          <w:tbl>
            <w:tblPr>
              <w:tblStyle w:val="25"/>
              <w:tblW w:w="85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5"/>
              <w:gridCol w:w="998"/>
              <w:gridCol w:w="780"/>
              <w:gridCol w:w="978"/>
              <w:gridCol w:w="625"/>
              <w:gridCol w:w="989"/>
              <w:gridCol w:w="1313"/>
              <w:gridCol w:w="754"/>
              <w:gridCol w:w="15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序号</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固体废物名称</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产污环节</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属性</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物理性状</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固体废物及危险废物编码</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环境危险特性</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产生量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1</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sz w:val="21"/>
                      <w:szCs w:val="21"/>
                    </w:rPr>
                    <w:t>沉淀池</w:t>
                  </w:r>
                  <w:r>
                    <w:rPr>
                      <w:rFonts w:hint="eastAsia" w:cs="Times New Roman"/>
                      <w:sz w:val="21"/>
                      <w:szCs w:val="21"/>
                    </w:rPr>
                    <w:t>沉渣</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沉淀池</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SW07</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900-099-S07</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41.58</w:t>
                  </w:r>
                  <w:r>
                    <w:rPr>
                      <w:rFonts w:cs="Times New Roman"/>
                      <w:color w:val="00000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2</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员工</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hint="eastAsia"/>
                      <w:color w:val="000000"/>
                      <w:sz w:val="21"/>
                      <w:szCs w:val="21"/>
                    </w:rPr>
                    <w:t>SW64</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900-099-S64</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0.36t/a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3</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分拣废料</w:t>
                  </w:r>
                </w:p>
              </w:tc>
              <w:tc>
                <w:tcPr>
                  <w:tcW w:w="780"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原料清洗</w:t>
                  </w:r>
                </w:p>
              </w:tc>
              <w:tc>
                <w:tcPr>
                  <w:tcW w:w="97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SW59</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900-099-S59</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300</w:t>
                  </w:r>
                  <w:r>
                    <w:rPr>
                      <w:rFonts w:cs="Times New Roman"/>
                      <w:color w:val="000000"/>
                      <w:sz w:val="21"/>
                      <w:szCs w:val="21"/>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4</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w:t>
                  </w:r>
                </w:p>
              </w:tc>
              <w:tc>
                <w:tcPr>
                  <w:tcW w:w="780" w:type="dxa"/>
                  <w:vMerge w:val="restart"/>
                  <w:vAlign w:val="center"/>
                </w:tcPr>
                <w:p>
                  <w:pPr>
                    <w:spacing w:line="240" w:lineRule="auto"/>
                    <w:ind w:firstLine="0" w:firstLineChars="0"/>
                    <w:contextualSpacing/>
                    <w:rPr>
                      <w:rFonts w:cs="Times New Roman"/>
                      <w:color w:val="000000"/>
                      <w:sz w:val="21"/>
                      <w:szCs w:val="21"/>
                    </w:rPr>
                  </w:pPr>
                  <w:r>
                    <w:rPr>
                      <w:rFonts w:cs="Times New Roman"/>
                      <w:color w:val="000000"/>
                      <w:sz w:val="21"/>
                      <w:szCs w:val="21"/>
                    </w:rPr>
                    <w:t>设备检修、维护</w:t>
                  </w:r>
                </w:p>
              </w:tc>
              <w:tc>
                <w:tcPr>
                  <w:tcW w:w="978" w:type="dxa"/>
                  <w:vMerge w:val="restart"/>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危险</w:t>
                  </w:r>
                </w:p>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废物</w:t>
                  </w: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液态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900-214-08</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0.1t/a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5</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沾有废机油的废抹布和废手套</w:t>
                  </w:r>
                </w:p>
              </w:tc>
              <w:tc>
                <w:tcPr>
                  <w:tcW w:w="780" w:type="dxa"/>
                  <w:vMerge w:val="continue"/>
                  <w:vAlign w:val="center"/>
                </w:tcPr>
                <w:p>
                  <w:pPr>
                    <w:spacing w:line="240" w:lineRule="auto"/>
                    <w:ind w:firstLine="0" w:firstLineChars="0"/>
                    <w:contextualSpacing/>
                    <w:rPr>
                      <w:rFonts w:cs="Times New Roman"/>
                      <w:color w:val="000000"/>
                      <w:sz w:val="21"/>
                      <w:szCs w:val="21"/>
                    </w:rPr>
                  </w:pPr>
                </w:p>
              </w:tc>
              <w:tc>
                <w:tcPr>
                  <w:tcW w:w="978" w:type="dxa"/>
                  <w:vMerge w:val="continue"/>
                  <w:vAlign w:val="center"/>
                </w:tcPr>
                <w:p>
                  <w:pPr>
                    <w:spacing w:line="240" w:lineRule="auto"/>
                    <w:ind w:firstLine="0" w:firstLineChars="0"/>
                    <w:contextualSpacing/>
                    <w:jc w:val="center"/>
                    <w:rPr>
                      <w:rFonts w:cs="Times New Roman"/>
                      <w:color w:val="000000"/>
                      <w:sz w:val="21"/>
                      <w:szCs w:val="21"/>
                    </w:rPr>
                  </w:pP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HW49</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sz w:val="21"/>
                      <w:szCs w:val="21"/>
                    </w:rPr>
                    <w:t>900-041-49</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T/In</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5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6</w:t>
                  </w:r>
                </w:p>
              </w:tc>
              <w:tc>
                <w:tcPr>
                  <w:tcW w:w="99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废机油桶</w:t>
                  </w:r>
                </w:p>
              </w:tc>
              <w:tc>
                <w:tcPr>
                  <w:tcW w:w="780" w:type="dxa"/>
                  <w:vMerge w:val="continue"/>
                  <w:vAlign w:val="center"/>
                </w:tcPr>
                <w:p>
                  <w:pPr>
                    <w:spacing w:line="240" w:lineRule="auto"/>
                    <w:ind w:firstLine="0" w:firstLineChars="0"/>
                    <w:contextualSpacing/>
                    <w:rPr>
                      <w:rFonts w:cs="Times New Roman"/>
                      <w:color w:val="000000"/>
                      <w:sz w:val="21"/>
                      <w:szCs w:val="21"/>
                    </w:rPr>
                  </w:pPr>
                </w:p>
              </w:tc>
              <w:tc>
                <w:tcPr>
                  <w:tcW w:w="978" w:type="dxa"/>
                  <w:vMerge w:val="continue"/>
                  <w:vAlign w:val="center"/>
                </w:tcPr>
                <w:p>
                  <w:pPr>
                    <w:spacing w:line="240" w:lineRule="auto"/>
                    <w:ind w:firstLine="0" w:firstLineChars="0"/>
                    <w:contextualSpacing/>
                    <w:jc w:val="center"/>
                    <w:rPr>
                      <w:rFonts w:cs="Times New Roman"/>
                      <w:color w:val="000000"/>
                      <w:sz w:val="21"/>
                      <w:szCs w:val="21"/>
                    </w:rPr>
                  </w:pPr>
                </w:p>
              </w:tc>
              <w:tc>
                <w:tcPr>
                  <w:tcW w:w="625"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pPr>
                    <w:spacing w:line="240" w:lineRule="auto"/>
                    <w:ind w:firstLine="0" w:firstLineChars="0"/>
                    <w:contextualSpacing/>
                    <w:jc w:val="center"/>
                    <w:rPr>
                      <w:rFonts w:cs="Times New Roman"/>
                      <w:color w:val="000000"/>
                      <w:sz w:val="21"/>
                      <w:szCs w:val="21"/>
                    </w:rPr>
                  </w:pPr>
                  <w:r>
                    <w:rPr>
                      <w:rFonts w:cs="Times New Roman"/>
                      <w:snapToGrid w:val="0"/>
                      <w:kern w:val="0"/>
                      <w:sz w:val="21"/>
                      <w:szCs w:val="21"/>
                    </w:rPr>
                    <w:t>900-249-08</w:t>
                  </w:r>
                </w:p>
              </w:tc>
              <w:tc>
                <w:tcPr>
                  <w:tcW w:w="754"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bl>
          <w:p>
            <w:pPr>
              <w:ind w:firstLine="0" w:firstLineChars="0"/>
              <w:jc w:val="left"/>
              <w:textAlignment w:val="auto"/>
              <w:rPr>
                <w:b/>
                <w:bCs/>
              </w:rPr>
            </w:pPr>
            <w:r>
              <w:rPr>
                <w:rFonts w:hint="eastAsia" w:cs="Times New Roman"/>
                <w:b/>
                <w:bCs/>
                <w:snapToGrid w:val="0"/>
                <w:color w:val="000000"/>
                <w:kern w:val="0"/>
                <w:szCs w:val="24"/>
              </w:rPr>
              <w:t>4.2.4.1</w:t>
            </w:r>
            <w:r>
              <w:rPr>
                <w:rFonts w:hint="eastAsia"/>
                <w:b/>
                <w:bCs/>
              </w:rPr>
              <w:t>一般固体废物暂存间建设及管理要求</w:t>
            </w:r>
          </w:p>
          <w:p>
            <w:pPr>
              <w:widowControl/>
              <w:adjustRightInd w:val="0"/>
              <w:snapToGrid w:val="0"/>
              <w:ind w:firstLine="480"/>
            </w:pPr>
            <w:r>
              <w:t>1）一般固体废物暂存区按照《一般工业固体废物贮存和填埋污染物控制</w:t>
            </w:r>
            <w:r>
              <w:rPr>
                <w:rFonts w:hint="eastAsia"/>
              </w:rPr>
              <w:t>标准</w:t>
            </w:r>
            <w:r>
              <w:t>》（GB18599-2020）中标准要求进行管理；</w:t>
            </w:r>
          </w:p>
          <w:p>
            <w:pPr>
              <w:widowControl/>
              <w:adjustRightInd w:val="0"/>
              <w:snapToGrid w:val="0"/>
              <w:ind w:firstLine="480"/>
            </w:pPr>
            <w:r>
              <w:rPr>
                <w:rFonts w:hint="eastAsia"/>
              </w:rPr>
              <w:t>2）</w:t>
            </w:r>
            <w:r>
              <w:t>对固体废物实行从产生、收集、运输、贮存直至最终处理实行全过程管理，按照有关</w:t>
            </w:r>
            <w:r>
              <w:rPr>
                <w:rFonts w:hint="eastAsia"/>
              </w:rPr>
              <w:t>法律法规</w:t>
            </w:r>
            <w:r>
              <w:t>的要求，对固体废弃物全过程管理应报当地生态环境行政主管部门等批准。</w:t>
            </w:r>
          </w:p>
          <w:p>
            <w:pPr>
              <w:widowControl/>
              <w:adjustRightInd w:val="0"/>
              <w:snapToGrid w:val="0"/>
              <w:ind w:firstLine="480"/>
            </w:pPr>
            <w:r>
              <w:rPr>
                <w:rFonts w:hint="eastAsia"/>
              </w:rPr>
              <w:t>3）</w:t>
            </w:r>
            <w:r>
              <w:t>加强固体废物规范化管理，固体废物分类定点堆放，堆放场所远离办公区</w:t>
            </w:r>
            <w:r>
              <w:rPr>
                <w:rFonts w:hint="eastAsia"/>
              </w:rPr>
              <w:t>。</w:t>
            </w:r>
          </w:p>
          <w:p>
            <w:pPr>
              <w:widowControl/>
              <w:adjustRightInd w:val="0"/>
              <w:snapToGrid w:val="0"/>
              <w:ind w:firstLine="480"/>
              <w:jc w:val="left"/>
            </w:pPr>
            <w:r>
              <w:rPr>
                <w:rFonts w:hint="eastAsia"/>
              </w:rPr>
              <w:t>4）</w:t>
            </w:r>
            <w:r>
              <w:t>固体废物要及时清运，避免产生二次污染</w:t>
            </w:r>
            <w:r>
              <w:rPr>
                <w:rFonts w:hint="eastAsia"/>
              </w:rPr>
              <w:t>。</w:t>
            </w:r>
          </w:p>
          <w:p>
            <w:pPr>
              <w:widowControl/>
              <w:adjustRightInd w:val="0"/>
              <w:snapToGrid w:val="0"/>
              <w:ind w:firstLine="480"/>
            </w:pPr>
            <w:r>
              <w:t>一般工业固体废物贮存、处置场，禁止危险废物和生活垃圾混入。贮存、处置场使用单位，应建立检查维护制度。发现有损坏可能或异常，应及时采取必要措施，以保障正常运行。贮存、处置场的使用单位，应建立档案制度。应将入场的一般工业固体废物的种类和数量，详细记录在案，长期保存，供随时查阅。贮存、处置场的环境保护图形标志，应按相关规定进行检查和维护。本项目一般固废暂存区位于</w:t>
            </w:r>
            <w:r>
              <w:rPr>
                <w:rFonts w:hint="eastAsia"/>
              </w:rPr>
              <w:t>车间内</w:t>
            </w:r>
            <w:r>
              <w:t>，地面全部硬化处理，遵守以上管理要求，确保一般固体废物合理处置</w:t>
            </w:r>
            <w:r>
              <w:rPr>
                <w:rFonts w:hint="eastAsia"/>
              </w:rPr>
              <w:t>。</w:t>
            </w:r>
          </w:p>
          <w:p>
            <w:pPr>
              <w:widowControl/>
              <w:adjustRightInd w:val="0"/>
              <w:snapToGrid w:val="0"/>
              <w:ind w:firstLine="0" w:firstLineChars="0"/>
            </w:pPr>
            <w:r>
              <w:rPr>
                <w:rFonts w:hint="eastAsia" w:cs="Times New Roman"/>
                <w:b/>
                <w:bCs/>
                <w:snapToGrid w:val="0"/>
                <w:color w:val="000000"/>
                <w:kern w:val="0"/>
                <w:szCs w:val="24"/>
              </w:rPr>
              <w:t>4.2.4.</w:t>
            </w:r>
            <w:r>
              <w:rPr>
                <w:rFonts w:cs="Times New Roman"/>
                <w:b/>
                <w:bCs/>
                <w:snapToGrid w:val="0"/>
                <w:color w:val="000000"/>
                <w:kern w:val="0"/>
                <w:szCs w:val="24"/>
              </w:rPr>
              <w:t>2</w:t>
            </w:r>
            <w:r>
              <w:rPr>
                <w:rFonts w:hint="eastAsia" w:cs="Times New Roman"/>
                <w:b/>
                <w:bCs/>
                <w:snapToGrid w:val="0"/>
                <w:color w:val="000000"/>
                <w:kern w:val="0"/>
                <w:szCs w:val="24"/>
              </w:rPr>
              <w:t>危险废物</w:t>
            </w:r>
            <w:r>
              <w:rPr>
                <w:rFonts w:hint="eastAsia"/>
                <w:b/>
                <w:bCs/>
              </w:rPr>
              <w:t>贮存点环境管理要求</w:t>
            </w:r>
          </w:p>
          <w:p>
            <w:pPr>
              <w:ind w:firstLine="480"/>
              <w:jc w:val="left"/>
              <w:textAlignment w:val="auto"/>
              <w:rPr>
                <w:b/>
                <w:bCs/>
              </w:rPr>
            </w:pPr>
            <w:r>
              <w:rPr>
                <w:rFonts w:hint="eastAsia"/>
              </w:rPr>
              <w:t>危险废物集中收集后，分区存放于危险废物贮存点，定期交由有危险废物处理资质的单位回收处理</w:t>
            </w:r>
            <w:r>
              <w:t>。</w:t>
            </w:r>
          </w:p>
          <w:p>
            <w:pPr>
              <w:ind w:left="480" w:leftChars="200" w:firstLine="0" w:firstLineChars="0"/>
              <w:jc w:val="left"/>
              <w:textAlignment w:val="auto"/>
            </w:pPr>
            <w:r>
              <w:rPr>
                <w:rFonts w:hint="eastAsia"/>
              </w:rPr>
              <w:t>1）贮存点应具有固定的区域边界，并应采取与其他区域进行隔离的措施。</w:t>
            </w:r>
          </w:p>
          <w:p>
            <w:pPr>
              <w:ind w:left="480" w:leftChars="200" w:firstLine="0" w:firstLineChars="0"/>
              <w:jc w:val="left"/>
              <w:textAlignment w:val="auto"/>
            </w:pPr>
            <w:r>
              <w:rPr>
                <w:rFonts w:hint="eastAsia"/>
              </w:rPr>
              <w:t>2）贮存点应采取防风、防雨、防晒和防止危险废物流失、扬散等措施。</w:t>
            </w:r>
          </w:p>
          <w:p>
            <w:pPr>
              <w:ind w:firstLine="480"/>
              <w:jc w:val="left"/>
              <w:textAlignment w:val="auto"/>
            </w:pPr>
            <w:r>
              <w:rPr>
                <w:rFonts w:hint="eastAsia"/>
              </w:rPr>
              <w:t>3）贮存点贮存的危险废物应置于容器或包装物中，不应直接散堆。</w:t>
            </w:r>
          </w:p>
          <w:p>
            <w:pPr>
              <w:ind w:firstLine="480"/>
              <w:jc w:val="left"/>
              <w:textAlignment w:val="auto"/>
            </w:pPr>
            <w:r>
              <w:rPr>
                <w:rFonts w:hint="eastAsia"/>
              </w:rPr>
              <w:t>4）贮存点应根据危险废物的形态、物理化学性质、包装形式等，采取防渗、防漏等污染防治措施或采用具有相应功能的装置。</w:t>
            </w:r>
          </w:p>
          <w:p>
            <w:pPr>
              <w:ind w:firstLine="480"/>
              <w:jc w:val="left"/>
              <w:textAlignment w:val="auto"/>
            </w:pPr>
            <w:r>
              <w:rPr>
                <w:rFonts w:hint="eastAsia"/>
              </w:rPr>
              <w:t>5）贮存点应及时清运贮存的危险废物，实时贮存量不应超过</w:t>
            </w:r>
            <w:r>
              <w:t>3</w:t>
            </w:r>
            <w:r>
              <w:rPr>
                <w:rFonts w:hint="eastAsia"/>
              </w:rPr>
              <w:t>吨。</w:t>
            </w:r>
          </w:p>
          <w:p>
            <w:pPr>
              <w:ind w:firstLine="480"/>
              <w:jc w:val="left"/>
              <w:textAlignment w:val="auto"/>
            </w:pPr>
            <w:r>
              <w:rPr>
                <w:rFonts w:hint="eastAsia"/>
              </w:rPr>
              <w:t>（</w:t>
            </w:r>
            <w:r>
              <w:t>2</w:t>
            </w:r>
            <w:r>
              <w:rPr>
                <w:rFonts w:hint="eastAsia"/>
              </w:rPr>
              <w:t>）危险废物贮存点标识要求</w:t>
            </w:r>
          </w:p>
          <w:p>
            <w:pPr>
              <w:ind w:firstLine="480"/>
              <w:jc w:val="left"/>
              <w:textAlignment w:val="auto"/>
            </w:pPr>
            <w:r>
              <w:rPr>
                <w:rFonts w:hint="eastAsia"/>
                <w:color w:val="000000"/>
              </w:rPr>
              <w:t>贮存点不用设置贮存分区标志，存放在贮存点的危险废物包装容器应按照标准要求设置危险废物标签</w:t>
            </w:r>
            <w:r>
              <w:t>，具体要求如下</w:t>
            </w:r>
            <w:r>
              <w:rPr>
                <w:rFonts w:hint="eastAsia"/>
              </w:rPr>
              <w:t>：</w:t>
            </w:r>
          </w:p>
          <w:p>
            <w:pPr>
              <w:adjustRightInd w:val="0"/>
              <w:snapToGrid w:val="0"/>
              <w:spacing w:line="240" w:lineRule="auto"/>
              <w:ind w:firstLine="422"/>
              <w:jc w:val="center"/>
              <w:rPr>
                <w:b/>
                <w:bCs/>
                <w:kern w:val="0"/>
                <w:sz w:val="21"/>
                <w:szCs w:val="21"/>
              </w:rPr>
            </w:pPr>
            <w:r>
              <w:rPr>
                <w:b/>
                <w:bCs/>
                <w:kern w:val="0"/>
                <w:sz w:val="21"/>
                <w:szCs w:val="21"/>
              </w:rPr>
              <w:t>表4-7</w:t>
            </w:r>
            <w:r>
              <w:rPr>
                <w:rFonts w:hint="eastAsia"/>
                <w:b/>
                <w:bCs/>
                <w:kern w:val="0"/>
                <w:sz w:val="21"/>
                <w:szCs w:val="21"/>
              </w:rPr>
              <w:t xml:space="preserve">  </w:t>
            </w:r>
            <w:r>
              <w:rPr>
                <w:b/>
                <w:bCs/>
                <w:kern w:val="0"/>
                <w:sz w:val="21"/>
                <w:szCs w:val="21"/>
              </w:rPr>
              <w:t>危险废物</w:t>
            </w:r>
            <w:r>
              <w:rPr>
                <w:rFonts w:hint="eastAsia"/>
                <w:b/>
                <w:bCs/>
                <w:kern w:val="0"/>
                <w:sz w:val="21"/>
                <w:szCs w:val="21"/>
              </w:rPr>
              <w:t>贮存点</w:t>
            </w:r>
            <w:r>
              <w:rPr>
                <w:b/>
                <w:bCs/>
                <w:kern w:val="0"/>
                <w:sz w:val="21"/>
                <w:szCs w:val="21"/>
              </w:rPr>
              <w:t>及</w:t>
            </w:r>
            <w:r>
              <w:rPr>
                <w:rFonts w:hint="eastAsia"/>
                <w:b/>
                <w:bCs/>
                <w:kern w:val="0"/>
                <w:sz w:val="21"/>
                <w:szCs w:val="21"/>
              </w:rPr>
              <w:t>贮存</w:t>
            </w:r>
            <w:r>
              <w:rPr>
                <w:b/>
                <w:bCs/>
                <w:kern w:val="0"/>
                <w:sz w:val="21"/>
                <w:szCs w:val="21"/>
              </w:rPr>
              <w:t>容器标签示例</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9"/>
              <w:gridCol w:w="3331"/>
              <w:gridCol w:w="4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16" w:hRule="atLeast"/>
                <w:jc w:val="center"/>
              </w:trPr>
              <w:tc>
                <w:tcPr>
                  <w:tcW w:w="364" w:type="pct"/>
                  <w:vAlign w:val="center"/>
                </w:tcPr>
                <w:p>
                  <w:pPr>
                    <w:spacing w:line="240" w:lineRule="auto"/>
                    <w:ind w:firstLine="0" w:firstLineChars="0"/>
                    <w:jc w:val="center"/>
                    <w:rPr>
                      <w:rFonts w:cs="Times New Roman"/>
                      <w:sz w:val="21"/>
                      <w:szCs w:val="21"/>
                    </w:rPr>
                  </w:pPr>
                  <w:r>
                    <w:rPr>
                      <w:rFonts w:cs="Times New Roman"/>
                      <w:sz w:val="21"/>
                      <w:szCs w:val="21"/>
                    </w:rPr>
                    <w:t>场合</w:t>
                  </w:r>
                </w:p>
              </w:tc>
              <w:tc>
                <w:tcPr>
                  <w:tcW w:w="1928" w:type="pct"/>
                  <w:vAlign w:val="center"/>
                </w:tcPr>
                <w:p>
                  <w:pPr>
                    <w:spacing w:line="240" w:lineRule="auto"/>
                    <w:ind w:firstLine="0" w:firstLineChars="0"/>
                    <w:jc w:val="center"/>
                    <w:rPr>
                      <w:rFonts w:cs="Times New Roman"/>
                      <w:sz w:val="21"/>
                      <w:szCs w:val="21"/>
                    </w:rPr>
                  </w:pPr>
                  <w:r>
                    <w:rPr>
                      <w:rFonts w:cs="Times New Roman"/>
                      <w:sz w:val="21"/>
                      <w:szCs w:val="21"/>
                    </w:rPr>
                    <w:t>样式</w:t>
                  </w:r>
                </w:p>
              </w:tc>
              <w:tc>
                <w:tcPr>
                  <w:tcW w:w="2708" w:type="pct"/>
                  <w:vAlign w:val="center"/>
                </w:tcPr>
                <w:p>
                  <w:pPr>
                    <w:spacing w:line="240" w:lineRule="auto"/>
                    <w:ind w:firstLine="0" w:firstLineChars="0"/>
                    <w:jc w:val="center"/>
                    <w:rPr>
                      <w:rFonts w:cs="Times New Roman"/>
                      <w:sz w:val="21"/>
                      <w:szCs w:val="21"/>
                    </w:rPr>
                  </w:pPr>
                  <w:r>
                    <w:rPr>
                      <w:rFonts w:cs="Times New Roman"/>
                      <w:sz w:val="21"/>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4" w:type="pct"/>
                  <w:vAlign w:val="center"/>
                </w:tcPr>
                <w:p>
                  <w:pPr>
                    <w:spacing w:line="240" w:lineRule="auto"/>
                    <w:ind w:firstLine="0" w:firstLineChars="0"/>
                    <w:jc w:val="center"/>
                    <w:rPr>
                      <w:rFonts w:cs="Times New Roman"/>
                      <w:sz w:val="21"/>
                      <w:szCs w:val="21"/>
                    </w:rPr>
                  </w:pPr>
                  <w:r>
                    <w:rPr>
                      <w:rFonts w:cs="Times New Roman"/>
                      <w:sz w:val="21"/>
                      <w:szCs w:val="21"/>
                    </w:rPr>
                    <w:t>室外（粘贴于门上或悬挂）</w:t>
                  </w:r>
                </w:p>
              </w:tc>
              <w:tc>
                <w:tcPr>
                  <w:tcW w:w="1928" w:type="pct"/>
                  <w:vAlign w:val="center"/>
                </w:tcPr>
                <w:p>
                  <w:pPr>
                    <w:spacing w:line="240" w:lineRule="auto"/>
                    <w:ind w:firstLine="0" w:firstLineChars="0"/>
                    <w:jc w:val="center"/>
                    <w:rPr>
                      <w:rFonts w:cs="Times New Roman"/>
                      <w:sz w:val="21"/>
                      <w:szCs w:val="21"/>
                    </w:rPr>
                  </w:pPr>
                  <w:r>
                    <w:rPr>
                      <w:rFonts w:cs="Times New Roman"/>
                      <w:sz w:val="21"/>
                      <w:szCs w:val="21"/>
                    </w:rPr>
                    <w:drawing>
                      <wp:inline distT="0" distB="0" distL="0" distR="0">
                        <wp:extent cx="1811020" cy="1445260"/>
                        <wp:effectExtent l="0" t="0" r="2540" b="2540"/>
                        <wp:docPr id="17" name="图片 17" descr="76f8b46a0d578491487eb88177521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6f8b46a0d578491487eb881775216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21416" cy="1453587"/>
                                </a:xfrm>
                                <a:prstGeom prst="rect">
                                  <a:avLst/>
                                </a:prstGeom>
                                <a:noFill/>
                                <a:ln>
                                  <a:noFill/>
                                </a:ln>
                              </pic:spPr>
                            </pic:pic>
                          </a:graphicData>
                        </a:graphic>
                      </wp:inline>
                    </w:drawing>
                  </w:r>
                </w:p>
              </w:tc>
              <w:tc>
                <w:tcPr>
                  <w:tcW w:w="2708" w:type="pct"/>
                  <w:vAlign w:val="center"/>
                </w:tcPr>
                <w:p>
                  <w:pPr>
                    <w:spacing w:line="300" w:lineRule="exact"/>
                    <w:ind w:firstLine="0" w:firstLineChars="0"/>
                    <w:textAlignment w:val="auto"/>
                    <w:rPr>
                      <w:rFonts w:cs="Times New Roman"/>
                      <w:sz w:val="21"/>
                      <w:szCs w:val="21"/>
                    </w:rPr>
                  </w:pPr>
                  <w:r>
                    <w:rPr>
                      <w:rFonts w:hint="eastAsia" w:cs="Times New Roman"/>
                      <w:sz w:val="21"/>
                      <w:szCs w:val="21"/>
                    </w:rPr>
                    <w:t>1.</w:t>
                  </w:r>
                  <w:r>
                    <w:rPr>
                      <w:rFonts w:cs="Times New Roman"/>
                      <w:sz w:val="21"/>
                      <w:szCs w:val="21"/>
                    </w:rPr>
                    <w:t>危险废物标签尺寸颜色</w:t>
                  </w:r>
                  <w:r>
                    <w:rPr>
                      <w:rFonts w:hint="eastAsia" w:cs="Times New Roman"/>
                      <w:sz w:val="21"/>
                      <w:szCs w:val="21"/>
                    </w:rPr>
                    <w:t>；</w:t>
                  </w:r>
                  <w:r>
                    <w:rPr>
                      <w:rFonts w:cs="Times New Roman"/>
                      <w:sz w:val="21"/>
                      <w:szCs w:val="21"/>
                    </w:rPr>
                    <w:t>尺寸</w:t>
                  </w:r>
                  <w:r>
                    <w:rPr>
                      <w:rFonts w:hint="eastAsia" w:cs="Times New Roman"/>
                      <w:sz w:val="21"/>
                      <w:szCs w:val="21"/>
                    </w:rPr>
                    <w:t>：</w:t>
                  </w:r>
                  <w:r>
                    <w:rPr>
                      <w:rFonts w:cs="Times New Roman"/>
                      <w:sz w:val="21"/>
                      <w:szCs w:val="21"/>
                    </w:rPr>
                    <w:t>40x40cm；</w:t>
                  </w:r>
                </w:p>
                <w:p>
                  <w:pPr>
                    <w:spacing w:line="300" w:lineRule="exact"/>
                    <w:ind w:firstLine="0" w:firstLineChars="0"/>
                    <w:jc w:val="center"/>
                    <w:rPr>
                      <w:rFonts w:cs="Times New Roman"/>
                      <w:sz w:val="21"/>
                      <w:szCs w:val="21"/>
                    </w:rPr>
                  </w:pPr>
                  <w:r>
                    <w:rPr>
                      <w:rFonts w:cs="Times New Roman"/>
                      <w:sz w:val="21"/>
                      <w:szCs w:val="21"/>
                    </w:rPr>
                    <w:t>底色</w:t>
                  </w:r>
                  <w:r>
                    <w:rPr>
                      <w:rFonts w:hint="eastAsia" w:cs="Times New Roman"/>
                      <w:sz w:val="21"/>
                      <w:szCs w:val="21"/>
                    </w:rPr>
                    <w:t>：</w:t>
                  </w:r>
                  <w:r>
                    <w:rPr>
                      <w:rFonts w:cs="Times New Roman"/>
                      <w:sz w:val="21"/>
                      <w:szCs w:val="21"/>
                    </w:rPr>
                    <w:t>醒目的橘黄色字体</w:t>
                  </w:r>
                  <w:r>
                    <w:rPr>
                      <w:rFonts w:hint="eastAsia" w:cs="Times New Roman"/>
                      <w:sz w:val="21"/>
                      <w:szCs w:val="21"/>
                    </w:rPr>
                    <w:t>：</w:t>
                  </w:r>
                  <w:r>
                    <w:rPr>
                      <w:rFonts w:cs="Times New Roman"/>
                      <w:sz w:val="21"/>
                      <w:szCs w:val="21"/>
                    </w:rPr>
                    <w:t>黑体字字体颜色</w:t>
                  </w:r>
                  <w:r>
                    <w:rPr>
                      <w:rFonts w:hint="eastAsia" w:cs="Times New Roman"/>
                      <w:sz w:val="21"/>
                      <w:szCs w:val="21"/>
                    </w:rPr>
                    <w:t>：</w:t>
                  </w:r>
                  <w:r>
                    <w:rPr>
                      <w:rFonts w:cs="Times New Roman"/>
                      <w:sz w:val="21"/>
                      <w:szCs w:val="21"/>
                    </w:rPr>
                    <w:t>黑色。</w:t>
                  </w:r>
                </w:p>
                <w:p>
                  <w:pPr>
                    <w:spacing w:line="240" w:lineRule="auto"/>
                    <w:ind w:firstLine="0" w:firstLineChars="0"/>
                    <w:rPr>
                      <w:rFonts w:cs="Times New Roman"/>
                      <w:sz w:val="21"/>
                      <w:szCs w:val="21"/>
                    </w:rPr>
                  </w:pPr>
                  <w:r>
                    <w:rPr>
                      <w:rFonts w:hint="eastAsia" w:cs="Times New Roman"/>
                      <w:sz w:val="21"/>
                      <w:szCs w:val="21"/>
                    </w:rPr>
                    <w:t>2.</w:t>
                  </w:r>
                  <w:r>
                    <w:rPr>
                      <w:rFonts w:cs="Times New Roman"/>
                      <w:sz w:val="21"/>
                      <w:szCs w:val="21"/>
                    </w:rPr>
                    <w:t>危险类别</w:t>
                  </w:r>
                  <w:r>
                    <w:rPr>
                      <w:rFonts w:hint="eastAsia" w:cs="Times New Roman"/>
                      <w:sz w:val="21"/>
                      <w:szCs w:val="21"/>
                    </w:rPr>
                    <w:t>：</w:t>
                  </w:r>
                  <w:r>
                    <w:rPr>
                      <w:rFonts w:cs="Times New Roman"/>
                      <w:sz w:val="21"/>
                      <w:szCs w:val="21"/>
                    </w:rPr>
                    <w:t>按危险废物种类选择。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30" w:hRule="atLeast"/>
                <w:jc w:val="center"/>
              </w:trPr>
              <w:tc>
                <w:tcPr>
                  <w:tcW w:w="364" w:type="pct"/>
                  <w:vAlign w:val="center"/>
                </w:tcPr>
                <w:p>
                  <w:pPr>
                    <w:spacing w:line="240" w:lineRule="auto"/>
                    <w:ind w:firstLine="0" w:firstLineChars="0"/>
                    <w:jc w:val="center"/>
                    <w:rPr>
                      <w:rFonts w:cs="Times New Roman"/>
                      <w:sz w:val="21"/>
                      <w:szCs w:val="21"/>
                    </w:rPr>
                  </w:pPr>
                  <w:r>
                    <w:rPr>
                      <w:rFonts w:cs="Times New Roman"/>
                      <w:sz w:val="21"/>
                      <w:szCs w:val="21"/>
                    </w:rPr>
                    <w:t>粘贴于危险废物</w:t>
                  </w:r>
                  <w:r>
                    <w:rPr>
                      <w:rFonts w:hint="eastAsia" w:cs="Times New Roman"/>
                      <w:sz w:val="21"/>
                      <w:szCs w:val="21"/>
                    </w:rPr>
                    <w:t>贮存</w:t>
                  </w:r>
                  <w:r>
                    <w:rPr>
                      <w:rFonts w:cs="Times New Roman"/>
                      <w:sz w:val="21"/>
                      <w:szCs w:val="21"/>
                    </w:rPr>
                    <w:t>容器</w:t>
                  </w:r>
                </w:p>
              </w:tc>
              <w:tc>
                <w:tcPr>
                  <w:tcW w:w="1928" w:type="pct"/>
                  <w:vAlign w:val="center"/>
                </w:tcPr>
                <w:p>
                  <w:pPr>
                    <w:spacing w:line="240" w:lineRule="auto"/>
                    <w:ind w:firstLine="0" w:firstLineChars="0"/>
                    <w:jc w:val="center"/>
                    <w:rPr>
                      <w:rFonts w:cs="Times New Roman"/>
                      <w:sz w:val="21"/>
                      <w:szCs w:val="21"/>
                    </w:rPr>
                  </w:pPr>
                  <w:r>
                    <w:rPr>
                      <w:rFonts w:cs="Times New Roman"/>
                      <w:sz w:val="21"/>
                      <w:szCs w:val="21"/>
                    </w:rPr>
                    <w:drawing>
                      <wp:inline distT="0" distB="0" distL="0" distR="0">
                        <wp:extent cx="1970405" cy="1970405"/>
                        <wp:effectExtent l="0" t="0" r="10795" b="10795"/>
                        <wp:docPr id="11" name="图片 11" descr="f019db8573dcdbf680efac9fde3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19db8573dcdbf680efac9fde367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70689" cy="1970689"/>
                                </a:xfrm>
                                <a:prstGeom prst="rect">
                                  <a:avLst/>
                                </a:prstGeom>
                                <a:noFill/>
                                <a:ln>
                                  <a:noFill/>
                                </a:ln>
                              </pic:spPr>
                            </pic:pic>
                          </a:graphicData>
                        </a:graphic>
                      </wp:inline>
                    </w:drawing>
                  </w:r>
                </w:p>
              </w:tc>
              <w:tc>
                <w:tcPr>
                  <w:tcW w:w="2708" w:type="pct"/>
                  <w:vAlign w:val="center"/>
                </w:tcPr>
                <w:p>
                  <w:pPr>
                    <w:spacing w:line="300" w:lineRule="exact"/>
                    <w:ind w:firstLine="0" w:firstLineChars="0"/>
                    <w:rPr>
                      <w:rFonts w:cs="Times New Roman"/>
                      <w:sz w:val="21"/>
                      <w:szCs w:val="21"/>
                    </w:rPr>
                  </w:pPr>
                  <w:r>
                    <w:rPr>
                      <w:rFonts w:hint="eastAsia" w:cs="Times New Roman"/>
                      <w:sz w:val="21"/>
                      <w:szCs w:val="21"/>
                    </w:rPr>
                    <w:t>1.</w:t>
                  </w:r>
                  <w:r>
                    <w:rPr>
                      <w:rFonts w:cs="Times New Roman"/>
                      <w:sz w:val="21"/>
                      <w:szCs w:val="21"/>
                    </w:rPr>
                    <w:t>危险废物标签背景色应采用醒目的橘黄色，RGB颜色值为</w:t>
                  </w:r>
                  <w:r>
                    <w:rPr>
                      <w:rFonts w:hint="eastAsia" w:cs="Times New Roman"/>
                      <w:sz w:val="21"/>
                      <w:szCs w:val="21"/>
                    </w:rPr>
                    <w:t>（</w:t>
                  </w:r>
                  <w:r>
                    <w:rPr>
                      <w:rFonts w:cs="Times New Roman"/>
                      <w:sz w:val="21"/>
                      <w:szCs w:val="21"/>
                    </w:rPr>
                    <w:t>255,150,0</w:t>
                  </w:r>
                  <w:r>
                    <w:rPr>
                      <w:rFonts w:hint="eastAsia" w:cs="Times New Roman"/>
                      <w:sz w:val="21"/>
                      <w:szCs w:val="21"/>
                    </w:rPr>
                    <w:t>）</w:t>
                  </w:r>
                  <w:r>
                    <w:rPr>
                      <w:rFonts w:cs="Times New Roman"/>
                      <w:sz w:val="21"/>
                      <w:szCs w:val="21"/>
                    </w:rPr>
                    <w:t>。标签边框和字体颜色为黑色，RGB颜色值为</w:t>
                  </w:r>
                  <w:r>
                    <w:rPr>
                      <w:rFonts w:hint="eastAsia" w:cs="Times New Roman"/>
                      <w:sz w:val="21"/>
                      <w:szCs w:val="21"/>
                    </w:rPr>
                    <w:t>（</w:t>
                  </w:r>
                  <w:r>
                    <w:rPr>
                      <w:rFonts w:cs="Times New Roman"/>
                      <w:sz w:val="21"/>
                      <w:szCs w:val="21"/>
                    </w:rPr>
                    <w:t>0,0,0</w:t>
                  </w:r>
                  <w:r>
                    <w:rPr>
                      <w:rFonts w:hint="eastAsia" w:cs="Times New Roman"/>
                      <w:sz w:val="21"/>
                      <w:szCs w:val="21"/>
                    </w:rPr>
                    <w:t>）</w:t>
                  </w:r>
                  <w:r>
                    <w:rPr>
                      <w:rFonts w:cs="Times New Roman"/>
                      <w:sz w:val="21"/>
                      <w:szCs w:val="21"/>
                    </w:rPr>
                    <w:t>。</w:t>
                  </w:r>
                </w:p>
                <w:p>
                  <w:pPr>
                    <w:spacing w:line="300" w:lineRule="exact"/>
                    <w:ind w:firstLine="0" w:firstLineChars="0"/>
                    <w:rPr>
                      <w:rFonts w:cs="Times New Roman"/>
                      <w:sz w:val="21"/>
                      <w:szCs w:val="21"/>
                    </w:rPr>
                  </w:pPr>
                  <w:r>
                    <w:rPr>
                      <w:rFonts w:hint="eastAsia" w:cs="Times New Roman"/>
                      <w:sz w:val="21"/>
                      <w:szCs w:val="21"/>
                    </w:rPr>
                    <w:t>2.</w:t>
                  </w:r>
                  <w:r>
                    <w:rPr>
                      <w:rFonts w:cs="Times New Roman"/>
                      <w:sz w:val="21"/>
                      <w:szCs w:val="21"/>
                    </w:rPr>
                    <w:t>危险废物标签字体宜采用黑体字，其中“危险废物”字样应加粗放大。</w:t>
                  </w:r>
                </w:p>
                <w:p>
                  <w:pPr>
                    <w:spacing w:line="300" w:lineRule="exact"/>
                    <w:ind w:firstLine="0" w:firstLineChars="0"/>
                    <w:rPr>
                      <w:rFonts w:cs="Times New Roman"/>
                      <w:sz w:val="21"/>
                      <w:szCs w:val="21"/>
                    </w:rPr>
                  </w:pPr>
                  <w:r>
                    <w:rPr>
                      <w:rFonts w:hint="eastAsia" w:cs="Times New Roman"/>
                      <w:sz w:val="21"/>
                      <w:szCs w:val="21"/>
                    </w:rPr>
                    <w:t>3.</w:t>
                  </w:r>
                  <w:r>
                    <w:rPr>
                      <w:rFonts w:cs="Times New Roman"/>
                      <w:sz w:val="21"/>
                      <w:szCs w:val="21"/>
                    </w:rPr>
                    <w:t>尺寸</w:t>
                  </w:r>
                  <w:r>
                    <w:rPr>
                      <w:rFonts w:hint="eastAsia" w:cs="Times New Roman"/>
                      <w:sz w:val="21"/>
                      <w:szCs w:val="21"/>
                    </w:rPr>
                    <w:t>：</w:t>
                  </w:r>
                </w:p>
                <w:tbl>
                  <w:tblPr>
                    <w:tblStyle w:val="25"/>
                    <w:tblW w:w="4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4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1748" w:type="pct"/>
                      </w:tcPr>
                      <w:p>
                        <w:pPr>
                          <w:adjustRightInd w:val="0"/>
                          <w:snapToGrid w:val="0"/>
                          <w:spacing w:line="240" w:lineRule="auto"/>
                          <w:ind w:firstLine="0" w:firstLineChars="0"/>
                          <w:jc w:val="center"/>
                          <w:rPr>
                            <w:rFonts w:cs="Times New Roman"/>
                            <w:sz w:val="21"/>
                            <w:szCs w:val="21"/>
                          </w:rPr>
                        </w:pPr>
                        <w:r>
                          <w:rPr>
                            <w:rFonts w:cs="Times New Roman"/>
                            <w:sz w:val="21"/>
                            <w:szCs w:val="21"/>
                          </w:rPr>
                          <w:t>容器或包装物容积（L</w:t>
                        </w:r>
                        <w:r>
                          <w:rPr>
                            <w:rFonts w:hint="eastAsia" w:cs="Times New Roman"/>
                            <w:sz w:val="21"/>
                            <w:szCs w:val="21"/>
                          </w:rPr>
                          <w:t>）</w:t>
                        </w:r>
                      </w:p>
                    </w:tc>
                    <w:tc>
                      <w:tcPr>
                        <w:tcW w:w="1701" w:type="pct"/>
                      </w:tcPr>
                      <w:p>
                        <w:pPr>
                          <w:adjustRightInd w:val="0"/>
                          <w:snapToGrid w:val="0"/>
                          <w:spacing w:line="240" w:lineRule="auto"/>
                          <w:ind w:firstLine="0" w:firstLineChars="0"/>
                          <w:jc w:val="center"/>
                          <w:rPr>
                            <w:rFonts w:cs="Times New Roman"/>
                            <w:sz w:val="21"/>
                            <w:szCs w:val="21"/>
                          </w:rPr>
                        </w:pPr>
                        <w:r>
                          <w:rPr>
                            <w:rFonts w:cs="Times New Roman"/>
                            <w:sz w:val="21"/>
                            <w:szCs w:val="21"/>
                          </w:rPr>
                          <w:t>标签最小尺寸（mm×mm）</w:t>
                        </w:r>
                      </w:p>
                    </w:tc>
                    <w:tc>
                      <w:tcPr>
                        <w:tcW w:w="1550" w:type="pct"/>
                      </w:tcPr>
                      <w:p>
                        <w:pPr>
                          <w:adjustRightInd w:val="0"/>
                          <w:snapToGrid w:val="0"/>
                          <w:spacing w:line="240" w:lineRule="auto"/>
                          <w:ind w:firstLine="0" w:firstLineChars="0"/>
                          <w:jc w:val="center"/>
                          <w:rPr>
                            <w:rFonts w:cs="Times New Roman"/>
                            <w:sz w:val="21"/>
                            <w:szCs w:val="21"/>
                          </w:rPr>
                        </w:pPr>
                        <w:r>
                          <w:rPr>
                            <w:rFonts w:cs="Times New Roman"/>
                            <w:sz w:val="21"/>
                            <w:szCs w:val="21"/>
                          </w:rPr>
                          <w:t>低文字高度（mm）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100×100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＞50</w:t>
                        </w:r>
                        <w:r>
                          <w:rPr>
                            <w:rFonts w:hint="eastAsia" w:cs="Times New Roman"/>
                            <w:kern w:val="0"/>
                            <w:sz w:val="21"/>
                            <w:szCs w:val="21"/>
                          </w:rPr>
                          <w:t>~</w:t>
                        </w:r>
                        <w:r>
                          <w:rPr>
                            <w:rFonts w:cs="Times New Roman"/>
                            <w:kern w:val="0"/>
                            <w:sz w:val="21"/>
                            <w:szCs w:val="21"/>
                          </w:rPr>
                          <w:t>≤450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150×150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trPr>
                    <w:tc>
                      <w:tcPr>
                        <w:tcW w:w="1748"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＞450</w:t>
                        </w:r>
                      </w:p>
                    </w:tc>
                    <w:tc>
                      <w:tcPr>
                        <w:tcW w:w="1701"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200×200</w:t>
                        </w:r>
                      </w:p>
                    </w:tc>
                    <w:tc>
                      <w:tcPr>
                        <w:tcW w:w="1550" w:type="pct"/>
                      </w:tcPr>
                      <w:p>
                        <w:pPr>
                          <w:adjustRightInd w:val="0"/>
                          <w:snapToGrid w:val="0"/>
                          <w:spacing w:line="240" w:lineRule="auto"/>
                          <w:ind w:firstLine="0" w:firstLineChars="0"/>
                          <w:jc w:val="center"/>
                          <w:rPr>
                            <w:rFonts w:cs="Times New Roman"/>
                            <w:kern w:val="0"/>
                            <w:sz w:val="21"/>
                            <w:szCs w:val="21"/>
                          </w:rPr>
                        </w:pPr>
                        <w:r>
                          <w:rPr>
                            <w:rFonts w:cs="Times New Roman"/>
                            <w:kern w:val="0"/>
                            <w:sz w:val="21"/>
                            <w:szCs w:val="21"/>
                          </w:rPr>
                          <w:t>6</w:t>
                        </w:r>
                      </w:p>
                    </w:tc>
                  </w:tr>
                </w:tbl>
                <w:p>
                  <w:pPr>
                    <w:spacing w:line="300" w:lineRule="exact"/>
                    <w:ind w:firstLine="0" w:firstLineChars="0"/>
                    <w:rPr>
                      <w:rFonts w:cs="Times New Roman"/>
                      <w:kern w:val="0"/>
                      <w:sz w:val="21"/>
                      <w:szCs w:val="21"/>
                    </w:rPr>
                  </w:pPr>
                  <w:r>
                    <w:rPr>
                      <w:rFonts w:hint="eastAsia" w:cs="Times New Roman"/>
                      <w:kern w:val="0"/>
                      <w:sz w:val="21"/>
                      <w:szCs w:val="21"/>
                    </w:rPr>
                    <w:t>3.</w:t>
                  </w:r>
                  <w:r>
                    <w:rPr>
                      <w:rFonts w:cs="Times New Roman"/>
                      <w:kern w:val="0"/>
                      <w:sz w:val="21"/>
                      <w:szCs w:val="21"/>
                    </w:rPr>
                    <w:t>材质</w:t>
                  </w:r>
                </w:p>
                <w:p>
                  <w:pPr>
                    <w:spacing w:line="300" w:lineRule="exact"/>
                    <w:ind w:firstLine="0" w:firstLineChars="0"/>
                    <w:rPr>
                      <w:rFonts w:cs="Times New Roman"/>
                      <w:kern w:val="0"/>
                      <w:sz w:val="21"/>
                      <w:szCs w:val="21"/>
                    </w:rPr>
                  </w:pPr>
                  <w:r>
                    <w:rPr>
                      <w:rFonts w:cs="Times New Roman"/>
                      <w:kern w:val="0"/>
                      <w:sz w:val="21"/>
                      <w:szCs w:val="21"/>
                    </w:rPr>
                    <w:t>宜具有一定的耐用性和防水性。标签可采用不干胶印刷品，或印刷品外加防水塑料袋或塑封等。</w:t>
                  </w:r>
                </w:p>
                <w:p>
                  <w:pPr>
                    <w:spacing w:line="300" w:lineRule="exact"/>
                    <w:ind w:firstLine="0" w:firstLineChars="0"/>
                    <w:rPr>
                      <w:rFonts w:cs="Times New Roman"/>
                      <w:kern w:val="0"/>
                      <w:sz w:val="21"/>
                      <w:szCs w:val="21"/>
                    </w:rPr>
                  </w:pPr>
                  <w:r>
                    <w:rPr>
                      <w:rFonts w:hint="eastAsia" w:cs="Times New Roman"/>
                      <w:kern w:val="0"/>
                      <w:sz w:val="21"/>
                      <w:szCs w:val="21"/>
                    </w:rPr>
                    <w:t>4.</w:t>
                  </w:r>
                  <w:r>
                    <w:rPr>
                      <w:rFonts w:cs="Times New Roman"/>
                      <w:kern w:val="0"/>
                      <w:sz w:val="21"/>
                      <w:szCs w:val="21"/>
                    </w:rPr>
                    <w:t>印刷</w:t>
                  </w:r>
                </w:p>
                <w:p>
                  <w:pPr>
                    <w:spacing w:line="300" w:lineRule="exact"/>
                    <w:ind w:firstLine="0" w:firstLineChars="0"/>
                    <w:rPr>
                      <w:rFonts w:cs="Times New Roman"/>
                      <w:kern w:val="0"/>
                      <w:sz w:val="28"/>
                      <w:szCs w:val="20"/>
                    </w:rPr>
                  </w:pPr>
                  <w:r>
                    <w:rPr>
                      <w:rFonts w:cs="Times New Roman"/>
                      <w:kern w:val="0"/>
                      <w:sz w:val="21"/>
                      <w:szCs w:val="21"/>
                    </w:rPr>
                    <w:t>危险废物标签印刷的油墨应均匀，图案和文字应清晰、完整。危险废物标签的文字边缘宜加黑色边框，边框宽度不小于1mm，边框外宜留不小于3mm的空白。</w:t>
                  </w:r>
                </w:p>
              </w:tc>
            </w:tr>
          </w:tbl>
          <w:p>
            <w:pPr>
              <w:pStyle w:val="24"/>
              <w:adjustRightInd w:val="0"/>
              <w:snapToGrid w:val="0"/>
              <w:spacing w:after="0"/>
            </w:pPr>
            <w:r>
              <w:rPr>
                <w:rFonts w:hint="eastAsia"/>
              </w:rPr>
              <w:t>（</w:t>
            </w:r>
            <w:r>
              <w:t>3</w:t>
            </w:r>
            <w:r>
              <w:rPr>
                <w:rFonts w:hint="eastAsia"/>
              </w:rPr>
              <w:t>）台账管理制度</w:t>
            </w:r>
          </w:p>
          <w:p>
            <w:pPr>
              <w:pStyle w:val="24"/>
              <w:adjustRightInd w:val="0"/>
              <w:snapToGrid w:val="0"/>
              <w:spacing w:after="0"/>
            </w:pPr>
            <w:r>
              <w:rPr>
                <w:rFonts w:hint="eastAsia"/>
              </w:rPr>
              <w:t>①台账录入要及时、准确、清晰，便于查看。</w:t>
            </w:r>
          </w:p>
          <w:p>
            <w:pPr>
              <w:pStyle w:val="24"/>
              <w:adjustRightInd w:val="0"/>
              <w:snapToGrid w:val="0"/>
              <w:spacing w:after="0"/>
            </w:pPr>
            <w:r>
              <w:rPr>
                <w:rFonts w:hint="eastAsia"/>
              </w:rPr>
              <w:t>②台账要专人录入，数据、信息、记录内容要真实，与实际相符。</w:t>
            </w:r>
          </w:p>
          <w:p>
            <w:pPr>
              <w:pStyle w:val="24"/>
              <w:adjustRightInd w:val="0"/>
              <w:snapToGrid w:val="0"/>
              <w:spacing w:after="0"/>
            </w:pPr>
            <w:r>
              <w:rPr>
                <w:rFonts w:hint="eastAsia"/>
              </w:rPr>
              <w:t>③台账要设专人管理，定点存放。无关人员不得随意移动、查看。</w:t>
            </w:r>
          </w:p>
          <w:p>
            <w:pPr>
              <w:pStyle w:val="24"/>
              <w:adjustRightInd w:val="0"/>
              <w:snapToGrid w:val="0"/>
              <w:spacing w:after="0"/>
            </w:pPr>
            <w:r>
              <w:rPr>
                <w:rFonts w:hint="eastAsia"/>
              </w:rPr>
              <w:t>④重要台账必须以纸版与电子版两种形式保存。</w:t>
            </w:r>
          </w:p>
          <w:p>
            <w:pPr>
              <w:pStyle w:val="24"/>
              <w:adjustRightInd w:val="0"/>
              <w:snapToGrid w:val="0"/>
              <w:spacing w:after="0"/>
            </w:pPr>
            <w:r>
              <w:rPr>
                <w:rFonts w:hint="eastAsia"/>
              </w:rPr>
              <w:t>⑤业务部定期对台账数据进行审核，定期检查台账录入内容，确保台账数据的准确性、及时性和完整性。</w:t>
            </w:r>
          </w:p>
          <w:p>
            <w:pPr>
              <w:pStyle w:val="24"/>
              <w:adjustRightInd w:val="0"/>
              <w:snapToGrid w:val="0"/>
              <w:spacing w:after="0"/>
            </w:pPr>
            <w:r>
              <w:rPr>
                <w:rFonts w:hint="eastAsia"/>
              </w:rPr>
              <w:t>⑥安全台账应与其他台账分开放置，由专职安全员亲自管理。所有台账盒签必须统一打印，名称清楚、完整。项目产生的固体废物得到了合理处置或综合利用，不会对周围环境产生影响。</w:t>
            </w:r>
          </w:p>
          <w:p>
            <w:pPr>
              <w:pStyle w:val="24"/>
              <w:adjustRightInd w:val="0"/>
              <w:snapToGrid w:val="0"/>
              <w:spacing w:after="0"/>
            </w:pPr>
            <w:r>
              <w:rPr>
                <w:rFonts w:hint="eastAsia"/>
              </w:rPr>
              <w:t>（</w:t>
            </w:r>
            <w:r>
              <w:t>4</w:t>
            </w:r>
            <w:r>
              <w:rPr>
                <w:rFonts w:hint="eastAsia"/>
              </w:rPr>
              <w:t>）环境管理制度</w:t>
            </w:r>
          </w:p>
          <w:p>
            <w:pPr>
              <w:pStyle w:val="24"/>
              <w:adjustRightInd w:val="0"/>
              <w:snapToGrid w:val="0"/>
              <w:spacing w:after="0"/>
            </w:pPr>
            <w:r>
              <w:rPr>
                <w:rFonts w:hint="eastAsia"/>
              </w:rPr>
              <w:t>一般工业固体废物管理要求：根据《一般工业固废台账管理指南（试行）》中台账记录要求建议建设单位建立电子台账，实现一般工业固体废物管理台账的数字化、信息化。</w:t>
            </w:r>
          </w:p>
          <w:p>
            <w:pPr>
              <w:pStyle w:val="24"/>
              <w:adjustRightInd w:val="0"/>
              <w:snapToGrid w:val="0"/>
              <w:spacing w:after="0"/>
            </w:pPr>
            <w:r>
              <w:rPr>
                <w:rFonts w:hint="eastAsia"/>
              </w:rPr>
              <w:t>①一般工业固体废物管理台账实施分级管理。记录固体废物的基础信息及流向信息、产生、贮存以及自行利用处置的详细信息。</w:t>
            </w:r>
          </w:p>
          <w:p>
            <w:pPr>
              <w:pStyle w:val="24"/>
              <w:adjustRightInd w:val="0"/>
              <w:snapToGrid w:val="0"/>
              <w:spacing w:after="0"/>
            </w:pPr>
            <w:r>
              <w:rPr>
                <w:rFonts w:hint="eastAsia"/>
              </w:rPr>
              <w:t>②根据实际生产运营情况填写固体废物产生信息，如实按月记录固体废物的产生、贮存、利用、处置数量等信息；按批次填写每一批固体废物的出厂以及流向信息。</w:t>
            </w:r>
          </w:p>
          <w:p>
            <w:pPr>
              <w:pStyle w:val="24"/>
              <w:adjustRightInd w:val="0"/>
              <w:snapToGrid w:val="0"/>
              <w:spacing w:after="0"/>
            </w:pPr>
            <w:r>
              <w:rPr>
                <w:rFonts w:hint="eastAsia"/>
              </w:rPr>
              <w:t>③确保每一批次的固体废物来源信息与流向信息、数量信息与人员信息一一对应。对于批次产生的固体废物应按次记录，对于连续产生的固体废物应按日记录。</w:t>
            </w:r>
          </w:p>
          <w:p>
            <w:pPr>
              <w:pStyle w:val="24"/>
              <w:adjustRightInd w:val="0"/>
              <w:snapToGrid w:val="0"/>
              <w:spacing w:after="0"/>
            </w:pPr>
            <w:r>
              <w:rPr>
                <w:rFonts w:hint="eastAsia"/>
              </w:rPr>
              <w:t>④一般工业固体废物管理台账应由专人管理，防止遗失。一般工业固体废物管理台账保存期限不少于5年。</w:t>
            </w:r>
          </w:p>
          <w:p>
            <w:pPr>
              <w:pStyle w:val="24"/>
              <w:adjustRightInd w:val="0"/>
              <w:snapToGrid w:val="0"/>
              <w:spacing w:after="0"/>
            </w:pPr>
            <w:r>
              <w:rPr>
                <w:rFonts w:hint="eastAsia"/>
              </w:rPr>
              <w:t>危险废物管理要求：根据《危险废物管理计划和管理台账制定技术导则》（HJ1259-2022）分类管理要求实行危险废物登记管理。</w:t>
            </w:r>
          </w:p>
          <w:p>
            <w:pPr>
              <w:pStyle w:val="24"/>
              <w:adjustRightInd w:val="0"/>
              <w:snapToGrid w:val="0"/>
              <w:spacing w:after="0"/>
            </w:pPr>
            <w:r>
              <w:rPr>
                <w:rFonts w:hint="eastAsia"/>
              </w:rPr>
              <w:t>⑤按年度制定危险废物管理计划。</w:t>
            </w:r>
          </w:p>
          <w:p>
            <w:pPr>
              <w:pStyle w:val="24"/>
              <w:adjustRightInd w:val="0"/>
              <w:snapToGrid w:val="0"/>
              <w:spacing w:after="0"/>
            </w:pPr>
            <w:r>
              <w:rPr>
                <w:rFonts w:hint="eastAsia"/>
              </w:rPr>
              <w:t>⑥每年3月31日前通过国家危险废物信息管理系统在线填写并提交当年度的危险废物管理计划，由国家危险废物信息管理系统自动生成备案编号和回执，完成备案。</w:t>
            </w:r>
          </w:p>
          <w:p>
            <w:pPr>
              <w:pStyle w:val="24"/>
              <w:adjustRightInd w:val="0"/>
              <w:snapToGrid w:val="0"/>
              <w:spacing w:after="0"/>
            </w:pPr>
            <w:r>
              <w:rPr>
                <w:rFonts w:hint="eastAsia"/>
              </w:rPr>
              <w:t>（</w:t>
            </w:r>
            <w:r>
              <w:t>5</w:t>
            </w:r>
            <w:r>
              <w:rPr>
                <w:rFonts w:hint="eastAsia"/>
              </w:rPr>
              <w:t>）危险废物转移要求：</w:t>
            </w:r>
          </w:p>
          <w:p>
            <w:pPr>
              <w:pStyle w:val="24"/>
              <w:adjustRightInd w:val="0"/>
              <w:snapToGrid w:val="0"/>
              <w:spacing w:after="0"/>
            </w:pPr>
            <w:r>
              <w:rPr>
                <w:rFonts w:hint="eastAsia"/>
              </w:rPr>
              <w:t>危险废物委托有资质单位处置过程必须按照国家《危险废物转移管理办法》（生态 环境部 公安部 交通运输部 部令 第 23号）执行。</w:t>
            </w:r>
          </w:p>
          <w:p>
            <w:pPr>
              <w:pStyle w:val="24"/>
              <w:adjustRightInd w:val="0"/>
              <w:snapToGrid w:val="0"/>
              <w:spacing w:after="0"/>
            </w:pPr>
            <w:r>
              <w:rPr>
                <w:rFonts w:hint="eastAsia"/>
              </w:rPr>
              <w:t>①危险废物转移联单应当根据危险废物管理计划中填报的危险废物转移等备案信息填写、运行。</w:t>
            </w:r>
          </w:p>
          <w:p>
            <w:pPr>
              <w:pStyle w:val="24"/>
              <w:adjustRightInd w:val="0"/>
              <w:snapToGrid w:val="0"/>
              <w:spacing w:after="0"/>
            </w:pPr>
            <w:r>
              <w:rPr>
                <w:rFonts w:hint="eastAsia"/>
              </w:rPr>
              <w:t>②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pPr>
              <w:pStyle w:val="24"/>
              <w:adjustRightInd w:val="0"/>
              <w:snapToGrid w:val="0"/>
              <w:spacing w:after="0"/>
            </w:pPr>
            <w:r>
              <w:rPr>
                <w:rFonts w:hint="eastAsia"/>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pPr>
              <w:pStyle w:val="24"/>
              <w:adjustRightInd w:val="0"/>
              <w:snapToGrid w:val="0"/>
              <w:spacing w:after="0"/>
            </w:pPr>
            <w:r>
              <w:rPr>
                <w:rFonts w:hint="eastAsia"/>
              </w:rPr>
              <w:t>④采用联运方式转移危险废物的，前一承运人和后一承运人应当明确运输交接的时间和地点。后一承运人应当核实危险废物转移联单确定的移出人信息、前一承运人信息及危险废物相关信息。</w:t>
            </w:r>
          </w:p>
          <w:p>
            <w:pPr>
              <w:pStyle w:val="24"/>
              <w:adjustRightInd w:val="0"/>
              <w:snapToGrid w:val="0"/>
              <w:spacing w:after="0"/>
            </w:pPr>
            <w:r>
              <w:rPr>
                <w:rFonts w:hint="eastAsia"/>
              </w:rPr>
              <w:t>⑤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pPr>
              <w:pStyle w:val="24"/>
              <w:adjustRightInd w:val="0"/>
              <w:snapToGrid w:val="0"/>
              <w:spacing w:after="0"/>
            </w:pPr>
            <w:r>
              <w:rPr>
                <w:rFonts w:hint="eastAsia"/>
              </w:rPr>
              <w:t>⑥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pPr>
              <w:pStyle w:val="24"/>
              <w:adjustRightInd w:val="0"/>
              <w:snapToGrid w:val="0"/>
              <w:spacing w:after="0"/>
            </w:pPr>
            <w:r>
              <w:rPr>
                <w:rFonts w:hint="eastAsia"/>
              </w:rPr>
              <w:t>⑦危险废物电子转移联单数据应当在信息系统中至少保存十年。因特殊原因无法运行危险废物电子转移联单的，可以先使用纸质转移联单，并于转移活动完成后十个工作日内在信息系统中补录电子转移联单。</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4.2.4.</w:t>
            </w:r>
            <w:r>
              <w:rPr>
                <w:rFonts w:hint="eastAsia" w:cs="Times New Roman"/>
                <w:b/>
                <w:bCs/>
                <w:snapToGrid w:val="0"/>
                <w:color w:val="000000"/>
                <w:kern w:val="0"/>
                <w:szCs w:val="24"/>
              </w:rPr>
              <w:t>3固废环境影响评价结论</w:t>
            </w:r>
          </w:p>
          <w:p>
            <w:pPr>
              <w:ind w:firstLine="480"/>
            </w:pPr>
            <w:r>
              <w:rPr>
                <w:rFonts w:hint="eastAsia"/>
              </w:rPr>
              <w:t>本项目产生的生活垃圾集中收集至专用垃圾箱，由当地环卫部门统一清运处置；分拣废料作为可回收物集中收集后，定期外售至废品回收站，实现资源化利用；沉淀池沉渣以无机颗粒物为主，无危险特性，性质稳定。经自然晾晒干化后，含水率可降至60%以下，满足入场要求，运送至一般工业固废填埋场进行填埋处置。该方式具有操作简便、能耗低、运行维护成本少等优势。危险废物集中收集后，分区存放于危险废物贮存点，定期交由有危险废物处理资质的单位回收处理，并严格执行危险废物转移联单制度。</w:t>
            </w:r>
          </w:p>
          <w:p>
            <w:pPr>
              <w:ind w:firstLine="480"/>
              <w:textAlignment w:val="auto"/>
              <w:rPr>
                <w:rFonts w:cs="Times New Roman"/>
              </w:rPr>
            </w:pPr>
            <w:r>
              <w:rPr>
                <w:rFonts w:hint="eastAsia"/>
              </w:rPr>
              <w:t>综上，本项目固体废物均得到分类管理与妥善处置，全面落实“减量化、资源化、无害化”原则。在严格落实各项污染防治和管理制度的前提下，固体废物不会对周边环境造成二次污染，环境影响可控，结论可行</w:t>
            </w:r>
            <w:r>
              <w:rPr>
                <w:rFonts w:hint="eastAsia"/>
                <w:color w:val="000000"/>
              </w:rPr>
              <w:t>。</w:t>
            </w:r>
          </w:p>
          <w:p>
            <w:pPr>
              <w:pStyle w:val="3"/>
            </w:pPr>
            <w:r>
              <w:rPr>
                <w:rFonts w:hint="eastAsia"/>
              </w:rPr>
              <w:t>4</w:t>
            </w:r>
            <w:r>
              <w:t>.</w:t>
            </w:r>
            <w:r>
              <w:rPr>
                <w:rFonts w:hint="eastAsia"/>
              </w:rPr>
              <w:t>3地下水、土壤环境影响分析</w:t>
            </w:r>
          </w:p>
          <w:p>
            <w:pPr>
              <w:ind w:firstLine="480"/>
              <w:textAlignment w:val="auto"/>
              <w:rPr>
                <w:rFonts w:cs="Times New Roman"/>
                <w:color w:val="000000"/>
              </w:rPr>
            </w:pPr>
            <w:r>
              <w:rPr>
                <w:rFonts w:cs="Times New Roman"/>
                <w:color w:val="000000"/>
              </w:rPr>
              <w:t>项目选址内和厂界附近均为硬化地面。正常生产</w:t>
            </w:r>
            <w:r>
              <w:rPr>
                <w:rFonts w:hint="eastAsia" w:cs="Times New Roman"/>
                <w:color w:val="000000"/>
              </w:rPr>
              <w:t>情况</w:t>
            </w:r>
            <w:r>
              <w:rPr>
                <w:rFonts w:cs="Times New Roman"/>
                <w:color w:val="000000"/>
              </w:rPr>
              <w:t>下，项目固体废物均置于厂</w:t>
            </w:r>
            <w:r>
              <w:rPr>
                <w:rFonts w:hint="eastAsia" w:cs="Times New Roman"/>
                <w:color w:val="000000"/>
              </w:rPr>
              <w:t>房</w:t>
            </w:r>
            <w:r>
              <w:rPr>
                <w:rFonts w:cs="Times New Roman"/>
                <w:color w:val="000000"/>
              </w:rPr>
              <w:t>内储存，</w:t>
            </w:r>
            <w:r>
              <w:rPr>
                <w:rFonts w:hint="eastAsia" w:cs="Times New Roman"/>
                <w:color w:val="000000"/>
              </w:rPr>
              <w:t>原料堆场篷布遮盖，</w:t>
            </w:r>
            <w:r>
              <w:rPr>
                <w:rFonts w:cs="Times New Roman"/>
                <w:color w:val="000000"/>
              </w:rPr>
              <w:t>不存在露天生产或储存的情况，即不存</w:t>
            </w:r>
            <w:r>
              <w:rPr>
                <w:rFonts w:hint="eastAsia" w:cs="Times New Roman"/>
                <w:color w:val="000000"/>
              </w:rPr>
              <w:t>在</w:t>
            </w:r>
            <w:r>
              <w:rPr>
                <w:rFonts w:cs="Times New Roman"/>
                <w:color w:val="000000"/>
              </w:rPr>
              <w:t>受雨水冲刷、淋溶出污染物的情况。</w:t>
            </w:r>
          </w:p>
          <w:p>
            <w:pPr>
              <w:ind w:firstLine="480"/>
              <w:textAlignment w:val="auto"/>
            </w:pPr>
            <w:r>
              <w:rPr>
                <w:rFonts w:hint="eastAsia"/>
                <w:color w:val="000000"/>
              </w:rPr>
              <w:t>本项目营运过程产生的危险废物均密封包装后存放于危险废物贮存点。此外，项目危险废物贮存点、</w:t>
            </w:r>
            <w:r>
              <w:rPr>
                <w:rFonts w:hint="eastAsia" w:cs="Times New Roman"/>
                <w:color w:val="000000"/>
              </w:rPr>
              <w:t>车间</w:t>
            </w:r>
            <w:r>
              <w:rPr>
                <w:rFonts w:hint="eastAsia"/>
                <w:color w:val="000000"/>
              </w:rPr>
              <w:t>等区域均按要求采取防腐防渗措施，可防止泄漏液体通过地表漫流进入周边水系</w:t>
            </w:r>
            <w:r>
              <w:rPr>
                <w:rFonts w:hint="eastAsia"/>
              </w:rPr>
              <w:t>。</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4.3.1</w:t>
            </w:r>
            <w:r>
              <w:rPr>
                <w:rFonts w:hint="eastAsia" w:cs="Times New Roman"/>
                <w:b/>
                <w:bCs/>
                <w:snapToGrid w:val="0"/>
                <w:color w:val="000000"/>
                <w:kern w:val="0"/>
                <w:szCs w:val="24"/>
              </w:rPr>
              <w:t>源头控制措施</w:t>
            </w:r>
          </w:p>
          <w:p>
            <w:pPr>
              <w:ind w:firstLine="480"/>
              <w:textAlignment w:val="auto"/>
              <w:rPr>
                <w:rFonts w:cs="Times New Roman"/>
                <w:color w:val="000000"/>
              </w:rPr>
            </w:pPr>
            <w:r>
              <w:rPr>
                <w:rFonts w:cs="Times New Roman"/>
                <w:color w:val="000000"/>
              </w:rPr>
              <w:t>（1）按照国家、行业和环保相关规范标准和工艺要求进行相关设备、设施、管道、建（构）筑物的设计和施工；</w:t>
            </w:r>
          </w:p>
          <w:p>
            <w:pPr>
              <w:ind w:firstLine="480"/>
              <w:jc w:val="left"/>
              <w:textAlignment w:val="auto"/>
              <w:rPr>
                <w:rFonts w:cs="Times New Roman"/>
                <w:color w:val="000000"/>
              </w:rPr>
            </w:pPr>
            <w:r>
              <w:rPr>
                <w:rFonts w:cs="Times New Roman"/>
                <w:color w:val="000000"/>
              </w:rPr>
              <w:t>（2）在项目使用过程中应严格按照分区防控措施中相应原则进行防腐防渗处理；</w:t>
            </w:r>
          </w:p>
          <w:p>
            <w:pPr>
              <w:ind w:firstLine="480"/>
              <w:jc w:val="left"/>
              <w:textAlignment w:val="auto"/>
              <w:rPr>
                <w:rFonts w:cs="Times New Roman"/>
                <w:color w:val="000000"/>
              </w:rPr>
            </w:pPr>
            <w:r>
              <w:rPr>
                <w:rFonts w:cs="Times New Roman"/>
                <w:color w:val="000000"/>
              </w:rPr>
              <w:t>（3）对</w:t>
            </w:r>
            <w:r>
              <w:rPr>
                <w:rFonts w:hint="eastAsia" w:cs="Times New Roman"/>
                <w:color w:val="000000"/>
              </w:rPr>
              <w:t>生产车间</w:t>
            </w:r>
            <w:r>
              <w:rPr>
                <w:rFonts w:cs="Times New Roman"/>
                <w:color w:val="000000"/>
              </w:rPr>
              <w:t>、危险废物</w:t>
            </w:r>
            <w:r>
              <w:rPr>
                <w:rFonts w:hint="eastAsia" w:cs="Times New Roman"/>
                <w:snapToGrid w:val="0"/>
                <w:kern w:val="0"/>
                <w:szCs w:val="24"/>
              </w:rPr>
              <w:t>贮存点</w:t>
            </w:r>
            <w:r>
              <w:rPr>
                <w:rFonts w:cs="Times New Roman"/>
                <w:color w:val="000000"/>
              </w:rPr>
              <w:t>地面每日检查，发现裂缝等及时修补；</w:t>
            </w:r>
          </w:p>
          <w:p>
            <w:pPr>
              <w:ind w:firstLine="480"/>
              <w:jc w:val="left"/>
              <w:textAlignment w:val="auto"/>
              <w:rPr>
                <w:rFonts w:cs="Times New Roman"/>
                <w:color w:val="000000"/>
              </w:rPr>
            </w:pPr>
            <w:r>
              <w:rPr>
                <w:rFonts w:cs="Times New Roman"/>
                <w:color w:val="000000"/>
              </w:rPr>
              <w:t>（4）定期检查危险废物贮存容器，定期进行更换，防止老化、锈蚀发生撒漏</w:t>
            </w:r>
          </w:p>
          <w:p>
            <w:pPr>
              <w:ind w:firstLine="480"/>
              <w:jc w:val="left"/>
              <w:textAlignment w:val="auto"/>
              <w:rPr>
                <w:rFonts w:cs="Times New Roman"/>
                <w:color w:val="000000"/>
              </w:rPr>
            </w:pPr>
            <w:r>
              <w:rPr>
                <w:rFonts w:cs="Times New Roman"/>
                <w:color w:val="000000"/>
              </w:rPr>
              <w:t>（5）</w:t>
            </w:r>
            <w:r>
              <w:rPr>
                <w:rFonts w:hint="eastAsia"/>
                <w:color w:val="000000"/>
              </w:rPr>
              <w:t>危险废物贮存点</w:t>
            </w:r>
            <w:r>
              <w:rPr>
                <w:rFonts w:cs="Times New Roman"/>
                <w:color w:val="000000"/>
              </w:rPr>
              <w:t>地面均进行硬化处理，并喷刷环氧地坪漆；</w:t>
            </w:r>
          </w:p>
          <w:p>
            <w:pPr>
              <w:ind w:firstLine="480"/>
              <w:jc w:val="left"/>
              <w:textAlignment w:val="auto"/>
              <w:rPr>
                <w:rFonts w:cs="Times New Roman"/>
                <w:color w:val="000000"/>
              </w:rPr>
            </w:pPr>
            <w:r>
              <w:rPr>
                <w:rFonts w:cs="Times New Roman"/>
                <w:color w:val="000000"/>
              </w:rPr>
              <w:t>（6）定期检测环保设施，防止净化装置损坏导致有毒大气污染物随大气沉降影响土壤环境。通过采用上述源头综合控制措施，可将污染物跑、冒、滴、漏降到最低限度，将渗漏的环境风险事故发生的可能性降低到最低程度</w:t>
            </w:r>
            <w:r>
              <w:rPr>
                <w:rFonts w:hint="eastAsia" w:cs="Times New Roman"/>
                <w:color w:val="000000"/>
              </w:rPr>
              <w:t>。</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4.3.2</w:t>
            </w:r>
            <w:r>
              <w:rPr>
                <w:rFonts w:hint="eastAsia" w:cs="Times New Roman"/>
                <w:b/>
                <w:bCs/>
                <w:snapToGrid w:val="0"/>
                <w:color w:val="000000"/>
                <w:kern w:val="0"/>
                <w:szCs w:val="24"/>
              </w:rPr>
              <w:t>过程控制措施</w:t>
            </w:r>
          </w:p>
          <w:p>
            <w:pPr>
              <w:ind w:firstLine="480"/>
              <w:jc w:val="left"/>
              <w:textAlignment w:val="auto"/>
              <w:rPr>
                <w:rFonts w:cs="Times New Roman"/>
                <w:color w:val="000000"/>
              </w:rPr>
            </w:pPr>
            <w:r>
              <w:rPr>
                <w:rFonts w:cs="Times New Roman"/>
                <w:color w:val="000000"/>
              </w:rPr>
              <w:t>根据《环境影响评价技术导则 土壤环境》（HJ964-2018）及土壤环境影响评价结果，对本建设项目按照相关的技术要求采取过程阻断、污染物削减和分区防控措施。企业应主要阻断污染物与土壤的直接接触，防止污染物进入土壤环境中。本项目应根据拟建布局功能实际情况，分别针对大气沉降影响、垂直入渗途径影响，采取相应的过程防控措施。</w:t>
            </w:r>
          </w:p>
          <w:p>
            <w:pPr>
              <w:ind w:firstLine="480"/>
              <w:jc w:val="left"/>
              <w:textAlignment w:val="auto"/>
              <w:rPr>
                <w:rFonts w:cs="Times New Roman"/>
                <w:color w:val="000000"/>
              </w:rPr>
            </w:pPr>
            <w:r>
              <w:rPr>
                <w:rFonts w:cs="Times New Roman"/>
                <w:color w:val="000000"/>
              </w:rPr>
              <w:t>（1）涉及大气沉降影响的，占地范围内应采取绿化措施，以种植具有较强吸附能力的植物为主；</w:t>
            </w:r>
          </w:p>
          <w:p>
            <w:pPr>
              <w:ind w:firstLine="480"/>
              <w:jc w:val="left"/>
              <w:textAlignment w:val="auto"/>
              <w:rPr>
                <w:rFonts w:cs="Times New Roman"/>
                <w:color w:val="000000"/>
              </w:rPr>
            </w:pPr>
            <w:r>
              <w:rPr>
                <w:rFonts w:cs="Times New Roman"/>
                <w:color w:val="000000"/>
              </w:rPr>
              <w:t>（2）针对</w:t>
            </w:r>
            <w:r>
              <w:rPr>
                <w:rFonts w:hint="eastAsia"/>
                <w:color w:val="000000"/>
              </w:rPr>
              <w:t>危险废物贮存点</w:t>
            </w:r>
            <w:r>
              <w:rPr>
                <w:rFonts w:cs="Times New Roman"/>
                <w:color w:val="000000"/>
              </w:rPr>
              <w:t>等涉及入渗途径影响的，应根据相关标准规范要求，对设备设施采取相应的防渗措施，如地面硬化处理、喷刷环氧地坪漆、设置阻挡围堰等措施，以防止土壤环境污染。</w:t>
            </w:r>
          </w:p>
          <w:p>
            <w:pPr>
              <w:ind w:firstLine="480"/>
              <w:jc w:val="left"/>
              <w:textAlignment w:val="auto"/>
              <w:rPr>
                <w:color w:val="000000"/>
              </w:rPr>
            </w:pPr>
            <w:r>
              <w:rPr>
                <w:rFonts w:cs="Times New Roman"/>
                <w:color w:val="000000"/>
              </w:rPr>
              <w:t>（3）应按上述要求设计实施防渗措施，还应建立定期巡查、检查的制度，及时发现异常或污染，以及结合地下水环境保护措施与对策建立完善的针对风险事故的土壤应急预案，</w:t>
            </w:r>
            <w:r>
              <w:rPr>
                <w:rFonts w:hint="eastAsia"/>
                <w:color w:val="000000"/>
              </w:rPr>
              <w:t>极力避免污染物进入土壤、地下水环境。</w:t>
            </w:r>
          </w:p>
          <w:p>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4.3.3</w:t>
            </w:r>
            <w:r>
              <w:rPr>
                <w:rFonts w:hint="eastAsia" w:cs="Times New Roman"/>
                <w:b/>
                <w:bCs/>
                <w:snapToGrid w:val="0"/>
                <w:color w:val="000000"/>
                <w:kern w:val="0"/>
                <w:szCs w:val="24"/>
              </w:rPr>
              <w:t>分区防控措施</w:t>
            </w:r>
          </w:p>
          <w:p>
            <w:pPr>
              <w:ind w:firstLine="480"/>
            </w:pPr>
            <w:r>
              <w:rPr>
                <w:rFonts w:hint="eastAsia"/>
              </w:rPr>
              <w:t>（</w:t>
            </w:r>
            <w:r>
              <w:t>1</w:t>
            </w:r>
            <w:r>
              <w:rPr>
                <w:rFonts w:hint="eastAsia"/>
              </w:rPr>
              <w:t>）源头控制措施</w:t>
            </w:r>
          </w:p>
          <w:p>
            <w:pPr>
              <w:ind w:firstLine="480"/>
            </w:pPr>
            <w:r>
              <w:rPr>
                <w:rFonts w:hint="eastAsia"/>
              </w:rPr>
              <w:t>①积极推行实施清洁生产，实现各类废物循环利用，减少污染物的排放量；</w:t>
            </w:r>
          </w:p>
          <w:p>
            <w:pPr>
              <w:ind w:firstLine="480"/>
            </w:pPr>
            <w:r>
              <w:rPr>
                <w:rFonts w:hint="eastAsia"/>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pPr>
              <w:ind w:firstLine="480"/>
            </w:pPr>
            <w:r>
              <w:rPr>
                <w:rFonts w:hint="eastAsia"/>
              </w:rPr>
              <w:t>③对工艺、管道、设备、污水储存及处理构筑物采取控制措施，防止污染物的跑、冒、滴、漏，将污染物泄漏的环境风险事故降到最低限度。</w:t>
            </w:r>
          </w:p>
          <w:p>
            <w:pPr>
              <w:ind w:firstLine="480"/>
            </w:pPr>
            <w:r>
              <w:rPr>
                <w:rFonts w:hint="eastAsia"/>
              </w:rPr>
              <w:t>（</w:t>
            </w:r>
            <w:r>
              <w:t>2</w:t>
            </w:r>
            <w:r>
              <w:rPr>
                <w:rFonts w:hint="eastAsia"/>
              </w:rPr>
              <w:t>）分区防控措施</w:t>
            </w:r>
          </w:p>
          <w:p>
            <w:pPr>
              <w:ind w:firstLine="480"/>
              <w:rPr>
                <w:lang w:val="zh-CN" w:bidi="zh-CN"/>
              </w:rPr>
            </w:pPr>
            <w:r>
              <w:rPr>
                <w:rFonts w:hint="eastAsia"/>
                <w:lang w:val="zh-CN" w:bidi="zh-CN"/>
              </w:rPr>
              <w:t>根据物料或者污染物泄漏的途径和生产单元所处的位置，将项目区厂区分为重点防渗区、一般防渗区、简单防渗区。</w:t>
            </w:r>
          </w:p>
          <w:p>
            <w:pPr>
              <w:ind w:firstLine="480"/>
              <w:rPr>
                <w:lang w:val="zh-CN" w:bidi="zh-CN"/>
              </w:rPr>
            </w:pPr>
            <w:r>
              <w:rPr>
                <w:rFonts w:hint="eastAsia"/>
                <w:lang w:val="zh-CN" w:bidi="zh-CN"/>
              </w:rPr>
              <w:t>参照《环境影响评价技术导则 地下水环境》（HJ610-2016）的分区防控措施，根据场地天然包气带防污性能、污染控制难易程度和污染物特性，参照表</w:t>
            </w:r>
            <w:r>
              <w:rPr>
                <w:lang w:val="zh-CN" w:bidi="zh-CN"/>
              </w:rPr>
              <w:t>4-8</w:t>
            </w:r>
            <w:r>
              <w:rPr>
                <w:rFonts w:hint="eastAsia"/>
                <w:lang w:val="zh-CN" w:bidi="zh-CN"/>
              </w:rPr>
              <w:t>对项目厂区提出防渗技术要求。</w:t>
            </w:r>
          </w:p>
          <w:p>
            <w:pPr>
              <w:spacing w:line="240" w:lineRule="auto"/>
              <w:ind w:firstLine="0" w:firstLineChars="0"/>
              <w:jc w:val="center"/>
              <w:rPr>
                <w:b/>
                <w:bCs/>
                <w:sz w:val="21"/>
                <w:szCs w:val="21"/>
                <w:lang w:val="zh-CN"/>
              </w:rPr>
            </w:pPr>
            <w:r>
              <w:rPr>
                <w:rFonts w:hint="eastAsia"/>
                <w:b/>
                <w:bCs/>
                <w:sz w:val="21"/>
                <w:szCs w:val="21"/>
                <w:lang w:val="zh-CN"/>
              </w:rPr>
              <w:t>表4-</w:t>
            </w:r>
            <w:r>
              <w:rPr>
                <w:b/>
                <w:bCs/>
                <w:sz w:val="21"/>
                <w:szCs w:val="21"/>
                <w:lang w:val="zh-CN"/>
              </w:rPr>
              <w:t>8</w:t>
            </w:r>
            <w:r>
              <w:rPr>
                <w:rFonts w:hint="eastAsia"/>
                <w:b/>
                <w:bCs/>
                <w:sz w:val="21"/>
                <w:szCs w:val="21"/>
                <w:lang w:val="zh-CN"/>
              </w:rPr>
              <w:t xml:space="preserve">  地下水污染防渗分区参照表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28" w:type="dxa"/>
                <w:left w:w="0" w:type="dxa"/>
                <w:bottom w:w="28" w:type="dxa"/>
                <w:right w:w="0" w:type="dxa"/>
              </w:tblCellMar>
            </w:tblPr>
            <w:tblGrid>
              <w:gridCol w:w="1438"/>
              <w:gridCol w:w="1408"/>
              <w:gridCol w:w="1123"/>
              <w:gridCol w:w="1725"/>
              <w:gridCol w:w="29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pPr>
                    <w:pStyle w:val="33"/>
                    <w:rPr>
                      <w:snapToGrid w:val="0"/>
                    </w:rPr>
                  </w:pPr>
                  <w:r>
                    <w:rPr>
                      <w:snapToGrid w:val="0"/>
                    </w:rPr>
                    <w:t>防渗分区</w:t>
                  </w:r>
                </w:p>
              </w:tc>
              <w:tc>
                <w:tcPr>
                  <w:tcW w:w="1355" w:type="dxa"/>
                  <w:vAlign w:val="center"/>
                </w:tcPr>
                <w:p>
                  <w:pPr>
                    <w:pStyle w:val="33"/>
                    <w:rPr>
                      <w:snapToGrid w:val="0"/>
                    </w:rPr>
                  </w:pPr>
                  <w:r>
                    <w:rPr>
                      <w:snapToGrid w:val="0"/>
                      <w:spacing w:val="8"/>
                    </w:rPr>
                    <w:t>天</w:t>
                  </w:r>
                  <w:r>
                    <w:rPr>
                      <w:snapToGrid w:val="0"/>
                      <w:spacing w:val="7"/>
                    </w:rPr>
                    <w:t>然包气带</w:t>
                  </w:r>
                  <w:r>
                    <w:rPr>
                      <w:snapToGrid w:val="0"/>
                    </w:rPr>
                    <w:t>防污性能</w:t>
                  </w:r>
                </w:p>
              </w:tc>
              <w:tc>
                <w:tcPr>
                  <w:tcW w:w="1080" w:type="dxa"/>
                  <w:vAlign w:val="center"/>
                </w:tcPr>
                <w:p>
                  <w:pPr>
                    <w:pStyle w:val="33"/>
                    <w:rPr>
                      <w:snapToGrid w:val="0"/>
                    </w:rPr>
                  </w:pPr>
                  <w:r>
                    <w:rPr>
                      <w:snapToGrid w:val="0"/>
                      <w:spacing w:val="7"/>
                    </w:rPr>
                    <w:t>污染控</w:t>
                  </w:r>
                  <w:r>
                    <w:rPr>
                      <w:snapToGrid w:val="0"/>
                      <w:spacing w:val="6"/>
                    </w:rPr>
                    <w:t>制</w:t>
                  </w:r>
                  <w:r>
                    <w:rPr>
                      <w:snapToGrid w:val="0"/>
                      <w:spacing w:val="9"/>
                    </w:rPr>
                    <w:t>难</w:t>
                  </w:r>
                  <w:r>
                    <w:rPr>
                      <w:snapToGrid w:val="0"/>
                      <w:spacing w:val="7"/>
                    </w:rPr>
                    <w:t>易程度</w:t>
                  </w:r>
                </w:p>
              </w:tc>
              <w:tc>
                <w:tcPr>
                  <w:tcW w:w="1660" w:type="dxa"/>
                  <w:vAlign w:val="center"/>
                </w:tcPr>
                <w:p>
                  <w:pPr>
                    <w:pStyle w:val="33"/>
                    <w:rPr>
                      <w:snapToGrid w:val="0"/>
                    </w:rPr>
                  </w:pPr>
                  <w:r>
                    <w:rPr>
                      <w:snapToGrid w:val="0"/>
                      <w:spacing w:val="8"/>
                    </w:rPr>
                    <w:t>污染物类</w:t>
                  </w:r>
                  <w:r>
                    <w:rPr>
                      <w:snapToGrid w:val="0"/>
                      <w:spacing w:val="7"/>
                    </w:rPr>
                    <w:t>型</w:t>
                  </w:r>
                </w:p>
              </w:tc>
              <w:tc>
                <w:tcPr>
                  <w:tcW w:w="2833" w:type="dxa"/>
                  <w:vAlign w:val="center"/>
                </w:tcPr>
                <w:p>
                  <w:pPr>
                    <w:pStyle w:val="33"/>
                    <w:rPr>
                      <w:snapToGrid w:val="0"/>
                    </w:rPr>
                  </w:pPr>
                  <w:r>
                    <w:rPr>
                      <w:snapToGrid w:val="0"/>
                      <w:spacing w:val="6"/>
                    </w:rPr>
                    <w:t>防渗技术要求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restart"/>
                  <w:vAlign w:val="center"/>
                </w:tcPr>
                <w:p>
                  <w:pPr>
                    <w:pStyle w:val="33"/>
                    <w:rPr>
                      <w:snapToGrid w:val="0"/>
                    </w:rPr>
                  </w:pPr>
                  <w:r>
                    <w:rPr>
                      <w:snapToGrid w:val="0"/>
                      <w:spacing w:val="8"/>
                    </w:rPr>
                    <w:t>重点防渗</w:t>
                  </w:r>
                  <w:r>
                    <w:rPr>
                      <w:snapToGrid w:val="0"/>
                      <w:spacing w:val="7"/>
                    </w:rPr>
                    <w:t>区</w:t>
                  </w:r>
                </w:p>
              </w:tc>
              <w:tc>
                <w:tcPr>
                  <w:tcW w:w="1355" w:type="dxa"/>
                  <w:vAlign w:val="center"/>
                </w:tcPr>
                <w:p>
                  <w:pPr>
                    <w:pStyle w:val="33"/>
                    <w:rPr>
                      <w:snapToGrid w:val="0"/>
                    </w:rPr>
                  </w:pPr>
                  <w:r>
                    <w:rPr>
                      <w:snapToGrid w:val="0"/>
                    </w:rPr>
                    <w:t>弱</w:t>
                  </w:r>
                </w:p>
              </w:tc>
              <w:tc>
                <w:tcPr>
                  <w:tcW w:w="1080" w:type="dxa"/>
                  <w:vAlign w:val="center"/>
                </w:tcPr>
                <w:p>
                  <w:pPr>
                    <w:pStyle w:val="33"/>
                    <w:rPr>
                      <w:snapToGrid w:val="0"/>
                    </w:rPr>
                  </w:pPr>
                  <w:r>
                    <w:rPr>
                      <w:snapToGrid w:val="0"/>
                      <w:spacing w:val="1"/>
                    </w:rPr>
                    <w:t>难</w:t>
                  </w:r>
                </w:p>
              </w:tc>
              <w:tc>
                <w:tcPr>
                  <w:tcW w:w="1660" w:type="dxa"/>
                  <w:vMerge w:val="restart"/>
                  <w:vAlign w:val="center"/>
                </w:tcPr>
                <w:p>
                  <w:pPr>
                    <w:pStyle w:val="33"/>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restart"/>
                  <w:vAlign w:val="center"/>
                </w:tcPr>
                <w:p>
                  <w:pPr>
                    <w:pStyle w:val="33"/>
                    <w:rPr>
                      <w:snapToGrid w:val="0"/>
                    </w:rPr>
                  </w:pPr>
                  <w:r>
                    <w:rPr>
                      <w:snapToGrid w:val="0"/>
                      <w:spacing w:val="-14"/>
                    </w:rPr>
                    <w:t>等</w:t>
                  </w:r>
                  <w:r>
                    <w:rPr>
                      <w:snapToGrid w:val="0"/>
                      <w:spacing w:val="-10"/>
                    </w:rPr>
                    <w:t>效黏土防渗层</w:t>
                  </w:r>
                  <w:r>
                    <w:rPr>
                      <w:rFonts w:eastAsia="Times New Roman"/>
                      <w:snapToGrid w:val="0"/>
                      <w:spacing w:val="-10"/>
                    </w:rPr>
                    <w:t>Mb≥6.0m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GB18598</w:t>
                  </w:r>
                  <w:r>
                    <w:rPr>
                      <w:snapToGrid w:val="0"/>
                      <w:spacing w:val="6"/>
                    </w:rPr>
                    <w:t>执</w:t>
                  </w:r>
                  <w:r>
                    <w:rPr>
                      <w:snapToGrid w:val="0"/>
                    </w:rPr>
                    <w:t>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3"/>
                    <w:rPr>
                      <w:snapToGrid w:val="0"/>
                    </w:rPr>
                  </w:pPr>
                </w:p>
              </w:tc>
              <w:tc>
                <w:tcPr>
                  <w:tcW w:w="1355" w:type="dxa"/>
                  <w:vAlign w:val="center"/>
                </w:tcPr>
                <w:p>
                  <w:pPr>
                    <w:pStyle w:val="33"/>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3"/>
                    <w:rPr>
                      <w:snapToGrid w:val="0"/>
                    </w:rPr>
                  </w:pPr>
                  <w:r>
                    <w:rPr>
                      <w:snapToGrid w:val="0"/>
                      <w:spacing w:val="1"/>
                    </w:rPr>
                    <w:t>难</w:t>
                  </w:r>
                </w:p>
              </w:tc>
              <w:tc>
                <w:tcPr>
                  <w:tcW w:w="1660" w:type="dxa"/>
                  <w:vMerge w:val="continue"/>
                  <w:vAlign w:val="center"/>
                </w:tcPr>
                <w:p>
                  <w:pPr>
                    <w:pStyle w:val="33"/>
                    <w:rPr>
                      <w:snapToGrid w:val="0"/>
                    </w:rPr>
                  </w:pPr>
                </w:p>
              </w:tc>
              <w:tc>
                <w:tcPr>
                  <w:tcW w:w="2833" w:type="dxa"/>
                  <w:vMerge w:val="continue"/>
                  <w:vAlign w:val="center"/>
                </w:tcPr>
                <w:p>
                  <w:pPr>
                    <w:pStyle w:val="33"/>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3"/>
                    <w:rPr>
                      <w:snapToGrid w:val="0"/>
                    </w:rPr>
                  </w:pPr>
                </w:p>
              </w:tc>
              <w:tc>
                <w:tcPr>
                  <w:tcW w:w="1355" w:type="dxa"/>
                  <w:vAlign w:val="center"/>
                </w:tcPr>
                <w:p>
                  <w:pPr>
                    <w:pStyle w:val="33"/>
                    <w:rPr>
                      <w:snapToGrid w:val="0"/>
                    </w:rPr>
                  </w:pPr>
                  <w:r>
                    <w:rPr>
                      <w:snapToGrid w:val="0"/>
                    </w:rPr>
                    <w:t>弱</w:t>
                  </w:r>
                </w:p>
              </w:tc>
              <w:tc>
                <w:tcPr>
                  <w:tcW w:w="1080" w:type="dxa"/>
                  <w:vAlign w:val="center"/>
                </w:tcPr>
                <w:p>
                  <w:pPr>
                    <w:pStyle w:val="33"/>
                    <w:rPr>
                      <w:snapToGrid w:val="0"/>
                    </w:rPr>
                  </w:pPr>
                  <w:r>
                    <w:rPr>
                      <w:snapToGrid w:val="0"/>
                    </w:rPr>
                    <w:t>易</w:t>
                  </w:r>
                </w:p>
              </w:tc>
              <w:tc>
                <w:tcPr>
                  <w:tcW w:w="1660" w:type="dxa"/>
                  <w:vMerge w:val="continue"/>
                  <w:vAlign w:val="center"/>
                </w:tcPr>
                <w:p>
                  <w:pPr>
                    <w:pStyle w:val="33"/>
                    <w:rPr>
                      <w:snapToGrid w:val="0"/>
                    </w:rPr>
                  </w:pPr>
                </w:p>
              </w:tc>
              <w:tc>
                <w:tcPr>
                  <w:tcW w:w="2833" w:type="dxa"/>
                  <w:vMerge w:val="continue"/>
                  <w:vAlign w:val="center"/>
                </w:tcPr>
                <w:p>
                  <w:pPr>
                    <w:pStyle w:val="33"/>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restart"/>
                  <w:vAlign w:val="center"/>
                </w:tcPr>
                <w:p>
                  <w:pPr>
                    <w:pStyle w:val="33"/>
                    <w:rPr>
                      <w:snapToGrid w:val="0"/>
                    </w:rPr>
                  </w:pPr>
                  <w:r>
                    <w:rPr>
                      <w:snapToGrid w:val="0"/>
                      <w:spacing w:val="9"/>
                    </w:rPr>
                    <w:t>一</w:t>
                  </w:r>
                  <w:r>
                    <w:rPr>
                      <w:snapToGrid w:val="0"/>
                      <w:spacing w:val="7"/>
                    </w:rPr>
                    <w:t>般防渗区</w:t>
                  </w:r>
                </w:p>
              </w:tc>
              <w:tc>
                <w:tcPr>
                  <w:tcW w:w="1355" w:type="dxa"/>
                  <w:vAlign w:val="center"/>
                </w:tcPr>
                <w:p>
                  <w:pPr>
                    <w:pStyle w:val="33"/>
                    <w:rPr>
                      <w:snapToGrid w:val="0"/>
                    </w:rPr>
                  </w:pPr>
                  <w:r>
                    <w:rPr>
                      <w:snapToGrid w:val="0"/>
                    </w:rPr>
                    <w:t>弱</w:t>
                  </w:r>
                </w:p>
              </w:tc>
              <w:tc>
                <w:tcPr>
                  <w:tcW w:w="1080" w:type="dxa"/>
                  <w:vAlign w:val="center"/>
                </w:tcPr>
                <w:p>
                  <w:pPr>
                    <w:pStyle w:val="33"/>
                    <w:rPr>
                      <w:snapToGrid w:val="0"/>
                    </w:rPr>
                  </w:pPr>
                  <w:r>
                    <w:rPr>
                      <w:snapToGrid w:val="0"/>
                      <w:spacing w:val="-6"/>
                    </w:rPr>
                    <w:t>易</w:t>
                  </w:r>
                  <w:r>
                    <w:rPr>
                      <w:rFonts w:eastAsia="Times New Roman"/>
                      <w:snapToGrid w:val="0"/>
                      <w:spacing w:val="-6"/>
                    </w:rPr>
                    <w:t>-</w:t>
                  </w:r>
                  <w:r>
                    <w:rPr>
                      <w:snapToGrid w:val="0"/>
                      <w:spacing w:val="-6"/>
                    </w:rPr>
                    <w:t>难</w:t>
                  </w:r>
                </w:p>
              </w:tc>
              <w:tc>
                <w:tcPr>
                  <w:tcW w:w="1660" w:type="dxa"/>
                  <w:vMerge w:val="restart"/>
                  <w:vAlign w:val="center"/>
                </w:tcPr>
                <w:p>
                  <w:pPr>
                    <w:pStyle w:val="33"/>
                    <w:rPr>
                      <w:snapToGrid w:val="0"/>
                    </w:rPr>
                  </w:pPr>
                  <w:r>
                    <w:rPr>
                      <w:snapToGrid w:val="0"/>
                      <w:spacing w:val="7"/>
                    </w:rPr>
                    <w:t>其他类型</w:t>
                  </w:r>
                </w:p>
              </w:tc>
              <w:tc>
                <w:tcPr>
                  <w:tcW w:w="2833" w:type="dxa"/>
                  <w:vMerge w:val="restart"/>
                  <w:vAlign w:val="center"/>
                </w:tcPr>
                <w:p>
                  <w:pPr>
                    <w:pStyle w:val="33"/>
                    <w:rPr>
                      <w:snapToGrid w:val="0"/>
                    </w:rPr>
                  </w:pPr>
                  <w:r>
                    <w:rPr>
                      <w:snapToGrid w:val="0"/>
                      <w:spacing w:val="-14"/>
                    </w:rPr>
                    <w:t>等</w:t>
                  </w:r>
                  <w:r>
                    <w:rPr>
                      <w:snapToGrid w:val="0"/>
                      <w:spacing w:val="-10"/>
                    </w:rPr>
                    <w:t>效黏土防渗层</w:t>
                  </w:r>
                  <w:r>
                    <w:rPr>
                      <w:rFonts w:eastAsia="Times New Roman"/>
                      <w:snapToGrid w:val="0"/>
                      <w:spacing w:val="-10"/>
                    </w:rPr>
                    <w:t>Mb≥1.5m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GB16889</w:t>
                  </w:r>
                  <w:r>
                    <w:rPr>
                      <w:snapToGrid w:val="0"/>
                      <w:spacing w:val="6"/>
                    </w:rPr>
                    <w:t>执</w:t>
                  </w:r>
                  <w:r>
                    <w:rPr>
                      <w:snapToGrid w:val="0"/>
                    </w:rPr>
                    <w:t>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continue"/>
                  <w:vAlign w:val="center"/>
                </w:tcPr>
                <w:p>
                  <w:pPr>
                    <w:pStyle w:val="33"/>
                    <w:rPr>
                      <w:snapToGrid w:val="0"/>
                    </w:rPr>
                  </w:pPr>
                </w:p>
              </w:tc>
              <w:tc>
                <w:tcPr>
                  <w:tcW w:w="1355" w:type="dxa"/>
                  <w:vAlign w:val="center"/>
                </w:tcPr>
                <w:p>
                  <w:pPr>
                    <w:pStyle w:val="33"/>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3"/>
                    <w:rPr>
                      <w:snapToGrid w:val="0"/>
                    </w:rPr>
                  </w:pPr>
                  <w:r>
                    <w:rPr>
                      <w:snapToGrid w:val="0"/>
                      <w:spacing w:val="1"/>
                    </w:rPr>
                    <w:t>难</w:t>
                  </w:r>
                </w:p>
              </w:tc>
              <w:tc>
                <w:tcPr>
                  <w:tcW w:w="1660" w:type="dxa"/>
                  <w:vMerge w:val="continue"/>
                  <w:vAlign w:val="center"/>
                </w:tcPr>
                <w:p>
                  <w:pPr>
                    <w:pStyle w:val="33"/>
                    <w:rPr>
                      <w:snapToGrid w:val="0"/>
                    </w:rPr>
                  </w:pPr>
                </w:p>
              </w:tc>
              <w:tc>
                <w:tcPr>
                  <w:tcW w:w="2833" w:type="dxa"/>
                  <w:vMerge w:val="continue"/>
                  <w:vAlign w:val="center"/>
                </w:tcPr>
                <w:p>
                  <w:pPr>
                    <w:pStyle w:val="33"/>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pPr>
                    <w:pStyle w:val="33"/>
                    <w:rPr>
                      <w:snapToGrid w:val="0"/>
                    </w:rPr>
                  </w:pPr>
                </w:p>
              </w:tc>
              <w:tc>
                <w:tcPr>
                  <w:tcW w:w="1355" w:type="dxa"/>
                  <w:vAlign w:val="center"/>
                </w:tcPr>
                <w:p>
                  <w:pPr>
                    <w:pStyle w:val="33"/>
                    <w:rPr>
                      <w:snapToGrid w:val="0"/>
                    </w:rPr>
                  </w:pPr>
                  <w:r>
                    <w:rPr>
                      <w:snapToGrid w:val="0"/>
                    </w:rPr>
                    <w:t>中</w:t>
                  </w:r>
                </w:p>
              </w:tc>
              <w:tc>
                <w:tcPr>
                  <w:tcW w:w="1080" w:type="dxa"/>
                  <w:vAlign w:val="center"/>
                </w:tcPr>
                <w:p>
                  <w:pPr>
                    <w:pStyle w:val="33"/>
                    <w:rPr>
                      <w:snapToGrid w:val="0"/>
                    </w:rPr>
                  </w:pPr>
                  <w:r>
                    <w:rPr>
                      <w:snapToGrid w:val="0"/>
                    </w:rPr>
                    <w:t>易</w:t>
                  </w:r>
                </w:p>
              </w:tc>
              <w:tc>
                <w:tcPr>
                  <w:tcW w:w="1660" w:type="dxa"/>
                  <w:vMerge w:val="restart"/>
                  <w:vAlign w:val="center"/>
                </w:tcPr>
                <w:p>
                  <w:pPr>
                    <w:pStyle w:val="33"/>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continue"/>
                  <w:vAlign w:val="center"/>
                </w:tcPr>
                <w:p>
                  <w:pPr>
                    <w:pStyle w:val="33"/>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continue"/>
                  <w:vAlign w:val="center"/>
                </w:tcPr>
                <w:p>
                  <w:pPr>
                    <w:pStyle w:val="33"/>
                    <w:rPr>
                      <w:snapToGrid w:val="0"/>
                    </w:rPr>
                  </w:pPr>
                </w:p>
              </w:tc>
              <w:tc>
                <w:tcPr>
                  <w:tcW w:w="1355" w:type="dxa"/>
                  <w:vAlign w:val="center"/>
                </w:tcPr>
                <w:p>
                  <w:pPr>
                    <w:pStyle w:val="33"/>
                    <w:rPr>
                      <w:snapToGrid w:val="0"/>
                    </w:rPr>
                  </w:pPr>
                  <w:r>
                    <w:rPr>
                      <w:snapToGrid w:val="0"/>
                    </w:rPr>
                    <w:t>强</w:t>
                  </w:r>
                </w:p>
              </w:tc>
              <w:tc>
                <w:tcPr>
                  <w:tcW w:w="1080" w:type="dxa"/>
                  <w:vAlign w:val="center"/>
                </w:tcPr>
                <w:p>
                  <w:pPr>
                    <w:pStyle w:val="33"/>
                    <w:rPr>
                      <w:snapToGrid w:val="0"/>
                    </w:rPr>
                  </w:pPr>
                  <w:r>
                    <w:rPr>
                      <w:snapToGrid w:val="0"/>
                    </w:rPr>
                    <w:t>易</w:t>
                  </w:r>
                </w:p>
              </w:tc>
              <w:tc>
                <w:tcPr>
                  <w:tcW w:w="1660" w:type="dxa"/>
                  <w:vMerge w:val="continue"/>
                  <w:vAlign w:val="center"/>
                </w:tcPr>
                <w:p>
                  <w:pPr>
                    <w:pStyle w:val="33"/>
                    <w:rPr>
                      <w:snapToGrid w:val="0"/>
                    </w:rPr>
                  </w:pPr>
                </w:p>
              </w:tc>
              <w:tc>
                <w:tcPr>
                  <w:tcW w:w="2833" w:type="dxa"/>
                  <w:vMerge w:val="continue"/>
                  <w:vAlign w:val="center"/>
                </w:tcPr>
                <w:p>
                  <w:pPr>
                    <w:pStyle w:val="33"/>
                    <w:rPr>
                      <w:snapToGrid w:val="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pPr>
                    <w:pStyle w:val="33"/>
                    <w:rPr>
                      <w:snapToGrid w:val="0"/>
                    </w:rPr>
                  </w:pPr>
                  <w:r>
                    <w:rPr>
                      <w:snapToGrid w:val="0"/>
                      <w:spacing w:val="8"/>
                    </w:rPr>
                    <w:t>简</w:t>
                  </w:r>
                  <w:r>
                    <w:rPr>
                      <w:snapToGrid w:val="0"/>
                      <w:spacing w:val="7"/>
                    </w:rPr>
                    <w:t>单防渗区</w:t>
                  </w:r>
                </w:p>
              </w:tc>
              <w:tc>
                <w:tcPr>
                  <w:tcW w:w="1355" w:type="dxa"/>
                  <w:vAlign w:val="center"/>
                </w:tcPr>
                <w:p>
                  <w:pPr>
                    <w:pStyle w:val="33"/>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pPr>
                    <w:pStyle w:val="33"/>
                    <w:rPr>
                      <w:snapToGrid w:val="0"/>
                    </w:rPr>
                  </w:pPr>
                  <w:r>
                    <w:rPr>
                      <w:snapToGrid w:val="0"/>
                    </w:rPr>
                    <w:t>易</w:t>
                  </w:r>
                </w:p>
              </w:tc>
              <w:tc>
                <w:tcPr>
                  <w:tcW w:w="1660" w:type="dxa"/>
                  <w:vAlign w:val="center"/>
                </w:tcPr>
                <w:p>
                  <w:pPr>
                    <w:pStyle w:val="33"/>
                    <w:rPr>
                      <w:snapToGrid w:val="0"/>
                    </w:rPr>
                  </w:pPr>
                  <w:r>
                    <w:rPr>
                      <w:snapToGrid w:val="0"/>
                      <w:spacing w:val="-2"/>
                    </w:rPr>
                    <w:t>其</w:t>
                  </w:r>
                  <w:r>
                    <w:rPr>
                      <w:snapToGrid w:val="0"/>
                      <w:spacing w:val="-1"/>
                    </w:rPr>
                    <w:t>他类型</w:t>
                  </w:r>
                </w:p>
              </w:tc>
              <w:tc>
                <w:tcPr>
                  <w:tcW w:w="2833" w:type="dxa"/>
                  <w:vAlign w:val="center"/>
                </w:tcPr>
                <w:p>
                  <w:pPr>
                    <w:pStyle w:val="33"/>
                    <w:rPr>
                      <w:snapToGrid w:val="0"/>
                    </w:rPr>
                  </w:pPr>
                  <w:r>
                    <w:rPr>
                      <w:snapToGrid w:val="0"/>
                      <w:spacing w:val="-2"/>
                    </w:rPr>
                    <w:t>一般地面硬</w:t>
                  </w:r>
                  <w:r>
                    <w:rPr>
                      <w:snapToGrid w:val="0"/>
                      <w:spacing w:val="-1"/>
                    </w:rPr>
                    <w:t>化</w:t>
                  </w:r>
                </w:p>
              </w:tc>
            </w:tr>
          </w:tbl>
          <w:p>
            <w:pPr>
              <w:ind w:firstLine="536"/>
              <w:rPr>
                <w:snapToGrid w:val="0"/>
              </w:rPr>
            </w:pPr>
            <w:r>
              <w:rPr>
                <w:snapToGrid w:val="0"/>
                <w:spacing w:val="14"/>
              </w:rPr>
              <w:t>根据《</w:t>
            </w:r>
            <w:r>
              <w:rPr>
                <w:snapToGrid w:val="0"/>
              </w:rPr>
              <w:t>环境影响评价技术导则</w:t>
            </w:r>
            <w:r>
              <w:rPr>
                <w:rFonts w:hint="eastAsia"/>
                <w:snapToGrid w:val="0"/>
              </w:rPr>
              <w:t xml:space="preserve"> </w:t>
            </w:r>
            <w:r>
              <w:rPr>
                <w:snapToGrid w:val="0"/>
              </w:rPr>
              <w:t>地下水环境》（</w:t>
            </w:r>
            <w:r>
              <w:rPr>
                <w:rFonts w:eastAsia="Times New Roman"/>
                <w:snapToGrid w:val="0"/>
              </w:rPr>
              <w:t>HJ610-2016</w:t>
            </w:r>
            <w:r>
              <w:rPr>
                <w:snapToGrid w:val="0"/>
              </w:rPr>
              <w:t>）要求，结合本项目的</w:t>
            </w:r>
            <w:r>
              <w:rPr>
                <w:snapToGrid w:val="0"/>
                <w:spacing w:val="16"/>
              </w:rPr>
              <w:t>性</w:t>
            </w:r>
            <w:r>
              <w:rPr>
                <w:snapToGrid w:val="0"/>
              </w:rPr>
              <w:t>质，厂区分区防渗设置如下：</w:t>
            </w:r>
          </w:p>
          <w:p>
            <w:pPr>
              <w:spacing w:line="240" w:lineRule="auto"/>
              <w:ind w:firstLine="0" w:firstLineChars="0"/>
              <w:jc w:val="center"/>
              <w:textAlignment w:val="auto"/>
              <w:rPr>
                <w:b/>
                <w:bCs/>
                <w:sz w:val="21"/>
                <w:szCs w:val="21"/>
              </w:rPr>
            </w:pPr>
            <w:r>
              <w:rPr>
                <w:rFonts w:hint="eastAsia"/>
                <w:b/>
                <w:bCs/>
                <w:sz w:val="21"/>
                <w:szCs w:val="21"/>
              </w:rPr>
              <w:t>表4-</w:t>
            </w:r>
            <w:r>
              <w:rPr>
                <w:b/>
                <w:bCs/>
                <w:sz w:val="21"/>
                <w:szCs w:val="21"/>
              </w:rPr>
              <w:t xml:space="preserve">9  </w:t>
            </w:r>
            <w:r>
              <w:rPr>
                <w:rFonts w:hint="eastAsia"/>
                <w:b/>
                <w:bCs/>
                <w:color w:val="000000" w:themeColor="text1"/>
                <w:sz w:val="21"/>
                <w:szCs w:val="21"/>
                <w:lang w:val="zh-CN"/>
                <w14:textFill>
                  <w14:solidFill>
                    <w14:schemeClr w14:val="tx1"/>
                  </w14:solidFill>
                </w14:textFill>
              </w:rPr>
              <w:t>工程防渗措施要求一览表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664"/>
              <w:gridCol w:w="3819"/>
              <w:gridCol w:w="16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4"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防渗分区</w:t>
                  </w:r>
                </w:p>
              </w:tc>
              <w:tc>
                <w:tcPr>
                  <w:tcW w:w="963"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防渗区域</w:t>
                  </w:r>
                </w:p>
              </w:tc>
              <w:tc>
                <w:tcPr>
                  <w:tcW w:w="2210"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防渗要求</w:t>
                  </w:r>
                </w:p>
              </w:tc>
              <w:tc>
                <w:tcPr>
                  <w:tcW w:w="933" w:type="pct"/>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重点防渗区</w:t>
                  </w:r>
                </w:p>
              </w:tc>
              <w:tc>
                <w:tcPr>
                  <w:tcW w:w="963" w:type="pct"/>
                  <w:vAlign w:val="center"/>
                </w:tcPr>
                <w:p>
                  <w:pPr>
                    <w:spacing w:line="240" w:lineRule="auto"/>
                    <w:ind w:firstLine="0" w:firstLineChars="0"/>
                    <w:jc w:val="center"/>
                    <w:textAlignment w:val="auto"/>
                    <w:rPr>
                      <w:rFonts w:cs="Times New Roman"/>
                      <w:sz w:val="21"/>
                      <w:szCs w:val="21"/>
                    </w:rPr>
                  </w:pPr>
                  <w:r>
                    <w:rPr>
                      <w:rFonts w:hint="eastAsia"/>
                      <w:sz w:val="21"/>
                      <w:szCs w:val="21"/>
                    </w:rPr>
                    <w:t>危险废物贮存点</w:t>
                  </w:r>
                </w:p>
              </w:tc>
              <w:tc>
                <w:tcPr>
                  <w:tcW w:w="2210" w:type="pct"/>
                  <w:vAlign w:val="center"/>
                </w:tcPr>
                <w:p>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w:t>
                  </w:r>
                  <w:r>
                    <w:rPr>
                      <w:rFonts w:hint="eastAsia" w:ascii="宋体" w:hAnsi="宋体" w:cs="宋体"/>
                      <w:snapToGrid w:val="0"/>
                      <w:kern w:val="0"/>
                      <w:sz w:val="21"/>
                      <w:szCs w:val="24"/>
                    </w:rPr>
                    <w:t>≧</w:t>
                  </w:r>
                  <w:r>
                    <w:rPr>
                      <w:rFonts w:cs="Times New Roman"/>
                      <w:snapToGrid w:val="0"/>
                      <w:kern w:val="0"/>
                      <w:sz w:val="21"/>
                      <w:szCs w:val="24"/>
                    </w:rPr>
                    <w:t>6.0m，K≤1.0×10</w:t>
                  </w:r>
                  <w:r>
                    <w:rPr>
                      <w:rFonts w:cs="Times New Roman"/>
                      <w:snapToGrid w:val="0"/>
                      <w:kern w:val="0"/>
                      <w:sz w:val="21"/>
                      <w:szCs w:val="24"/>
                      <w:vertAlign w:val="superscript"/>
                    </w:rPr>
                    <w:t>-7</w:t>
                  </w:r>
                  <w:r>
                    <w:rPr>
                      <w:rFonts w:cs="Times New Roman"/>
                      <w:snapToGrid w:val="0"/>
                      <w:kern w:val="0"/>
                      <w:sz w:val="21"/>
                      <w:szCs w:val="24"/>
                    </w:rPr>
                    <w:t>cm/s；或参照GB18598执行</w:t>
                  </w:r>
                </w:p>
              </w:tc>
              <w:tc>
                <w:tcPr>
                  <w:tcW w:w="933" w:type="pct"/>
                  <w:vMerge w:val="restart"/>
                  <w:vAlign w:val="center"/>
                </w:tcPr>
                <w:p>
                  <w:pPr>
                    <w:spacing w:line="240" w:lineRule="auto"/>
                    <w:ind w:firstLine="0" w:firstLineChars="0"/>
                    <w:textAlignment w:val="auto"/>
                    <w:rPr>
                      <w:rFonts w:cs="Times New Roman"/>
                      <w:sz w:val="21"/>
                      <w:szCs w:val="21"/>
                    </w:rPr>
                  </w:pPr>
                  <w:r>
                    <w:rPr>
                      <w:rFonts w:cs="Times New Roman"/>
                      <w:snapToGrid w:val="0"/>
                      <w:kern w:val="0"/>
                      <w:sz w:val="21"/>
                      <w:szCs w:val="24"/>
                    </w:rPr>
                    <w:t>《环境影响评价技术导则 地下水环境》</w:t>
                  </w:r>
                  <w:r>
                    <w:rPr>
                      <w:rFonts w:hint="eastAsia" w:cs="Times New Roman"/>
                      <w:snapToGrid w:val="0"/>
                      <w:kern w:val="0"/>
                      <w:sz w:val="21"/>
                      <w:szCs w:val="24"/>
                    </w:rPr>
                    <w:t>（</w:t>
                  </w:r>
                  <w:r>
                    <w:rPr>
                      <w:rFonts w:cs="Times New Roman"/>
                      <w:snapToGrid w:val="0"/>
                      <w:kern w:val="0"/>
                      <w:sz w:val="21"/>
                      <w:szCs w:val="24"/>
                    </w:rPr>
                    <w:t>HJ610-2016</w:t>
                  </w:r>
                  <w:r>
                    <w:rPr>
                      <w:rFonts w:hint="eastAsia" w:cs="Times New Roman"/>
                      <w:snapToGrid w:val="0"/>
                      <w:kern w:val="0"/>
                      <w:sz w:val="21"/>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7"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一般防渗区</w:t>
                  </w:r>
                </w:p>
              </w:tc>
              <w:tc>
                <w:tcPr>
                  <w:tcW w:w="963" w:type="pct"/>
                  <w:vAlign w:val="center"/>
                </w:tcPr>
                <w:p>
                  <w:pPr>
                    <w:spacing w:line="240" w:lineRule="auto"/>
                    <w:ind w:firstLine="0" w:firstLineChars="0"/>
                    <w:textAlignment w:val="auto"/>
                    <w:rPr>
                      <w:rFonts w:cs="Times New Roman"/>
                      <w:sz w:val="21"/>
                      <w:szCs w:val="21"/>
                    </w:rPr>
                  </w:pPr>
                  <w:r>
                    <w:rPr>
                      <w:rFonts w:hint="eastAsia" w:cs="Times New Roman"/>
                      <w:sz w:val="21"/>
                      <w:szCs w:val="21"/>
                    </w:rPr>
                    <w:t>生产车间、原料堆场、沉淀池、清洗池</w:t>
                  </w:r>
                </w:p>
              </w:tc>
              <w:tc>
                <w:tcPr>
                  <w:tcW w:w="2210" w:type="pct"/>
                  <w:vAlign w:val="center"/>
                </w:tcPr>
                <w:p>
                  <w:pPr>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等效黏土防渗层Mb≥1.5m，K≤1.0×10</w:t>
                  </w:r>
                  <w:r>
                    <w:rPr>
                      <w:rFonts w:cs="Times New Roman"/>
                      <w:snapToGrid w:val="0"/>
                      <w:kern w:val="0"/>
                      <w:sz w:val="21"/>
                      <w:szCs w:val="24"/>
                      <w:vertAlign w:val="superscript"/>
                    </w:rPr>
                    <w:t>-7</w:t>
                  </w:r>
                  <w:r>
                    <w:rPr>
                      <w:rFonts w:cs="Times New Roman"/>
                      <w:snapToGrid w:val="0"/>
                      <w:kern w:val="0"/>
                      <w:sz w:val="21"/>
                      <w:szCs w:val="24"/>
                    </w:rPr>
                    <w:t>cm/s；或参照GB16889执行</w:t>
                  </w:r>
                </w:p>
              </w:tc>
              <w:tc>
                <w:tcPr>
                  <w:tcW w:w="933" w:type="pct"/>
                  <w:vMerge w:val="continue"/>
                  <w:vAlign w:val="center"/>
                </w:tcPr>
                <w:p>
                  <w:pPr>
                    <w:spacing w:line="240" w:lineRule="auto"/>
                    <w:ind w:firstLine="0" w:firstLineChars="0"/>
                    <w:jc w:val="center"/>
                    <w:textAlignment w:val="auto"/>
                    <w:rPr>
                      <w:rFonts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6" w:hRule="atLeast"/>
                <w:jc w:val="center"/>
              </w:trPr>
              <w:tc>
                <w:tcPr>
                  <w:tcW w:w="892" w:type="pct"/>
                  <w:vAlign w:val="center"/>
                </w:tcPr>
                <w:p>
                  <w:pPr>
                    <w:spacing w:line="240" w:lineRule="auto"/>
                    <w:ind w:firstLine="0" w:firstLineChars="0"/>
                    <w:jc w:val="center"/>
                    <w:textAlignment w:val="auto"/>
                    <w:rPr>
                      <w:rFonts w:cs="Times New Roman"/>
                      <w:sz w:val="21"/>
                      <w:szCs w:val="21"/>
                    </w:rPr>
                  </w:pPr>
                  <w:r>
                    <w:rPr>
                      <w:rFonts w:cs="Times New Roman"/>
                      <w:sz w:val="21"/>
                      <w:szCs w:val="21"/>
                    </w:rPr>
                    <w:t>简单防渗区</w:t>
                  </w:r>
                </w:p>
              </w:tc>
              <w:tc>
                <w:tcPr>
                  <w:tcW w:w="963"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办公生活区</w:t>
                  </w:r>
                </w:p>
              </w:tc>
              <w:tc>
                <w:tcPr>
                  <w:tcW w:w="2210" w:type="pct"/>
                  <w:vAlign w:val="center"/>
                </w:tcPr>
                <w:p>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一般地面硬化</w:t>
                  </w:r>
                </w:p>
              </w:tc>
              <w:tc>
                <w:tcPr>
                  <w:tcW w:w="933" w:type="pct"/>
                  <w:vMerge w:val="continue"/>
                  <w:vAlign w:val="center"/>
                </w:tcPr>
                <w:p>
                  <w:pPr>
                    <w:spacing w:line="240" w:lineRule="auto"/>
                    <w:ind w:firstLine="0" w:firstLineChars="0"/>
                    <w:jc w:val="center"/>
                    <w:textAlignment w:val="auto"/>
                    <w:rPr>
                      <w:rFonts w:cs="Times New Roman"/>
                      <w:sz w:val="21"/>
                      <w:szCs w:val="21"/>
                    </w:rPr>
                  </w:pPr>
                </w:p>
              </w:tc>
            </w:tr>
          </w:tbl>
          <w:p>
            <w:pPr>
              <w:ind w:firstLine="480"/>
              <w:textAlignment w:val="auto"/>
            </w:pPr>
            <w:r>
              <w:rPr>
                <w:rFonts w:hint="eastAsia"/>
              </w:rPr>
              <w:t>由上述措施可知，本项目针对可能造成地下水和土壤污染影响的各途径均进行有效预防，在确保各项防控措施得以落实，并加强环境管理的前提下，可有效杜绝地下水和土壤污染。</w:t>
            </w:r>
          </w:p>
          <w:p>
            <w:pPr>
              <w:ind w:firstLine="480"/>
              <w:textAlignment w:val="auto"/>
            </w:pPr>
            <w:r>
              <w:rPr>
                <w:rFonts w:hint="eastAsia"/>
              </w:rPr>
              <w:t>综上所述，本项目在采取上述防控措施后，可有效防止地下水和土壤的污染。</w:t>
            </w:r>
          </w:p>
          <w:p>
            <w:pPr>
              <w:pStyle w:val="3"/>
            </w:pPr>
            <w:r>
              <w:rPr>
                <w:rFonts w:hint="eastAsia"/>
              </w:rPr>
              <w:t>4</w:t>
            </w:r>
            <w:r>
              <w:t>.4</w:t>
            </w:r>
            <w:r>
              <w:rPr>
                <w:rFonts w:hint="eastAsia"/>
              </w:rPr>
              <w:t>生态环境</w:t>
            </w:r>
          </w:p>
          <w:p>
            <w:pPr>
              <w:ind w:firstLine="480"/>
              <w:textAlignment w:val="auto"/>
            </w:pPr>
            <w:r>
              <w:t>项目占地范围内无生态环境保护目标，无生态环境影响</w:t>
            </w:r>
            <w:r>
              <w:rPr>
                <w:rFonts w:hint="eastAsia"/>
              </w:rPr>
              <w:t>。</w:t>
            </w:r>
          </w:p>
          <w:p>
            <w:pPr>
              <w:pStyle w:val="3"/>
              <w:rPr>
                <w:color w:val="000000" w:themeColor="text1"/>
                <w14:textFill>
                  <w14:solidFill>
                    <w14:schemeClr w14:val="tx1"/>
                  </w14:solidFill>
                </w14:textFill>
              </w:rPr>
            </w:pPr>
            <w:r>
              <w:rPr>
                <w:color w:val="000000" w:themeColor="text1"/>
                <w14:textFill>
                  <w14:solidFill>
                    <w14:schemeClr w14:val="tx1"/>
                  </w14:solidFill>
                </w14:textFill>
              </w:rPr>
              <w:t>4.5</w:t>
            </w:r>
            <w:r>
              <w:rPr>
                <w:rFonts w:hint="eastAsia"/>
                <w:color w:val="000000" w:themeColor="text1"/>
                <w14:textFill>
                  <w14:solidFill>
                    <w14:schemeClr w14:val="tx1"/>
                  </w14:solidFill>
                </w14:textFill>
              </w:rPr>
              <w:t>环境风险</w:t>
            </w:r>
          </w:p>
          <w:p>
            <w:pPr>
              <w:pStyle w:val="3"/>
              <w:rPr>
                <w:rFonts w:cs="Times New Roman"/>
              </w:rPr>
            </w:pPr>
            <w:r>
              <w:rPr>
                <w:rFonts w:cs="Times New Roman"/>
              </w:rPr>
              <w:t>4.5.1</w:t>
            </w:r>
            <w:r>
              <w:rPr>
                <w:rFonts w:hint="eastAsia"/>
              </w:rPr>
              <w:t>风险调查</w:t>
            </w:r>
          </w:p>
          <w:p>
            <w:pPr>
              <w:ind w:firstLine="480"/>
              <w:rPr>
                <w:rFonts w:cs="Times New Roman"/>
              </w:rPr>
            </w:pPr>
            <w:r>
              <w:rPr>
                <w:rFonts w:cs="Times New Roman"/>
              </w:rPr>
              <w:t>（1）建设项目风险源调查</w:t>
            </w:r>
          </w:p>
          <w:p>
            <w:pPr>
              <w:ind w:firstLine="480"/>
              <w:rPr>
                <w:rFonts w:cs="Times New Roman"/>
              </w:rPr>
            </w:pPr>
            <w:r>
              <w:rPr>
                <w:rFonts w:cs="Times New Roman"/>
              </w:rPr>
              <w:t>对照《建设项目环境风险评价技术导则》（HJ169-2018）附录B，本项目生产、使用、</w:t>
            </w:r>
            <w:r>
              <w:rPr>
                <w:rFonts w:hint="eastAsia"/>
              </w:rPr>
              <w:t>贮存</w:t>
            </w:r>
            <w:r>
              <w:rPr>
                <w:rFonts w:cs="Times New Roman"/>
              </w:rPr>
              <w:t>过程中涉及的危险物质数量与临界量的比值Q见下表。</w:t>
            </w:r>
          </w:p>
          <w:p>
            <w:pPr>
              <w:ind w:firstLine="480"/>
              <w:rPr>
                <w:rFonts w:cs="Times New Roman"/>
              </w:rPr>
            </w:pPr>
            <w:r>
              <w:rPr>
                <w:rFonts w:cs="Times New Roman"/>
              </w:rPr>
              <w:t>（2）环境敏感目标调查</w:t>
            </w:r>
          </w:p>
          <w:p>
            <w:pPr>
              <w:ind w:firstLine="480"/>
              <w:rPr>
                <w:rFonts w:cs="Times New Roman"/>
              </w:rPr>
            </w:pPr>
            <w:r>
              <w:rPr>
                <w:rFonts w:cs="Times New Roman"/>
              </w:rPr>
              <w:t>本项目环境风险评价范围内无自然保护区、风景名胜区、水源地等环境风险敏感目标。</w:t>
            </w:r>
          </w:p>
          <w:p>
            <w:pPr>
              <w:keepNext/>
              <w:keepLines/>
              <w:spacing w:before="120" w:after="60" w:line="240" w:lineRule="auto"/>
              <w:ind w:firstLine="0" w:firstLineChars="0"/>
              <w:outlineLvl w:val="1"/>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4.</w:t>
            </w:r>
            <w:r>
              <w:rPr>
                <w:b/>
                <w:color w:val="000000" w:themeColor="text1"/>
                <w:kern w:val="0"/>
                <w14:textFill>
                  <w14:solidFill>
                    <w14:schemeClr w14:val="tx1"/>
                  </w14:solidFill>
                </w14:textFill>
              </w:rPr>
              <w:t>5</w:t>
            </w:r>
            <w:r>
              <w:rPr>
                <w:rFonts w:hint="eastAsia"/>
                <w:b/>
                <w:color w:val="000000" w:themeColor="text1"/>
                <w:kern w:val="0"/>
                <w14:textFill>
                  <w14:solidFill>
                    <w14:schemeClr w14:val="tx1"/>
                  </w14:solidFill>
                </w14:textFill>
              </w:rPr>
              <w:t>.2环境风险评价等级</w:t>
            </w:r>
          </w:p>
          <w:p>
            <w:pPr>
              <w:ind w:firstLine="480"/>
              <w:textAlignment w:val="auto"/>
            </w:pPr>
            <w:r>
              <w:rPr>
                <w:rFonts w:hint="eastAsia"/>
              </w:rPr>
              <w:t>根据《建设项目环境风险评价技术导则》（HJ169-2018）项目风险物质为废机油。风险源情况详见下表4</w:t>
            </w:r>
            <w:r>
              <w:t>-10</w:t>
            </w:r>
            <w:r>
              <w:rPr>
                <w:rFonts w:hint="eastAsia"/>
              </w:rPr>
              <w:t>。</w:t>
            </w:r>
          </w:p>
          <w:p>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0  </w:t>
            </w:r>
            <w:r>
              <w:rPr>
                <w:rFonts w:hint="eastAsia"/>
                <w:b/>
                <w:bCs/>
                <w:sz w:val="21"/>
                <w:szCs w:val="21"/>
              </w:rPr>
              <w:t>危险化学品临界量一览表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1"/>
              <w:gridCol w:w="1676"/>
              <w:gridCol w:w="2291"/>
              <w:gridCol w:w="1785"/>
              <w:gridCol w:w="20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28" w:hRule="exact"/>
                <w:jc w:val="center"/>
              </w:trPr>
              <w:tc>
                <w:tcPr>
                  <w:tcW w:w="458" w:type="pct"/>
                  <w:vAlign w:val="center"/>
                </w:tcPr>
                <w:p>
                  <w:pPr>
                    <w:spacing w:line="240" w:lineRule="auto"/>
                    <w:ind w:firstLine="0" w:firstLineChars="0"/>
                    <w:jc w:val="center"/>
                    <w:textAlignment w:val="auto"/>
                    <w:rPr>
                      <w:sz w:val="21"/>
                      <w:szCs w:val="21"/>
                    </w:rPr>
                  </w:pPr>
                  <w:r>
                    <w:rPr>
                      <w:rFonts w:hint="eastAsia"/>
                      <w:sz w:val="21"/>
                      <w:szCs w:val="21"/>
                    </w:rPr>
                    <w:t>序号</w:t>
                  </w:r>
                </w:p>
              </w:tc>
              <w:tc>
                <w:tcPr>
                  <w:tcW w:w="970" w:type="pct"/>
                  <w:vAlign w:val="center"/>
                </w:tcPr>
                <w:p>
                  <w:pPr>
                    <w:spacing w:line="240" w:lineRule="auto"/>
                    <w:ind w:firstLine="0" w:firstLineChars="0"/>
                    <w:jc w:val="center"/>
                    <w:textAlignment w:val="auto"/>
                    <w:rPr>
                      <w:sz w:val="21"/>
                      <w:szCs w:val="21"/>
                    </w:rPr>
                  </w:pPr>
                  <w:r>
                    <w:rPr>
                      <w:rFonts w:hint="eastAsia"/>
                      <w:sz w:val="21"/>
                      <w:szCs w:val="21"/>
                    </w:rPr>
                    <w:t>环境风险物质</w:t>
                  </w:r>
                </w:p>
              </w:tc>
              <w:tc>
                <w:tcPr>
                  <w:tcW w:w="1326" w:type="pct"/>
                  <w:vAlign w:val="center"/>
                </w:tcPr>
                <w:p>
                  <w:pPr>
                    <w:spacing w:line="240" w:lineRule="auto"/>
                    <w:ind w:firstLine="0" w:firstLineChars="0"/>
                    <w:jc w:val="center"/>
                    <w:textAlignment w:val="auto"/>
                    <w:rPr>
                      <w:sz w:val="21"/>
                      <w:szCs w:val="21"/>
                    </w:rPr>
                  </w:pPr>
                  <w:r>
                    <w:rPr>
                      <w:rFonts w:hint="eastAsia"/>
                      <w:sz w:val="21"/>
                      <w:szCs w:val="21"/>
                    </w:rPr>
                    <w:t>贮存量（q）</w:t>
                  </w:r>
                </w:p>
              </w:tc>
              <w:tc>
                <w:tcPr>
                  <w:tcW w:w="1033" w:type="pct"/>
                  <w:vAlign w:val="center"/>
                </w:tcPr>
                <w:p>
                  <w:pPr>
                    <w:spacing w:line="240" w:lineRule="auto"/>
                    <w:ind w:firstLine="0" w:firstLineChars="0"/>
                    <w:jc w:val="center"/>
                    <w:textAlignment w:val="auto"/>
                    <w:rPr>
                      <w:sz w:val="21"/>
                      <w:szCs w:val="21"/>
                    </w:rPr>
                  </w:pPr>
                  <w:r>
                    <w:rPr>
                      <w:rFonts w:hint="eastAsia"/>
                      <w:sz w:val="21"/>
                      <w:szCs w:val="21"/>
                    </w:rPr>
                    <w:t>临界量（Q）</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q比值（Q）</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exact"/>
                <w:jc w:val="center"/>
              </w:trPr>
              <w:tc>
                <w:tcPr>
                  <w:tcW w:w="458" w:type="pct"/>
                  <w:vAlign w:val="center"/>
                </w:tcPr>
                <w:p>
                  <w:pPr>
                    <w:spacing w:line="240" w:lineRule="auto"/>
                    <w:ind w:firstLine="0" w:firstLineChars="0"/>
                    <w:jc w:val="center"/>
                    <w:textAlignment w:val="auto"/>
                    <w:rPr>
                      <w:sz w:val="21"/>
                      <w:szCs w:val="21"/>
                    </w:rPr>
                  </w:pPr>
                  <w:r>
                    <w:rPr>
                      <w:sz w:val="21"/>
                      <w:szCs w:val="21"/>
                    </w:rPr>
                    <w:t>1</w:t>
                  </w:r>
                </w:p>
              </w:tc>
              <w:tc>
                <w:tcPr>
                  <w:tcW w:w="970" w:type="pct"/>
                  <w:vAlign w:val="center"/>
                </w:tcPr>
                <w:p>
                  <w:pPr>
                    <w:spacing w:line="240" w:lineRule="auto"/>
                    <w:ind w:firstLine="0" w:firstLineChars="0"/>
                    <w:jc w:val="center"/>
                    <w:textAlignment w:val="auto"/>
                    <w:rPr>
                      <w:sz w:val="21"/>
                      <w:szCs w:val="21"/>
                    </w:rPr>
                  </w:pPr>
                  <w:r>
                    <w:rPr>
                      <w:rFonts w:hint="eastAsia"/>
                      <w:sz w:val="21"/>
                      <w:szCs w:val="21"/>
                    </w:rPr>
                    <w:t>废机油</w:t>
                  </w:r>
                </w:p>
              </w:tc>
              <w:tc>
                <w:tcPr>
                  <w:tcW w:w="1326" w:type="pct"/>
                  <w:vAlign w:val="center"/>
                </w:tcPr>
                <w:p>
                  <w:pPr>
                    <w:spacing w:line="240" w:lineRule="auto"/>
                    <w:ind w:firstLine="0" w:firstLineChars="0"/>
                    <w:jc w:val="center"/>
                    <w:textAlignment w:val="auto"/>
                    <w:rPr>
                      <w:sz w:val="21"/>
                      <w:szCs w:val="21"/>
                    </w:rPr>
                  </w:pPr>
                  <w:r>
                    <w:rPr>
                      <w:sz w:val="21"/>
                      <w:szCs w:val="21"/>
                    </w:rPr>
                    <w:t>0.1</w:t>
                  </w:r>
                </w:p>
              </w:tc>
              <w:tc>
                <w:tcPr>
                  <w:tcW w:w="1033" w:type="pct"/>
                  <w:vAlign w:val="center"/>
                </w:tcPr>
                <w:p>
                  <w:pPr>
                    <w:spacing w:line="240" w:lineRule="auto"/>
                    <w:ind w:firstLine="0" w:firstLineChars="0"/>
                    <w:jc w:val="center"/>
                    <w:textAlignment w:val="auto"/>
                    <w:rPr>
                      <w:sz w:val="21"/>
                      <w:szCs w:val="21"/>
                    </w:rPr>
                  </w:pPr>
                  <w:r>
                    <w:rPr>
                      <w:rFonts w:hint="eastAsia"/>
                      <w:sz w:val="21"/>
                      <w:szCs w:val="21"/>
                    </w:rPr>
                    <w:t>2</w:t>
                  </w:r>
                  <w:r>
                    <w:rPr>
                      <w:sz w:val="21"/>
                      <w:szCs w:val="21"/>
                    </w:rPr>
                    <w:t>500</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exact"/>
                <w:jc w:val="center"/>
              </w:trPr>
              <w:tc>
                <w:tcPr>
                  <w:tcW w:w="3787" w:type="pct"/>
                  <w:gridSpan w:val="4"/>
                  <w:vAlign w:val="center"/>
                </w:tcPr>
                <w:p>
                  <w:pPr>
                    <w:spacing w:line="240" w:lineRule="auto"/>
                    <w:ind w:firstLine="0" w:firstLineChars="0"/>
                    <w:jc w:val="center"/>
                    <w:textAlignment w:val="auto"/>
                    <w:rPr>
                      <w:sz w:val="21"/>
                      <w:szCs w:val="21"/>
                    </w:rPr>
                  </w:pPr>
                  <w:r>
                    <w:rPr>
                      <w:rFonts w:hint="eastAsia"/>
                      <w:sz w:val="21"/>
                      <w:szCs w:val="21"/>
                    </w:rPr>
                    <w:t>合计</w:t>
                  </w:r>
                </w:p>
              </w:tc>
              <w:tc>
                <w:tcPr>
                  <w:tcW w:w="1213" w:type="pct"/>
                  <w:vAlign w:val="center"/>
                </w:tcPr>
                <w:p>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bl>
          <w:p>
            <w:pPr>
              <w:autoSpaceDE w:val="0"/>
              <w:autoSpaceDN w:val="0"/>
              <w:adjustRightInd w:val="0"/>
              <w:snapToGrid w:val="0"/>
              <w:ind w:firstLine="480"/>
              <w:rPr>
                <w:rFonts w:cs="Times New Roman"/>
                <w:snapToGrid w:val="0"/>
                <w:kern w:val="0"/>
                <w:szCs w:val="24"/>
              </w:rPr>
            </w:pPr>
            <w:r>
              <w:rPr>
                <w:rFonts w:cs="Times New Roman"/>
                <w:bCs/>
              </w:rPr>
              <w:t>根据危险物质数量与临界量比值，确定Q=0.00004＜1。当Q＜1时，该项目风险期潜势为Ⅰ，风险期潜势为Ⅰ时，环境风险评价工作等级为简单分析。</w:t>
            </w:r>
          </w:p>
          <w:p>
            <w:pPr>
              <w:keepNext/>
              <w:spacing w:before="163" w:beforeLines="50" w:line="240" w:lineRule="auto"/>
              <w:ind w:firstLine="422"/>
              <w:jc w:val="center"/>
              <w:rPr>
                <w:rFonts w:cs="Times New Roman"/>
                <w:b/>
                <w:snapToGrid w:val="0"/>
                <w:sz w:val="21"/>
              </w:rPr>
            </w:pPr>
            <w:r>
              <w:rPr>
                <w:rFonts w:hint="eastAsia" w:cs="Times New Roman"/>
                <w:b/>
                <w:snapToGrid w:val="0"/>
                <w:sz w:val="21"/>
              </w:rPr>
              <w:t>表</w:t>
            </w:r>
            <w:r>
              <w:rPr>
                <w:rFonts w:cs="Times New Roman"/>
                <w:b/>
                <w:snapToGrid w:val="0"/>
                <w:sz w:val="21"/>
              </w:rPr>
              <w:t xml:space="preserve">4-11  </w:t>
            </w:r>
            <w:r>
              <w:rPr>
                <w:rFonts w:hint="eastAsia" w:cs="Times New Roman"/>
                <w:b/>
                <w:snapToGrid w:val="0"/>
                <w:sz w:val="21"/>
              </w:rPr>
              <w:t>评价工作等级划分</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8"/>
              <w:gridCol w:w="1543"/>
              <w:gridCol w:w="1783"/>
              <w:gridCol w:w="2170"/>
              <w:gridCol w:w="15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12" w:space="0"/>
                    <w:left w:val="single" w:color="auto" w:sz="12"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环境风险潜势</w:t>
                  </w:r>
                </w:p>
              </w:tc>
              <w:tc>
                <w:tcPr>
                  <w:tcW w:w="893"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Ⅳ+</w:t>
                  </w:r>
                  <w:r>
                    <w:rPr>
                      <w:rFonts w:hint="eastAsia" w:cs="Times New Roman"/>
                      <w:snapToGrid w:val="0"/>
                      <w:sz w:val="21"/>
                      <w:szCs w:val="24"/>
                    </w:rPr>
                    <w:t>、</w:t>
                  </w:r>
                  <w:r>
                    <w:rPr>
                      <w:rFonts w:cs="Times New Roman"/>
                      <w:snapToGrid w:val="0"/>
                      <w:sz w:val="21"/>
                      <w:szCs w:val="24"/>
                    </w:rPr>
                    <w:t>Ⅳ</w:t>
                  </w:r>
                </w:p>
              </w:tc>
              <w:tc>
                <w:tcPr>
                  <w:tcW w:w="1032"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Ⅲ</w:t>
                  </w:r>
                </w:p>
              </w:tc>
              <w:tc>
                <w:tcPr>
                  <w:tcW w:w="1256" w:type="pct"/>
                  <w:tcBorders>
                    <w:top w:val="single" w:color="auto" w:sz="12"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Ⅱ</w:t>
                  </w:r>
                </w:p>
              </w:tc>
              <w:tc>
                <w:tcPr>
                  <w:tcW w:w="917" w:type="pct"/>
                  <w:tcBorders>
                    <w:top w:val="single" w:color="auto" w:sz="12" w:space="0"/>
                    <w:left w:val="single" w:color="auto" w:sz="6" w:space="0"/>
                    <w:bottom w:val="single" w:color="auto" w:sz="6" w:space="0"/>
                    <w:right w:val="single" w:color="auto" w:sz="12" w:space="0"/>
                  </w:tcBorders>
                  <w:shd w:val="clear" w:color="auto" w:fill="E7E6E6" w:themeFill="background2"/>
                  <w:vAlign w:val="center"/>
                </w:tcPr>
                <w:p>
                  <w:pPr>
                    <w:spacing w:line="240" w:lineRule="auto"/>
                    <w:ind w:firstLine="0" w:firstLineChars="0"/>
                    <w:jc w:val="center"/>
                    <w:rPr>
                      <w:rFonts w:cs="Times New Roman"/>
                      <w:snapToGrid w:val="0"/>
                      <w:sz w:val="21"/>
                      <w:szCs w:val="24"/>
                    </w:rPr>
                  </w:pPr>
                  <w:r>
                    <w:rPr>
                      <w:rFonts w:cs="Times New Roman"/>
                      <w:snapToGrid w:val="0"/>
                      <w:sz w:val="21"/>
                      <w:szCs w:val="24"/>
                    </w:rPr>
                    <w:t>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评价工作等级</w:t>
                  </w:r>
                </w:p>
              </w:tc>
              <w:tc>
                <w:tcPr>
                  <w:tcW w:w="893"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一</w:t>
                  </w:r>
                </w:p>
              </w:tc>
              <w:tc>
                <w:tcPr>
                  <w:tcW w:w="1032"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二</w:t>
                  </w:r>
                </w:p>
              </w:tc>
              <w:tc>
                <w:tcPr>
                  <w:tcW w:w="1256" w:type="pct"/>
                  <w:tcBorders>
                    <w:top w:val="single" w:color="auto" w:sz="6" w:space="0"/>
                    <w:left w:val="single" w:color="auto" w:sz="6" w:space="0"/>
                    <w:bottom w:val="single" w:color="auto" w:sz="6" w:space="0"/>
                    <w:right w:val="single" w:color="auto" w:sz="6" w:space="0"/>
                  </w:tcBorders>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三</w:t>
                  </w:r>
                </w:p>
              </w:tc>
              <w:tc>
                <w:tcPr>
                  <w:tcW w:w="917" w:type="pct"/>
                  <w:tcBorders>
                    <w:top w:val="single" w:color="auto" w:sz="6" w:space="0"/>
                    <w:left w:val="single" w:color="auto" w:sz="6" w:space="0"/>
                    <w:bottom w:val="single" w:color="auto" w:sz="6" w:space="0"/>
                    <w:right w:val="single" w:color="auto" w:sz="12" w:space="0"/>
                  </w:tcBorders>
                  <w:shd w:val="clear" w:color="auto" w:fill="E7E6E6" w:themeFill="background2"/>
                  <w:vAlign w:val="center"/>
                </w:tcPr>
                <w:p>
                  <w:pPr>
                    <w:spacing w:line="240" w:lineRule="auto"/>
                    <w:ind w:firstLine="0" w:firstLineChars="0"/>
                    <w:jc w:val="center"/>
                    <w:rPr>
                      <w:rFonts w:cs="Times New Roman"/>
                      <w:snapToGrid w:val="0"/>
                      <w:sz w:val="21"/>
                      <w:szCs w:val="24"/>
                    </w:rPr>
                  </w:pPr>
                  <w:r>
                    <w:rPr>
                      <w:rFonts w:hint="eastAsia" w:cs="Times New Roman"/>
                      <w:snapToGrid w:val="0"/>
                      <w:sz w:val="21"/>
                      <w:szCs w:val="24"/>
                    </w:rPr>
                    <w:t>简单分析</w:t>
                  </w:r>
                  <w:r>
                    <w:rPr>
                      <w:rFonts w:cs="Times New Roman"/>
                      <w:snapToGrid w:val="0"/>
                      <w:sz w:val="21"/>
                      <w:szCs w:val="24"/>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00" w:type="pct"/>
                  <w:gridSpan w:val="5"/>
                  <w:tcBorders>
                    <w:top w:val="single" w:color="auto" w:sz="6" w:space="0"/>
                    <w:left w:val="single" w:color="auto" w:sz="12" w:space="0"/>
                    <w:bottom w:val="single" w:color="auto" w:sz="12" w:space="0"/>
                    <w:right w:val="single" w:color="auto" w:sz="12" w:space="0"/>
                  </w:tcBorders>
                  <w:vAlign w:val="center"/>
                </w:tcPr>
                <w:p>
                  <w:pPr>
                    <w:spacing w:line="240" w:lineRule="auto"/>
                    <w:ind w:firstLine="0" w:firstLineChars="0"/>
                    <w:rPr>
                      <w:rFonts w:cs="Times New Roman"/>
                      <w:snapToGrid w:val="0"/>
                      <w:sz w:val="21"/>
                      <w:szCs w:val="24"/>
                    </w:rPr>
                  </w:pPr>
                  <w:r>
                    <w:rPr>
                      <w:rFonts w:cs="Times New Roman"/>
                      <w:snapToGrid w:val="0"/>
                      <w:sz w:val="21"/>
                      <w:szCs w:val="24"/>
                    </w:rPr>
                    <w:t>a</w:t>
                  </w:r>
                  <w:r>
                    <w:rPr>
                      <w:rFonts w:hint="eastAsia" w:cs="Times New Roman"/>
                      <w:snapToGrid w:val="0"/>
                      <w:sz w:val="21"/>
                      <w:szCs w:val="24"/>
                    </w:rPr>
                    <w:t>是相对于详细评价工作内容而言，在描述危险物质、环境影响途径、环境危害后果、风险防范措施等方面给出定性的说明。见附录</w:t>
                  </w:r>
                  <w:r>
                    <w:rPr>
                      <w:rFonts w:cs="Times New Roman"/>
                      <w:snapToGrid w:val="0"/>
                      <w:sz w:val="21"/>
                      <w:szCs w:val="24"/>
                    </w:rPr>
                    <w:t>A.</w:t>
                  </w:r>
                </w:p>
              </w:tc>
            </w:tr>
          </w:tbl>
          <w:p>
            <w:pPr>
              <w:ind w:firstLine="0" w:firstLineChars="0"/>
              <w:textAlignment w:val="auto"/>
              <w:rPr>
                <w:rFonts w:cs="Times New Roman"/>
                <w:b/>
                <w:bCs/>
                <w:kern w:val="0"/>
                <w:szCs w:val="24"/>
              </w:rPr>
            </w:pPr>
            <w:r>
              <w:rPr>
                <w:rFonts w:hint="eastAsia" w:cs="Times New Roman"/>
                <w:b/>
                <w:bCs/>
                <w:kern w:val="0"/>
                <w:szCs w:val="24"/>
              </w:rPr>
              <w:t>4.</w:t>
            </w:r>
            <w:r>
              <w:rPr>
                <w:rFonts w:cs="Times New Roman"/>
                <w:b/>
                <w:bCs/>
                <w:kern w:val="0"/>
                <w:szCs w:val="24"/>
              </w:rPr>
              <w:t>5</w:t>
            </w:r>
            <w:r>
              <w:rPr>
                <w:rFonts w:hint="eastAsia" w:cs="Times New Roman"/>
                <w:b/>
                <w:bCs/>
                <w:kern w:val="0"/>
                <w:szCs w:val="24"/>
              </w:rPr>
              <w:t>.3环境风险识别</w:t>
            </w:r>
          </w:p>
          <w:p>
            <w:pPr>
              <w:widowControl/>
              <w:ind w:firstLine="480"/>
              <w:jc w:val="left"/>
            </w:pPr>
            <w:r>
              <w:rPr>
                <w:rFonts w:hint="eastAsia" w:ascii="宋体" w:hAnsi="宋体" w:cs="宋体"/>
                <w:color w:val="000000"/>
                <w:kern w:val="0"/>
                <w:szCs w:val="24"/>
                <w:lang w:bidi="ar"/>
              </w:rPr>
              <w:t>①环境风险物质识别</w:t>
            </w:r>
          </w:p>
          <w:p>
            <w:pPr>
              <w:ind w:firstLine="480"/>
            </w:pPr>
            <w:r>
              <w:rPr>
                <w:rFonts w:hint="eastAsia"/>
              </w:rPr>
              <w:t>本项目存在的主要风险包括</w:t>
            </w:r>
            <w:r>
              <w:rPr>
                <w:rFonts w:hint="eastAsia" w:cs="Times New Roman"/>
                <w:snapToGrid w:val="0"/>
                <w:kern w:val="0"/>
                <w:szCs w:val="24"/>
              </w:rPr>
              <w:t>废机油</w:t>
            </w:r>
            <w:r>
              <w:rPr>
                <w:rFonts w:hint="eastAsia"/>
              </w:rPr>
              <w:t>贮存过程可能引发的火灾事故。</w:t>
            </w:r>
          </w:p>
          <w:p>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2  </w:t>
            </w:r>
            <w:r>
              <w:rPr>
                <w:rFonts w:hint="eastAsia"/>
                <w:b/>
                <w:bCs/>
                <w:sz w:val="21"/>
                <w:szCs w:val="21"/>
              </w:rPr>
              <w:t>本项目风险物质的扩散途径及环境影响一览</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28"/>
              <w:gridCol w:w="1294"/>
              <w:gridCol w:w="4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98" w:type="pct"/>
                  <w:vAlign w:val="center"/>
                </w:tcPr>
                <w:p>
                  <w:pPr>
                    <w:spacing w:line="240" w:lineRule="auto"/>
                    <w:ind w:firstLine="0" w:firstLineChars="0"/>
                    <w:jc w:val="center"/>
                    <w:outlineLvl w:val="2"/>
                    <w:rPr>
                      <w:color w:val="000000"/>
                      <w:sz w:val="21"/>
                      <w:szCs w:val="21"/>
                    </w:rPr>
                  </w:pPr>
                  <w:r>
                    <w:rPr>
                      <w:color w:val="000000"/>
                      <w:sz w:val="21"/>
                      <w:szCs w:val="21"/>
                    </w:rPr>
                    <w:t>序号</w:t>
                  </w:r>
                </w:p>
              </w:tc>
              <w:tc>
                <w:tcPr>
                  <w:tcW w:w="1000" w:type="pct"/>
                  <w:vAlign w:val="center"/>
                </w:tcPr>
                <w:p>
                  <w:pPr>
                    <w:spacing w:line="240" w:lineRule="auto"/>
                    <w:ind w:firstLine="0" w:firstLineChars="0"/>
                    <w:jc w:val="center"/>
                    <w:outlineLvl w:val="2"/>
                    <w:rPr>
                      <w:color w:val="000000"/>
                      <w:sz w:val="21"/>
                      <w:szCs w:val="21"/>
                    </w:rPr>
                  </w:pPr>
                  <w:r>
                    <w:rPr>
                      <w:color w:val="000000"/>
                      <w:sz w:val="21"/>
                      <w:szCs w:val="21"/>
                    </w:rPr>
                    <w:t>环境风险单元</w:t>
                  </w:r>
                </w:p>
              </w:tc>
              <w:tc>
                <w:tcPr>
                  <w:tcW w:w="749" w:type="pct"/>
                  <w:vAlign w:val="center"/>
                </w:tcPr>
                <w:p>
                  <w:pPr>
                    <w:spacing w:line="240" w:lineRule="auto"/>
                    <w:ind w:firstLine="0" w:firstLineChars="0"/>
                    <w:jc w:val="center"/>
                    <w:outlineLvl w:val="2"/>
                    <w:rPr>
                      <w:color w:val="000000"/>
                      <w:sz w:val="21"/>
                      <w:szCs w:val="21"/>
                    </w:rPr>
                  </w:pPr>
                  <w:r>
                    <w:rPr>
                      <w:color w:val="000000"/>
                      <w:sz w:val="21"/>
                      <w:szCs w:val="21"/>
                    </w:rPr>
                    <w:t>涉及物质</w:t>
                  </w:r>
                </w:p>
              </w:tc>
              <w:tc>
                <w:tcPr>
                  <w:tcW w:w="2753" w:type="pct"/>
                  <w:vAlign w:val="center"/>
                </w:tcPr>
                <w:p>
                  <w:pPr>
                    <w:spacing w:line="240" w:lineRule="auto"/>
                    <w:ind w:firstLine="0" w:firstLineChars="0"/>
                    <w:jc w:val="center"/>
                    <w:outlineLvl w:val="2"/>
                    <w:rPr>
                      <w:color w:val="000000"/>
                      <w:sz w:val="21"/>
                      <w:szCs w:val="21"/>
                    </w:rPr>
                  </w:pPr>
                  <w:r>
                    <w:rPr>
                      <w:color w:val="000000"/>
                      <w:sz w:val="21"/>
                      <w:szCs w:val="21"/>
                    </w:rPr>
                    <w:t>扩散途径及环境影响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98" w:type="pct"/>
                  <w:vAlign w:val="center"/>
                </w:tcPr>
                <w:p>
                  <w:pPr>
                    <w:spacing w:line="240" w:lineRule="auto"/>
                    <w:ind w:firstLine="0" w:firstLineChars="0"/>
                    <w:jc w:val="center"/>
                    <w:outlineLvl w:val="2"/>
                    <w:rPr>
                      <w:color w:val="000000"/>
                      <w:sz w:val="21"/>
                      <w:szCs w:val="21"/>
                    </w:rPr>
                  </w:pPr>
                  <w:r>
                    <w:rPr>
                      <w:color w:val="000000"/>
                      <w:sz w:val="21"/>
                      <w:szCs w:val="21"/>
                    </w:rPr>
                    <w:t>1</w:t>
                  </w:r>
                </w:p>
              </w:tc>
              <w:tc>
                <w:tcPr>
                  <w:tcW w:w="1000" w:type="pct"/>
                  <w:vAlign w:val="center"/>
                </w:tcPr>
                <w:p>
                  <w:pPr>
                    <w:spacing w:line="240" w:lineRule="auto"/>
                    <w:ind w:firstLine="0" w:firstLineChars="0"/>
                    <w:outlineLvl w:val="2"/>
                    <w:rPr>
                      <w:color w:val="000000"/>
                      <w:sz w:val="21"/>
                      <w:szCs w:val="21"/>
                    </w:rPr>
                  </w:pPr>
                  <w:r>
                    <w:rPr>
                      <w:color w:val="000000"/>
                      <w:sz w:val="21"/>
                      <w:szCs w:val="21"/>
                    </w:rPr>
                    <w:t>危险废物</w:t>
                  </w:r>
                  <w:r>
                    <w:rPr>
                      <w:rFonts w:hint="eastAsia"/>
                      <w:color w:val="000000"/>
                      <w:sz w:val="21"/>
                      <w:szCs w:val="21"/>
                    </w:rPr>
                    <w:t>贮存点</w:t>
                  </w:r>
                </w:p>
              </w:tc>
              <w:tc>
                <w:tcPr>
                  <w:tcW w:w="749" w:type="pct"/>
                  <w:vAlign w:val="center"/>
                </w:tcPr>
                <w:p>
                  <w:pPr>
                    <w:spacing w:line="240" w:lineRule="auto"/>
                    <w:ind w:firstLine="0" w:firstLineChars="0"/>
                    <w:jc w:val="center"/>
                    <w:outlineLvl w:val="2"/>
                    <w:rPr>
                      <w:color w:val="000000"/>
                      <w:sz w:val="21"/>
                      <w:szCs w:val="21"/>
                    </w:rPr>
                  </w:pPr>
                  <w:r>
                    <w:rPr>
                      <w:color w:val="000000"/>
                      <w:sz w:val="21"/>
                      <w:szCs w:val="21"/>
                    </w:rPr>
                    <w:t>危险废物（废机油）</w:t>
                  </w:r>
                </w:p>
              </w:tc>
              <w:tc>
                <w:tcPr>
                  <w:tcW w:w="2753" w:type="pct"/>
                  <w:vAlign w:val="center"/>
                </w:tcPr>
                <w:p>
                  <w:pPr>
                    <w:spacing w:line="240" w:lineRule="auto"/>
                    <w:ind w:firstLine="0" w:firstLineChars="0"/>
                    <w:jc w:val="center"/>
                    <w:outlineLvl w:val="2"/>
                    <w:rPr>
                      <w:color w:val="000000"/>
                      <w:sz w:val="21"/>
                      <w:szCs w:val="21"/>
                    </w:rPr>
                  </w:pPr>
                  <w:r>
                    <w:rPr>
                      <w:color w:val="000000"/>
                      <w:sz w:val="21"/>
                      <w:szCs w:val="21"/>
                    </w:rPr>
                    <w:t>危险废物</w:t>
                  </w:r>
                  <w:r>
                    <w:rPr>
                      <w:rFonts w:hint="eastAsia"/>
                      <w:color w:val="000000"/>
                      <w:sz w:val="21"/>
                      <w:szCs w:val="21"/>
                    </w:rPr>
                    <w:t>贮存点一旦</w:t>
                  </w:r>
                  <w:r>
                    <w:rPr>
                      <w:color w:val="000000"/>
                      <w:sz w:val="21"/>
                      <w:szCs w:val="21"/>
                    </w:rPr>
                    <w:t>发生火灾，污染大气，消防水影响水环境；静电等导致危废起火，发生火灾，污染大气，消防水影响水环境</w:t>
                  </w:r>
                </w:p>
              </w:tc>
            </w:tr>
          </w:tbl>
          <w:p>
            <w:pPr>
              <w:ind w:firstLine="0" w:firstLineChars="0"/>
              <w:textAlignment w:val="auto"/>
              <w:rPr>
                <w:rFonts w:cs="Times New Roman"/>
                <w:b/>
                <w:bCs/>
                <w:kern w:val="0"/>
                <w:szCs w:val="24"/>
              </w:rPr>
            </w:pPr>
            <w:r>
              <w:rPr>
                <w:rFonts w:cs="Times New Roman"/>
                <w:b/>
                <w:bCs/>
                <w:kern w:val="0"/>
                <w:szCs w:val="24"/>
              </w:rPr>
              <w:t>4.5.</w:t>
            </w:r>
            <w:r>
              <w:rPr>
                <w:rFonts w:hint="eastAsia" w:cs="Times New Roman"/>
                <w:b/>
                <w:bCs/>
                <w:kern w:val="0"/>
                <w:szCs w:val="24"/>
              </w:rPr>
              <w:t>4环境风险影响分析</w:t>
            </w:r>
          </w:p>
          <w:p>
            <w:pPr>
              <w:ind w:firstLine="480"/>
            </w:pPr>
            <w:r>
              <w:rPr>
                <w:rFonts w:hint="eastAsia"/>
              </w:rPr>
              <w:t>本项目在运营过程中涉及少量废机油的临时贮存，主要环境风险为废机油泄漏及其引发的火灾、爆炸等次生事故。具体影响分析如下：</w:t>
            </w:r>
          </w:p>
          <w:p>
            <w:pPr>
              <w:ind w:firstLine="480"/>
            </w:pPr>
            <w:r>
              <w:rPr>
                <w:rFonts w:hint="eastAsia"/>
              </w:rPr>
              <w:t>1.废机油泄漏风险分析</w:t>
            </w:r>
          </w:p>
          <w:p>
            <w:pPr>
              <w:ind w:firstLine="480"/>
            </w:pPr>
            <w:r>
              <w:rPr>
                <w:rFonts w:hint="eastAsia"/>
              </w:rPr>
              <w:t>废机油属于《国家危险废物名录》中规定的危险废物（类别：HW08）。若贮存容器破损，可能导致废机油泄漏。泄漏后油品可能沿地面漫流，污染厂区土壤；在无有效防渗措施的情况下，还可能下渗进入地下水系统，造成地下水污染。尤其在降雨条件下，污染物可随径流进入周边地表水体，存在一定的水环境风险。</w:t>
            </w:r>
          </w:p>
          <w:p>
            <w:pPr>
              <w:ind w:firstLine="480"/>
            </w:pPr>
            <w:r>
              <w:rPr>
                <w:rFonts w:hint="eastAsia"/>
              </w:rPr>
              <w:t>2.火灾与爆炸风险分析</w:t>
            </w:r>
          </w:p>
          <w:p>
            <w:pPr>
              <w:ind w:firstLine="480"/>
            </w:pPr>
            <w:r>
              <w:rPr>
                <w:rFonts w:hint="eastAsia"/>
              </w:rPr>
              <w:t>废机油具有可燃性，在密闭空间内挥发的油气与空气混合后，遇明火、高温或静电火花可能引发火灾甚至爆炸。燃烧过程中会产生一氧化碳（CO）、氮氧化物（NOx）及不完全燃烧产物（如烟尘、多环芳烃等），对周边大气环境和人体健康造成短期不利影响。</w:t>
            </w:r>
          </w:p>
          <w:p>
            <w:pPr>
              <w:ind w:firstLine="480"/>
            </w:pPr>
            <w:r>
              <w:rPr>
                <w:rFonts w:hint="eastAsia"/>
              </w:rPr>
              <w:t>3.次生环境污染分析</w:t>
            </w:r>
          </w:p>
          <w:p>
            <w:pPr>
              <w:ind w:firstLine="480"/>
            </w:pPr>
            <w:r>
              <w:rPr>
                <w:rFonts w:hint="eastAsia"/>
              </w:rPr>
              <w:t>若发生火灾事故，灭火过程中产生的消防废水含有油类污染物和燃烧残留物。若未及时收集处理，废水可能随地表径流外排，污染附近地表水体，并可能通过渗透影响地下水安全，构成“二次污染”风险。</w:t>
            </w:r>
          </w:p>
          <w:p>
            <w:pPr>
              <w:ind w:firstLine="480"/>
            </w:pPr>
            <w:r>
              <w:rPr>
                <w:rFonts w:hint="eastAsia"/>
              </w:rPr>
              <w:t>4.风险概率评估</w:t>
            </w:r>
          </w:p>
          <w:p>
            <w:pPr>
              <w:ind w:firstLine="480"/>
              <w:rPr>
                <w:rFonts w:cs="Times New Roman"/>
                <w:szCs w:val="24"/>
              </w:rPr>
            </w:pPr>
            <w:r>
              <w:rPr>
                <w:rFonts w:hint="eastAsia" w:cs="Times New Roman"/>
                <w:szCs w:val="24"/>
              </w:rPr>
              <w:t>项目废机油产生量小，废机油集中存放于危险废物贮存点。贮存点按照《危险废物贮存污染控制标准》（GB18597-2023）要求进行重点防渗区设计，并配备泄漏收集托盘和应急物资；企业定期委托具有相应资质的单位进行清运与处置，全过程管理规范。综合判断，发生泄漏或火灾事故的概率较低</w:t>
            </w:r>
            <w:r>
              <w:rPr>
                <w:rFonts w:cs="Times New Roman"/>
                <w:szCs w:val="24"/>
              </w:rPr>
              <w:t>。</w:t>
            </w:r>
          </w:p>
          <w:p>
            <w:pPr>
              <w:ind w:firstLine="0" w:firstLineChars="0"/>
              <w:rPr>
                <w:b/>
                <w:bCs/>
              </w:rPr>
            </w:pPr>
            <w:r>
              <w:rPr>
                <w:rFonts w:hint="eastAsia"/>
                <w:b/>
                <w:bCs/>
              </w:rPr>
              <w:t>4.</w:t>
            </w:r>
            <w:r>
              <w:rPr>
                <w:b/>
                <w:bCs/>
              </w:rPr>
              <w:t>5</w:t>
            </w:r>
            <w:r>
              <w:rPr>
                <w:rFonts w:hint="eastAsia"/>
                <w:b/>
                <w:bCs/>
              </w:rPr>
              <w:t>.5环境风险应急预案</w:t>
            </w:r>
          </w:p>
          <w:p>
            <w:pPr>
              <w:ind w:firstLine="480"/>
            </w:pPr>
            <w:r>
              <w:t>该项目应结合各阶段的实际情况编制环境风险事故应急预案，其主要内容包括：</w:t>
            </w:r>
          </w:p>
          <w:p>
            <w:pPr>
              <w:ind w:firstLine="480"/>
            </w:pPr>
            <w:r>
              <w:rPr>
                <w:rFonts w:hint="eastAsia"/>
              </w:rPr>
              <w:t>（1）</w:t>
            </w:r>
            <w:r>
              <w:t>说明工程所处的地理位置及周边情况（各环境敏感目标、农户情况、当地气象条件等）、项目所在地现状、道路及运输情况等内容。</w:t>
            </w:r>
          </w:p>
          <w:p>
            <w:pPr>
              <w:ind w:firstLine="480"/>
            </w:pPr>
            <w:r>
              <w:rPr>
                <w:rFonts w:hint="eastAsia"/>
              </w:rPr>
              <w:t>（</w:t>
            </w:r>
            <w:r>
              <w:t>2）明确各阶段环境风险源的基本情况。</w:t>
            </w:r>
          </w:p>
          <w:p>
            <w:pPr>
              <w:ind w:firstLine="480"/>
            </w:pPr>
            <w:r>
              <w:rPr>
                <w:rFonts w:hint="eastAsia"/>
              </w:rPr>
              <w:t>（</w:t>
            </w:r>
            <w:r>
              <w:t>3）建立应急救援指挥机构，明确其职责，并确定通讯联络和联络方式。</w:t>
            </w:r>
          </w:p>
          <w:p>
            <w:pPr>
              <w:ind w:firstLine="480"/>
            </w:pPr>
            <w:r>
              <w:rPr>
                <w:rFonts w:hint="eastAsia"/>
              </w:rPr>
              <w:t>（</w:t>
            </w:r>
            <w:r>
              <w:t>4）明确必要的应急装备和设施。</w:t>
            </w:r>
          </w:p>
          <w:p>
            <w:pPr>
              <w:ind w:firstLine="480"/>
            </w:pPr>
            <w:r>
              <w:rPr>
                <w:rFonts w:hint="eastAsia"/>
              </w:rPr>
              <w:t>（</w:t>
            </w:r>
            <w:r>
              <w:t>5）组织应急救援专业队伍，明确任务及救援程序，并经常进行训练和演习。</w:t>
            </w:r>
          </w:p>
          <w:p>
            <w:pPr>
              <w:ind w:firstLine="480"/>
            </w:pPr>
            <w:r>
              <w:rPr>
                <w:rFonts w:hint="eastAsia"/>
              </w:rPr>
              <w:t>（</w:t>
            </w:r>
            <w:r>
              <w:t>6）制定各类环境风险事故的应急处置方案和救援程序。</w:t>
            </w:r>
          </w:p>
          <w:p>
            <w:pPr>
              <w:ind w:firstLine="480"/>
            </w:pPr>
            <w:r>
              <w:rPr>
                <w:rFonts w:hint="eastAsia"/>
              </w:rPr>
              <w:t>（</w:t>
            </w:r>
            <w:r>
              <w:t>7）建立汇报和协调程序。事故发生后，立即按程序汇报，并配合环境监测部门对事故现场及影响区域进行跟踪监测。</w:t>
            </w:r>
          </w:p>
          <w:p>
            <w:pPr>
              <w:ind w:firstLine="480"/>
            </w:pPr>
            <w:r>
              <w:rPr>
                <w:rFonts w:hint="eastAsia"/>
              </w:rPr>
              <w:t>（</w:t>
            </w:r>
            <w:r>
              <w:t>8）发生事故后，抢险人员应根据事先拟定的方案，在做好个人防护的技术基础上，以最快的速度及时堵漏排险、消灭事故。</w:t>
            </w:r>
          </w:p>
          <w:p>
            <w:pPr>
              <w:ind w:firstLine="480"/>
            </w:pPr>
            <w:r>
              <w:rPr>
                <w:rFonts w:hint="eastAsia"/>
              </w:rPr>
              <w:t>（</w:t>
            </w:r>
            <w:r>
              <w:t>9）发生重大事故可能对人群安全构成威胁时，必须在指挥部统一指挥下，紧急疏散与事故应急救援无关的人员，疏散方向、距离和集中地点，必须根据不同事故，作出具体规定。总的原则是疏散安全点处于当时的上风向。</w:t>
            </w:r>
          </w:p>
          <w:p>
            <w:pPr>
              <w:ind w:firstLine="480"/>
            </w:pPr>
            <w:r>
              <w:rPr>
                <w:rFonts w:hint="eastAsia"/>
              </w:rPr>
              <w:t>（</w:t>
            </w:r>
            <w:r>
              <w:t>10）对应急救援人员进行培训，对社会或周边人员应急响应知识的宣传，必要时组织多方人员参与培训和应急演练。</w:t>
            </w:r>
          </w:p>
          <w:p>
            <w:pPr>
              <w:ind w:firstLine="480"/>
            </w:pPr>
            <w:r>
              <w:rPr>
                <w:rFonts w:hint="eastAsia"/>
              </w:rPr>
              <w:t>（</w:t>
            </w:r>
            <w:r>
              <w:t>11）明确演练计划和方式。</w:t>
            </w:r>
          </w:p>
          <w:p>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废机油</w:t>
            </w:r>
            <w:r>
              <w:t>泄漏应急救援预案</w:t>
            </w:r>
          </w:p>
          <w:p>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当</w:t>
            </w:r>
            <w:r>
              <w:rPr>
                <w:rFonts w:hint="eastAsia"/>
              </w:rPr>
              <w:t>废机油</w:t>
            </w:r>
            <w:r>
              <w:t>外溢时，应及时围堵，并及时进行清理。</w:t>
            </w:r>
          </w:p>
          <w:p>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对受泄漏</w:t>
            </w:r>
            <w:r>
              <w:rPr>
                <w:rFonts w:hint="eastAsia"/>
              </w:rPr>
              <w:t>废机油</w:t>
            </w:r>
            <w:r>
              <w:t>污染的土壤进行清理和置换，确保农业生产不受影响。</w:t>
            </w:r>
          </w:p>
          <w:p>
            <w:pPr>
              <w:ind w:firstLine="48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宣传、培训和演习</w:t>
            </w:r>
          </w:p>
          <w:p>
            <w:pPr>
              <w:ind w:firstLine="48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t>企业要按规定向公众和员工广泛宣传应急救援有关法律法规和事故预防、避险、避灾、自救、互救的常识。</w:t>
            </w:r>
          </w:p>
          <w:p>
            <w:pPr>
              <w:ind w:firstLine="480"/>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t>培训。有关应急救援队伍按照有关规定参加业务培训；企业按照有关规定对员工进行应急培训；</w:t>
            </w:r>
          </w:p>
          <w:p>
            <w:pPr>
              <w:ind w:firstLine="48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演习。企业每年至少组织一次事故应急演习，并将演习总结报应急办公室。</w:t>
            </w:r>
          </w:p>
          <w:p>
            <w:pPr>
              <w:ind w:firstLine="0" w:firstLineChars="0"/>
              <w:rPr>
                <w:b/>
                <w:bCs/>
              </w:rPr>
            </w:pPr>
            <w:r>
              <w:rPr>
                <w:rFonts w:hint="eastAsia"/>
                <w:b/>
                <w:bCs/>
              </w:rPr>
              <w:t>4.</w:t>
            </w:r>
            <w:r>
              <w:rPr>
                <w:b/>
                <w:bCs/>
              </w:rPr>
              <w:t>5</w:t>
            </w:r>
            <w:r>
              <w:rPr>
                <w:rFonts w:hint="eastAsia"/>
                <w:b/>
                <w:bCs/>
              </w:rPr>
              <w:t>.6环境风险防范措施</w:t>
            </w:r>
          </w:p>
          <w:p>
            <w:pPr>
              <w:ind w:firstLine="480"/>
            </w:pPr>
            <w:r>
              <w:rPr>
                <w:rFonts w:hint="eastAsia"/>
              </w:rPr>
              <w:t>①贮存管理规范化</w:t>
            </w:r>
          </w:p>
          <w:p>
            <w:pPr>
              <w:ind w:firstLine="480"/>
            </w:pPr>
            <w:r>
              <w:rPr>
                <w:rFonts w:hint="eastAsia" w:ascii="Segoe UI" w:hAnsi="Segoe UI" w:cs="Segoe UI"/>
                <w:color w:val="0F1115"/>
                <w:shd w:val="clear" w:color="auto" w:fill="FFFFFF"/>
              </w:rPr>
              <w:t>废机油应贮存于重点防渗的专用区域内</w:t>
            </w:r>
            <w:r>
              <w:rPr>
                <w:rFonts w:ascii="Segoe UI" w:hAnsi="Segoe UI" w:cs="Segoe UI"/>
                <w:color w:val="0F1115"/>
                <w:shd w:val="clear" w:color="auto" w:fill="FFFFFF"/>
              </w:rPr>
              <w:t>，并设置围堰及集液沟，确保泄漏物可收集、不外排。贮存须使用密闭、耐腐蚀的专用容器，并定期检查。同时，区域应张贴包含废物种类、数量及应急措施的标识，并建立规范的贮存管理台账</w:t>
            </w:r>
            <w:r>
              <w:rPr>
                <w:rFonts w:hint="eastAsia"/>
              </w:rPr>
              <w:t>。</w:t>
            </w:r>
          </w:p>
          <w:p>
            <w:pPr>
              <w:ind w:firstLine="480"/>
            </w:pPr>
            <w:r>
              <w:rPr>
                <w:rFonts w:hint="eastAsia"/>
              </w:rPr>
              <w:t>②火灾预防与消防保障</w:t>
            </w:r>
          </w:p>
          <w:p>
            <w:pPr>
              <w:ind w:firstLine="480"/>
            </w:pPr>
            <w:r>
              <w:rPr>
                <w:rFonts w:hint="eastAsia"/>
              </w:rPr>
              <w:t>危险废物贮存点严禁烟火，不得靠近热源和电气线路。</w:t>
            </w:r>
          </w:p>
          <w:p>
            <w:pPr>
              <w:ind w:firstLine="480"/>
            </w:pPr>
            <w:r>
              <w:rPr>
                <w:rFonts w:hint="eastAsia"/>
              </w:rPr>
              <w:t>厂区配备干粉灭火器、消防沙箱、消防栓等设施，定期检查维护，确保完好可用；设置火灾自动报警系统和手动报警按钮，并与厂区值班室联动，实现快速响应。</w:t>
            </w:r>
          </w:p>
          <w:p>
            <w:pPr>
              <w:ind w:firstLine="480"/>
            </w:pPr>
            <w:r>
              <w:rPr>
                <w:rFonts w:hint="eastAsia"/>
              </w:rPr>
              <w:t>③人员培训与制度建设</w:t>
            </w:r>
          </w:p>
          <w:p>
            <w:pPr>
              <w:ind w:firstLine="480"/>
            </w:pPr>
            <w:r>
              <w:rPr>
                <w:rFonts w:hint="eastAsia"/>
              </w:rPr>
              <w:t>对相关岗位员工开展危险废物管理和应急处置专项培训，每年至少组织一次消防与泄漏应急演练，提高实战能力；建立岗位责任制和日常巡查制度，每日检查贮存容器密封性、防渗设施完整性及消防器材状态，发现问题及时整改。所有操作人员须经考核合格后持证上岗，严格执行操作规程，杜绝人为失误。</w:t>
            </w:r>
          </w:p>
          <w:p>
            <w:pPr>
              <w:ind w:firstLine="480"/>
            </w:pPr>
            <w:r>
              <w:rPr>
                <w:rFonts w:hint="eastAsia"/>
              </w:rPr>
              <w:fldChar w:fldCharType="begin"/>
            </w:r>
            <w:r>
              <w:rPr>
                <w:rFonts w:hint="eastAsia"/>
              </w:rPr>
              <w:instrText xml:space="preserve"> = 4 \* GB3 \* MERGEFORMAT </w:instrText>
            </w:r>
            <w:r>
              <w:rPr>
                <w:rFonts w:hint="eastAsia"/>
              </w:rPr>
              <w:fldChar w:fldCharType="separate"/>
            </w:r>
            <w:r>
              <w:rPr>
                <w:rFonts w:hint="eastAsia" w:ascii="宋体" w:hAnsi="宋体" w:cs="宋体"/>
              </w:rPr>
              <w:t>④</w:t>
            </w:r>
            <w:r>
              <w:rPr>
                <w:rFonts w:hint="eastAsia"/>
              </w:rPr>
              <w:fldChar w:fldCharType="end"/>
            </w:r>
            <w:r>
              <w:rPr>
                <w:rFonts w:hint="eastAsia"/>
              </w:rPr>
              <w:t>联防联控机制</w:t>
            </w:r>
          </w:p>
          <w:p>
            <w:pPr>
              <w:ind w:firstLine="480"/>
            </w:pPr>
            <w:r>
              <w:rPr>
                <w:rFonts w:hint="eastAsia"/>
              </w:rPr>
              <w:t>与当地生态环境部门、消防机构建立信息通报机制，发生重大风险事件时能够迅速联动处置。委托有资质的第三方单位定期清运废机油。</w:t>
            </w:r>
          </w:p>
          <w:p>
            <w:pPr>
              <w:ind w:firstLine="480"/>
            </w:pPr>
            <w:r>
              <w:rPr>
                <w:rFonts w:hint="eastAsia"/>
              </w:rPr>
              <w:t>综上所述，虽然本项目存在废机油泄漏及火灾等潜在环境风险，但通过采取严格的源头控制、过程监管、末端防控和应急管理措施，可显著降低事故发生概率和环境影响程度。在全面落实上述风险防范措施的基础上，项目的环境风险水平可控，不会对周边环境和人群健康造成显著影响。</w:t>
            </w:r>
          </w:p>
          <w:p>
            <w:pPr>
              <w:ind w:firstLine="0" w:firstLineChars="0"/>
              <w:rPr>
                <w:b/>
              </w:rPr>
            </w:pPr>
            <w:r>
              <w:rPr>
                <w:rFonts w:hint="eastAsia"/>
                <w:b/>
              </w:rPr>
              <w:t>4.</w:t>
            </w:r>
            <w:r>
              <w:rPr>
                <w:b/>
              </w:rPr>
              <w:t>5</w:t>
            </w:r>
            <w:r>
              <w:rPr>
                <w:rFonts w:hint="eastAsia"/>
                <w:b/>
              </w:rPr>
              <w:t>.7环境风险分析结论及建议</w:t>
            </w:r>
          </w:p>
          <w:p>
            <w:pPr>
              <w:ind w:firstLine="480"/>
            </w:pPr>
            <w:r>
              <w:t>本项目存在一定环境风险，但在全面落实各项风险防范措施和应急预案的前提下，环境风险可控</w:t>
            </w:r>
            <w:r>
              <w:rPr>
                <w:rFonts w:hint="eastAsia"/>
              </w:rPr>
              <w:t>。</w:t>
            </w:r>
          </w:p>
          <w:p>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13  </w:t>
            </w:r>
            <w:r>
              <w:rPr>
                <w:rFonts w:hint="eastAsia"/>
                <w:b/>
                <w:bCs/>
                <w:sz w:val="21"/>
                <w:szCs w:val="21"/>
              </w:rPr>
              <w:t>建设项目环境风险简单分析内容表</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731"/>
              <w:gridCol w:w="2010"/>
              <w:gridCol w:w="993"/>
              <w:gridCol w:w="25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建设项目名称</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新疆中顺财达环保科技有限公司废塑料资源循环加工建设项目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建设地点</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库尔勒市哈拉玉宫镇废旧物资回收加工产业园17-2号厂区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地理坐标</w:t>
                  </w:r>
                </w:p>
              </w:tc>
              <w:tc>
                <w:tcPr>
                  <w:tcW w:w="423"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经度</w:t>
                  </w:r>
                </w:p>
              </w:tc>
              <w:tc>
                <w:tcPr>
                  <w:tcW w:w="1164"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86°5'35.785"</w:t>
                  </w:r>
                </w:p>
              </w:tc>
              <w:tc>
                <w:tcPr>
                  <w:tcW w:w="57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纬度</w:t>
                  </w:r>
                </w:p>
              </w:tc>
              <w:tc>
                <w:tcPr>
                  <w:tcW w:w="1452"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41°37'53.143"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主要危险物质及分布</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所涉及的主要危险废物是</w:t>
                  </w:r>
                  <w:r>
                    <w:rPr>
                      <w:rFonts w:hint="eastAsia" w:cs="Times New Roman"/>
                      <w:color w:val="000000" w:themeColor="text1"/>
                      <w:sz w:val="21"/>
                      <w:szCs w:val="21"/>
                      <w14:textFill>
                        <w14:solidFill>
                          <w14:schemeClr w14:val="tx1"/>
                        </w14:solidFill>
                      </w14:textFill>
                    </w:rPr>
                    <w:t>废机油</w:t>
                  </w:r>
                  <w:r>
                    <w:rPr>
                      <w:rFonts w:cs="Times New Roman"/>
                      <w:color w:val="000000" w:themeColor="text1"/>
                      <w:sz w:val="21"/>
                      <w:szCs w:val="21"/>
                      <w14:textFill>
                        <w14:solidFill>
                          <w14:schemeClr w14:val="tx1"/>
                        </w14:solidFill>
                      </w14:textFill>
                    </w:rPr>
                    <w:t>，位于危险废物贮存点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pct"/>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环境影响途径及危害后果（大气、地表水、地下水等）</w:t>
                  </w:r>
                </w:p>
              </w:tc>
              <w:tc>
                <w:tcPr>
                  <w:tcW w:w="3614" w:type="pct"/>
                  <w:gridSpan w:val="4"/>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本项目可能发生的事故包括</w:t>
                  </w:r>
                </w:p>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①危险废物泄漏，引起火灾、爆炸风险事故；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风险防范措施要求</w:t>
                  </w:r>
                </w:p>
              </w:tc>
              <w:tc>
                <w:tcPr>
                  <w:tcW w:w="3614" w:type="pct"/>
                  <w:gridSpan w:val="4"/>
                  <w:vAlign w:val="center"/>
                </w:tcPr>
                <w:p>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项目在生产过程中要一定注意通风，远离火花、明火、热源。厂区内应安装消防及火灾报警系统，并配套相应的消防设施。厂区总平面布置符合防范事故要求，有应急救援设施及救援通道。</w:t>
                  </w:r>
                  <w:r>
                    <w:rPr>
                      <w:rFonts w:hint="eastAsia" w:cs="Times New Roman"/>
                      <w:color w:val="000000" w:themeColor="text1"/>
                      <w:sz w:val="21"/>
                      <w:szCs w:val="21"/>
                      <w14:textFill>
                        <w14:solidFill>
                          <w14:schemeClr w14:val="tx1"/>
                        </w14:solidFill>
                      </w14:textFill>
                    </w:rPr>
                    <w:t>危险废物贮存点的废油类物质的贮存容器要有足够的贮存空间及盛装余量，对贮存场所进行重点防渗处理，并安装泄漏报警装置，一旦发生泄漏自动报警，及时切断输送管道或采取其他有效措施，避免进一步泄漏引发火灾及爆炸的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385" w:type="pct"/>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填表说明</w:t>
                  </w:r>
                </w:p>
              </w:tc>
              <w:tc>
                <w:tcPr>
                  <w:tcW w:w="3614" w:type="pct"/>
                  <w:gridSpan w:val="4"/>
                  <w:vAlign w:val="center"/>
                </w:tcPr>
                <w:p>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bl>
          <w:p>
            <w:pPr>
              <w:ind w:firstLine="480"/>
            </w:pPr>
            <w:r>
              <w:t>环境风险评价是针对建设项目在建设和运行期间发生的可预测突发性事件或事故（一般不包括人为破坏及自然灾害）引起有毒有害、易燃易爆等物质的</w:t>
            </w:r>
            <w:r>
              <w:rPr>
                <w:rFonts w:hint="eastAsia"/>
              </w:rPr>
              <w:t>泄漏</w:t>
            </w:r>
            <w:r>
              <w:t>，或突发事件产生的新的有毒有害物质，所造成的对人</w:t>
            </w:r>
            <w:r>
              <w:rPr>
                <w:rFonts w:hint="eastAsia"/>
              </w:rPr>
              <w:t>身</w:t>
            </w:r>
            <w:r>
              <w:t>安全与环境的影响与损害，进行评估，提出防患与减缓的措施。</w:t>
            </w:r>
          </w:p>
          <w:p>
            <w:pPr>
              <w:ind w:firstLine="480"/>
            </w:pPr>
            <w:r>
              <w:rPr>
                <w:rFonts w:hint="eastAsia"/>
              </w:rPr>
              <w:t>本项目生产过程中涉及的风险物质主要为废机油。因此，环评要求建设单位对危险废物贮存点严格落实防渗措施，设置危险废物标识标牌，建立规范的台账管理制度，并严格按照《危险废物贮存污染控制标准》（GB18597-2023）的要求进行建设和运行管理，防止因泄漏造成土壤及地下水污染。</w:t>
            </w:r>
          </w:p>
          <w:p>
            <w:pPr>
              <w:ind w:firstLine="480"/>
            </w:pPr>
            <w:r>
              <w:t>生产过程中要严格遵守生产和安全的有关规章和规程，否则，生产人员的操作失误可能导致事故的发生，轻则停产、遭受经济损失，重则发生人员伤亡事故。这些事故均可通过公司的严格管理，以及建立完善的工作制度而得到控制，同时公司应该加强职工安全意识教育及防火技能培训，定期接受专业培训，以</w:t>
            </w:r>
            <w:r>
              <w:rPr>
                <w:rFonts w:hint="eastAsia"/>
              </w:rPr>
              <w:t>应对</w:t>
            </w:r>
            <w:r>
              <w:t>突发性事故。</w:t>
            </w:r>
            <w:r>
              <w:rPr>
                <w:rFonts w:hint="eastAsia"/>
              </w:rPr>
              <w:t>因此，本项目环境风险可控。</w:t>
            </w:r>
          </w:p>
          <w:p>
            <w:pPr>
              <w:ind w:firstLine="0" w:firstLineChars="0"/>
              <w:rPr>
                <w:b/>
                <w:bCs/>
              </w:rPr>
            </w:pPr>
            <w:r>
              <w:rPr>
                <w:b/>
                <w:bCs/>
              </w:rPr>
              <w:t>4.6</w:t>
            </w:r>
            <w:r>
              <w:rPr>
                <w:rFonts w:hint="eastAsia"/>
                <w:b/>
                <w:bCs/>
              </w:rPr>
              <w:t>排污许可管理</w:t>
            </w:r>
          </w:p>
          <w:p>
            <w:pPr>
              <w:widowControl/>
              <w:adjustRightInd w:val="0"/>
              <w:snapToGrid w:val="0"/>
              <w:ind w:firstLine="480"/>
              <w:jc w:val="left"/>
              <w:rPr>
                <w:rFonts w:cs="Times New Roman"/>
                <w:color w:val="000000"/>
                <w:kern w:val="0"/>
                <w:lang w:bidi="ar"/>
              </w:rPr>
            </w:pPr>
            <w:r>
              <w:rPr>
                <w:rFonts w:hint="eastAsia" w:cs="Times New Roman"/>
                <w:color w:val="000000"/>
                <w:kern w:val="0"/>
                <w:lang w:bidi="ar"/>
              </w:rPr>
              <w:t>根据《固定污染源排污许可分类管理名录（2019年版）》，本项目属于“四十二、废弃资源综合利用业42”中的“非金属废料和碎屑加工处理422”类别。项目涉及废塑料的破碎、清洗及加工，对照名录规定，需进行简化管理。本项目运营期将严格遵循以排污许可制为核心的固定污染源监管制度，将环评文件及其批复中的各项环境管理要求纳入排污许可证，确保依法持证排污、按证监管。</w:t>
            </w:r>
          </w:p>
          <w:p>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14  </w:t>
            </w:r>
            <w:r>
              <w:rPr>
                <w:rFonts w:hint="eastAsia"/>
                <w:b/>
                <w:bCs/>
                <w:sz w:val="21"/>
                <w:szCs w:val="21"/>
              </w:rPr>
              <w:t>排污许可分类管理名录对应类别</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39"/>
              <w:gridCol w:w="1582"/>
              <w:gridCol w:w="3599"/>
              <w:gridCol w:w="13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9" w:hRule="atLeast"/>
                <w:jc w:val="center"/>
              </w:trPr>
              <w:tc>
                <w:tcPr>
                  <w:tcW w:w="414"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序号</w:t>
                  </w:r>
                </w:p>
              </w:tc>
              <w:tc>
                <w:tcPr>
                  <w:tcW w:w="833"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行业类别</w:t>
                  </w:r>
                </w:p>
              </w:tc>
              <w:tc>
                <w:tcPr>
                  <w:tcW w:w="916"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重点管理</w:t>
                  </w:r>
                </w:p>
              </w:tc>
              <w:tc>
                <w:tcPr>
                  <w:tcW w:w="2083" w:type="pct"/>
                  <w:shd w:val="clear" w:color="auto" w:fill="E7E6E6" w:themeFill="background2"/>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简化管理</w:t>
                  </w:r>
                </w:p>
              </w:tc>
              <w:tc>
                <w:tcPr>
                  <w:tcW w:w="753" w:type="pct"/>
                  <w:vAlign w:val="center"/>
                </w:tcPr>
                <w:p>
                  <w:pPr>
                    <w:spacing w:line="240" w:lineRule="auto"/>
                    <w:ind w:firstLine="0" w:firstLineChars="0"/>
                    <w:jc w:val="center"/>
                    <w:textAlignment w:val="auto"/>
                    <w:rPr>
                      <w:rFonts w:cs="Times New Roman"/>
                      <w:b/>
                      <w:bCs/>
                      <w:sz w:val="21"/>
                      <w:szCs w:val="21"/>
                    </w:rPr>
                  </w:pPr>
                  <w:r>
                    <w:rPr>
                      <w:rFonts w:hint="eastAsia" w:cs="Times New Roman"/>
                      <w:b/>
                      <w:bCs/>
                      <w:sz w:val="21"/>
                      <w:szCs w:val="21"/>
                    </w:rPr>
                    <w:t>登记管理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5"/>
                  <w:shd w:val="clear" w:color="auto" w:fill="E7E6E6" w:themeFill="background2"/>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三十七、废弃资源综合利用业42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14"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9</w:t>
                  </w:r>
                  <w:r>
                    <w:rPr>
                      <w:rFonts w:cs="Times New Roman"/>
                      <w:sz w:val="21"/>
                      <w:szCs w:val="21"/>
                    </w:rPr>
                    <w:t>3</w:t>
                  </w:r>
                </w:p>
              </w:tc>
              <w:tc>
                <w:tcPr>
                  <w:tcW w:w="833"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非金属废料和碎屑加工处理422</w:t>
                  </w:r>
                </w:p>
              </w:tc>
              <w:tc>
                <w:tcPr>
                  <w:tcW w:w="916"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废电池、废油、废轮胎加工处理</w:t>
                  </w:r>
                </w:p>
              </w:tc>
              <w:tc>
                <w:tcPr>
                  <w:tcW w:w="2083" w:type="pct"/>
                  <w:shd w:val="clear" w:color="auto" w:fill="E7E6E6" w:themeFill="background2"/>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废弃电器电子产品、废机动车、废电机、废电线电缆、</w:t>
                  </w:r>
                  <w:r>
                    <w:rPr>
                      <w:rFonts w:hint="eastAsia" w:cs="Times New Roman"/>
                      <w:b/>
                      <w:bCs/>
                      <w:sz w:val="21"/>
                      <w:szCs w:val="21"/>
                    </w:rPr>
                    <w:t>废塑料</w:t>
                  </w:r>
                  <w:r>
                    <w:rPr>
                      <w:rFonts w:hint="eastAsia" w:cs="Times New Roman"/>
                      <w:sz w:val="21"/>
                      <w:szCs w:val="21"/>
                    </w:rPr>
                    <w:t>、废船、含水洗工艺的其他废料和碎屑加工处理</w:t>
                  </w:r>
                </w:p>
              </w:tc>
              <w:tc>
                <w:tcPr>
                  <w:tcW w:w="753" w:type="pct"/>
                  <w:vAlign w:val="center"/>
                </w:tcPr>
                <w:p>
                  <w:pPr>
                    <w:spacing w:line="240" w:lineRule="auto"/>
                    <w:ind w:firstLine="0" w:firstLineChars="0"/>
                    <w:jc w:val="center"/>
                    <w:textAlignment w:val="auto"/>
                    <w:rPr>
                      <w:rFonts w:cs="Times New Roman"/>
                      <w:sz w:val="21"/>
                      <w:szCs w:val="21"/>
                    </w:rPr>
                  </w:pPr>
                  <w:r>
                    <w:rPr>
                      <w:rFonts w:hint="eastAsia" w:cs="Times New Roman"/>
                      <w:sz w:val="21"/>
                      <w:szCs w:val="21"/>
                    </w:rPr>
                    <w:t>其他</w:t>
                  </w:r>
                </w:p>
              </w:tc>
            </w:tr>
          </w:tbl>
          <w:p>
            <w:pPr>
              <w:pStyle w:val="3"/>
              <w:rPr>
                <w:rFonts w:cs="Times New Roman"/>
              </w:rPr>
            </w:pPr>
            <w:r>
              <w:rPr>
                <w:rFonts w:cs="Times New Roman"/>
              </w:rPr>
              <w:t>4.</w:t>
            </w:r>
            <w:r>
              <w:rPr>
                <w:rFonts w:hint="eastAsia" w:cs="Times New Roman"/>
              </w:rPr>
              <w:t>7</w:t>
            </w:r>
            <w:r>
              <w:rPr>
                <w:rFonts w:cs="Times New Roman"/>
              </w:rPr>
              <w:t>环境保护计划</w:t>
            </w:r>
          </w:p>
          <w:p>
            <w:pPr>
              <w:ind w:firstLine="480"/>
              <w:rPr>
                <w:rFonts w:cs="Times New Roman"/>
              </w:rPr>
            </w:pPr>
            <w:r>
              <w:rPr>
                <w:rFonts w:hint="eastAsia" w:cs="Times New Roman"/>
              </w:rPr>
              <w:t>根据《排污许可证申请与核发技术规范 废弃资源加工工业》（HJ1034—2019）和《排污单位自行监测技术指南 总则》（HJ819—2017）等文件要求，本项目将开展排污单位自行监测工作，具体监测计划详见表4-15</w:t>
            </w:r>
            <w:r>
              <w:rPr>
                <w:rFonts w:cs="Times New Roman"/>
              </w:rPr>
              <w:t>。</w:t>
            </w:r>
          </w:p>
          <w:p>
            <w:pPr>
              <w:pStyle w:val="80"/>
              <w:rPr>
                <w:rFonts w:ascii="Times New Roman" w:hAnsi="Times New Roman" w:cs="Times New Roman"/>
                <w:sz w:val="21"/>
                <w:szCs w:val="21"/>
              </w:rPr>
            </w:pPr>
            <w:r>
              <w:rPr>
                <w:rFonts w:ascii="Times New Roman" w:hAnsi="Times New Roman" w:cs="Times New Roman"/>
                <w:sz w:val="21"/>
                <w:szCs w:val="21"/>
              </w:rPr>
              <w:t>表4-1</w:t>
            </w:r>
            <w:r>
              <w:rPr>
                <w:rFonts w:ascii="Times New Roman" w:hAnsi="Times New Roman" w:cs="Times New Roman"/>
                <w:sz w:val="21"/>
                <w:szCs w:val="21"/>
                <w:lang w:val="en-US"/>
              </w:rPr>
              <w:t>5</w:t>
            </w:r>
            <w:r>
              <w:rPr>
                <w:rFonts w:ascii="Times New Roman" w:hAnsi="Times New Roman" w:cs="Times New Roman"/>
                <w:sz w:val="21"/>
                <w:szCs w:val="21"/>
              </w:rPr>
              <w:t xml:space="preserve">  环境监测计划</w:t>
            </w:r>
          </w:p>
          <w:tbl>
            <w:tblPr>
              <w:tblStyle w:val="25"/>
              <w:tblW w:w="49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544"/>
              <w:gridCol w:w="1406"/>
              <w:gridCol w:w="1200"/>
              <w:gridCol w:w="3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2" w:hRule="atLeast"/>
                <w:jc w:val="center"/>
              </w:trPr>
              <w:tc>
                <w:tcPr>
                  <w:tcW w:w="748" w:type="pct"/>
                  <w:vAlign w:val="center"/>
                </w:tcPr>
                <w:p>
                  <w:pPr>
                    <w:pStyle w:val="81"/>
                    <w:rPr>
                      <w:rFonts w:cs="Times New Roman"/>
                    </w:rPr>
                  </w:pPr>
                  <w:r>
                    <w:rPr>
                      <w:rFonts w:cs="Times New Roman"/>
                    </w:rPr>
                    <w:t>环境因素</w:t>
                  </w:r>
                </w:p>
              </w:tc>
              <w:tc>
                <w:tcPr>
                  <w:tcW w:w="908" w:type="pct"/>
                  <w:vAlign w:val="center"/>
                </w:tcPr>
                <w:p>
                  <w:pPr>
                    <w:pStyle w:val="81"/>
                    <w:rPr>
                      <w:rFonts w:cs="Times New Roman"/>
                    </w:rPr>
                  </w:pPr>
                  <w:r>
                    <w:rPr>
                      <w:rFonts w:cs="Times New Roman"/>
                    </w:rPr>
                    <w:t>监测项目</w:t>
                  </w:r>
                </w:p>
              </w:tc>
              <w:tc>
                <w:tcPr>
                  <w:tcW w:w="827" w:type="pct"/>
                  <w:vAlign w:val="center"/>
                </w:tcPr>
                <w:p>
                  <w:pPr>
                    <w:pStyle w:val="81"/>
                    <w:rPr>
                      <w:rFonts w:cs="Times New Roman"/>
                    </w:rPr>
                  </w:pPr>
                  <w:r>
                    <w:rPr>
                      <w:rFonts w:cs="Times New Roman"/>
                    </w:rPr>
                    <w:t>监测点位</w:t>
                  </w:r>
                </w:p>
              </w:tc>
              <w:tc>
                <w:tcPr>
                  <w:tcW w:w="706" w:type="pct"/>
                  <w:vAlign w:val="center"/>
                </w:tcPr>
                <w:p>
                  <w:pPr>
                    <w:pStyle w:val="81"/>
                    <w:rPr>
                      <w:rFonts w:cs="Times New Roman"/>
                    </w:rPr>
                  </w:pPr>
                  <w:r>
                    <w:rPr>
                      <w:rFonts w:cs="Times New Roman"/>
                    </w:rPr>
                    <w:t>监测频率</w:t>
                  </w:r>
                </w:p>
              </w:tc>
              <w:tc>
                <w:tcPr>
                  <w:tcW w:w="1811" w:type="pct"/>
                  <w:vAlign w:val="center"/>
                </w:tcPr>
                <w:p>
                  <w:pPr>
                    <w:pStyle w:val="81"/>
                    <w:rPr>
                      <w:rFonts w:cs="Times New Roman"/>
                    </w:rPr>
                  </w:pPr>
                  <w:r>
                    <w:rPr>
                      <w:rFonts w:cs="Times New Roma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vAlign w:val="center"/>
                </w:tcPr>
                <w:p>
                  <w:pPr>
                    <w:pStyle w:val="81"/>
                    <w:rPr>
                      <w:rFonts w:cs="Times New Roman"/>
                    </w:rPr>
                  </w:pPr>
                  <w:r>
                    <w:rPr>
                      <w:rFonts w:hint="eastAsia" w:cs="Times New Roman"/>
                    </w:rPr>
                    <w:t>无组织</w:t>
                  </w:r>
                  <w:r>
                    <w:rPr>
                      <w:rFonts w:cs="Times New Roman"/>
                    </w:rPr>
                    <w:t>废气</w:t>
                  </w:r>
                </w:p>
              </w:tc>
              <w:tc>
                <w:tcPr>
                  <w:tcW w:w="908" w:type="pct"/>
                  <w:vAlign w:val="center"/>
                </w:tcPr>
                <w:p>
                  <w:pPr>
                    <w:pStyle w:val="81"/>
                    <w:rPr>
                      <w:rFonts w:cs="Times New Roman"/>
                    </w:rPr>
                  </w:pPr>
                  <w:r>
                    <w:rPr>
                      <w:rFonts w:cs="Times New Roman"/>
                    </w:rPr>
                    <w:t>颗粒物</w:t>
                  </w:r>
                  <w:r>
                    <w:rPr>
                      <w:rFonts w:hint="eastAsia" w:cs="Times New Roman"/>
                    </w:rPr>
                    <w:t>、臭气浓度</w:t>
                  </w:r>
                </w:p>
              </w:tc>
              <w:tc>
                <w:tcPr>
                  <w:tcW w:w="827" w:type="pct"/>
                  <w:vAlign w:val="center"/>
                </w:tcPr>
                <w:p>
                  <w:pPr>
                    <w:pStyle w:val="81"/>
                    <w:rPr>
                      <w:rFonts w:cs="Times New Roman"/>
                    </w:rPr>
                  </w:pPr>
                  <w:r>
                    <w:rPr>
                      <w:rFonts w:cs="Times New Roman"/>
                    </w:rPr>
                    <w:t>厂界</w:t>
                  </w:r>
                </w:p>
              </w:tc>
              <w:tc>
                <w:tcPr>
                  <w:tcW w:w="706" w:type="pct"/>
                  <w:vAlign w:val="center"/>
                </w:tcPr>
                <w:p>
                  <w:pPr>
                    <w:pStyle w:val="81"/>
                    <w:rPr>
                      <w:rFonts w:cs="Times New Roman"/>
                    </w:rPr>
                  </w:pPr>
                  <w:r>
                    <w:rPr>
                      <w:rFonts w:cs="Times New Roman"/>
                    </w:rPr>
                    <w:t>1次/年</w:t>
                  </w:r>
                </w:p>
              </w:tc>
              <w:tc>
                <w:tcPr>
                  <w:tcW w:w="1811" w:type="pct"/>
                  <w:vAlign w:val="center"/>
                </w:tcPr>
                <w:p>
                  <w:pPr>
                    <w:pStyle w:val="81"/>
                    <w:rPr>
                      <w:color w:val="000000" w:themeColor="text1"/>
                      <w14:textFill>
                        <w14:solidFill>
                          <w14:schemeClr w14:val="tx1"/>
                        </w14:solidFill>
                      </w14:textFill>
                    </w:rPr>
                  </w:pPr>
                  <w:r>
                    <w:rPr>
                      <w:rFonts w:hint="eastAsia"/>
                      <w:color w:val="000000"/>
                    </w:rPr>
                    <w:t>颗粒物执行《大气污染物综合排放标准》（GB16297-1996）表2中的</w:t>
                  </w:r>
                  <w:r>
                    <w:rPr>
                      <w:rFonts w:ascii="SourceHanSansCN-Regular" w:hAnsi="SourceHanSansCN-Regular"/>
                      <w:color w:val="000000"/>
                    </w:rPr>
                    <w:t>无组织排放监控点浓度限值</w:t>
                  </w:r>
                  <w:r>
                    <w:rPr>
                      <w:rFonts w:hint="eastAsia"/>
                      <w:color w:val="000000"/>
                    </w:rPr>
                    <w:t>要求（</w:t>
                  </w:r>
                  <w:r>
                    <w:rPr>
                      <w:color w:val="000000"/>
                    </w:rPr>
                    <w:t>1.0mg/m</w:t>
                  </w:r>
                  <w:r>
                    <w:rPr>
                      <w:color w:val="000000"/>
                      <w:vertAlign w:val="superscript"/>
                    </w:rPr>
                    <w:t>3</w:t>
                  </w:r>
                  <w:r>
                    <w:rPr>
                      <w:rFonts w:hint="eastAsia"/>
                      <w:color w:val="000000"/>
                    </w:rPr>
                    <w:t>）；臭气浓度执行《恶臭污染物排放标准》（GB14554-93）表1恶臭污染物厂界标准值新扩改建项目二级标准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8" w:type="pct"/>
                  <w:vAlign w:val="center"/>
                </w:tcPr>
                <w:p>
                  <w:pPr>
                    <w:pStyle w:val="81"/>
                    <w:rPr>
                      <w:rFonts w:cs="Times New Roman"/>
                    </w:rPr>
                  </w:pPr>
                  <w:r>
                    <w:rPr>
                      <w:rFonts w:cs="Times New Roman"/>
                    </w:rPr>
                    <w:t>噪声</w:t>
                  </w:r>
                </w:p>
              </w:tc>
              <w:tc>
                <w:tcPr>
                  <w:tcW w:w="908" w:type="pct"/>
                  <w:vAlign w:val="center"/>
                </w:tcPr>
                <w:p>
                  <w:pPr>
                    <w:pStyle w:val="81"/>
                    <w:rPr>
                      <w:rFonts w:cs="Times New Roman"/>
                    </w:rPr>
                  </w:pPr>
                  <w:r>
                    <w:rPr>
                      <w:rFonts w:cs="Times New Roman"/>
                    </w:rPr>
                    <w:t>等效连续A声级Leq（A）</w:t>
                  </w:r>
                </w:p>
              </w:tc>
              <w:tc>
                <w:tcPr>
                  <w:tcW w:w="827" w:type="pct"/>
                  <w:vAlign w:val="center"/>
                </w:tcPr>
                <w:p>
                  <w:pPr>
                    <w:pStyle w:val="81"/>
                    <w:rPr>
                      <w:rFonts w:cs="Times New Roman"/>
                    </w:rPr>
                  </w:pPr>
                  <w:r>
                    <w:rPr>
                      <w:rFonts w:cs="Times New Roman"/>
                    </w:rPr>
                    <w:t>厂界四周1m处</w:t>
                  </w:r>
                </w:p>
              </w:tc>
              <w:tc>
                <w:tcPr>
                  <w:tcW w:w="706" w:type="pct"/>
                  <w:vAlign w:val="center"/>
                </w:tcPr>
                <w:p>
                  <w:pPr>
                    <w:pStyle w:val="81"/>
                    <w:rPr>
                      <w:rFonts w:cs="Times New Roman"/>
                    </w:rPr>
                  </w:pPr>
                  <w:r>
                    <w:rPr>
                      <w:rFonts w:cs="Times New Roman"/>
                    </w:rPr>
                    <w:t>1次/季度</w:t>
                  </w:r>
                </w:p>
              </w:tc>
              <w:tc>
                <w:tcPr>
                  <w:tcW w:w="1811" w:type="pct"/>
                  <w:vAlign w:val="center"/>
                </w:tcPr>
                <w:p>
                  <w:pPr>
                    <w:pStyle w:val="81"/>
                    <w:rPr>
                      <w:rFonts w:cs="Times New Roman"/>
                    </w:rPr>
                  </w:pPr>
                  <w:r>
                    <w:rPr>
                      <w:rFonts w:cs="Times New Roman"/>
                    </w:rPr>
                    <w:t>《工业企业厂界环境噪声排放标准》（GB12348-2008）2类标准</w:t>
                  </w:r>
                </w:p>
              </w:tc>
            </w:tr>
          </w:tbl>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环保投资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本项目总投资约320.7万元，其中环保投资23.5万元，占总投资7.33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。环保投资估算一览表见表</w:t>
            </w:r>
            <w:r>
              <w:rPr>
                <w:color w:val="000000" w:themeColor="text1"/>
                <w14:textFill>
                  <w14:solidFill>
                    <w14:schemeClr w14:val="tx1"/>
                  </w14:solidFill>
                </w14:textFill>
              </w:rPr>
              <w:t>4-16</w:t>
            </w:r>
            <w:r>
              <w:rPr>
                <w:rFonts w:hint="eastAsia"/>
                <w:color w:val="000000" w:themeColor="text1"/>
                <w14:textFill>
                  <w14:solidFill>
                    <w14:schemeClr w14:val="tx1"/>
                  </w14:solidFill>
                </w14:textFill>
              </w:rPr>
              <w:t>。</w:t>
            </w:r>
          </w:p>
          <w:p>
            <w:pPr>
              <w:pStyle w:val="38"/>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-16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环保投资一览表</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4"/>
              <w:gridCol w:w="1496"/>
              <w:gridCol w:w="4966"/>
              <w:gridCol w:w="15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时段</w:t>
                  </w:r>
                </w:p>
              </w:tc>
              <w:tc>
                <w:tcPr>
                  <w:tcW w:w="866" w:type="pct"/>
                  <w:tcBorders>
                    <w:tl2br w:val="nil"/>
                    <w:tr2bl w:val="nil"/>
                  </w:tcBorders>
                  <w:vAlign w:val="center"/>
                </w:tcPr>
                <w:p>
                  <w:pPr>
                    <w:spacing w:line="240" w:lineRule="auto"/>
                    <w:ind w:firstLine="0" w:firstLineChars="0"/>
                    <w:jc w:val="center"/>
                    <w:textAlignment w:val="auto"/>
                    <w:rPr>
                      <w:b/>
                      <w:bCs/>
                      <w:kern w:val="0"/>
                      <w:sz w:val="21"/>
                      <w:szCs w:val="21"/>
                    </w:rPr>
                  </w:pPr>
                  <w:r>
                    <w:rPr>
                      <w:rFonts w:hint="eastAsia"/>
                      <w:b/>
                      <w:bCs/>
                      <w:kern w:val="0"/>
                      <w:sz w:val="21"/>
                      <w:szCs w:val="21"/>
                    </w:rPr>
                    <w:t>项目</w:t>
                  </w:r>
                </w:p>
              </w:tc>
              <w:tc>
                <w:tcPr>
                  <w:tcW w:w="287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环保措施</w:t>
                  </w:r>
                </w:p>
              </w:tc>
              <w:tc>
                <w:tcPr>
                  <w:tcW w:w="869" w:type="pct"/>
                  <w:tcBorders>
                    <w:tl2br w:val="nil"/>
                    <w:tr2bl w:val="nil"/>
                  </w:tcBorders>
                  <w:vAlign w:val="center"/>
                </w:tcPr>
                <w:p>
                  <w:pPr>
                    <w:spacing w:line="240" w:lineRule="auto"/>
                    <w:ind w:firstLine="0" w:firstLineChars="0"/>
                    <w:jc w:val="center"/>
                    <w:textAlignment w:val="auto"/>
                    <w:rPr>
                      <w:b/>
                      <w:bCs/>
                      <w:kern w:val="0"/>
                      <w:sz w:val="21"/>
                      <w:szCs w:val="21"/>
                    </w:rPr>
                  </w:pPr>
                  <w:r>
                    <w:rPr>
                      <w:b/>
                      <w:bCs/>
                      <w:kern w:val="0"/>
                      <w:sz w:val="21"/>
                      <w:szCs w:val="21"/>
                    </w:rPr>
                    <w:t>投资</w:t>
                  </w:r>
                </w:p>
                <w:p>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restart"/>
                  <w:tcBorders>
                    <w:tl2br w:val="nil"/>
                    <w:tr2bl w:val="nil"/>
                  </w:tcBorders>
                  <w:vAlign w:val="center"/>
                </w:tcPr>
                <w:p>
                  <w:pPr>
                    <w:pStyle w:val="33"/>
                    <w:rPr>
                      <w:color w:val="000000" w:themeColor="text1"/>
                      <w:szCs w:val="21"/>
                      <w14:textFill>
                        <w14:solidFill>
                          <w14:schemeClr w14:val="tx1"/>
                        </w14:solidFill>
                      </w14:textFill>
                    </w:rPr>
                  </w:pPr>
                  <w:r>
                    <w:rPr>
                      <w:rFonts w:hint="eastAsia"/>
                      <w:kern w:val="0"/>
                      <w:szCs w:val="21"/>
                    </w:rPr>
                    <w:t>施工工期</w:t>
                  </w:r>
                </w:p>
              </w:tc>
              <w:tc>
                <w:tcPr>
                  <w:tcW w:w="86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废气</w:t>
                  </w:r>
                  <w:r>
                    <w:rPr>
                      <w:rFonts w:cs="Times New Roman"/>
                      <w:sz w:val="21"/>
                      <w:szCs w:val="21"/>
                    </w:rPr>
                    <w:t>治理</w:t>
                  </w:r>
                </w:p>
              </w:tc>
              <w:tc>
                <w:tcPr>
                  <w:tcW w:w="287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洒水设施、篷布遮盖</w:t>
                  </w:r>
                </w:p>
              </w:tc>
              <w:tc>
                <w:tcPr>
                  <w:tcW w:w="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废水</w:t>
                  </w:r>
                  <w:r>
                    <w:rPr>
                      <w:rFonts w:cs="Times New Roman"/>
                      <w:sz w:val="21"/>
                      <w:szCs w:val="21"/>
                    </w:rPr>
                    <w:t>治理</w:t>
                  </w:r>
                </w:p>
              </w:tc>
              <w:tc>
                <w:tcPr>
                  <w:tcW w:w="287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临时沉淀池</w:t>
                  </w:r>
                </w:p>
              </w:tc>
              <w:tc>
                <w:tcPr>
                  <w:tcW w:w="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噪声</w:t>
                  </w:r>
                  <w:r>
                    <w:rPr>
                      <w:rFonts w:cs="Times New Roman"/>
                      <w:sz w:val="21"/>
                      <w:szCs w:val="21"/>
                    </w:rPr>
                    <w:t>治理</w:t>
                  </w:r>
                </w:p>
              </w:tc>
              <w:tc>
                <w:tcPr>
                  <w:tcW w:w="287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施工设备降噪，进出车辆减速</w:t>
                  </w:r>
                </w:p>
              </w:tc>
              <w:tc>
                <w:tcPr>
                  <w:tcW w:w="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kern w:val="0"/>
                      <w:sz w:val="21"/>
                      <w:szCs w:val="21"/>
                    </w:rPr>
                    <w:t>固体废物</w:t>
                  </w:r>
                </w:p>
              </w:tc>
              <w:tc>
                <w:tcPr>
                  <w:tcW w:w="2875"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建筑垃圾、生活垃圾清运</w:t>
                  </w:r>
                </w:p>
              </w:tc>
              <w:tc>
                <w:tcPr>
                  <w:tcW w:w="869" w:type="pct"/>
                  <w:tcBorders>
                    <w:tl2br w:val="nil"/>
                    <w:tr2bl w:val="nil"/>
                  </w:tcBorders>
                  <w:vAlign w:val="center"/>
                </w:tcPr>
                <w:p>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7" w:hRule="atLeast"/>
              </w:trPr>
              <w:tc>
                <w:tcPr>
                  <w:tcW w:w="390" w:type="pct"/>
                  <w:vMerge w:val="restar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运营期</w:t>
                  </w:r>
                </w:p>
              </w:tc>
              <w:tc>
                <w:tcPr>
                  <w:tcW w:w="866" w:type="pct"/>
                  <w:tcBorders>
                    <w:tl2br w:val="nil"/>
                    <w:tr2bl w:val="nil"/>
                  </w:tcBorders>
                  <w:vAlign w:val="center"/>
                </w:tcPr>
                <w:p>
                  <w:pPr>
                    <w:pStyle w:val="33"/>
                    <w:rPr>
                      <w:color w:val="000000" w:themeColor="text1"/>
                      <w:szCs w:val="21"/>
                      <w14:textFill>
                        <w14:solidFill>
                          <w14:schemeClr w14:val="tx1"/>
                        </w14:solidFill>
                      </w14:textFill>
                    </w:rPr>
                  </w:pPr>
                  <w:r>
                    <w:rPr>
                      <w:rFonts w:hint="eastAsia"/>
                      <w:kern w:val="0"/>
                      <w:szCs w:val="21"/>
                    </w:rPr>
                    <w:t>废气</w:t>
                  </w:r>
                  <w:r>
                    <w:rPr>
                      <w:rFonts w:cs="Times New Roman"/>
                      <w:szCs w:val="21"/>
                    </w:rPr>
                    <w:t>治理</w:t>
                  </w:r>
                </w:p>
              </w:tc>
              <w:tc>
                <w:tcPr>
                  <w:tcW w:w="2875" w:type="pct"/>
                  <w:tcBorders>
                    <w:tl2br w:val="nil"/>
                    <w:tr2bl w:val="nil"/>
                  </w:tcBorders>
                  <w:vAlign w:val="center"/>
                </w:tcPr>
                <w:p>
                  <w:pPr>
                    <w:pStyle w:val="33"/>
                    <w:rPr>
                      <w:color w:val="000000" w:themeColor="text1"/>
                      <w:szCs w:val="21"/>
                      <w14:textFill>
                        <w14:solidFill>
                          <w14:schemeClr w14:val="tx1"/>
                        </w14:solidFill>
                      </w14:textFill>
                    </w:rPr>
                  </w:pPr>
                  <w:r>
                    <w:rPr>
                      <w:rFonts w:hint="eastAsia"/>
                      <w:szCs w:val="21"/>
                    </w:rPr>
                    <w:t>破碎工序采用湿法破碎工艺，并在密闭厂房内进行</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vMerge w:val="restart"/>
                  <w:tcBorders>
                    <w:tl2br w:val="nil"/>
                    <w:tr2bl w:val="nil"/>
                  </w:tcBorders>
                  <w:vAlign w:val="center"/>
                </w:tcPr>
                <w:p>
                  <w:pPr>
                    <w:pStyle w:val="33"/>
                    <w:rPr>
                      <w:szCs w:val="21"/>
                    </w:rPr>
                  </w:pPr>
                  <w:r>
                    <w:rPr>
                      <w:rFonts w:hint="eastAsia"/>
                      <w:kern w:val="0"/>
                      <w:szCs w:val="21"/>
                    </w:rPr>
                    <w:t>废水</w:t>
                  </w:r>
                  <w:r>
                    <w:rPr>
                      <w:rFonts w:cs="Times New Roman"/>
                      <w:szCs w:val="21"/>
                    </w:rPr>
                    <w:t>治理</w:t>
                  </w:r>
                </w:p>
              </w:tc>
              <w:tc>
                <w:tcPr>
                  <w:tcW w:w="2875" w:type="pct"/>
                  <w:tcBorders>
                    <w:tl2br w:val="nil"/>
                    <w:tr2bl w:val="nil"/>
                  </w:tcBorders>
                  <w:vAlign w:val="center"/>
                </w:tcPr>
                <w:p>
                  <w:pPr>
                    <w:pStyle w:val="33"/>
                    <w:rPr>
                      <w:szCs w:val="21"/>
                    </w:rPr>
                  </w:pPr>
                  <w:r>
                    <w:rPr>
                      <w:rFonts w:hint="eastAsia" w:cs="Times New Roman"/>
                      <w:color w:val="000000" w:themeColor="text1"/>
                      <w:szCs w:val="21"/>
                      <w14:textFill>
                        <w14:solidFill>
                          <w14:schemeClr w14:val="tx1"/>
                        </w14:solidFill>
                      </w14:textFill>
                    </w:rPr>
                    <w:t>生产废水经沉淀处理后全部循环利用，不外排</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color w:val="000000" w:themeColor="text1"/>
                      <w:szCs w:val="21"/>
                      <w14:textFill>
                        <w14:solidFill>
                          <w14:schemeClr w14:val="tx1"/>
                        </w14:solidFill>
                      </w14:textFill>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vMerge w:val="continue"/>
                  <w:tcBorders>
                    <w:tl2br w:val="nil"/>
                    <w:tr2bl w:val="nil"/>
                  </w:tcBorders>
                  <w:vAlign w:val="center"/>
                </w:tcPr>
                <w:p>
                  <w:pPr>
                    <w:pStyle w:val="33"/>
                    <w:rPr>
                      <w:szCs w:val="21"/>
                    </w:rPr>
                  </w:pPr>
                </w:p>
              </w:tc>
              <w:tc>
                <w:tcPr>
                  <w:tcW w:w="2875" w:type="pct"/>
                  <w:tcBorders>
                    <w:tl2br w:val="nil"/>
                    <w:tr2bl w:val="nil"/>
                  </w:tcBorders>
                  <w:vAlign w:val="center"/>
                </w:tcPr>
                <w:p>
                  <w:pPr>
                    <w:pStyle w:val="33"/>
                    <w:rPr>
                      <w:szCs w:val="21"/>
                    </w:rPr>
                  </w:pPr>
                  <w:r>
                    <w:rPr>
                      <w:rFonts w:hint="eastAsia" w:cs="Times New Roman"/>
                      <w:color w:val="000000" w:themeColor="text1"/>
                      <w:szCs w:val="21"/>
                      <w14:textFill>
                        <w14:solidFill>
                          <w14:schemeClr w14:val="tx1"/>
                        </w14:solidFill>
                      </w14:textFill>
                    </w:rPr>
                    <w:t>生活污水进入</w:t>
                  </w:r>
                  <w:r>
                    <w:rPr>
                      <w:rFonts w:hint="eastAsia"/>
                      <w:color w:val="000000" w:themeColor="text1"/>
                      <w14:textFill>
                        <w14:solidFill>
                          <w14:schemeClr w14:val="tx1"/>
                        </w14:solidFill>
                      </w14:textFill>
                    </w:rPr>
                    <w:t>库尔勒市</w:t>
                  </w:r>
                  <w:r>
                    <w:rPr>
                      <w:rFonts w:hint="eastAsia" w:cs="Times New Roman"/>
                      <w:color w:val="000000" w:themeColor="text1"/>
                      <w:szCs w:val="21"/>
                      <w14:textFill>
                        <w14:solidFill>
                          <w14:schemeClr w14:val="tx1"/>
                        </w14:solidFill>
                      </w14:textFill>
                    </w:rPr>
                    <w:t>哈拉玉宫镇废旧物资回收加工产业园配套建设的化粪池进行预处理后，定期由吸污车抽运至库尔勒市南市区污水处理厂处理</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 w:hRule="atLeast"/>
              </w:trPr>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pStyle w:val="33"/>
                    <w:rPr>
                      <w:color w:val="000000" w:themeColor="text1"/>
                      <w:szCs w:val="21"/>
                      <w14:textFill>
                        <w14:solidFill>
                          <w14:schemeClr w14:val="tx1"/>
                        </w14:solidFill>
                      </w14:textFill>
                    </w:rPr>
                  </w:pPr>
                  <w:r>
                    <w:rPr>
                      <w:rFonts w:hint="eastAsia"/>
                      <w:kern w:val="0"/>
                      <w:szCs w:val="21"/>
                    </w:rPr>
                    <w:t>噪声</w:t>
                  </w:r>
                  <w:r>
                    <w:rPr>
                      <w:rFonts w:cs="Times New Roman"/>
                      <w:szCs w:val="21"/>
                    </w:rPr>
                    <w:t>治理</w:t>
                  </w:r>
                </w:p>
              </w:tc>
              <w:tc>
                <w:tcPr>
                  <w:tcW w:w="2875" w:type="pct"/>
                  <w:tcBorders>
                    <w:tl2br w:val="nil"/>
                    <w:tr2bl w:val="nil"/>
                  </w:tcBorders>
                  <w:vAlign w:val="center"/>
                </w:tcPr>
                <w:p>
                  <w:pPr>
                    <w:pStyle w:val="33"/>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设备噪声主要采用隔音、减振、合理布局、绿化等降噪措施</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vMerge w:val="restart"/>
                  <w:tcBorders>
                    <w:tl2br w:val="nil"/>
                    <w:tr2bl w:val="nil"/>
                  </w:tcBorders>
                  <w:vAlign w:val="center"/>
                </w:tcPr>
                <w:p>
                  <w:pPr>
                    <w:pStyle w:val="33"/>
                    <w:rPr>
                      <w:color w:val="000000" w:themeColor="text1"/>
                      <w:szCs w:val="21"/>
                      <w14:textFill>
                        <w14:solidFill>
                          <w14:schemeClr w14:val="tx1"/>
                        </w14:solidFill>
                      </w14:textFill>
                    </w:rPr>
                  </w:pPr>
                  <w:r>
                    <w:rPr>
                      <w:kern w:val="0"/>
                      <w:szCs w:val="21"/>
                    </w:rPr>
                    <w:t>固体废物</w:t>
                  </w:r>
                </w:p>
              </w:tc>
              <w:tc>
                <w:tcPr>
                  <w:tcW w:w="2875" w:type="pct"/>
                  <w:tcBorders>
                    <w:tl2br w:val="nil"/>
                    <w:tr2bl w:val="nil"/>
                  </w:tcBorders>
                  <w:vAlign w:val="center"/>
                </w:tcPr>
                <w:p>
                  <w:pPr>
                    <w:pStyle w:val="33"/>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危险废物集中收集后，分区存放于危险废物贮存点，定期交由有危险废物处理资质的单位回收处理</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vMerge w:val="continue"/>
                  <w:tcBorders>
                    <w:tl2br w:val="nil"/>
                    <w:tr2bl w:val="nil"/>
                  </w:tcBorders>
                  <w:vAlign w:val="center"/>
                </w:tcPr>
                <w:p>
                  <w:pPr>
                    <w:pStyle w:val="33"/>
                    <w:rPr>
                      <w:rFonts w:ascii="宋体" w:hAnsi="宋体" w:cs="宋体"/>
                      <w:szCs w:val="21"/>
                    </w:rPr>
                  </w:pPr>
                </w:p>
              </w:tc>
              <w:tc>
                <w:tcPr>
                  <w:tcW w:w="2875" w:type="pct"/>
                  <w:tcBorders>
                    <w:tl2br w:val="nil"/>
                    <w:tr2bl w:val="nil"/>
                  </w:tcBorders>
                  <w:vAlign w:val="center"/>
                </w:tcPr>
                <w:p>
                  <w:pPr>
                    <w:pStyle w:val="33"/>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沉淀池沉渣定期清掏晾晒干后</w:t>
                  </w:r>
                  <w:r>
                    <w:rPr>
                      <w:rFonts w:hint="eastAsia"/>
                    </w:rPr>
                    <w:t>送往一般工业固废填埋场</w:t>
                  </w:r>
                  <w:r>
                    <w:rPr>
                      <w:rFonts w:hint="eastAsia" w:cs="Times New Roman"/>
                      <w:color w:val="000000" w:themeColor="text1"/>
                      <w:szCs w:val="21"/>
                      <w14:textFill>
                        <w14:solidFill>
                          <w14:schemeClr w14:val="tx1"/>
                        </w14:solidFill>
                      </w14:textFill>
                    </w:rPr>
                    <w:t>；分拣废料集中收集后定期外售至废品回收站</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vMerge w:val="continue"/>
                  <w:tcBorders>
                    <w:tl2br w:val="nil"/>
                    <w:tr2bl w:val="nil"/>
                  </w:tcBorders>
                  <w:vAlign w:val="center"/>
                </w:tcPr>
                <w:p>
                  <w:pPr>
                    <w:pStyle w:val="33"/>
                    <w:rPr>
                      <w:rFonts w:ascii="宋体" w:hAnsi="宋体" w:cs="宋体"/>
                      <w:szCs w:val="21"/>
                    </w:rPr>
                  </w:pPr>
                </w:p>
              </w:tc>
              <w:tc>
                <w:tcPr>
                  <w:tcW w:w="2875" w:type="pct"/>
                  <w:tcBorders>
                    <w:tl2br w:val="nil"/>
                    <w:tr2bl w:val="nil"/>
                  </w:tcBorders>
                  <w:vAlign w:val="center"/>
                </w:tcPr>
                <w:p>
                  <w:pPr>
                    <w:pStyle w:val="33"/>
                    <w:rPr>
                      <w:color w:val="000000" w:themeColor="text1"/>
                      <w:szCs w:val="21"/>
                      <w14:textFill>
                        <w14:solidFill>
                          <w14:schemeClr w14:val="tx1"/>
                        </w14:solidFill>
                      </w14:textFill>
                    </w:rPr>
                  </w:pPr>
                  <w:r>
                    <w:rPr>
                      <w:rFonts w:hint="eastAsia" w:cs="Times New Roman"/>
                      <w:color w:val="000000"/>
                    </w:rPr>
                    <w:t>生活垃圾集中收集至垃圾箱后由环卫部门统一清运</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pStyle w:val="33"/>
                    <w:rPr>
                      <w:color w:val="000000" w:themeColor="text1"/>
                      <w:szCs w:val="21"/>
                      <w14:textFill>
                        <w14:solidFill>
                          <w14:schemeClr w14:val="tx1"/>
                        </w14:solidFill>
                      </w14:textFill>
                    </w:rPr>
                  </w:pPr>
                  <w:r>
                    <w:rPr>
                      <w:rFonts w:hint="eastAsia" w:cs="Times New Roman"/>
                      <w:color w:val="000000"/>
                      <w:szCs w:val="21"/>
                    </w:rPr>
                    <w:t>环境风险措施</w:t>
                  </w:r>
                </w:p>
              </w:tc>
              <w:tc>
                <w:tcPr>
                  <w:tcW w:w="2875" w:type="pct"/>
                  <w:tcBorders>
                    <w:tl2br w:val="nil"/>
                    <w:tr2bl w:val="nil"/>
                  </w:tcBorders>
                  <w:vAlign w:val="center"/>
                </w:tcPr>
                <w:p>
                  <w:pPr>
                    <w:pStyle w:val="33"/>
                    <w:rPr>
                      <w:rFonts w:cs="Times New Roman"/>
                      <w:color w:val="000000"/>
                    </w:rPr>
                  </w:pPr>
                  <w:r>
                    <w:rPr>
                      <w:rFonts w:cs="Times New Roman"/>
                      <w:color w:val="000000"/>
                      <w:szCs w:val="21"/>
                    </w:rPr>
                    <w:t>制定详细的应急预案，组建事故应急救援组织体系，风险防范中所提及的各类防范措施均设置到位</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pStyle w:val="33"/>
                    <w:rPr>
                      <w:rFonts w:cs="Times New Roman"/>
                      <w:color w:val="000000"/>
                      <w:szCs w:val="21"/>
                    </w:rPr>
                  </w:pPr>
                  <w:r>
                    <w:rPr>
                      <w:rFonts w:hint="eastAsia" w:cs="Times New Roman"/>
                      <w:color w:val="000000"/>
                      <w:szCs w:val="21"/>
                    </w:rPr>
                    <w:t>环境管理</w:t>
                  </w:r>
                </w:p>
              </w:tc>
              <w:tc>
                <w:tcPr>
                  <w:tcW w:w="2875" w:type="pct"/>
                  <w:tcBorders>
                    <w:tl2br w:val="nil"/>
                    <w:tr2bl w:val="nil"/>
                  </w:tcBorders>
                  <w:vAlign w:val="center"/>
                </w:tcPr>
                <w:p>
                  <w:pPr>
                    <w:pStyle w:val="33"/>
                    <w:rPr>
                      <w:rFonts w:cs="Times New Roman"/>
                      <w:color w:val="000000"/>
                      <w:szCs w:val="21"/>
                    </w:rPr>
                  </w:pPr>
                  <w:r>
                    <w:rPr>
                      <w:rFonts w:hint="eastAsia" w:cs="Times New Roman"/>
                      <w:color w:val="000000"/>
                      <w:szCs w:val="21"/>
                    </w:rPr>
                    <w:t>加强环境管理，定期对设备进行维护，设标识牌，建立危险废物转运台账，环保设施运行台账等</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pStyle w:val="33"/>
                    <w:rPr>
                      <w:rFonts w:cs="Times New Roman"/>
                      <w:color w:val="000000"/>
                      <w:szCs w:val="21"/>
                    </w:rPr>
                  </w:pPr>
                  <w:r>
                    <w:rPr>
                      <w:rFonts w:hint="eastAsia" w:cs="Times New Roman"/>
                      <w:color w:val="000000"/>
                      <w:szCs w:val="21"/>
                    </w:rPr>
                    <w:t>环境监测</w:t>
                  </w:r>
                </w:p>
              </w:tc>
              <w:tc>
                <w:tcPr>
                  <w:tcW w:w="2875" w:type="pct"/>
                  <w:tcBorders>
                    <w:tl2br w:val="nil"/>
                    <w:tr2bl w:val="nil"/>
                  </w:tcBorders>
                  <w:vAlign w:val="center"/>
                </w:tcPr>
                <w:p>
                  <w:pPr>
                    <w:pStyle w:val="33"/>
                    <w:rPr>
                      <w:rFonts w:cs="Times New Roman"/>
                      <w:color w:val="000000"/>
                      <w:szCs w:val="21"/>
                    </w:rPr>
                  </w:pPr>
                  <w:r>
                    <w:rPr>
                      <w:rFonts w:hint="eastAsia" w:cs="Times New Roman"/>
                      <w:color w:val="000000"/>
                      <w:szCs w:val="21"/>
                    </w:rPr>
                    <w:t>定期进行监测</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pPr>
                    <w:pStyle w:val="33"/>
                    <w:rPr>
                      <w:color w:val="000000" w:themeColor="text1"/>
                      <w:szCs w:val="21"/>
                      <w14:textFill>
                        <w14:solidFill>
                          <w14:schemeClr w14:val="tx1"/>
                        </w14:solidFill>
                      </w14:textFill>
                    </w:rPr>
                  </w:pPr>
                </w:p>
              </w:tc>
              <w:tc>
                <w:tcPr>
                  <w:tcW w:w="866" w:type="pct"/>
                  <w:tcBorders>
                    <w:tl2br w:val="nil"/>
                    <w:tr2bl w:val="nil"/>
                  </w:tcBorders>
                  <w:vAlign w:val="center"/>
                </w:tcPr>
                <w:p>
                  <w:pPr>
                    <w:pStyle w:val="33"/>
                    <w:rPr>
                      <w:rFonts w:cs="Times New Roman"/>
                      <w:color w:val="000000"/>
                      <w:szCs w:val="21"/>
                    </w:rPr>
                  </w:pPr>
                  <w:r>
                    <w:rPr>
                      <w:rFonts w:hint="eastAsia" w:cs="Times New Roman"/>
                      <w:color w:val="000000"/>
                      <w:szCs w:val="21"/>
                    </w:rPr>
                    <w:t>其他</w:t>
                  </w:r>
                </w:p>
              </w:tc>
              <w:tc>
                <w:tcPr>
                  <w:tcW w:w="2875" w:type="pct"/>
                  <w:tcBorders>
                    <w:tl2br w:val="nil"/>
                    <w:tr2bl w:val="nil"/>
                  </w:tcBorders>
                  <w:vAlign w:val="center"/>
                </w:tcPr>
                <w:p>
                  <w:pPr>
                    <w:pStyle w:val="33"/>
                    <w:rPr>
                      <w:rFonts w:cs="Times New Roman"/>
                      <w:color w:val="000000"/>
                      <w:szCs w:val="21"/>
                    </w:rPr>
                  </w:pPr>
                  <w:r>
                    <w:rPr>
                      <w:rFonts w:hint="eastAsia" w:cs="Times New Roman"/>
                      <w:color w:val="000000"/>
                      <w:szCs w:val="21"/>
                    </w:rPr>
                    <w:t>厂区绿化、</w:t>
                  </w:r>
                  <w:r>
                    <w:rPr>
                      <w:rFonts w:hint="eastAsia" w:cs="Times New Roman"/>
                      <w:szCs w:val="21"/>
                    </w:rPr>
                    <w:t>相关科研费用等</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4131" w:type="pct"/>
                  <w:gridSpan w:val="3"/>
                  <w:tcBorders>
                    <w:tl2br w:val="nil"/>
                    <w:tr2bl w:val="nil"/>
                  </w:tcBorders>
                  <w:vAlign w:val="center"/>
                </w:tcPr>
                <w:p>
                  <w:pPr>
                    <w:pStyle w:val="33"/>
                    <w:rPr>
                      <w:rFonts w:ascii="宋体" w:cs="宋体" w:hAnsiTheme="minorHAnsi"/>
                      <w:color w:val="000000" w:themeColor="text1"/>
                      <w:kern w:val="0"/>
                      <w:szCs w:val="21"/>
                      <w14:textFill>
                        <w14:solidFill>
                          <w14:schemeClr w14:val="tx1"/>
                        </w14:solidFill>
                      </w14:textFill>
                    </w:rPr>
                  </w:pPr>
                  <w:r>
                    <w:rPr>
                      <w:rFonts w:hint="eastAsia" w:ascii="宋体" w:cs="宋体" w:hAnsiTheme="minorHAnsi"/>
                      <w:color w:val="000000" w:themeColor="text1"/>
                      <w:kern w:val="0"/>
                      <w:szCs w:val="21"/>
                      <w14:textFill>
                        <w14:solidFill>
                          <w14:schemeClr w14:val="tx1"/>
                        </w14:solidFill>
                      </w14:textFill>
                    </w:rPr>
                    <w:t>合计</w:t>
                  </w:r>
                </w:p>
              </w:tc>
              <w:tc>
                <w:tcPr>
                  <w:tcW w:w="869" w:type="pct"/>
                  <w:tcBorders>
                    <w:tl2br w:val="nil"/>
                    <w:tr2bl w:val="nil"/>
                  </w:tcBorders>
                  <w:vAlign w:val="center"/>
                </w:tcPr>
                <w:p>
                  <w:pPr>
                    <w:pStyle w:val="3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23.5</w:t>
                  </w:r>
                </w:p>
              </w:tc>
            </w:tr>
          </w:tbl>
          <w:p>
            <w:pPr>
              <w:ind w:firstLine="0" w:firstLineChars="0"/>
            </w:pPr>
          </w:p>
        </w:tc>
      </w:tr>
    </w:tbl>
    <w:p>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五、</w:t>
      </w:r>
      <w:bookmarkStart w:id="15" w:name="_Hlk54167917"/>
      <w:r>
        <w:rPr>
          <w:rFonts w:hint="eastAsia"/>
          <w:snapToGrid w:val="0"/>
          <w:color w:val="000000" w:themeColor="text1"/>
          <w14:textFill>
            <w14:solidFill>
              <w14:schemeClr w14:val="tx1"/>
            </w14:solidFill>
          </w14:textFill>
        </w:rPr>
        <w:t>环境保护措施监督检查清单</w:t>
      </w:r>
      <w:bookmarkEnd w:id="15"/>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33"/>
        <w:gridCol w:w="1163"/>
        <w:gridCol w:w="1893"/>
        <w:gridCol w:w="2036"/>
        <w:gridCol w:w="24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33" w:type="pct"/>
            <w:tcBorders>
              <w:tl2br w:val="single" w:color="auto" w:sz="12" w:space="0"/>
            </w:tcBorders>
          </w:tcPr>
          <w:p>
            <w:pPr>
              <w:adjustRightInd w:val="0"/>
              <w:snapToGrid w:val="0"/>
              <w:spacing w:line="240" w:lineRule="auto"/>
              <w:ind w:firstLine="632" w:firstLineChars="30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内容</w:t>
            </w:r>
          </w:p>
          <w:p>
            <w:pPr>
              <w:adjustRightInd w:val="0"/>
              <w:snapToGrid w:val="0"/>
              <w:spacing w:line="240" w:lineRule="auto"/>
              <w:ind w:firstLine="0" w:firstLineChars="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要素</w:t>
            </w:r>
          </w:p>
        </w:tc>
        <w:tc>
          <w:tcPr>
            <w:tcW w:w="626"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排放口</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编号、名称</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/污染源</w:t>
            </w:r>
          </w:p>
        </w:tc>
        <w:tc>
          <w:tcPr>
            <w:tcW w:w="1019"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污染物项目</w:t>
            </w:r>
          </w:p>
        </w:tc>
        <w:tc>
          <w:tcPr>
            <w:tcW w:w="1096"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环境保护措施</w:t>
            </w:r>
          </w:p>
        </w:tc>
        <w:tc>
          <w:tcPr>
            <w:tcW w:w="1325"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restar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大气环境</w:t>
            </w:r>
          </w:p>
        </w:tc>
        <w:tc>
          <w:tcPr>
            <w:tcW w:w="626" w:type="pct"/>
            <w:vMerge w:val="restar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无组织废气</w:t>
            </w:r>
          </w:p>
        </w:tc>
        <w:tc>
          <w:tcPr>
            <w:tcW w:w="1019"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颗粒物</w:t>
            </w:r>
          </w:p>
        </w:tc>
        <w:tc>
          <w:tcPr>
            <w:tcW w:w="1096"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破碎工序采用湿法破碎工艺，并在密闭厂房内进行，防止粉尘逸散</w:t>
            </w:r>
          </w:p>
        </w:tc>
        <w:tc>
          <w:tcPr>
            <w:tcW w:w="1325"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《大气污染物综合排放标准》（GB16297-1996）表2中的无组织排放监控点浓度限值要求（1.0mg/m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continue"/>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6" w:type="pct"/>
            <w:vMerge w:val="continue"/>
            <w:vAlign w:val="center"/>
          </w:tcPr>
          <w:p>
            <w:pPr>
              <w:adjustRightInd w:val="0"/>
              <w:snapToGrid w:val="0"/>
              <w:spacing w:line="240" w:lineRule="auto"/>
              <w:ind w:firstLine="0" w:firstLineChars="0"/>
              <w:jc w:val="center"/>
              <w:textAlignment w:val="auto"/>
              <w:rPr>
                <w:color w:val="000000"/>
                <w:sz w:val="21"/>
                <w:szCs w:val="21"/>
              </w:rPr>
            </w:pPr>
          </w:p>
        </w:tc>
        <w:tc>
          <w:tcPr>
            <w:tcW w:w="1019"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臭气浓度</w:t>
            </w:r>
          </w:p>
        </w:tc>
        <w:tc>
          <w:tcPr>
            <w:tcW w:w="1096"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加强设备维护及管理</w:t>
            </w:r>
          </w:p>
        </w:tc>
        <w:tc>
          <w:tcPr>
            <w:tcW w:w="1325" w:type="pct"/>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sz w:val="21"/>
                <w:szCs w:val="24"/>
              </w:rPr>
              <w:t>《恶臭污染物排放标准》（GB14554-93）表1恶臭污染物厂界标准值新扩改建项目二级标准（2</w:t>
            </w:r>
            <w:r>
              <w:rPr>
                <w:rFonts w:cs="Times New Roman"/>
                <w:color w:val="000000"/>
                <w:sz w:val="21"/>
                <w:szCs w:val="24"/>
              </w:rPr>
              <w:t>0</w:t>
            </w:r>
            <w:r>
              <w:rPr>
                <w:rFonts w:hint="eastAsia" w:cs="Times New Roman"/>
                <w:sz w:val="21"/>
                <w:szCs w:val="21"/>
              </w:rPr>
              <w:t>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1" w:hRule="atLeast"/>
          <w:jc w:val="center"/>
        </w:trPr>
        <w:tc>
          <w:tcPr>
            <w:tcW w:w="933" w:type="pct"/>
            <w:vMerge w:val="restar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地表水环境</w:t>
            </w:r>
          </w:p>
        </w:tc>
        <w:tc>
          <w:tcPr>
            <w:tcW w:w="626"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生活污水</w:t>
            </w:r>
          </w:p>
        </w:tc>
        <w:tc>
          <w:tcPr>
            <w:tcW w:w="1019"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pH、COD、BOD</w:t>
            </w:r>
            <w:r>
              <w:rPr>
                <w:rFonts w:hint="eastAsia" w:cs="Times New Roman"/>
                <w:color w:val="000000" w:themeColor="text1"/>
                <w:sz w:val="21"/>
                <w:szCs w:val="21"/>
                <w:vertAlign w:val="subscript"/>
                <w14:textFill>
                  <w14:solidFill>
                    <w14:schemeClr w14:val="tx1"/>
                  </w14:solidFill>
                </w14:textFill>
              </w:rPr>
              <w:t>5</w:t>
            </w:r>
            <w:r>
              <w:rPr>
                <w:rFonts w:hint="eastAsia" w:cs="Times New Roman"/>
                <w:color w:val="000000" w:themeColor="text1"/>
                <w:sz w:val="21"/>
                <w:szCs w:val="21"/>
                <w14:textFill>
                  <w14:solidFill>
                    <w14:schemeClr w14:val="tx1"/>
                  </w14:solidFill>
                </w14:textFill>
              </w:rPr>
              <w:t>、NH</w:t>
            </w:r>
            <w:r>
              <w:rPr>
                <w:rFonts w:hint="eastAsia" w:cs="Times New Roman"/>
                <w:color w:val="000000" w:themeColor="text1"/>
                <w:sz w:val="21"/>
                <w:szCs w:val="21"/>
                <w:vertAlign w:val="sub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-N、SS</w:t>
            </w:r>
          </w:p>
        </w:tc>
        <w:tc>
          <w:tcPr>
            <w:tcW w:w="1096" w:type="pct"/>
            <w:vAlign w:val="center"/>
          </w:tcPr>
          <w:p>
            <w:pPr>
              <w:spacing w:line="240" w:lineRule="auto"/>
              <w:ind w:firstLine="0" w:firstLineChars="0"/>
              <w:contextualSpacing/>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生活污水进入库尔勒市哈拉玉宫镇废旧物资回收加工产业园配套建设的化粪池进行预处理后，定期由吸污车抽运至库尔勒市南市区污水处理厂处理</w:t>
            </w:r>
          </w:p>
        </w:tc>
        <w:tc>
          <w:tcPr>
            <w:tcW w:w="1325"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《污水综合排放标准》（GB8978-1996）表4三级标准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933" w:type="pct"/>
            <w:vMerge w:val="continue"/>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6" w:type="pct"/>
            <w:vAlign w:val="center"/>
          </w:tcPr>
          <w:p>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清洗废水、车间地面冲洗废水</w:t>
            </w:r>
          </w:p>
        </w:tc>
        <w:tc>
          <w:tcPr>
            <w:tcW w:w="1019"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SS</w:t>
            </w:r>
          </w:p>
        </w:tc>
        <w:tc>
          <w:tcPr>
            <w:tcW w:w="1096" w:type="pct"/>
            <w:vAlign w:val="center"/>
          </w:tcPr>
          <w:p>
            <w:pPr>
              <w:spacing w:line="240" w:lineRule="auto"/>
              <w:ind w:firstLine="0" w:firstLineChars="0"/>
              <w:contextualSpacing/>
              <w:jc w:val="center"/>
              <w:rPr>
                <w:rFonts w:cs="Times New Roman"/>
                <w:color w:val="000000"/>
                <w:sz w:val="21"/>
              </w:rPr>
            </w:pPr>
            <w:r>
              <w:rPr>
                <w:rFonts w:hint="eastAsia" w:cs="Times New Roman"/>
                <w:color w:val="000000" w:themeColor="text1"/>
                <w:sz w:val="21"/>
                <w:szCs w:val="21"/>
                <w14:textFill>
                  <w14:solidFill>
                    <w14:schemeClr w14:val="tx1"/>
                  </w14:solidFill>
                </w14:textFill>
              </w:rPr>
              <w:t>生产废水经沉淀处理后全部循环利用，不外排</w:t>
            </w:r>
          </w:p>
        </w:tc>
        <w:tc>
          <w:tcPr>
            <w:tcW w:w="1325"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sz w:val="21"/>
              </w:rPr>
              <w:t>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声环境</w:t>
            </w:r>
          </w:p>
        </w:tc>
        <w:tc>
          <w:tcPr>
            <w:tcW w:w="626"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w:t>
            </w:r>
          </w:p>
        </w:tc>
        <w:tc>
          <w:tcPr>
            <w:tcW w:w="1019"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噪声</w:t>
            </w:r>
          </w:p>
        </w:tc>
        <w:tc>
          <w:tcPr>
            <w:tcW w:w="1096"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1325"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《工业企业厂界环境噪声排放标准》（</w:t>
            </w:r>
            <w:r>
              <w:rPr>
                <w:rFonts w:cs="Times New Roman"/>
                <w:color w:val="000000" w:themeColor="text1"/>
                <w:sz w:val="21"/>
                <w:szCs w:val="21"/>
                <w14:textFill>
                  <w14:solidFill>
                    <w14:schemeClr w14:val="tx1"/>
                  </w14:solidFill>
                </w14:textFill>
              </w:rPr>
              <w:t>GB12348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2008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w:t>
            </w:r>
            <w:r>
              <w:rPr>
                <w:rFonts w:hint="eastAsia" w:cs="Times New Roman"/>
                <w:color w:val="000000" w:themeColor="text1"/>
                <w:sz w:val="21"/>
                <w:szCs w:val="21"/>
                <w14:textFill>
                  <w14:solidFill>
                    <w14:schemeClr w14:val="tx1"/>
                  </w14:solidFill>
                </w14:textFill>
              </w:rPr>
              <w:t>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电磁辐射</w:t>
            </w:r>
          </w:p>
        </w:tc>
        <w:tc>
          <w:tcPr>
            <w:tcW w:w="626"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019"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096"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325" w:type="pct"/>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固体废物</w:t>
            </w:r>
          </w:p>
        </w:tc>
        <w:tc>
          <w:tcPr>
            <w:tcW w:w="4066" w:type="pct"/>
            <w:gridSpan w:val="4"/>
            <w:vAlign w:val="center"/>
          </w:tcPr>
          <w:p>
            <w:pPr>
              <w:pStyle w:val="69"/>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沉淀池沉渣定期清掏晾晒干后送往一般工业固废填埋场；分拣废料集中收集后定期外售至废品回收站；生活垃圾集中收集至垃圾箱后由环卫部门统一清运</w:t>
            </w:r>
            <w:r>
              <w:rPr>
                <w:rFonts w:hint="eastAsia"/>
                <w:color w:val="000000"/>
                <w:sz w:val="21"/>
                <w:szCs w:val="21"/>
              </w:rPr>
              <w:t>。</w:t>
            </w:r>
            <w:r>
              <w:rPr>
                <w:rFonts w:hint="eastAsia"/>
                <w:color w:val="000000" w:themeColor="text1"/>
                <w:sz w:val="21"/>
                <w:szCs w:val="21"/>
                <w14:textFill>
                  <w14:solidFill>
                    <w14:schemeClr w14:val="tx1"/>
                  </w14:solidFill>
                </w14:textFill>
              </w:rPr>
              <w:t>危险废物集中收集后，分区存放于危险废物贮存点，定期交由有危险废物处理资质的单位回收处理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土壤及地下水污染防治措施</w:t>
            </w:r>
          </w:p>
        </w:tc>
        <w:tc>
          <w:tcPr>
            <w:tcW w:w="4066" w:type="pct"/>
            <w:gridSpan w:val="4"/>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采取地面防渗等措施，可以有效保证污染物不会流失进入土壤、地下水环境，防止污染物污染土壤、地下水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生态保护措施</w:t>
            </w:r>
          </w:p>
        </w:tc>
        <w:tc>
          <w:tcPr>
            <w:tcW w:w="4066" w:type="pct"/>
            <w:gridSpan w:val="4"/>
            <w:vAlign w:val="center"/>
          </w:tcPr>
          <w:p>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sz w:val="21"/>
                <w:szCs w:val="21"/>
              </w:rPr>
              <w:t>厂区绿化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环境风险</w:t>
            </w:r>
          </w:p>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防范措施</w:t>
            </w:r>
          </w:p>
        </w:tc>
        <w:tc>
          <w:tcPr>
            <w:tcW w:w="4066" w:type="pct"/>
            <w:gridSpan w:val="4"/>
            <w:vAlign w:val="center"/>
          </w:tcPr>
          <w:p>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通过加强运行管理、健全风险防控体系、设置泄漏报警装置等措施，并落实本评价提出的各项风险防范对策后，可最大限度降低事故发生概率。配合有效的环境风险应急预案，事故影响可得到及时控制，环境风险可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 w:hRule="atLeast"/>
          <w:jc w:val="center"/>
        </w:trPr>
        <w:tc>
          <w:tcPr>
            <w:tcW w:w="933" w:type="pct"/>
            <w:vAlign w:val="center"/>
          </w:tcPr>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其他环境</w:t>
            </w:r>
          </w:p>
          <w:p>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管理要求</w:t>
            </w:r>
          </w:p>
        </w:tc>
        <w:tc>
          <w:tcPr>
            <w:tcW w:w="4066" w:type="pct"/>
            <w:gridSpan w:val="4"/>
            <w:vAlign w:val="center"/>
          </w:tcPr>
          <w:p>
            <w:pPr>
              <w:adjustRightInd w:val="0"/>
              <w:snapToGrid w:val="0"/>
              <w:spacing w:line="240" w:lineRule="auto"/>
              <w:ind w:firstLine="0" w:firstLineChars="0"/>
              <w:textAlignment w:val="auto"/>
              <w:rPr>
                <w:rFonts w:cs="Times New Roman"/>
                <w:sz w:val="21"/>
                <w:szCs w:val="21"/>
              </w:rPr>
            </w:pPr>
            <w:r>
              <w:rPr>
                <w:rFonts w:cs="Times New Roman"/>
                <w:sz w:val="21"/>
                <w:szCs w:val="21"/>
              </w:rPr>
              <w:t>一、</w:t>
            </w:r>
            <w:r>
              <w:rPr>
                <w:rFonts w:hint="eastAsia" w:cs="Times New Roman"/>
                <w:sz w:val="21"/>
                <w:szCs w:val="21"/>
              </w:rPr>
              <w:t>环境管理机构和职责</w:t>
            </w:r>
          </w:p>
          <w:p>
            <w:pPr>
              <w:adjustRightInd w:val="0"/>
              <w:snapToGrid w:val="0"/>
              <w:spacing w:line="240" w:lineRule="auto"/>
              <w:ind w:firstLine="420"/>
              <w:textAlignment w:val="auto"/>
              <w:rPr>
                <w:rFonts w:cs="Times New Roman"/>
                <w:sz w:val="21"/>
                <w:szCs w:val="21"/>
              </w:rPr>
            </w:pPr>
            <w:r>
              <w:rPr>
                <w:rFonts w:cs="Times New Roman"/>
                <w:sz w:val="21"/>
                <w:szCs w:val="21"/>
              </w:rPr>
              <w:t>根据国家有关环境保护法规的要求和本项目生产的实际需要，建议该企业配备专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r>
              <w:rPr>
                <w:rFonts w:hint="eastAsia" w:cs="Times New Roman"/>
                <w:sz w:val="21"/>
                <w:szCs w:val="21"/>
              </w:rPr>
              <w:t>。</w:t>
            </w:r>
          </w:p>
          <w:p>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二、环境管理内容</w:t>
            </w:r>
          </w:p>
          <w:p>
            <w:pPr>
              <w:adjustRightInd w:val="0"/>
              <w:snapToGrid w:val="0"/>
              <w:spacing w:line="240" w:lineRule="auto"/>
              <w:ind w:firstLine="420"/>
              <w:jc w:val="left"/>
              <w:textAlignment w:val="auto"/>
              <w:rPr>
                <w:rFonts w:cs="Times New Roman"/>
                <w:sz w:val="21"/>
                <w:szCs w:val="21"/>
              </w:rPr>
            </w:pPr>
            <w:r>
              <w:rPr>
                <w:rFonts w:cs="Times New Roman"/>
                <w:sz w:val="21"/>
                <w:szCs w:val="21"/>
              </w:rPr>
              <w:t>（1）</w:t>
            </w:r>
            <w:r>
              <w:rPr>
                <w:rFonts w:hint="eastAsia" w:cs="Times New Roman"/>
                <w:sz w:val="21"/>
                <w:szCs w:val="21"/>
              </w:rPr>
              <w:t>设置</w:t>
            </w:r>
            <w:r>
              <w:rPr>
                <w:rFonts w:cs="Times New Roman"/>
                <w:sz w:val="21"/>
                <w:szCs w:val="21"/>
              </w:rPr>
              <w:t>环境保护职责管理条例</w:t>
            </w:r>
            <w:r>
              <w:rPr>
                <w:rFonts w:hint="eastAsia" w:cs="Times New Roman"/>
                <w:sz w:val="21"/>
                <w:szCs w:val="21"/>
              </w:rPr>
              <w:t>、</w:t>
            </w:r>
            <w:r>
              <w:rPr>
                <w:rFonts w:cs="Times New Roman"/>
                <w:sz w:val="21"/>
                <w:szCs w:val="21"/>
              </w:rPr>
              <w:t>废气排放管理制度</w:t>
            </w:r>
            <w:r>
              <w:rPr>
                <w:rFonts w:hint="eastAsia" w:cs="Times New Roman"/>
                <w:sz w:val="21"/>
                <w:szCs w:val="21"/>
              </w:rPr>
              <w:t>、</w:t>
            </w:r>
            <w:r>
              <w:rPr>
                <w:rFonts w:cs="Times New Roman"/>
                <w:sz w:val="21"/>
                <w:szCs w:val="21"/>
              </w:rPr>
              <w:t>固废的管理与处置制度</w:t>
            </w:r>
            <w:r>
              <w:rPr>
                <w:rFonts w:hint="eastAsia" w:cs="Times New Roman"/>
                <w:sz w:val="21"/>
                <w:szCs w:val="21"/>
              </w:rPr>
              <w:t>等环境管理制度；</w:t>
            </w:r>
          </w:p>
          <w:p>
            <w:pPr>
              <w:adjustRightInd w:val="0"/>
              <w:snapToGrid w:val="0"/>
              <w:spacing w:line="240" w:lineRule="auto"/>
              <w:ind w:firstLine="420"/>
              <w:textAlignment w:val="auto"/>
              <w:rPr>
                <w:rFonts w:cs="Times New Roman"/>
                <w:sz w:val="21"/>
                <w:szCs w:val="21"/>
              </w:rPr>
            </w:pPr>
            <w:r>
              <w:rPr>
                <w:rFonts w:cs="Times New Roman"/>
                <w:sz w:val="21"/>
                <w:szCs w:val="21"/>
              </w:rPr>
              <w:t>（2）</w:t>
            </w:r>
            <w:r>
              <w:rPr>
                <w:rFonts w:hint="eastAsia" w:cs="Times New Roman"/>
                <w:sz w:val="21"/>
                <w:szCs w:val="21"/>
              </w:rPr>
              <w:t>督促和协助企业建立健全环境管理体系和管理人员；</w:t>
            </w:r>
          </w:p>
          <w:p>
            <w:pPr>
              <w:adjustRightInd w:val="0"/>
              <w:snapToGrid w:val="0"/>
              <w:spacing w:line="240" w:lineRule="auto"/>
              <w:ind w:firstLine="420"/>
              <w:textAlignment w:val="auto"/>
              <w:rPr>
                <w:rFonts w:cs="Times New Roman"/>
                <w:sz w:val="21"/>
                <w:szCs w:val="21"/>
              </w:rPr>
            </w:pPr>
            <w:r>
              <w:rPr>
                <w:rFonts w:cs="Times New Roman"/>
                <w:sz w:val="21"/>
                <w:szCs w:val="21"/>
              </w:rPr>
              <w:t>（3）</w:t>
            </w:r>
            <w:r>
              <w:rPr>
                <w:rFonts w:hint="eastAsia" w:cs="Times New Roman"/>
                <w:sz w:val="21"/>
                <w:szCs w:val="21"/>
              </w:rPr>
              <w:t>宣传国家、自治区、自治州有关环境保护方面的法律法规和政策；</w:t>
            </w:r>
          </w:p>
          <w:p>
            <w:pPr>
              <w:adjustRightInd w:val="0"/>
              <w:snapToGrid w:val="0"/>
              <w:spacing w:line="240" w:lineRule="auto"/>
              <w:ind w:firstLine="420"/>
              <w:textAlignment w:val="auto"/>
              <w:rPr>
                <w:rFonts w:cs="Times New Roman"/>
                <w:sz w:val="21"/>
                <w:szCs w:val="21"/>
              </w:rPr>
            </w:pPr>
            <w:r>
              <w:rPr>
                <w:rFonts w:hint="eastAsia" w:cs="Times New Roman"/>
                <w:sz w:val="21"/>
                <w:szCs w:val="21"/>
              </w:rPr>
              <w:t>（4）实施“三同时”验收和污染物达标排放的监督管理；</w:t>
            </w:r>
          </w:p>
          <w:p>
            <w:pPr>
              <w:adjustRightInd w:val="0"/>
              <w:snapToGrid w:val="0"/>
              <w:spacing w:line="240" w:lineRule="auto"/>
              <w:ind w:firstLine="420"/>
              <w:textAlignment w:val="auto"/>
              <w:rPr>
                <w:rFonts w:cs="Times New Roman"/>
                <w:sz w:val="21"/>
                <w:szCs w:val="21"/>
              </w:rPr>
            </w:pPr>
            <w:r>
              <w:rPr>
                <w:rFonts w:hint="eastAsia" w:cs="Times New Roman"/>
                <w:sz w:val="21"/>
                <w:szCs w:val="21"/>
              </w:rPr>
              <w:t>（5）检查环保设施的运行状况和是否达标排放。</w:t>
            </w:r>
          </w:p>
        </w:tc>
      </w:tr>
    </w:tbl>
    <w:p>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六、结论</w:t>
      </w:r>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060" w:type="dxa"/>
          </w:tcPr>
          <w:p>
            <w:pPr>
              <w:ind w:firstLine="480"/>
              <w:rPr>
                <w:color w:val="000000" w:themeColor="text1"/>
                <w14:textFill>
                  <w14:solidFill>
                    <w14:schemeClr w14:val="tx1"/>
                  </w14:solidFill>
                </w14:textFill>
              </w:rPr>
            </w:pPr>
            <w:bookmarkStart w:id="16" w:name="_Hlk97246050"/>
            <w:r>
              <w:rPr>
                <w:rFonts w:hint="eastAsia"/>
                <w:color w:val="000000" w:themeColor="text1"/>
                <w14:textFill>
                  <w14:solidFill>
                    <w14:schemeClr w14:val="tx1"/>
                  </w14:solidFill>
                </w14:textFill>
              </w:rPr>
              <w:t>综上所述，本项目符合国家产业政策及相关规划要求，工程选址可行，平面布置基本合理。在项目认真落实本报告提出的各项污染防治措施前提下，各项污染物能够实现达标排放，项目运营对周边地表水、环境空气、声环境等影响较小。因此，从环境角度分析，本项目环境影响可行。</w:t>
            </w:r>
          </w:p>
          <w:bookmarkEnd w:id="16"/>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tc>
      </w:tr>
    </w:tbl>
    <w:p>
      <w:pPr>
        <w:ind w:firstLine="0" w:firstLineChars="0"/>
        <w:rPr>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pPr>
        <w:ind w:firstLine="0" w:firstLineChars="0"/>
        <w:rPr>
          <w:b/>
          <w:bCs/>
          <w:snapToGrid w:val="0"/>
          <w:color w:val="000000" w:themeColor="text1"/>
          <w14:textFill>
            <w14:solidFill>
              <w14:schemeClr w14:val="tx1"/>
            </w14:solidFill>
          </w14:textFill>
        </w:rPr>
      </w:pPr>
      <w:r>
        <w:rPr>
          <w:rFonts w:hint="eastAsia"/>
          <w:b/>
          <w:bCs/>
          <w:snapToGrid w:val="0"/>
          <w:color w:val="000000" w:themeColor="text1"/>
          <w14:textFill>
            <w14:solidFill>
              <w14:schemeClr w14:val="tx1"/>
            </w14:solidFill>
          </w14:textFill>
        </w:rPr>
        <w:t>附表</w:t>
      </w:r>
    </w:p>
    <w:p>
      <w:pPr>
        <w:pStyle w:val="2"/>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建设项目污染物排放量汇总表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31"/>
        <w:gridCol w:w="2021"/>
        <w:gridCol w:w="1244"/>
        <w:gridCol w:w="1385"/>
        <w:gridCol w:w="1666"/>
        <w:gridCol w:w="1531"/>
        <w:gridCol w:w="1669"/>
        <w:gridCol w:w="1670"/>
        <w:gridCol w:w="13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44" w:type="pct"/>
            <w:tcBorders>
              <w:tl2br w:val="single" w:color="auto" w:sz="12" w:space="0"/>
            </w:tcBorders>
            <w:tcMar>
              <w:left w:w="28" w:type="dxa"/>
              <w:right w:w="28" w:type="dxa"/>
            </w:tcMar>
            <w:vAlign w:val="center"/>
          </w:tcPr>
          <w:p>
            <w:pPr>
              <w:pStyle w:val="33"/>
              <w:rPr>
                <w:rFonts w:cs="Times New Roman"/>
                <w:snapToGrid w:val="0"/>
                <w:color w:val="000000" w:themeColor="text1"/>
                <w14:textFill>
                  <w14:solidFill>
                    <w14:schemeClr w14:val="tx1"/>
                  </w14:solidFill>
                </w14:textFill>
              </w:rPr>
            </w:pPr>
            <w:bookmarkStart w:id="17" w:name="_Hlk72769786"/>
            <w:r>
              <w:rPr>
                <w:rFonts w:cs="Times New Roman"/>
                <w:snapToGrid w:val="0"/>
                <w:color w:val="000000" w:themeColor="text1"/>
                <w14:textFill>
                  <w14:solidFill>
                    <w14:schemeClr w14:val="tx1"/>
                  </w14:solidFill>
                </w14:textFill>
              </w:rPr>
              <w:t>项目</w:t>
            </w:r>
          </w:p>
          <w:p>
            <w:pPr>
              <w:pStyle w:val="33"/>
              <w:ind w:firstLine="210" w:firstLineChars="100"/>
              <w:rPr>
                <w:rFonts w:cs="Times New Roman"/>
                <w:snapToGrid w:val="0"/>
                <w:color w:val="000000" w:themeColor="text1"/>
                <w14:textFill>
                  <w14:solidFill>
                    <w14:schemeClr w14:val="tx1"/>
                  </w14:solidFill>
                </w14:textFill>
              </w:rPr>
            </w:pPr>
          </w:p>
          <w:p>
            <w:pPr>
              <w:pStyle w:val="33"/>
              <w:ind w:firstLine="210" w:firstLineChars="100"/>
              <w:rPr>
                <w:rFonts w:cs="Times New Roman"/>
                <w:snapToGrid w:val="0"/>
                <w:color w:val="000000" w:themeColor="text1"/>
                <w14:textFill>
                  <w14:solidFill>
                    <w14:schemeClr w14:val="tx1"/>
                  </w14:solidFill>
                </w14:textFill>
              </w:rPr>
            </w:pPr>
          </w:p>
          <w:p>
            <w:pPr>
              <w:pStyle w:val="33"/>
              <w:ind w:firstLine="210" w:firstLineChars="10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分类</w:t>
            </w:r>
          </w:p>
        </w:tc>
        <w:tc>
          <w:tcPr>
            <w:tcW w:w="718"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污染物名称</w:t>
            </w:r>
          </w:p>
        </w:tc>
        <w:tc>
          <w:tcPr>
            <w:tcW w:w="442"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1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①</w:t>
            </w:r>
            <w:r>
              <w:rPr>
                <w:rFonts w:cs="Times New Roman"/>
                <w:snapToGrid w:val="0"/>
                <w:color w:val="000000" w:themeColor="text1"/>
                <w14:textFill>
                  <w14:solidFill>
                    <w14:schemeClr w14:val="tx1"/>
                  </w14:solidFill>
                </w14:textFill>
              </w:rPr>
              <w:fldChar w:fldCharType="end"/>
            </w:r>
          </w:p>
        </w:tc>
        <w:tc>
          <w:tcPr>
            <w:tcW w:w="492"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许可排放量</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2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snapToGrid w:val="0"/>
                <w:color w:val="000000" w:themeColor="text1"/>
                <w14:textFill>
                  <w14:solidFill>
                    <w14:schemeClr w14:val="tx1"/>
                  </w14:solidFill>
                </w14:textFill>
              </w:rPr>
              <w:t>②</w:t>
            </w:r>
            <w:r>
              <w:rPr>
                <w:rFonts w:cs="Times New Roman"/>
                <w:snapToGrid w:val="0"/>
                <w:color w:val="000000" w:themeColor="text1"/>
                <w14:textFill>
                  <w14:solidFill>
                    <w14:schemeClr w14:val="tx1"/>
                  </w14:solidFill>
                </w14:textFill>
              </w:rPr>
              <w:fldChar w:fldCharType="end"/>
            </w:r>
          </w:p>
        </w:tc>
        <w:tc>
          <w:tcPr>
            <w:tcW w:w="592"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在建工程</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3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③</w:t>
            </w:r>
            <w:r>
              <w:rPr>
                <w:rFonts w:cs="Times New Roman"/>
                <w:snapToGrid w:val="0"/>
                <w:color w:val="000000" w:themeColor="text1"/>
                <w14:textFill>
                  <w14:solidFill>
                    <w14:schemeClr w14:val="tx1"/>
                  </w14:solidFill>
                </w14:textFill>
              </w:rPr>
              <w:fldChar w:fldCharType="end"/>
            </w:r>
          </w:p>
        </w:tc>
        <w:tc>
          <w:tcPr>
            <w:tcW w:w="544"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本项目</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4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④</w:t>
            </w:r>
            <w:r>
              <w:rPr>
                <w:rFonts w:cs="Times New Roman"/>
                <w:snapToGrid w:val="0"/>
                <w:color w:val="000000" w:themeColor="text1"/>
                <w14:textFill>
                  <w14:solidFill>
                    <w14:schemeClr w14:val="tx1"/>
                  </w14:solidFill>
                </w14:textFill>
              </w:rPr>
              <w:fldChar w:fldCharType="end"/>
            </w:r>
          </w:p>
        </w:tc>
        <w:tc>
          <w:tcPr>
            <w:tcW w:w="593" w:type="pct"/>
            <w:tcMar>
              <w:left w:w="28" w:type="dxa"/>
              <w:right w:w="28" w:type="dxa"/>
            </w:tcMar>
            <w:vAlign w:val="center"/>
          </w:tcPr>
          <w:p>
            <w:pPr>
              <w:pStyle w:val="33"/>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以新带老削减量</w:t>
            </w:r>
          </w:p>
          <w:p>
            <w:pPr>
              <w:pStyle w:val="33"/>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（新建项目不填）</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5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⑤</w:t>
            </w:r>
            <w:r>
              <w:rPr>
                <w:rFonts w:cs="Times New Roman"/>
                <w:snapToGrid w:val="0"/>
                <w:color w:val="000000" w:themeColor="text1"/>
                <w:spacing w:val="-16"/>
                <w14:textFill>
                  <w14:solidFill>
                    <w14:schemeClr w14:val="tx1"/>
                  </w14:solidFill>
                </w14:textFill>
              </w:rPr>
              <w:fldChar w:fldCharType="end"/>
            </w:r>
          </w:p>
        </w:tc>
        <w:tc>
          <w:tcPr>
            <w:tcW w:w="593" w:type="pct"/>
            <w:tcMar>
              <w:left w:w="28" w:type="dxa"/>
              <w:right w:w="28" w:type="dxa"/>
            </w:tcMar>
            <w:vAlign w:val="center"/>
          </w:tcPr>
          <w:p>
            <w:pPr>
              <w:pStyle w:val="33"/>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本项目建成后</w:t>
            </w:r>
          </w:p>
          <w:p>
            <w:pPr>
              <w:pStyle w:val="33"/>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全厂排放量（固体废物产生量）</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6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⑥</w:t>
            </w:r>
            <w:r>
              <w:rPr>
                <w:rFonts w:cs="Times New Roman"/>
                <w:snapToGrid w:val="0"/>
                <w:color w:val="000000" w:themeColor="text1"/>
                <w:spacing w:val="-16"/>
                <w14:textFill>
                  <w14:solidFill>
                    <w14:schemeClr w14:val="tx1"/>
                  </w14:solidFill>
                </w14:textFill>
              </w:rPr>
              <w:fldChar w:fldCharType="end"/>
            </w:r>
          </w:p>
        </w:tc>
        <w:tc>
          <w:tcPr>
            <w:tcW w:w="476" w:type="pct"/>
            <w:tcMar>
              <w:left w:w="28" w:type="dxa"/>
              <w:right w:w="28" w:type="dxa"/>
            </w:tcMar>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变化量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7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⑦</w:t>
            </w:r>
            <w:r>
              <w:rPr>
                <w:rFonts w:cs="Times New Roman"/>
                <w:snapToGrid w:val="0"/>
                <w:color w:val="000000" w:themeColor="text1"/>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restar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废气</w:t>
            </w:r>
          </w:p>
        </w:tc>
        <w:tc>
          <w:tcPr>
            <w:tcW w:w="718" w:type="pct"/>
            <w:vAlign w:val="center"/>
          </w:tcPr>
          <w:p>
            <w:pPr>
              <w:pStyle w:val="33"/>
              <w:rPr>
                <w:rFonts w:cs="Times New Roman"/>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颗粒物</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1.125t/a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szCs w:val="21"/>
              </w:rPr>
              <w:t>1.125t/a</w:t>
            </w:r>
          </w:p>
        </w:tc>
        <w:tc>
          <w:tcPr>
            <w:tcW w:w="476" w:type="pct"/>
            <w:vAlign w:val="center"/>
          </w:tcPr>
          <w:p>
            <w:pPr>
              <w:pStyle w:val="33"/>
              <w:rPr>
                <w:rFonts w:cs="Times New Roman"/>
                <w:snapToGrid w:val="0"/>
                <w:color w:val="000000" w:themeColor="text1"/>
                <w14:textFill>
                  <w14:solidFill>
                    <w14:schemeClr w14:val="tx1"/>
                  </w14:solidFill>
                </w14:textFill>
              </w:rPr>
            </w:pPr>
            <w:r>
              <w:rPr>
                <w:rFonts w:cs="Times New Roman"/>
                <w:szCs w:val="21"/>
              </w:rPr>
              <w:t>1.125t/a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臭气浓度</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593"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c>
          <w:tcPr>
            <w:tcW w:w="476" w:type="pct"/>
            <w:vAlign w:val="center"/>
          </w:tcPr>
          <w:p>
            <w:pPr>
              <w:pStyle w:val="33"/>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restar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废水</w:t>
            </w:r>
          </w:p>
        </w:tc>
        <w:tc>
          <w:tcPr>
            <w:tcW w:w="718" w:type="pct"/>
            <w:vAlign w:val="center"/>
          </w:tcPr>
          <w:p>
            <w:pPr>
              <w:pStyle w:val="33"/>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生活废水量</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3"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COD</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NH</w:t>
            </w:r>
            <w:r>
              <w:rPr>
                <w:rFonts w:cs="Times New Roman"/>
                <w:color w:val="000000" w:themeColor="text1"/>
                <w:szCs w:val="21"/>
                <w:vertAlign w:val="subscript"/>
                <w14:textFill>
                  <w14:solidFill>
                    <w14:schemeClr w14:val="tx1"/>
                  </w14:solidFill>
                </w14:textFill>
              </w:rPr>
              <w:t>3</w:t>
            </w:r>
            <w:r>
              <w:rPr>
                <w:rFonts w:cs="Times New Roman"/>
                <w:color w:val="000000" w:themeColor="text1"/>
                <w:szCs w:val="21"/>
                <w14:textFill>
                  <w14:solidFill>
                    <w14:schemeClr w14:val="tx1"/>
                  </w14:solidFill>
                </w14:textFill>
              </w:rPr>
              <w:t>-N</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restar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一般工业</w:t>
            </w:r>
          </w:p>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固体废物</w:t>
            </w:r>
          </w:p>
        </w:tc>
        <w:tc>
          <w:tcPr>
            <w:tcW w:w="718" w:type="pct"/>
            <w:vAlign w:val="center"/>
          </w:tcPr>
          <w:p>
            <w:pPr>
              <w:pStyle w:val="33"/>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分拣废料</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szCs w:val="21"/>
              </w:rPr>
            </w:pPr>
            <w:r>
              <w:rPr>
                <w:rFonts w:hint="eastAsia"/>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szCs w:val="21"/>
              </w:rPr>
            </w:pPr>
            <w:r>
              <w:rPr>
                <w:rFonts w:hint="eastAsia"/>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rFonts w:hint="eastAsia"/>
                <w:szCs w:val="21"/>
              </w:rPr>
              <w:t>300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沉淀池沉渣</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szCs w:val="21"/>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szCs w:val="21"/>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szCs w:val="21"/>
              </w:rPr>
              <w:t>41.58</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Align w:val="center"/>
          </w:tcPr>
          <w:p>
            <w:pPr>
              <w:pStyle w:val="33"/>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生活垃圾</w:t>
            </w:r>
          </w:p>
        </w:tc>
        <w:tc>
          <w:tcPr>
            <w:tcW w:w="718" w:type="pct"/>
            <w:vAlign w:val="center"/>
          </w:tcPr>
          <w:p>
            <w:pPr>
              <w:pStyle w:val="33"/>
              <w:rPr>
                <w:rFonts w:cs="Times New Roman"/>
                <w:snapToGrid w:val="0"/>
                <w:color w:val="000000" w:themeColor="text1"/>
                <w14:textFill>
                  <w14:solidFill>
                    <w14:schemeClr w14:val="tx1"/>
                  </w14:solidFill>
                </w14:textFill>
              </w:rPr>
            </w:pPr>
            <w:r>
              <w:t>生活垃圾</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restar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危险废物</w:t>
            </w:r>
          </w:p>
        </w:tc>
        <w:tc>
          <w:tcPr>
            <w:tcW w:w="718" w:type="pct"/>
            <w:vAlign w:val="center"/>
          </w:tcPr>
          <w:p>
            <w:pPr>
              <w:pStyle w:val="33"/>
              <w:rPr>
                <w:rFonts w:cs="Times New Roman"/>
                <w:snapToGrid w:val="0"/>
                <w:color w:val="000000" w:themeColor="text1"/>
                <w14:textFill>
                  <w14:solidFill>
                    <w14:schemeClr w14:val="tx1"/>
                  </w14:solidFill>
                </w14:textFill>
              </w:rPr>
            </w:pPr>
            <w:r>
              <w:rPr>
                <w:rFonts w:hint="eastAsia"/>
              </w:rPr>
              <w:t>废机油</w:t>
            </w:r>
          </w:p>
        </w:tc>
        <w:tc>
          <w:tcPr>
            <w:tcW w:w="44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pPr>
            <w:r>
              <w:rPr>
                <w:rFonts w:hint="eastAsia"/>
              </w:rPr>
              <w:t>沾有废机油的废抹布和废手套</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4" w:type="pct"/>
            <w:vMerge w:val="continue"/>
            <w:vAlign w:val="center"/>
          </w:tcPr>
          <w:p>
            <w:pPr>
              <w:pStyle w:val="33"/>
              <w:rPr>
                <w:rFonts w:cs="Times New Roman"/>
                <w:snapToGrid w:val="0"/>
                <w:color w:val="000000" w:themeColor="text1"/>
                <w14:textFill>
                  <w14:solidFill>
                    <w14:schemeClr w14:val="tx1"/>
                  </w14:solidFill>
                </w14:textFill>
              </w:rPr>
            </w:pPr>
          </w:p>
        </w:tc>
        <w:tc>
          <w:tcPr>
            <w:tcW w:w="718" w:type="pct"/>
            <w:vAlign w:val="center"/>
          </w:tcPr>
          <w:p>
            <w:pPr>
              <w:pStyle w:val="33"/>
            </w:pPr>
            <w:r>
              <w:rPr>
                <w:rFonts w:hint="eastAsia"/>
              </w:rPr>
              <w:t>废机油桶</w:t>
            </w:r>
          </w:p>
        </w:tc>
        <w:tc>
          <w:tcPr>
            <w:tcW w:w="44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2" w:type="pct"/>
            <w:vAlign w:val="center"/>
          </w:tcPr>
          <w:p>
            <w:pPr>
              <w:pStyle w:val="33"/>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4" w:type="pct"/>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3"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6" w:type="pct"/>
            <w:shd w:val="clear" w:color="auto" w:fill="auto"/>
            <w:vAlign w:val="center"/>
          </w:tcPr>
          <w:p>
            <w:pPr>
              <w:pStyle w:val="33"/>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bookmarkEnd w:id="17"/>
    </w:tbl>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3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5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⑤</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7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⑦</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p>
    <w:p>
      <w:pPr>
        <w:ind w:firstLine="0" w:firstLineChars="0"/>
        <w:sectPr>
          <w:pgSz w:w="16838" w:h="11906" w:orient="landscape"/>
          <w:pgMar w:top="1418" w:right="1418" w:bottom="1418" w:left="1418" w:header="851" w:footer="992" w:gutter="0"/>
          <w:cols w:space="425" w:num="1"/>
          <w:docGrid w:type="lines" w:linePitch="326" w:charSpace="0"/>
        </w:sectPr>
      </w:pPr>
    </w:p>
    <w:p>
      <w:pPr>
        <w:spacing w:line="240" w:lineRule="auto"/>
        <w:ind w:firstLine="0" w:firstLineChars="0"/>
        <w:rPr>
          <w:color w:val="000000" w:themeColor="text1"/>
          <w14:textFill>
            <w14:solidFill>
              <w14:schemeClr w14:val="tx1"/>
            </w14:solidFill>
          </w14:textFill>
        </w:rPr>
      </w:pPr>
    </w:p>
    <w:sectPr>
      <w:pgSz w:w="11906" w:h="16838"/>
      <w:pgMar w:top="1418" w:right="1418" w:bottom="1418"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SourceHanSansCN-Regular">
    <w:altName w:val="Vrinda"/>
    <w:panose1 w:val="020B0500000000000000"/>
    <w:charset w:val="00"/>
    <w:family w:val="roman"/>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50202"/>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3EA1"/>
    <w:multiLevelType w:val="singleLevel"/>
    <w:tmpl w:val="C9813EA1"/>
    <w:lvl w:ilvl="0" w:tentative="0">
      <w:start w:val="1"/>
      <w:numFmt w:val="decimal"/>
      <w:suff w:val="nothing"/>
      <w:lvlText w:val="（%1）"/>
      <w:lvlJc w:val="left"/>
    </w:lvl>
  </w:abstractNum>
  <w:abstractNum w:abstractNumId="1">
    <w:nsid w:val="556EF34F"/>
    <w:multiLevelType w:val="singleLevel"/>
    <w:tmpl w:val="556EF34F"/>
    <w:lvl w:ilvl="0" w:tentative="0">
      <w:start w:val="4"/>
      <w:numFmt w:val="chineseCounting"/>
      <w:suff w:val="nothing"/>
      <w:lvlText w:val="%1、"/>
      <w:lvlJc w:val="left"/>
      <w:rPr>
        <w:rFonts w:hint="eastAsia"/>
      </w:rPr>
    </w:lvl>
  </w:abstractNum>
  <w:abstractNum w:abstractNumId="2">
    <w:nsid w:val="68D08242"/>
    <w:multiLevelType w:val="singleLevel"/>
    <w:tmpl w:val="68D08242"/>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ZGQ1YjY3YWE4ZjQxNzM3Mjc0MGM1ZTljYWMwNWUifQ=="/>
  </w:docVars>
  <w:rsids>
    <w:rsidRoot w:val="00E42F12"/>
    <w:rsid w:val="00000011"/>
    <w:rsid w:val="00002286"/>
    <w:rsid w:val="00003779"/>
    <w:rsid w:val="00004030"/>
    <w:rsid w:val="00004535"/>
    <w:rsid w:val="0000481A"/>
    <w:rsid w:val="00005DF0"/>
    <w:rsid w:val="00012585"/>
    <w:rsid w:val="00012DBF"/>
    <w:rsid w:val="000130B4"/>
    <w:rsid w:val="00014DD3"/>
    <w:rsid w:val="000160E7"/>
    <w:rsid w:val="00020B0B"/>
    <w:rsid w:val="0002170E"/>
    <w:rsid w:val="00021FDB"/>
    <w:rsid w:val="00021FE2"/>
    <w:rsid w:val="000237FF"/>
    <w:rsid w:val="000266FA"/>
    <w:rsid w:val="0003177B"/>
    <w:rsid w:val="00031848"/>
    <w:rsid w:val="000327C5"/>
    <w:rsid w:val="000349C5"/>
    <w:rsid w:val="0003576B"/>
    <w:rsid w:val="00035924"/>
    <w:rsid w:val="00035D20"/>
    <w:rsid w:val="000364B9"/>
    <w:rsid w:val="00037528"/>
    <w:rsid w:val="00037CF2"/>
    <w:rsid w:val="00037FCA"/>
    <w:rsid w:val="000411C0"/>
    <w:rsid w:val="00041C54"/>
    <w:rsid w:val="0004324B"/>
    <w:rsid w:val="0004387D"/>
    <w:rsid w:val="00045D54"/>
    <w:rsid w:val="00050209"/>
    <w:rsid w:val="00050507"/>
    <w:rsid w:val="000519C2"/>
    <w:rsid w:val="00052874"/>
    <w:rsid w:val="00052F50"/>
    <w:rsid w:val="0005404D"/>
    <w:rsid w:val="00054D84"/>
    <w:rsid w:val="00054F8E"/>
    <w:rsid w:val="00056C0A"/>
    <w:rsid w:val="000600E5"/>
    <w:rsid w:val="000609E8"/>
    <w:rsid w:val="00061F0E"/>
    <w:rsid w:val="00062122"/>
    <w:rsid w:val="00062845"/>
    <w:rsid w:val="000628AF"/>
    <w:rsid w:val="00062AB8"/>
    <w:rsid w:val="00063334"/>
    <w:rsid w:val="000669FA"/>
    <w:rsid w:val="00070A73"/>
    <w:rsid w:val="00071688"/>
    <w:rsid w:val="00072D16"/>
    <w:rsid w:val="00073C72"/>
    <w:rsid w:val="00074946"/>
    <w:rsid w:val="000775A2"/>
    <w:rsid w:val="00077F08"/>
    <w:rsid w:val="0008065F"/>
    <w:rsid w:val="00081096"/>
    <w:rsid w:val="00083888"/>
    <w:rsid w:val="00084A61"/>
    <w:rsid w:val="000859AF"/>
    <w:rsid w:val="00086278"/>
    <w:rsid w:val="000872AF"/>
    <w:rsid w:val="00087854"/>
    <w:rsid w:val="00087BF4"/>
    <w:rsid w:val="00090692"/>
    <w:rsid w:val="0009420A"/>
    <w:rsid w:val="0009469A"/>
    <w:rsid w:val="000962F1"/>
    <w:rsid w:val="000968DC"/>
    <w:rsid w:val="00097169"/>
    <w:rsid w:val="00097CE9"/>
    <w:rsid w:val="000A09CF"/>
    <w:rsid w:val="000A0DA6"/>
    <w:rsid w:val="000A356F"/>
    <w:rsid w:val="000A4135"/>
    <w:rsid w:val="000A717C"/>
    <w:rsid w:val="000B32BF"/>
    <w:rsid w:val="000B39CF"/>
    <w:rsid w:val="000B3CE8"/>
    <w:rsid w:val="000B4692"/>
    <w:rsid w:val="000B5935"/>
    <w:rsid w:val="000B5B00"/>
    <w:rsid w:val="000C45A6"/>
    <w:rsid w:val="000C594F"/>
    <w:rsid w:val="000C607C"/>
    <w:rsid w:val="000C697A"/>
    <w:rsid w:val="000D077A"/>
    <w:rsid w:val="000D14D9"/>
    <w:rsid w:val="000D3641"/>
    <w:rsid w:val="000D3E20"/>
    <w:rsid w:val="000D40CA"/>
    <w:rsid w:val="000D4E26"/>
    <w:rsid w:val="000D5774"/>
    <w:rsid w:val="000D5B2E"/>
    <w:rsid w:val="000D5D7A"/>
    <w:rsid w:val="000E0387"/>
    <w:rsid w:val="000E0C43"/>
    <w:rsid w:val="000E0D2C"/>
    <w:rsid w:val="000E14AE"/>
    <w:rsid w:val="000E2AFB"/>
    <w:rsid w:val="000E3658"/>
    <w:rsid w:val="000E3DFE"/>
    <w:rsid w:val="000E4502"/>
    <w:rsid w:val="000E616F"/>
    <w:rsid w:val="000E689F"/>
    <w:rsid w:val="000E74D3"/>
    <w:rsid w:val="000E788A"/>
    <w:rsid w:val="000E7D66"/>
    <w:rsid w:val="000F1140"/>
    <w:rsid w:val="000F25D1"/>
    <w:rsid w:val="000F2784"/>
    <w:rsid w:val="000F6582"/>
    <w:rsid w:val="0010013A"/>
    <w:rsid w:val="00100AA3"/>
    <w:rsid w:val="00100EE9"/>
    <w:rsid w:val="00101AE9"/>
    <w:rsid w:val="001027B0"/>
    <w:rsid w:val="00102FA5"/>
    <w:rsid w:val="00103BA8"/>
    <w:rsid w:val="001045D7"/>
    <w:rsid w:val="00106A93"/>
    <w:rsid w:val="00106CB6"/>
    <w:rsid w:val="00107019"/>
    <w:rsid w:val="00107539"/>
    <w:rsid w:val="00110163"/>
    <w:rsid w:val="00111ACF"/>
    <w:rsid w:val="00112D08"/>
    <w:rsid w:val="00113737"/>
    <w:rsid w:val="00113A4E"/>
    <w:rsid w:val="00115FF4"/>
    <w:rsid w:val="00122519"/>
    <w:rsid w:val="00124469"/>
    <w:rsid w:val="00124C3A"/>
    <w:rsid w:val="00125187"/>
    <w:rsid w:val="00126CA7"/>
    <w:rsid w:val="001272F9"/>
    <w:rsid w:val="00127DC9"/>
    <w:rsid w:val="00127E9B"/>
    <w:rsid w:val="0013118C"/>
    <w:rsid w:val="0013179F"/>
    <w:rsid w:val="00131D55"/>
    <w:rsid w:val="0013262A"/>
    <w:rsid w:val="00133D69"/>
    <w:rsid w:val="0013450C"/>
    <w:rsid w:val="00135B37"/>
    <w:rsid w:val="00137693"/>
    <w:rsid w:val="001400F0"/>
    <w:rsid w:val="00140B06"/>
    <w:rsid w:val="00140ED3"/>
    <w:rsid w:val="00141580"/>
    <w:rsid w:val="00141C32"/>
    <w:rsid w:val="00142086"/>
    <w:rsid w:val="00143AA7"/>
    <w:rsid w:val="00144F14"/>
    <w:rsid w:val="00147436"/>
    <w:rsid w:val="00151280"/>
    <w:rsid w:val="001514EF"/>
    <w:rsid w:val="00153C2C"/>
    <w:rsid w:val="00154EB9"/>
    <w:rsid w:val="001558D4"/>
    <w:rsid w:val="001563F4"/>
    <w:rsid w:val="00157011"/>
    <w:rsid w:val="00157B41"/>
    <w:rsid w:val="00161F0E"/>
    <w:rsid w:val="00163D32"/>
    <w:rsid w:val="00170CCF"/>
    <w:rsid w:val="0017156B"/>
    <w:rsid w:val="00174269"/>
    <w:rsid w:val="00174836"/>
    <w:rsid w:val="0017584A"/>
    <w:rsid w:val="001771FE"/>
    <w:rsid w:val="001800DE"/>
    <w:rsid w:val="00184153"/>
    <w:rsid w:val="00184209"/>
    <w:rsid w:val="001867BD"/>
    <w:rsid w:val="001876D4"/>
    <w:rsid w:val="00191A72"/>
    <w:rsid w:val="00191AFA"/>
    <w:rsid w:val="00194929"/>
    <w:rsid w:val="00195E8D"/>
    <w:rsid w:val="00196C42"/>
    <w:rsid w:val="00197517"/>
    <w:rsid w:val="00197C10"/>
    <w:rsid w:val="001A0652"/>
    <w:rsid w:val="001A1228"/>
    <w:rsid w:val="001A332C"/>
    <w:rsid w:val="001A3676"/>
    <w:rsid w:val="001A3FFC"/>
    <w:rsid w:val="001A517C"/>
    <w:rsid w:val="001B0F5A"/>
    <w:rsid w:val="001B241E"/>
    <w:rsid w:val="001B49C0"/>
    <w:rsid w:val="001B545E"/>
    <w:rsid w:val="001C00EA"/>
    <w:rsid w:val="001C046A"/>
    <w:rsid w:val="001C25AB"/>
    <w:rsid w:val="001C26D5"/>
    <w:rsid w:val="001C2947"/>
    <w:rsid w:val="001C3F0F"/>
    <w:rsid w:val="001C4709"/>
    <w:rsid w:val="001C47D6"/>
    <w:rsid w:val="001C55A7"/>
    <w:rsid w:val="001C78C0"/>
    <w:rsid w:val="001D1B30"/>
    <w:rsid w:val="001D21ED"/>
    <w:rsid w:val="001D2AB6"/>
    <w:rsid w:val="001D4639"/>
    <w:rsid w:val="001D6591"/>
    <w:rsid w:val="001D6E77"/>
    <w:rsid w:val="001D76AC"/>
    <w:rsid w:val="001E3F5A"/>
    <w:rsid w:val="001E57B0"/>
    <w:rsid w:val="001E63E1"/>
    <w:rsid w:val="001F03BE"/>
    <w:rsid w:val="001F053B"/>
    <w:rsid w:val="001F126F"/>
    <w:rsid w:val="001F15E0"/>
    <w:rsid w:val="001F513F"/>
    <w:rsid w:val="001F54DE"/>
    <w:rsid w:val="001F6630"/>
    <w:rsid w:val="001F7068"/>
    <w:rsid w:val="001F770F"/>
    <w:rsid w:val="001F7BD9"/>
    <w:rsid w:val="00200E7E"/>
    <w:rsid w:val="0020327D"/>
    <w:rsid w:val="00205049"/>
    <w:rsid w:val="0021151F"/>
    <w:rsid w:val="00213442"/>
    <w:rsid w:val="002138FB"/>
    <w:rsid w:val="002175B4"/>
    <w:rsid w:val="002177DE"/>
    <w:rsid w:val="0022108A"/>
    <w:rsid w:val="002217B7"/>
    <w:rsid w:val="00223ECF"/>
    <w:rsid w:val="00224EAE"/>
    <w:rsid w:val="00230B7A"/>
    <w:rsid w:val="002325F0"/>
    <w:rsid w:val="00232EE3"/>
    <w:rsid w:val="002330A8"/>
    <w:rsid w:val="00234038"/>
    <w:rsid w:val="00234985"/>
    <w:rsid w:val="00234FC5"/>
    <w:rsid w:val="00237524"/>
    <w:rsid w:val="00237638"/>
    <w:rsid w:val="00241253"/>
    <w:rsid w:val="0024130D"/>
    <w:rsid w:val="00242508"/>
    <w:rsid w:val="00244A84"/>
    <w:rsid w:val="0024537F"/>
    <w:rsid w:val="00245F3E"/>
    <w:rsid w:val="00247E0F"/>
    <w:rsid w:val="00251B45"/>
    <w:rsid w:val="0025211F"/>
    <w:rsid w:val="00252AB7"/>
    <w:rsid w:val="00253661"/>
    <w:rsid w:val="00254B65"/>
    <w:rsid w:val="0026086D"/>
    <w:rsid w:val="00261150"/>
    <w:rsid w:val="00261534"/>
    <w:rsid w:val="00261734"/>
    <w:rsid w:val="002628E7"/>
    <w:rsid w:val="00263C52"/>
    <w:rsid w:val="00263F77"/>
    <w:rsid w:val="002659C3"/>
    <w:rsid w:val="00266035"/>
    <w:rsid w:val="00267641"/>
    <w:rsid w:val="0026772D"/>
    <w:rsid w:val="00267D80"/>
    <w:rsid w:val="0027145F"/>
    <w:rsid w:val="002715AA"/>
    <w:rsid w:val="00273BD7"/>
    <w:rsid w:val="00273C80"/>
    <w:rsid w:val="00276984"/>
    <w:rsid w:val="002823BB"/>
    <w:rsid w:val="0028374E"/>
    <w:rsid w:val="00283E24"/>
    <w:rsid w:val="002840BF"/>
    <w:rsid w:val="002842F2"/>
    <w:rsid w:val="00285337"/>
    <w:rsid w:val="00286CD5"/>
    <w:rsid w:val="00286EF1"/>
    <w:rsid w:val="00287664"/>
    <w:rsid w:val="00287B11"/>
    <w:rsid w:val="00292153"/>
    <w:rsid w:val="00292B69"/>
    <w:rsid w:val="0029382B"/>
    <w:rsid w:val="00294993"/>
    <w:rsid w:val="002A042A"/>
    <w:rsid w:val="002A1838"/>
    <w:rsid w:val="002A4249"/>
    <w:rsid w:val="002A52C3"/>
    <w:rsid w:val="002A5A64"/>
    <w:rsid w:val="002A758B"/>
    <w:rsid w:val="002A7BAE"/>
    <w:rsid w:val="002B0225"/>
    <w:rsid w:val="002B041C"/>
    <w:rsid w:val="002B0F2F"/>
    <w:rsid w:val="002B1E75"/>
    <w:rsid w:val="002B2757"/>
    <w:rsid w:val="002B41A3"/>
    <w:rsid w:val="002B43C7"/>
    <w:rsid w:val="002B5377"/>
    <w:rsid w:val="002B6E2E"/>
    <w:rsid w:val="002B7823"/>
    <w:rsid w:val="002C30C8"/>
    <w:rsid w:val="002C32F0"/>
    <w:rsid w:val="002C3436"/>
    <w:rsid w:val="002C4A4A"/>
    <w:rsid w:val="002C548A"/>
    <w:rsid w:val="002C7D80"/>
    <w:rsid w:val="002D09FB"/>
    <w:rsid w:val="002D1557"/>
    <w:rsid w:val="002D2089"/>
    <w:rsid w:val="002D2597"/>
    <w:rsid w:val="002D3227"/>
    <w:rsid w:val="002D6B24"/>
    <w:rsid w:val="002E1077"/>
    <w:rsid w:val="002E2739"/>
    <w:rsid w:val="002E3523"/>
    <w:rsid w:val="002E51B8"/>
    <w:rsid w:val="002E6022"/>
    <w:rsid w:val="002E669B"/>
    <w:rsid w:val="002E7B00"/>
    <w:rsid w:val="002F0424"/>
    <w:rsid w:val="002F1114"/>
    <w:rsid w:val="002F1E02"/>
    <w:rsid w:val="002F31A2"/>
    <w:rsid w:val="002F32CD"/>
    <w:rsid w:val="002F49AA"/>
    <w:rsid w:val="002F67A5"/>
    <w:rsid w:val="002F6A79"/>
    <w:rsid w:val="002F72C6"/>
    <w:rsid w:val="00301427"/>
    <w:rsid w:val="003019BD"/>
    <w:rsid w:val="00301FC9"/>
    <w:rsid w:val="00302915"/>
    <w:rsid w:val="00303DCB"/>
    <w:rsid w:val="00306824"/>
    <w:rsid w:val="00306A16"/>
    <w:rsid w:val="0030792D"/>
    <w:rsid w:val="0031039E"/>
    <w:rsid w:val="00312A18"/>
    <w:rsid w:val="00313640"/>
    <w:rsid w:val="0031407B"/>
    <w:rsid w:val="003159D1"/>
    <w:rsid w:val="00316575"/>
    <w:rsid w:val="0031727D"/>
    <w:rsid w:val="00326989"/>
    <w:rsid w:val="0033018D"/>
    <w:rsid w:val="0033153A"/>
    <w:rsid w:val="00340105"/>
    <w:rsid w:val="0034137C"/>
    <w:rsid w:val="00342850"/>
    <w:rsid w:val="00342D2F"/>
    <w:rsid w:val="00345831"/>
    <w:rsid w:val="00346C47"/>
    <w:rsid w:val="00346F2B"/>
    <w:rsid w:val="0034758F"/>
    <w:rsid w:val="00347B82"/>
    <w:rsid w:val="00351453"/>
    <w:rsid w:val="0035236E"/>
    <w:rsid w:val="00352B51"/>
    <w:rsid w:val="0035300F"/>
    <w:rsid w:val="003534CC"/>
    <w:rsid w:val="003539B6"/>
    <w:rsid w:val="00354043"/>
    <w:rsid w:val="00354E73"/>
    <w:rsid w:val="00355E2F"/>
    <w:rsid w:val="00357764"/>
    <w:rsid w:val="003607D7"/>
    <w:rsid w:val="003612CC"/>
    <w:rsid w:val="0036646B"/>
    <w:rsid w:val="0037030F"/>
    <w:rsid w:val="00370547"/>
    <w:rsid w:val="00371C60"/>
    <w:rsid w:val="00371DA7"/>
    <w:rsid w:val="00371DC8"/>
    <w:rsid w:val="003722E7"/>
    <w:rsid w:val="00373857"/>
    <w:rsid w:val="0037455C"/>
    <w:rsid w:val="00374A3D"/>
    <w:rsid w:val="0037631C"/>
    <w:rsid w:val="003766A2"/>
    <w:rsid w:val="0037695B"/>
    <w:rsid w:val="003774BA"/>
    <w:rsid w:val="00380F3C"/>
    <w:rsid w:val="00381127"/>
    <w:rsid w:val="0038287B"/>
    <w:rsid w:val="003832E5"/>
    <w:rsid w:val="00383BAD"/>
    <w:rsid w:val="003852FF"/>
    <w:rsid w:val="00385C08"/>
    <w:rsid w:val="00386DBD"/>
    <w:rsid w:val="00387B52"/>
    <w:rsid w:val="003930D9"/>
    <w:rsid w:val="00393EAA"/>
    <w:rsid w:val="00397094"/>
    <w:rsid w:val="00397572"/>
    <w:rsid w:val="003A0F81"/>
    <w:rsid w:val="003A1468"/>
    <w:rsid w:val="003A15D0"/>
    <w:rsid w:val="003A4D1F"/>
    <w:rsid w:val="003A4E7D"/>
    <w:rsid w:val="003A66A7"/>
    <w:rsid w:val="003A6B81"/>
    <w:rsid w:val="003A7B58"/>
    <w:rsid w:val="003B0000"/>
    <w:rsid w:val="003B1161"/>
    <w:rsid w:val="003B24C0"/>
    <w:rsid w:val="003B2583"/>
    <w:rsid w:val="003B271F"/>
    <w:rsid w:val="003B27D1"/>
    <w:rsid w:val="003B3EC3"/>
    <w:rsid w:val="003B3F0B"/>
    <w:rsid w:val="003B4A96"/>
    <w:rsid w:val="003B6C75"/>
    <w:rsid w:val="003C27FE"/>
    <w:rsid w:val="003C3143"/>
    <w:rsid w:val="003C6629"/>
    <w:rsid w:val="003D04AB"/>
    <w:rsid w:val="003D0797"/>
    <w:rsid w:val="003D0E71"/>
    <w:rsid w:val="003D1F12"/>
    <w:rsid w:val="003D5A40"/>
    <w:rsid w:val="003D622A"/>
    <w:rsid w:val="003D69B7"/>
    <w:rsid w:val="003D76C4"/>
    <w:rsid w:val="003E0EF6"/>
    <w:rsid w:val="003E14F4"/>
    <w:rsid w:val="003E1903"/>
    <w:rsid w:val="003E22EA"/>
    <w:rsid w:val="003E37E1"/>
    <w:rsid w:val="003F517C"/>
    <w:rsid w:val="003F5D06"/>
    <w:rsid w:val="003F5D89"/>
    <w:rsid w:val="003F7CB4"/>
    <w:rsid w:val="00400F25"/>
    <w:rsid w:val="0040504E"/>
    <w:rsid w:val="004058F1"/>
    <w:rsid w:val="004070D6"/>
    <w:rsid w:val="00407CA7"/>
    <w:rsid w:val="00410700"/>
    <w:rsid w:val="00411712"/>
    <w:rsid w:val="004118E7"/>
    <w:rsid w:val="00412928"/>
    <w:rsid w:val="0041320B"/>
    <w:rsid w:val="00414274"/>
    <w:rsid w:val="0041522F"/>
    <w:rsid w:val="00416C98"/>
    <w:rsid w:val="0042083B"/>
    <w:rsid w:val="00423B17"/>
    <w:rsid w:val="00426CAC"/>
    <w:rsid w:val="004312A4"/>
    <w:rsid w:val="00433A1E"/>
    <w:rsid w:val="0043495C"/>
    <w:rsid w:val="00436E91"/>
    <w:rsid w:val="004401C9"/>
    <w:rsid w:val="004405B2"/>
    <w:rsid w:val="00441CEC"/>
    <w:rsid w:val="00441D59"/>
    <w:rsid w:val="00441DA4"/>
    <w:rsid w:val="00442351"/>
    <w:rsid w:val="004453B8"/>
    <w:rsid w:val="00446F06"/>
    <w:rsid w:val="0044715A"/>
    <w:rsid w:val="004479AA"/>
    <w:rsid w:val="00451E96"/>
    <w:rsid w:val="00452228"/>
    <w:rsid w:val="0045351B"/>
    <w:rsid w:val="00454D13"/>
    <w:rsid w:val="00461269"/>
    <w:rsid w:val="00462FF4"/>
    <w:rsid w:val="00464F5E"/>
    <w:rsid w:val="004676A2"/>
    <w:rsid w:val="00467E5C"/>
    <w:rsid w:val="00470FB2"/>
    <w:rsid w:val="00471443"/>
    <w:rsid w:val="00471DFD"/>
    <w:rsid w:val="00471E42"/>
    <w:rsid w:val="004725C1"/>
    <w:rsid w:val="00473BF6"/>
    <w:rsid w:val="0047455E"/>
    <w:rsid w:val="00474B98"/>
    <w:rsid w:val="00475086"/>
    <w:rsid w:val="00475945"/>
    <w:rsid w:val="004767D7"/>
    <w:rsid w:val="00477FFB"/>
    <w:rsid w:val="004816DF"/>
    <w:rsid w:val="0048229B"/>
    <w:rsid w:val="004823AE"/>
    <w:rsid w:val="004840F0"/>
    <w:rsid w:val="0048461C"/>
    <w:rsid w:val="00485F15"/>
    <w:rsid w:val="0048668A"/>
    <w:rsid w:val="00486C05"/>
    <w:rsid w:val="00490127"/>
    <w:rsid w:val="00490BC9"/>
    <w:rsid w:val="0049159B"/>
    <w:rsid w:val="004924EB"/>
    <w:rsid w:val="004935E3"/>
    <w:rsid w:val="00493A59"/>
    <w:rsid w:val="00495BAE"/>
    <w:rsid w:val="00496636"/>
    <w:rsid w:val="004A1554"/>
    <w:rsid w:val="004A1713"/>
    <w:rsid w:val="004A18B7"/>
    <w:rsid w:val="004A2251"/>
    <w:rsid w:val="004A22D3"/>
    <w:rsid w:val="004A2635"/>
    <w:rsid w:val="004A2A5B"/>
    <w:rsid w:val="004A55C6"/>
    <w:rsid w:val="004A5AB3"/>
    <w:rsid w:val="004A7FA0"/>
    <w:rsid w:val="004B1422"/>
    <w:rsid w:val="004B1FAB"/>
    <w:rsid w:val="004B268A"/>
    <w:rsid w:val="004B4869"/>
    <w:rsid w:val="004B5290"/>
    <w:rsid w:val="004B5DD7"/>
    <w:rsid w:val="004B600A"/>
    <w:rsid w:val="004B71E0"/>
    <w:rsid w:val="004B750A"/>
    <w:rsid w:val="004C15F7"/>
    <w:rsid w:val="004C2F72"/>
    <w:rsid w:val="004C3CAA"/>
    <w:rsid w:val="004D00D0"/>
    <w:rsid w:val="004D32B9"/>
    <w:rsid w:val="004D37E1"/>
    <w:rsid w:val="004D53BE"/>
    <w:rsid w:val="004D5994"/>
    <w:rsid w:val="004D77AC"/>
    <w:rsid w:val="004D7AAB"/>
    <w:rsid w:val="004D7D95"/>
    <w:rsid w:val="004E0168"/>
    <w:rsid w:val="004E03A2"/>
    <w:rsid w:val="004E0BAC"/>
    <w:rsid w:val="004E0E80"/>
    <w:rsid w:val="004E2E79"/>
    <w:rsid w:val="004E3CA4"/>
    <w:rsid w:val="004E48DF"/>
    <w:rsid w:val="004E5EF6"/>
    <w:rsid w:val="004F05F6"/>
    <w:rsid w:val="004F096C"/>
    <w:rsid w:val="004F1625"/>
    <w:rsid w:val="004F19A4"/>
    <w:rsid w:val="004F2564"/>
    <w:rsid w:val="004F38A7"/>
    <w:rsid w:val="004F4664"/>
    <w:rsid w:val="004F66BD"/>
    <w:rsid w:val="004F67C6"/>
    <w:rsid w:val="004F6F98"/>
    <w:rsid w:val="00500B01"/>
    <w:rsid w:val="00503013"/>
    <w:rsid w:val="00503156"/>
    <w:rsid w:val="005031B1"/>
    <w:rsid w:val="00504516"/>
    <w:rsid w:val="00504648"/>
    <w:rsid w:val="00505A34"/>
    <w:rsid w:val="00506ED1"/>
    <w:rsid w:val="005113B6"/>
    <w:rsid w:val="00511726"/>
    <w:rsid w:val="00511977"/>
    <w:rsid w:val="0051224A"/>
    <w:rsid w:val="00512696"/>
    <w:rsid w:val="00513D0D"/>
    <w:rsid w:val="005147D1"/>
    <w:rsid w:val="00515082"/>
    <w:rsid w:val="00516B5F"/>
    <w:rsid w:val="00516F90"/>
    <w:rsid w:val="00517CD4"/>
    <w:rsid w:val="0052046B"/>
    <w:rsid w:val="00520884"/>
    <w:rsid w:val="005222D4"/>
    <w:rsid w:val="005233D9"/>
    <w:rsid w:val="00523A0F"/>
    <w:rsid w:val="00523DBD"/>
    <w:rsid w:val="00524009"/>
    <w:rsid w:val="00525A07"/>
    <w:rsid w:val="00525C90"/>
    <w:rsid w:val="00530065"/>
    <w:rsid w:val="00530983"/>
    <w:rsid w:val="00530D48"/>
    <w:rsid w:val="00531B3F"/>
    <w:rsid w:val="0053457C"/>
    <w:rsid w:val="00535E21"/>
    <w:rsid w:val="00536C50"/>
    <w:rsid w:val="00536F56"/>
    <w:rsid w:val="00536FB9"/>
    <w:rsid w:val="0053778C"/>
    <w:rsid w:val="00541E52"/>
    <w:rsid w:val="005428B9"/>
    <w:rsid w:val="00543D97"/>
    <w:rsid w:val="005457F1"/>
    <w:rsid w:val="00547A5E"/>
    <w:rsid w:val="00547B64"/>
    <w:rsid w:val="0055066E"/>
    <w:rsid w:val="00550851"/>
    <w:rsid w:val="0055092C"/>
    <w:rsid w:val="00550A05"/>
    <w:rsid w:val="00550AB4"/>
    <w:rsid w:val="00550C62"/>
    <w:rsid w:val="005526DB"/>
    <w:rsid w:val="00552EC1"/>
    <w:rsid w:val="00553296"/>
    <w:rsid w:val="0055534B"/>
    <w:rsid w:val="00556D9D"/>
    <w:rsid w:val="005603F4"/>
    <w:rsid w:val="00560543"/>
    <w:rsid w:val="00561D94"/>
    <w:rsid w:val="005629A2"/>
    <w:rsid w:val="00565EC7"/>
    <w:rsid w:val="0057035A"/>
    <w:rsid w:val="005705B7"/>
    <w:rsid w:val="00570A4F"/>
    <w:rsid w:val="00573333"/>
    <w:rsid w:val="00580629"/>
    <w:rsid w:val="005815BE"/>
    <w:rsid w:val="0058257F"/>
    <w:rsid w:val="0058296B"/>
    <w:rsid w:val="0058361A"/>
    <w:rsid w:val="00586ABD"/>
    <w:rsid w:val="0059077C"/>
    <w:rsid w:val="005911F2"/>
    <w:rsid w:val="00594B37"/>
    <w:rsid w:val="00595F95"/>
    <w:rsid w:val="00597984"/>
    <w:rsid w:val="005A029F"/>
    <w:rsid w:val="005A0AE4"/>
    <w:rsid w:val="005A1A27"/>
    <w:rsid w:val="005A2E86"/>
    <w:rsid w:val="005A4AB8"/>
    <w:rsid w:val="005A584A"/>
    <w:rsid w:val="005A588D"/>
    <w:rsid w:val="005A5B31"/>
    <w:rsid w:val="005A6167"/>
    <w:rsid w:val="005A6AFD"/>
    <w:rsid w:val="005A78C7"/>
    <w:rsid w:val="005B0A36"/>
    <w:rsid w:val="005B1123"/>
    <w:rsid w:val="005B1625"/>
    <w:rsid w:val="005B1658"/>
    <w:rsid w:val="005B3818"/>
    <w:rsid w:val="005B4AAF"/>
    <w:rsid w:val="005B4F15"/>
    <w:rsid w:val="005B5EC9"/>
    <w:rsid w:val="005B6B40"/>
    <w:rsid w:val="005B7140"/>
    <w:rsid w:val="005B7F7D"/>
    <w:rsid w:val="005C0884"/>
    <w:rsid w:val="005C0DEF"/>
    <w:rsid w:val="005C1CAE"/>
    <w:rsid w:val="005C3DC1"/>
    <w:rsid w:val="005C5033"/>
    <w:rsid w:val="005C560B"/>
    <w:rsid w:val="005C6018"/>
    <w:rsid w:val="005C6AC4"/>
    <w:rsid w:val="005D4B52"/>
    <w:rsid w:val="005D6E9F"/>
    <w:rsid w:val="005D6EB3"/>
    <w:rsid w:val="005E1912"/>
    <w:rsid w:val="005E1BB2"/>
    <w:rsid w:val="005E2335"/>
    <w:rsid w:val="005E270C"/>
    <w:rsid w:val="005E3115"/>
    <w:rsid w:val="005E38FF"/>
    <w:rsid w:val="005E5B92"/>
    <w:rsid w:val="005F29C6"/>
    <w:rsid w:val="005F3B62"/>
    <w:rsid w:val="005F6AAC"/>
    <w:rsid w:val="005F7203"/>
    <w:rsid w:val="005F748D"/>
    <w:rsid w:val="00600893"/>
    <w:rsid w:val="00600D09"/>
    <w:rsid w:val="00601DD1"/>
    <w:rsid w:val="006038BD"/>
    <w:rsid w:val="00603B3D"/>
    <w:rsid w:val="006047A3"/>
    <w:rsid w:val="00604FB6"/>
    <w:rsid w:val="00606443"/>
    <w:rsid w:val="006074B2"/>
    <w:rsid w:val="00611D7F"/>
    <w:rsid w:val="00613B39"/>
    <w:rsid w:val="0061766A"/>
    <w:rsid w:val="006231CB"/>
    <w:rsid w:val="0062383B"/>
    <w:rsid w:val="00623F38"/>
    <w:rsid w:val="006240CC"/>
    <w:rsid w:val="00625D65"/>
    <w:rsid w:val="00630D1E"/>
    <w:rsid w:val="00632266"/>
    <w:rsid w:val="00634765"/>
    <w:rsid w:val="00635CCB"/>
    <w:rsid w:val="00640025"/>
    <w:rsid w:val="00640350"/>
    <w:rsid w:val="006411CD"/>
    <w:rsid w:val="00641599"/>
    <w:rsid w:val="00641DA4"/>
    <w:rsid w:val="00642E19"/>
    <w:rsid w:val="006436E6"/>
    <w:rsid w:val="0064423E"/>
    <w:rsid w:val="006457D2"/>
    <w:rsid w:val="006458ED"/>
    <w:rsid w:val="00646526"/>
    <w:rsid w:val="00647DBF"/>
    <w:rsid w:val="00652F16"/>
    <w:rsid w:val="0065502C"/>
    <w:rsid w:val="0065521B"/>
    <w:rsid w:val="00656195"/>
    <w:rsid w:val="00656196"/>
    <w:rsid w:val="00656A6B"/>
    <w:rsid w:val="006571AD"/>
    <w:rsid w:val="0065761B"/>
    <w:rsid w:val="0065783B"/>
    <w:rsid w:val="00661598"/>
    <w:rsid w:val="00662618"/>
    <w:rsid w:val="00663B4B"/>
    <w:rsid w:val="00663DF6"/>
    <w:rsid w:val="0066575E"/>
    <w:rsid w:val="006665FD"/>
    <w:rsid w:val="00670021"/>
    <w:rsid w:val="006722BC"/>
    <w:rsid w:val="0067311C"/>
    <w:rsid w:val="00674102"/>
    <w:rsid w:val="006743E3"/>
    <w:rsid w:val="00674D05"/>
    <w:rsid w:val="00676BF1"/>
    <w:rsid w:val="006772BD"/>
    <w:rsid w:val="00677932"/>
    <w:rsid w:val="00682226"/>
    <w:rsid w:val="006825B7"/>
    <w:rsid w:val="00684BE9"/>
    <w:rsid w:val="00686472"/>
    <w:rsid w:val="00690A72"/>
    <w:rsid w:val="0069161E"/>
    <w:rsid w:val="00694B48"/>
    <w:rsid w:val="00695397"/>
    <w:rsid w:val="006A011B"/>
    <w:rsid w:val="006A1660"/>
    <w:rsid w:val="006A1CA2"/>
    <w:rsid w:val="006A26AD"/>
    <w:rsid w:val="006A3923"/>
    <w:rsid w:val="006B08A5"/>
    <w:rsid w:val="006B3590"/>
    <w:rsid w:val="006B4B11"/>
    <w:rsid w:val="006B5AA6"/>
    <w:rsid w:val="006B642C"/>
    <w:rsid w:val="006C4F1B"/>
    <w:rsid w:val="006C4F77"/>
    <w:rsid w:val="006C6BB8"/>
    <w:rsid w:val="006C7BB7"/>
    <w:rsid w:val="006D01F4"/>
    <w:rsid w:val="006D037D"/>
    <w:rsid w:val="006D2214"/>
    <w:rsid w:val="006D3AE5"/>
    <w:rsid w:val="006D4DE8"/>
    <w:rsid w:val="006E1764"/>
    <w:rsid w:val="006E1BD4"/>
    <w:rsid w:val="006E2B7C"/>
    <w:rsid w:val="006E531C"/>
    <w:rsid w:val="006E688E"/>
    <w:rsid w:val="006E6BF7"/>
    <w:rsid w:val="006F0A8C"/>
    <w:rsid w:val="006F0F02"/>
    <w:rsid w:val="006F193C"/>
    <w:rsid w:val="006F2613"/>
    <w:rsid w:val="006F4346"/>
    <w:rsid w:val="00700C5F"/>
    <w:rsid w:val="007024E4"/>
    <w:rsid w:val="007047F9"/>
    <w:rsid w:val="0071250D"/>
    <w:rsid w:val="00714C7E"/>
    <w:rsid w:val="00715243"/>
    <w:rsid w:val="0071575B"/>
    <w:rsid w:val="00717468"/>
    <w:rsid w:val="00720478"/>
    <w:rsid w:val="007229EB"/>
    <w:rsid w:val="0072337A"/>
    <w:rsid w:val="00723E19"/>
    <w:rsid w:val="00723F5E"/>
    <w:rsid w:val="00725CA6"/>
    <w:rsid w:val="0072664C"/>
    <w:rsid w:val="00726961"/>
    <w:rsid w:val="00726CDE"/>
    <w:rsid w:val="00727360"/>
    <w:rsid w:val="007273C1"/>
    <w:rsid w:val="00730483"/>
    <w:rsid w:val="007304BB"/>
    <w:rsid w:val="0073124E"/>
    <w:rsid w:val="00731892"/>
    <w:rsid w:val="00731F89"/>
    <w:rsid w:val="00732D96"/>
    <w:rsid w:val="00733DDA"/>
    <w:rsid w:val="007342E3"/>
    <w:rsid w:val="007349F3"/>
    <w:rsid w:val="00734D01"/>
    <w:rsid w:val="00735422"/>
    <w:rsid w:val="00735860"/>
    <w:rsid w:val="0073707D"/>
    <w:rsid w:val="00737E39"/>
    <w:rsid w:val="00737FFA"/>
    <w:rsid w:val="00740E89"/>
    <w:rsid w:val="00740FF4"/>
    <w:rsid w:val="00741601"/>
    <w:rsid w:val="007435A8"/>
    <w:rsid w:val="00743B0D"/>
    <w:rsid w:val="00744E76"/>
    <w:rsid w:val="00744F2A"/>
    <w:rsid w:val="007458AA"/>
    <w:rsid w:val="00747643"/>
    <w:rsid w:val="00751EBD"/>
    <w:rsid w:val="00751ECA"/>
    <w:rsid w:val="00752975"/>
    <w:rsid w:val="00753CE9"/>
    <w:rsid w:val="007545C8"/>
    <w:rsid w:val="0075487A"/>
    <w:rsid w:val="00754EE4"/>
    <w:rsid w:val="00755750"/>
    <w:rsid w:val="007568B5"/>
    <w:rsid w:val="00756C72"/>
    <w:rsid w:val="00760554"/>
    <w:rsid w:val="00760F3E"/>
    <w:rsid w:val="00761F12"/>
    <w:rsid w:val="0076206E"/>
    <w:rsid w:val="00763FF1"/>
    <w:rsid w:val="00764099"/>
    <w:rsid w:val="00764E8A"/>
    <w:rsid w:val="00764F69"/>
    <w:rsid w:val="00765CD0"/>
    <w:rsid w:val="007660D4"/>
    <w:rsid w:val="00766170"/>
    <w:rsid w:val="0076683F"/>
    <w:rsid w:val="00766A90"/>
    <w:rsid w:val="00767C1F"/>
    <w:rsid w:val="0077133C"/>
    <w:rsid w:val="00771B7B"/>
    <w:rsid w:val="00774A0B"/>
    <w:rsid w:val="007755D7"/>
    <w:rsid w:val="00776818"/>
    <w:rsid w:val="007806CA"/>
    <w:rsid w:val="00783ACD"/>
    <w:rsid w:val="00786407"/>
    <w:rsid w:val="00786ED8"/>
    <w:rsid w:val="007901A6"/>
    <w:rsid w:val="00790CCE"/>
    <w:rsid w:val="00792DE2"/>
    <w:rsid w:val="00795434"/>
    <w:rsid w:val="00795F32"/>
    <w:rsid w:val="007965BB"/>
    <w:rsid w:val="007969F1"/>
    <w:rsid w:val="007975AA"/>
    <w:rsid w:val="007A0BD3"/>
    <w:rsid w:val="007A1BD3"/>
    <w:rsid w:val="007A36D3"/>
    <w:rsid w:val="007A3CAF"/>
    <w:rsid w:val="007A45D6"/>
    <w:rsid w:val="007A5B9D"/>
    <w:rsid w:val="007A6A8F"/>
    <w:rsid w:val="007A7576"/>
    <w:rsid w:val="007B0516"/>
    <w:rsid w:val="007B0749"/>
    <w:rsid w:val="007B0C17"/>
    <w:rsid w:val="007B4AE4"/>
    <w:rsid w:val="007C180C"/>
    <w:rsid w:val="007C2382"/>
    <w:rsid w:val="007C3BE8"/>
    <w:rsid w:val="007C6063"/>
    <w:rsid w:val="007D02DA"/>
    <w:rsid w:val="007D0B48"/>
    <w:rsid w:val="007D1417"/>
    <w:rsid w:val="007D1744"/>
    <w:rsid w:val="007D255A"/>
    <w:rsid w:val="007D25C3"/>
    <w:rsid w:val="007D526B"/>
    <w:rsid w:val="007D5E5A"/>
    <w:rsid w:val="007E170A"/>
    <w:rsid w:val="007E1DDD"/>
    <w:rsid w:val="007E22F9"/>
    <w:rsid w:val="007E333B"/>
    <w:rsid w:val="007E39F8"/>
    <w:rsid w:val="007E4A63"/>
    <w:rsid w:val="007E53C9"/>
    <w:rsid w:val="007E7FD5"/>
    <w:rsid w:val="007F004D"/>
    <w:rsid w:val="007F0104"/>
    <w:rsid w:val="007F1894"/>
    <w:rsid w:val="007F2A7B"/>
    <w:rsid w:val="007F3D3D"/>
    <w:rsid w:val="007F41B5"/>
    <w:rsid w:val="007F4C8D"/>
    <w:rsid w:val="007F5317"/>
    <w:rsid w:val="007F58E6"/>
    <w:rsid w:val="007F7D6A"/>
    <w:rsid w:val="0080019E"/>
    <w:rsid w:val="00801029"/>
    <w:rsid w:val="00802B53"/>
    <w:rsid w:val="0080636B"/>
    <w:rsid w:val="008066AE"/>
    <w:rsid w:val="00806A2F"/>
    <w:rsid w:val="0081059E"/>
    <w:rsid w:val="00810713"/>
    <w:rsid w:val="00810933"/>
    <w:rsid w:val="00810D97"/>
    <w:rsid w:val="0081535B"/>
    <w:rsid w:val="00815582"/>
    <w:rsid w:val="00815EB0"/>
    <w:rsid w:val="00816A88"/>
    <w:rsid w:val="00820C51"/>
    <w:rsid w:val="00822E93"/>
    <w:rsid w:val="0082341B"/>
    <w:rsid w:val="00823BE5"/>
    <w:rsid w:val="00825BFE"/>
    <w:rsid w:val="008303A0"/>
    <w:rsid w:val="00830B71"/>
    <w:rsid w:val="00831D56"/>
    <w:rsid w:val="00832673"/>
    <w:rsid w:val="00834045"/>
    <w:rsid w:val="00834C99"/>
    <w:rsid w:val="0083547C"/>
    <w:rsid w:val="00836330"/>
    <w:rsid w:val="00836F73"/>
    <w:rsid w:val="0083764E"/>
    <w:rsid w:val="008432D0"/>
    <w:rsid w:val="0084428A"/>
    <w:rsid w:val="00845787"/>
    <w:rsid w:val="00845C44"/>
    <w:rsid w:val="008471BD"/>
    <w:rsid w:val="0084782A"/>
    <w:rsid w:val="00850C7B"/>
    <w:rsid w:val="008513CC"/>
    <w:rsid w:val="008514A3"/>
    <w:rsid w:val="00852D7E"/>
    <w:rsid w:val="0085302B"/>
    <w:rsid w:val="00853AFF"/>
    <w:rsid w:val="008565E3"/>
    <w:rsid w:val="00856B4E"/>
    <w:rsid w:val="00857E44"/>
    <w:rsid w:val="0086077D"/>
    <w:rsid w:val="008607CE"/>
    <w:rsid w:val="0086249A"/>
    <w:rsid w:val="008627E4"/>
    <w:rsid w:val="00864FC5"/>
    <w:rsid w:val="00865415"/>
    <w:rsid w:val="00866710"/>
    <w:rsid w:val="0087030D"/>
    <w:rsid w:val="00870B19"/>
    <w:rsid w:val="00872ECA"/>
    <w:rsid w:val="0087675D"/>
    <w:rsid w:val="00877837"/>
    <w:rsid w:val="008826F1"/>
    <w:rsid w:val="008834CC"/>
    <w:rsid w:val="00883C8E"/>
    <w:rsid w:val="00884497"/>
    <w:rsid w:val="008854F8"/>
    <w:rsid w:val="00885724"/>
    <w:rsid w:val="00886F2A"/>
    <w:rsid w:val="00891D24"/>
    <w:rsid w:val="008966E8"/>
    <w:rsid w:val="008A0DBE"/>
    <w:rsid w:val="008A2967"/>
    <w:rsid w:val="008A30DB"/>
    <w:rsid w:val="008A3C45"/>
    <w:rsid w:val="008A4CEE"/>
    <w:rsid w:val="008A5569"/>
    <w:rsid w:val="008A7F3B"/>
    <w:rsid w:val="008B0BEB"/>
    <w:rsid w:val="008B3EC9"/>
    <w:rsid w:val="008B40D9"/>
    <w:rsid w:val="008B4141"/>
    <w:rsid w:val="008B4A93"/>
    <w:rsid w:val="008C313E"/>
    <w:rsid w:val="008C3692"/>
    <w:rsid w:val="008C706F"/>
    <w:rsid w:val="008C77C8"/>
    <w:rsid w:val="008D0517"/>
    <w:rsid w:val="008D241D"/>
    <w:rsid w:val="008D27F0"/>
    <w:rsid w:val="008D42DA"/>
    <w:rsid w:val="008D4330"/>
    <w:rsid w:val="008D63FF"/>
    <w:rsid w:val="008D7B2A"/>
    <w:rsid w:val="008D7BAA"/>
    <w:rsid w:val="008E1DF0"/>
    <w:rsid w:val="008E30B1"/>
    <w:rsid w:val="008E4592"/>
    <w:rsid w:val="008E4FB9"/>
    <w:rsid w:val="008F0F84"/>
    <w:rsid w:val="008F10AF"/>
    <w:rsid w:val="008F3305"/>
    <w:rsid w:val="008F38EB"/>
    <w:rsid w:val="008F406A"/>
    <w:rsid w:val="008F468C"/>
    <w:rsid w:val="008F6533"/>
    <w:rsid w:val="00901016"/>
    <w:rsid w:val="00901CB0"/>
    <w:rsid w:val="00901D02"/>
    <w:rsid w:val="00902070"/>
    <w:rsid w:val="00902464"/>
    <w:rsid w:val="009027CD"/>
    <w:rsid w:val="00902F2E"/>
    <w:rsid w:val="00904206"/>
    <w:rsid w:val="00904AB7"/>
    <w:rsid w:val="00906DFB"/>
    <w:rsid w:val="00910194"/>
    <w:rsid w:val="00913814"/>
    <w:rsid w:val="00914650"/>
    <w:rsid w:val="00915BF6"/>
    <w:rsid w:val="00915C5C"/>
    <w:rsid w:val="00916E15"/>
    <w:rsid w:val="00917800"/>
    <w:rsid w:val="009258ED"/>
    <w:rsid w:val="00925EC9"/>
    <w:rsid w:val="009300DD"/>
    <w:rsid w:val="0093140F"/>
    <w:rsid w:val="00932326"/>
    <w:rsid w:val="00932374"/>
    <w:rsid w:val="00935D00"/>
    <w:rsid w:val="00936A63"/>
    <w:rsid w:val="009417B4"/>
    <w:rsid w:val="00943BBF"/>
    <w:rsid w:val="00946936"/>
    <w:rsid w:val="00946D16"/>
    <w:rsid w:val="00950C1A"/>
    <w:rsid w:val="00955114"/>
    <w:rsid w:val="00956E31"/>
    <w:rsid w:val="00957AD0"/>
    <w:rsid w:val="00960B23"/>
    <w:rsid w:val="00961B09"/>
    <w:rsid w:val="00962645"/>
    <w:rsid w:val="00963EAF"/>
    <w:rsid w:val="00964A91"/>
    <w:rsid w:val="00964B5A"/>
    <w:rsid w:val="00964E60"/>
    <w:rsid w:val="009651BC"/>
    <w:rsid w:val="0096607D"/>
    <w:rsid w:val="00967418"/>
    <w:rsid w:val="0097058B"/>
    <w:rsid w:val="00971411"/>
    <w:rsid w:val="0097161A"/>
    <w:rsid w:val="00972173"/>
    <w:rsid w:val="00972594"/>
    <w:rsid w:val="00972B70"/>
    <w:rsid w:val="009730DB"/>
    <w:rsid w:val="00975CA9"/>
    <w:rsid w:val="009765B9"/>
    <w:rsid w:val="0097759C"/>
    <w:rsid w:val="00977E88"/>
    <w:rsid w:val="00980794"/>
    <w:rsid w:val="00981232"/>
    <w:rsid w:val="009843C4"/>
    <w:rsid w:val="00986434"/>
    <w:rsid w:val="00986565"/>
    <w:rsid w:val="00986764"/>
    <w:rsid w:val="00987695"/>
    <w:rsid w:val="00987DDE"/>
    <w:rsid w:val="00990142"/>
    <w:rsid w:val="00990DEF"/>
    <w:rsid w:val="00991B4F"/>
    <w:rsid w:val="00992714"/>
    <w:rsid w:val="00992BDE"/>
    <w:rsid w:val="009932DB"/>
    <w:rsid w:val="00995498"/>
    <w:rsid w:val="009A103B"/>
    <w:rsid w:val="009A5D22"/>
    <w:rsid w:val="009A5FA0"/>
    <w:rsid w:val="009A7CD2"/>
    <w:rsid w:val="009B0579"/>
    <w:rsid w:val="009B11BF"/>
    <w:rsid w:val="009B3D01"/>
    <w:rsid w:val="009B3F88"/>
    <w:rsid w:val="009B3FFF"/>
    <w:rsid w:val="009B7369"/>
    <w:rsid w:val="009B76DC"/>
    <w:rsid w:val="009B7F15"/>
    <w:rsid w:val="009C121F"/>
    <w:rsid w:val="009C1975"/>
    <w:rsid w:val="009C1D77"/>
    <w:rsid w:val="009C225A"/>
    <w:rsid w:val="009C2C89"/>
    <w:rsid w:val="009C350E"/>
    <w:rsid w:val="009C38E5"/>
    <w:rsid w:val="009C437D"/>
    <w:rsid w:val="009C5065"/>
    <w:rsid w:val="009D0281"/>
    <w:rsid w:val="009D02C5"/>
    <w:rsid w:val="009D0605"/>
    <w:rsid w:val="009D1E90"/>
    <w:rsid w:val="009D41BC"/>
    <w:rsid w:val="009E0EFB"/>
    <w:rsid w:val="009E1E98"/>
    <w:rsid w:val="009E32A3"/>
    <w:rsid w:val="009E48F8"/>
    <w:rsid w:val="009E6B61"/>
    <w:rsid w:val="009F0181"/>
    <w:rsid w:val="009F174E"/>
    <w:rsid w:val="009F213D"/>
    <w:rsid w:val="009F7DDB"/>
    <w:rsid w:val="00A0140E"/>
    <w:rsid w:val="00A03872"/>
    <w:rsid w:val="00A075C0"/>
    <w:rsid w:val="00A10E99"/>
    <w:rsid w:val="00A12A61"/>
    <w:rsid w:val="00A2069B"/>
    <w:rsid w:val="00A23986"/>
    <w:rsid w:val="00A239B2"/>
    <w:rsid w:val="00A23F46"/>
    <w:rsid w:val="00A268F8"/>
    <w:rsid w:val="00A3166B"/>
    <w:rsid w:val="00A31FA1"/>
    <w:rsid w:val="00A32541"/>
    <w:rsid w:val="00A35FB7"/>
    <w:rsid w:val="00A36AE0"/>
    <w:rsid w:val="00A37B92"/>
    <w:rsid w:val="00A40BE5"/>
    <w:rsid w:val="00A43096"/>
    <w:rsid w:val="00A4338A"/>
    <w:rsid w:val="00A43432"/>
    <w:rsid w:val="00A44161"/>
    <w:rsid w:val="00A44926"/>
    <w:rsid w:val="00A45CB5"/>
    <w:rsid w:val="00A462E8"/>
    <w:rsid w:val="00A470A1"/>
    <w:rsid w:val="00A53116"/>
    <w:rsid w:val="00A53475"/>
    <w:rsid w:val="00A618E7"/>
    <w:rsid w:val="00A62669"/>
    <w:rsid w:val="00A62E87"/>
    <w:rsid w:val="00A630A9"/>
    <w:rsid w:val="00A64C71"/>
    <w:rsid w:val="00A65234"/>
    <w:rsid w:val="00A65C0F"/>
    <w:rsid w:val="00A67BBE"/>
    <w:rsid w:val="00A711BC"/>
    <w:rsid w:val="00A721B6"/>
    <w:rsid w:val="00A727EC"/>
    <w:rsid w:val="00A753A2"/>
    <w:rsid w:val="00A7583D"/>
    <w:rsid w:val="00A75A46"/>
    <w:rsid w:val="00A76BF7"/>
    <w:rsid w:val="00A76F7F"/>
    <w:rsid w:val="00A77028"/>
    <w:rsid w:val="00A771CC"/>
    <w:rsid w:val="00A82086"/>
    <w:rsid w:val="00A835B7"/>
    <w:rsid w:val="00A83B4E"/>
    <w:rsid w:val="00A84949"/>
    <w:rsid w:val="00A84E38"/>
    <w:rsid w:val="00A851E3"/>
    <w:rsid w:val="00A85A03"/>
    <w:rsid w:val="00A85C79"/>
    <w:rsid w:val="00A86CF2"/>
    <w:rsid w:val="00A86EA1"/>
    <w:rsid w:val="00A87D6D"/>
    <w:rsid w:val="00A90097"/>
    <w:rsid w:val="00A9030B"/>
    <w:rsid w:val="00A91076"/>
    <w:rsid w:val="00A921AE"/>
    <w:rsid w:val="00A92F18"/>
    <w:rsid w:val="00A93BDB"/>
    <w:rsid w:val="00A94911"/>
    <w:rsid w:val="00AA0FA7"/>
    <w:rsid w:val="00AA200B"/>
    <w:rsid w:val="00AA2683"/>
    <w:rsid w:val="00AA27F2"/>
    <w:rsid w:val="00AA2B88"/>
    <w:rsid w:val="00AA47EA"/>
    <w:rsid w:val="00AA4C01"/>
    <w:rsid w:val="00AA779E"/>
    <w:rsid w:val="00AA7C92"/>
    <w:rsid w:val="00AB0940"/>
    <w:rsid w:val="00AB098D"/>
    <w:rsid w:val="00AB0C33"/>
    <w:rsid w:val="00AB491F"/>
    <w:rsid w:val="00AB5033"/>
    <w:rsid w:val="00AB7307"/>
    <w:rsid w:val="00AC114E"/>
    <w:rsid w:val="00AC1240"/>
    <w:rsid w:val="00AC1688"/>
    <w:rsid w:val="00AC2ADB"/>
    <w:rsid w:val="00AC5216"/>
    <w:rsid w:val="00AC5267"/>
    <w:rsid w:val="00AC5DC8"/>
    <w:rsid w:val="00AD316A"/>
    <w:rsid w:val="00AD36AE"/>
    <w:rsid w:val="00AD381E"/>
    <w:rsid w:val="00AD3D85"/>
    <w:rsid w:val="00AD495A"/>
    <w:rsid w:val="00AD73DB"/>
    <w:rsid w:val="00AE12E6"/>
    <w:rsid w:val="00AE24F1"/>
    <w:rsid w:val="00AE38F3"/>
    <w:rsid w:val="00AE7B2C"/>
    <w:rsid w:val="00AF090D"/>
    <w:rsid w:val="00AF1459"/>
    <w:rsid w:val="00AF35B8"/>
    <w:rsid w:val="00AF3627"/>
    <w:rsid w:val="00AF44E2"/>
    <w:rsid w:val="00AF610D"/>
    <w:rsid w:val="00AF626D"/>
    <w:rsid w:val="00AF79F0"/>
    <w:rsid w:val="00AF7D96"/>
    <w:rsid w:val="00B0030B"/>
    <w:rsid w:val="00B00564"/>
    <w:rsid w:val="00B01003"/>
    <w:rsid w:val="00B01D1F"/>
    <w:rsid w:val="00B02CC2"/>
    <w:rsid w:val="00B04B7D"/>
    <w:rsid w:val="00B07CD1"/>
    <w:rsid w:val="00B11953"/>
    <w:rsid w:val="00B1197C"/>
    <w:rsid w:val="00B12712"/>
    <w:rsid w:val="00B1342D"/>
    <w:rsid w:val="00B2027B"/>
    <w:rsid w:val="00B2105F"/>
    <w:rsid w:val="00B212AB"/>
    <w:rsid w:val="00B216EE"/>
    <w:rsid w:val="00B22EA3"/>
    <w:rsid w:val="00B2317D"/>
    <w:rsid w:val="00B23E17"/>
    <w:rsid w:val="00B24810"/>
    <w:rsid w:val="00B261D5"/>
    <w:rsid w:val="00B2654C"/>
    <w:rsid w:val="00B32547"/>
    <w:rsid w:val="00B35F3C"/>
    <w:rsid w:val="00B36BB8"/>
    <w:rsid w:val="00B404DC"/>
    <w:rsid w:val="00B40B7A"/>
    <w:rsid w:val="00B41467"/>
    <w:rsid w:val="00B43692"/>
    <w:rsid w:val="00B43A6C"/>
    <w:rsid w:val="00B44EC8"/>
    <w:rsid w:val="00B45721"/>
    <w:rsid w:val="00B46032"/>
    <w:rsid w:val="00B46302"/>
    <w:rsid w:val="00B47965"/>
    <w:rsid w:val="00B54B26"/>
    <w:rsid w:val="00B55886"/>
    <w:rsid w:val="00B55B03"/>
    <w:rsid w:val="00B5688C"/>
    <w:rsid w:val="00B605C3"/>
    <w:rsid w:val="00B60941"/>
    <w:rsid w:val="00B61219"/>
    <w:rsid w:val="00B614C1"/>
    <w:rsid w:val="00B6240D"/>
    <w:rsid w:val="00B65E9D"/>
    <w:rsid w:val="00B66F99"/>
    <w:rsid w:val="00B70CD3"/>
    <w:rsid w:val="00B70FA1"/>
    <w:rsid w:val="00B72426"/>
    <w:rsid w:val="00B72720"/>
    <w:rsid w:val="00B734EA"/>
    <w:rsid w:val="00B74AB5"/>
    <w:rsid w:val="00B75C2B"/>
    <w:rsid w:val="00B7609C"/>
    <w:rsid w:val="00B767C7"/>
    <w:rsid w:val="00B76AC9"/>
    <w:rsid w:val="00B80100"/>
    <w:rsid w:val="00B849F2"/>
    <w:rsid w:val="00B85302"/>
    <w:rsid w:val="00B90D81"/>
    <w:rsid w:val="00B95247"/>
    <w:rsid w:val="00B958A6"/>
    <w:rsid w:val="00BA06E5"/>
    <w:rsid w:val="00BA1BF7"/>
    <w:rsid w:val="00BA1DB6"/>
    <w:rsid w:val="00BA3D41"/>
    <w:rsid w:val="00BA484A"/>
    <w:rsid w:val="00BA5755"/>
    <w:rsid w:val="00BA582A"/>
    <w:rsid w:val="00BA5AFB"/>
    <w:rsid w:val="00BA7486"/>
    <w:rsid w:val="00BB0891"/>
    <w:rsid w:val="00BB1802"/>
    <w:rsid w:val="00BB298C"/>
    <w:rsid w:val="00BB2BB2"/>
    <w:rsid w:val="00BB2FBF"/>
    <w:rsid w:val="00BB6899"/>
    <w:rsid w:val="00BB7ACD"/>
    <w:rsid w:val="00BC05DC"/>
    <w:rsid w:val="00BC0D8E"/>
    <w:rsid w:val="00BC49E7"/>
    <w:rsid w:val="00BC5577"/>
    <w:rsid w:val="00BD3241"/>
    <w:rsid w:val="00BD708B"/>
    <w:rsid w:val="00BD7994"/>
    <w:rsid w:val="00BE0BC3"/>
    <w:rsid w:val="00BE0EFA"/>
    <w:rsid w:val="00BE20B0"/>
    <w:rsid w:val="00BE2535"/>
    <w:rsid w:val="00BE3C74"/>
    <w:rsid w:val="00BE3E1E"/>
    <w:rsid w:val="00BE454E"/>
    <w:rsid w:val="00BE4BC9"/>
    <w:rsid w:val="00BE500F"/>
    <w:rsid w:val="00BE7CCF"/>
    <w:rsid w:val="00BF125D"/>
    <w:rsid w:val="00BF2E8B"/>
    <w:rsid w:val="00BF389C"/>
    <w:rsid w:val="00BF3E3C"/>
    <w:rsid w:val="00BF40A5"/>
    <w:rsid w:val="00BF479F"/>
    <w:rsid w:val="00BF5F2E"/>
    <w:rsid w:val="00BF68A2"/>
    <w:rsid w:val="00BF6D3E"/>
    <w:rsid w:val="00C0203E"/>
    <w:rsid w:val="00C026E8"/>
    <w:rsid w:val="00C03222"/>
    <w:rsid w:val="00C04126"/>
    <w:rsid w:val="00C06AF4"/>
    <w:rsid w:val="00C10011"/>
    <w:rsid w:val="00C105C5"/>
    <w:rsid w:val="00C10E48"/>
    <w:rsid w:val="00C111EF"/>
    <w:rsid w:val="00C113C8"/>
    <w:rsid w:val="00C11682"/>
    <w:rsid w:val="00C122A7"/>
    <w:rsid w:val="00C14191"/>
    <w:rsid w:val="00C14D76"/>
    <w:rsid w:val="00C15E34"/>
    <w:rsid w:val="00C16E09"/>
    <w:rsid w:val="00C2055B"/>
    <w:rsid w:val="00C22092"/>
    <w:rsid w:val="00C2362E"/>
    <w:rsid w:val="00C23EC6"/>
    <w:rsid w:val="00C248F9"/>
    <w:rsid w:val="00C24B01"/>
    <w:rsid w:val="00C25272"/>
    <w:rsid w:val="00C261FD"/>
    <w:rsid w:val="00C26A7F"/>
    <w:rsid w:val="00C26B6D"/>
    <w:rsid w:val="00C30FC7"/>
    <w:rsid w:val="00C32140"/>
    <w:rsid w:val="00C32E04"/>
    <w:rsid w:val="00C33699"/>
    <w:rsid w:val="00C36A95"/>
    <w:rsid w:val="00C41181"/>
    <w:rsid w:val="00C4133A"/>
    <w:rsid w:val="00C42E8E"/>
    <w:rsid w:val="00C44C90"/>
    <w:rsid w:val="00C4509B"/>
    <w:rsid w:val="00C4592A"/>
    <w:rsid w:val="00C504C7"/>
    <w:rsid w:val="00C5071F"/>
    <w:rsid w:val="00C52674"/>
    <w:rsid w:val="00C5439B"/>
    <w:rsid w:val="00C550EC"/>
    <w:rsid w:val="00C55219"/>
    <w:rsid w:val="00C577D1"/>
    <w:rsid w:val="00C57DC5"/>
    <w:rsid w:val="00C610E6"/>
    <w:rsid w:val="00C616C8"/>
    <w:rsid w:val="00C61823"/>
    <w:rsid w:val="00C61865"/>
    <w:rsid w:val="00C61DD3"/>
    <w:rsid w:val="00C62741"/>
    <w:rsid w:val="00C6310D"/>
    <w:rsid w:val="00C63B81"/>
    <w:rsid w:val="00C63BAF"/>
    <w:rsid w:val="00C67DCB"/>
    <w:rsid w:val="00C71269"/>
    <w:rsid w:val="00C72D24"/>
    <w:rsid w:val="00C73C5D"/>
    <w:rsid w:val="00C73DA6"/>
    <w:rsid w:val="00C7456B"/>
    <w:rsid w:val="00C74EBE"/>
    <w:rsid w:val="00C75169"/>
    <w:rsid w:val="00C77E3C"/>
    <w:rsid w:val="00C807EA"/>
    <w:rsid w:val="00C82357"/>
    <w:rsid w:val="00C83018"/>
    <w:rsid w:val="00C855DD"/>
    <w:rsid w:val="00C90FF9"/>
    <w:rsid w:val="00C9202C"/>
    <w:rsid w:val="00C93DF9"/>
    <w:rsid w:val="00C94446"/>
    <w:rsid w:val="00C94818"/>
    <w:rsid w:val="00C976DE"/>
    <w:rsid w:val="00CA109B"/>
    <w:rsid w:val="00CA1D51"/>
    <w:rsid w:val="00CA4458"/>
    <w:rsid w:val="00CA5596"/>
    <w:rsid w:val="00CA5B4B"/>
    <w:rsid w:val="00CA62F6"/>
    <w:rsid w:val="00CA6A5F"/>
    <w:rsid w:val="00CB0057"/>
    <w:rsid w:val="00CB16DB"/>
    <w:rsid w:val="00CB20AD"/>
    <w:rsid w:val="00CB2233"/>
    <w:rsid w:val="00CB3406"/>
    <w:rsid w:val="00CB3A07"/>
    <w:rsid w:val="00CB49BA"/>
    <w:rsid w:val="00CB79AA"/>
    <w:rsid w:val="00CC1E44"/>
    <w:rsid w:val="00CC329D"/>
    <w:rsid w:val="00CC3A31"/>
    <w:rsid w:val="00CC4935"/>
    <w:rsid w:val="00CC49AF"/>
    <w:rsid w:val="00CC5180"/>
    <w:rsid w:val="00CC57C8"/>
    <w:rsid w:val="00CD11E5"/>
    <w:rsid w:val="00CD13A6"/>
    <w:rsid w:val="00CD2BCD"/>
    <w:rsid w:val="00CD416C"/>
    <w:rsid w:val="00CD594F"/>
    <w:rsid w:val="00CD5954"/>
    <w:rsid w:val="00CD6ECA"/>
    <w:rsid w:val="00CD7AC0"/>
    <w:rsid w:val="00CE0E9F"/>
    <w:rsid w:val="00CE24DA"/>
    <w:rsid w:val="00CE36F5"/>
    <w:rsid w:val="00CE551E"/>
    <w:rsid w:val="00CE5EC2"/>
    <w:rsid w:val="00CE7CBA"/>
    <w:rsid w:val="00CF0FEE"/>
    <w:rsid w:val="00CF16FB"/>
    <w:rsid w:val="00CF32C8"/>
    <w:rsid w:val="00CF427F"/>
    <w:rsid w:val="00CF6D00"/>
    <w:rsid w:val="00CF7178"/>
    <w:rsid w:val="00CF758C"/>
    <w:rsid w:val="00CF763A"/>
    <w:rsid w:val="00CF795C"/>
    <w:rsid w:val="00CF7FE4"/>
    <w:rsid w:val="00D008D0"/>
    <w:rsid w:val="00D01664"/>
    <w:rsid w:val="00D02AB6"/>
    <w:rsid w:val="00D02D46"/>
    <w:rsid w:val="00D077CC"/>
    <w:rsid w:val="00D100C7"/>
    <w:rsid w:val="00D12883"/>
    <w:rsid w:val="00D14C67"/>
    <w:rsid w:val="00D158ED"/>
    <w:rsid w:val="00D15D61"/>
    <w:rsid w:val="00D1704B"/>
    <w:rsid w:val="00D171D4"/>
    <w:rsid w:val="00D17654"/>
    <w:rsid w:val="00D17C13"/>
    <w:rsid w:val="00D2000F"/>
    <w:rsid w:val="00D25B5A"/>
    <w:rsid w:val="00D2709D"/>
    <w:rsid w:val="00D30611"/>
    <w:rsid w:val="00D30812"/>
    <w:rsid w:val="00D30A60"/>
    <w:rsid w:val="00D31370"/>
    <w:rsid w:val="00D31768"/>
    <w:rsid w:val="00D33486"/>
    <w:rsid w:val="00D33701"/>
    <w:rsid w:val="00D35783"/>
    <w:rsid w:val="00D35CB8"/>
    <w:rsid w:val="00D36AF1"/>
    <w:rsid w:val="00D374D1"/>
    <w:rsid w:val="00D37854"/>
    <w:rsid w:val="00D46503"/>
    <w:rsid w:val="00D514CD"/>
    <w:rsid w:val="00D5338A"/>
    <w:rsid w:val="00D5428B"/>
    <w:rsid w:val="00D561D7"/>
    <w:rsid w:val="00D56987"/>
    <w:rsid w:val="00D57060"/>
    <w:rsid w:val="00D57BFF"/>
    <w:rsid w:val="00D639F0"/>
    <w:rsid w:val="00D64174"/>
    <w:rsid w:val="00D6464B"/>
    <w:rsid w:val="00D65B37"/>
    <w:rsid w:val="00D6646D"/>
    <w:rsid w:val="00D71105"/>
    <w:rsid w:val="00D71EF6"/>
    <w:rsid w:val="00D7240C"/>
    <w:rsid w:val="00D733E0"/>
    <w:rsid w:val="00D74C2C"/>
    <w:rsid w:val="00D750A0"/>
    <w:rsid w:val="00D752D3"/>
    <w:rsid w:val="00D755AC"/>
    <w:rsid w:val="00D76D9E"/>
    <w:rsid w:val="00D7753B"/>
    <w:rsid w:val="00D775CE"/>
    <w:rsid w:val="00D81C56"/>
    <w:rsid w:val="00D828C8"/>
    <w:rsid w:val="00D83737"/>
    <w:rsid w:val="00D838F6"/>
    <w:rsid w:val="00D86AF5"/>
    <w:rsid w:val="00D90F74"/>
    <w:rsid w:val="00D9109B"/>
    <w:rsid w:val="00D910C0"/>
    <w:rsid w:val="00D91696"/>
    <w:rsid w:val="00D945B1"/>
    <w:rsid w:val="00D95828"/>
    <w:rsid w:val="00D96177"/>
    <w:rsid w:val="00D97515"/>
    <w:rsid w:val="00D978D4"/>
    <w:rsid w:val="00D97A81"/>
    <w:rsid w:val="00DA0034"/>
    <w:rsid w:val="00DA011B"/>
    <w:rsid w:val="00DA0B6F"/>
    <w:rsid w:val="00DA1C4D"/>
    <w:rsid w:val="00DA2464"/>
    <w:rsid w:val="00DA24D4"/>
    <w:rsid w:val="00DA2B8B"/>
    <w:rsid w:val="00DA2FF5"/>
    <w:rsid w:val="00DA300F"/>
    <w:rsid w:val="00DA45B1"/>
    <w:rsid w:val="00DB0DD1"/>
    <w:rsid w:val="00DB1E67"/>
    <w:rsid w:val="00DB1F6D"/>
    <w:rsid w:val="00DB2952"/>
    <w:rsid w:val="00DB2FC2"/>
    <w:rsid w:val="00DB31E8"/>
    <w:rsid w:val="00DB39EB"/>
    <w:rsid w:val="00DB3A0C"/>
    <w:rsid w:val="00DB426C"/>
    <w:rsid w:val="00DB5009"/>
    <w:rsid w:val="00DB7682"/>
    <w:rsid w:val="00DC071B"/>
    <w:rsid w:val="00DC0F3F"/>
    <w:rsid w:val="00DC1546"/>
    <w:rsid w:val="00DC1604"/>
    <w:rsid w:val="00DC1E5A"/>
    <w:rsid w:val="00DC1EBC"/>
    <w:rsid w:val="00DC2821"/>
    <w:rsid w:val="00DC31E1"/>
    <w:rsid w:val="00DC4F87"/>
    <w:rsid w:val="00DC5318"/>
    <w:rsid w:val="00DD101E"/>
    <w:rsid w:val="00DD2C95"/>
    <w:rsid w:val="00DD2D29"/>
    <w:rsid w:val="00DD3AD5"/>
    <w:rsid w:val="00DD4544"/>
    <w:rsid w:val="00DD46DA"/>
    <w:rsid w:val="00DD6850"/>
    <w:rsid w:val="00DD71A1"/>
    <w:rsid w:val="00DD72FA"/>
    <w:rsid w:val="00DD79F5"/>
    <w:rsid w:val="00DE3959"/>
    <w:rsid w:val="00DE5A13"/>
    <w:rsid w:val="00DE7C83"/>
    <w:rsid w:val="00DF103D"/>
    <w:rsid w:val="00DF37EB"/>
    <w:rsid w:val="00DF59DB"/>
    <w:rsid w:val="00E00D8E"/>
    <w:rsid w:val="00E021F0"/>
    <w:rsid w:val="00E04AE6"/>
    <w:rsid w:val="00E07250"/>
    <w:rsid w:val="00E11D0E"/>
    <w:rsid w:val="00E12D88"/>
    <w:rsid w:val="00E133D9"/>
    <w:rsid w:val="00E13E5A"/>
    <w:rsid w:val="00E144C5"/>
    <w:rsid w:val="00E15AF2"/>
    <w:rsid w:val="00E164A0"/>
    <w:rsid w:val="00E16731"/>
    <w:rsid w:val="00E16922"/>
    <w:rsid w:val="00E2235F"/>
    <w:rsid w:val="00E23873"/>
    <w:rsid w:val="00E23F0E"/>
    <w:rsid w:val="00E26030"/>
    <w:rsid w:val="00E2670B"/>
    <w:rsid w:val="00E26BB2"/>
    <w:rsid w:val="00E3063F"/>
    <w:rsid w:val="00E30B7D"/>
    <w:rsid w:val="00E325EF"/>
    <w:rsid w:val="00E345B7"/>
    <w:rsid w:val="00E35BEF"/>
    <w:rsid w:val="00E35EC4"/>
    <w:rsid w:val="00E400C3"/>
    <w:rsid w:val="00E4274B"/>
    <w:rsid w:val="00E42E8F"/>
    <w:rsid w:val="00E42F12"/>
    <w:rsid w:val="00E431E0"/>
    <w:rsid w:val="00E4324C"/>
    <w:rsid w:val="00E45648"/>
    <w:rsid w:val="00E45C62"/>
    <w:rsid w:val="00E45CA0"/>
    <w:rsid w:val="00E45E5B"/>
    <w:rsid w:val="00E477FA"/>
    <w:rsid w:val="00E524A1"/>
    <w:rsid w:val="00E52625"/>
    <w:rsid w:val="00E52955"/>
    <w:rsid w:val="00E54CAD"/>
    <w:rsid w:val="00E5598E"/>
    <w:rsid w:val="00E568E5"/>
    <w:rsid w:val="00E5691A"/>
    <w:rsid w:val="00E56F17"/>
    <w:rsid w:val="00E57B9E"/>
    <w:rsid w:val="00E60854"/>
    <w:rsid w:val="00E619D1"/>
    <w:rsid w:val="00E61F06"/>
    <w:rsid w:val="00E630B1"/>
    <w:rsid w:val="00E6352E"/>
    <w:rsid w:val="00E64E1C"/>
    <w:rsid w:val="00E65183"/>
    <w:rsid w:val="00E67C8B"/>
    <w:rsid w:val="00E701DC"/>
    <w:rsid w:val="00E70EE0"/>
    <w:rsid w:val="00E72716"/>
    <w:rsid w:val="00E7324D"/>
    <w:rsid w:val="00E737D2"/>
    <w:rsid w:val="00E75414"/>
    <w:rsid w:val="00E77C4E"/>
    <w:rsid w:val="00E77E88"/>
    <w:rsid w:val="00E82E2C"/>
    <w:rsid w:val="00E83612"/>
    <w:rsid w:val="00E84BE0"/>
    <w:rsid w:val="00E85661"/>
    <w:rsid w:val="00E85E5A"/>
    <w:rsid w:val="00E860F6"/>
    <w:rsid w:val="00E86722"/>
    <w:rsid w:val="00E869A6"/>
    <w:rsid w:val="00E87228"/>
    <w:rsid w:val="00E87A01"/>
    <w:rsid w:val="00E905EE"/>
    <w:rsid w:val="00E96829"/>
    <w:rsid w:val="00E97795"/>
    <w:rsid w:val="00E9784B"/>
    <w:rsid w:val="00EA1774"/>
    <w:rsid w:val="00EA1C39"/>
    <w:rsid w:val="00EA28BA"/>
    <w:rsid w:val="00EA2DF9"/>
    <w:rsid w:val="00EA5A40"/>
    <w:rsid w:val="00EA5C0A"/>
    <w:rsid w:val="00EB3D56"/>
    <w:rsid w:val="00EB6BB3"/>
    <w:rsid w:val="00EC07F7"/>
    <w:rsid w:val="00EC136C"/>
    <w:rsid w:val="00EC26BF"/>
    <w:rsid w:val="00EC418A"/>
    <w:rsid w:val="00EC66D2"/>
    <w:rsid w:val="00EC67E9"/>
    <w:rsid w:val="00ED3559"/>
    <w:rsid w:val="00ED3D36"/>
    <w:rsid w:val="00ED3EB2"/>
    <w:rsid w:val="00ED64C3"/>
    <w:rsid w:val="00ED6D83"/>
    <w:rsid w:val="00ED711A"/>
    <w:rsid w:val="00EE0509"/>
    <w:rsid w:val="00EE06C7"/>
    <w:rsid w:val="00EE1170"/>
    <w:rsid w:val="00EE148E"/>
    <w:rsid w:val="00EE1C1D"/>
    <w:rsid w:val="00EE203A"/>
    <w:rsid w:val="00EE4907"/>
    <w:rsid w:val="00EE56A8"/>
    <w:rsid w:val="00EF05FC"/>
    <w:rsid w:val="00EF09D3"/>
    <w:rsid w:val="00EF112E"/>
    <w:rsid w:val="00EF3F7F"/>
    <w:rsid w:val="00EF44C8"/>
    <w:rsid w:val="00EF4522"/>
    <w:rsid w:val="00EF615C"/>
    <w:rsid w:val="00EF6EE4"/>
    <w:rsid w:val="00EF7B96"/>
    <w:rsid w:val="00F005D6"/>
    <w:rsid w:val="00F0069B"/>
    <w:rsid w:val="00F00BAB"/>
    <w:rsid w:val="00F016A0"/>
    <w:rsid w:val="00F01939"/>
    <w:rsid w:val="00F032FA"/>
    <w:rsid w:val="00F0333F"/>
    <w:rsid w:val="00F0453F"/>
    <w:rsid w:val="00F04BF6"/>
    <w:rsid w:val="00F06560"/>
    <w:rsid w:val="00F111F7"/>
    <w:rsid w:val="00F11AEB"/>
    <w:rsid w:val="00F135D3"/>
    <w:rsid w:val="00F13D9C"/>
    <w:rsid w:val="00F15269"/>
    <w:rsid w:val="00F15B45"/>
    <w:rsid w:val="00F21A66"/>
    <w:rsid w:val="00F237BF"/>
    <w:rsid w:val="00F23AB7"/>
    <w:rsid w:val="00F240B9"/>
    <w:rsid w:val="00F262CA"/>
    <w:rsid w:val="00F27877"/>
    <w:rsid w:val="00F3048F"/>
    <w:rsid w:val="00F3064E"/>
    <w:rsid w:val="00F30C06"/>
    <w:rsid w:val="00F31BE8"/>
    <w:rsid w:val="00F36B4E"/>
    <w:rsid w:val="00F417A3"/>
    <w:rsid w:val="00F43DB9"/>
    <w:rsid w:val="00F47C10"/>
    <w:rsid w:val="00F504E9"/>
    <w:rsid w:val="00F51C36"/>
    <w:rsid w:val="00F51F01"/>
    <w:rsid w:val="00F52227"/>
    <w:rsid w:val="00F52600"/>
    <w:rsid w:val="00F5261A"/>
    <w:rsid w:val="00F53D47"/>
    <w:rsid w:val="00F546F2"/>
    <w:rsid w:val="00F549BD"/>
    <w:rsid w:val="00F553E3"/>
    <w:rsid w:val="00F556AA"/>
    <w:rsid w:val="00F55AFA"/>
    <w:rsid w:val="00F57E1A"/>
    <w:rsid w:val="00F63753"/>
    <w:rsid w:val="00F63A5F"/>
    <w:rsid w:val="00F670E9"/>
    <w:rsid w:val="00F71021"/>
    <w:rsid w:val="00F73AC2"/>
    <w:rsid w:val="00F73E2E"/>
    <w:rsid w:val="00F74AF9"/>
    <w:rsid w:val="00F74CEB"/>
    <w:rsid w:val="00F75009"/>
    <w:rsid w:val="00F75D7D"/>
    <w:rsid w:val="00F7603B"/>
    <w:rsid w:val="00F7622C"/>
    <w:rsid w:val="00F81F42"/>
    <w:rsid w:val="00F84BF4"/>
    <w:rsid w:val="00F84EE1"/>
    <w:rsid w:val="00F850DE"/>
    <w:rsid w:val="00F90FE1"/>
    <w:rsid w:val="00F93E31"/>
    <w:rsid w:val="00F94BBD"/>
    <w:rsid w:val="00F96D3B"/>
    <w:rsid w:val="00F975B2"/>
    <w:rsid w:val="00F9772E"/>
    <w:rsid w:val="00FA18E6"/>
    <w:rsid w:val="00FA1EA0"/>
    <w:rsid w:val="00FA2337"/>
    <w:rsid w:val="00FA3583"/>
    <w:rsid w:val="00FA6F3F"/>
    <w:rsid w:val="00FB14E8"/>
    <w:rsid w:val="00FB20C7"/>
    <w:rsid w:val="00FB20FF"/>
    <w:rsid w:val="00FB2FB6"/>
    <w:rsid w:val="00FB33FE"/>
    <w:rsid w:val="00FB3411"/>
    <w:rsid w:val="00FB35FD"/>
    <w:rsid w:val="00FB6708"/>
    <w:rsid w:val="00FB7D78"/>
    <w:rsid w:val="00FC384D"/>
    <w:rsid w:val="00FC567F"/>
    <w:rsid w:val="00FC5D6D"/>
    <w:rsid w:val="00FD0B2D"/>
    <w:rsid w:val="00FD0BF8"/>
    <w:rsid w:val="00FD125B"/>
    <w:rsid w:val="00FD41CF"/>
    <w:rsid w:val="00FD60E6"/>
    <w:rsid w:val="00FD7103"/>
    <w:rsid w:val="00FE01CA"/>
    <w:rsid w:val="00FE0AE5"/>
    <w:rsid w:val="00FE13BC"/>
    <w:rsid w:val="00FE13C5"/>
    <w:rsid w:val="00FE155E"/>
    <w:rsid w:val="00FE171A"/>
    <w:rsid w:val="00FE1C2E"/>
    <w:rsid w:val="00FE214A"/>
    <w:rsid w:val="00FE43E3"/>
    <w:rsid w:val="00FE4C60"/>
    <w:rsid w:val="00FE795E"/>
    <w:rsid w:val="00FF02A4"/>
    <w:rsid w:val="00FF088C"/>
    <w:rsid w:val="00FF121D"/>
    <w:rsid w:val="00FF1689"/>
    <w:rsid w:val="00FF1D09"/>
    <w:rsid w:val="00FF4520"/>
    <w:rsid w:val="00FF48EE"/>
    <w:rsid w:val="00FF4C65"/>
    <w:rsid w:val="00FF5091"/>
    <w:rsid w:val="00FF53F0"/>
    <w:rsid w:val="00FF6422"/>
    <w:rsid w:val="01F2753D"/>
    <w:rsid w:val="02913644"/>
    <w:rsid w:val="02B12F3C"/>
    <w:rsid w:val="03957D31"/>
    <w:rsid w:val="03E847A6"/>
    <w:rsid w:val="040C25C7"/>
    <w:rsid w:val="0446138B"/>
    <w:rsid w:val="05175CB0"/>
    <w:rsid w:val="05B830D4"/>
    <w:rsid w:val="06046C29"/>
    <w:rsid w:val="06763BE5"/>
    <w:rsid w:val="06AE42B1"/>
    <w:rsid w:val="086F1377"/>
    <w:rsid w:val="09AC48EF"/>
    <w:rsid w:val="0A20245E"/>
    <w:rsid w:val="0A40100F"/>
    <w:rsid w:val="0A4F320E"/>
    <w:rsid w:val="0A817046"/>
    <w:rsid w:val="0A8E3AF2"/>
    <w:rsid w:val="0AD14F4A"/>
    <w:rsid w:val="0ADE26CB"/>
    <w:rsid w:val="0B161399"/>
    <w:rsid w:val="0C032502"/>
    <w:rsid w:val="0CAC0156"/>
    <w:rsid w:val="0D4616B7"/>
    <w:rsid w:val="0E26206B"/>
    <w:rsid w:val="0F6E05DA"/>
    <w:rsid w:val="10174712"/>
    <w:rsid w:val="10316128"/>
    <w:rsid w:val="122907E8"/>
    <w:rsid w:val="12B80632"/>
    <w:rsid w:val="134358DA"/>
    <w:rsid w:val="13AB3BAB"/>
    <w:rsid w:val="13DD188A"/>
    <w:rsid w:val="13E03A64"/>
    <w:rsid w:val="14EB1F91"/>
    <w:rsid w:val="154F712C"/>
    <w:rsid w:val="157500AE"/>
    <w:rsid w:val="15D2501B"/>
    <w:rsid w:val="16144628"/>
    <w:rsid w:val="16532632"/>
    <w:rsid w:val="16583A87"/>
    <w:rsid w:val="16730DB6"/>
    <w:rsid w:val="195C6635"/>
    <w:rsid w:val="198C38D3"/>
    <w:rsid w:val="19DB488C"/>
    <w:rsid w:val="1AF000F5"/>
    <w:rsid w:val="1BCA6B98"/>
    <w:rsid w:val="1BDE669C"/>
    <w:rsid w:val="1D474C36"/>
    <w:rsid w:val="1DDF0828"/>
    <w:rsid w:val="1DE33F41"/>
    <w:rsid w:val="1E593087"/>
    <w:rsid w:val="1E6729E0"/>
    <w:rsid w:val="1E780D27"/>
    <w:rsid w:val="1EC260BF"/>
    <w:rsid w:val="1F024892"/>
    <w:rsid w:val="1F4E188E"/>
    <w:rsid w:val="1FEF4E1F"/>
    <w:rsid w:val="20BB2F90"/>
    <w:rsid w:val="20BC4690"/>
    <w:rsid w:val="21511635"/>
    <w:rsid w:val="226C6BFB"/>
    <w:rsid w:val="22AA14D2"/>
    <w:rsid w:val="23F66812"/>
    <w:rsid w:val="249D12EE"/>
    <w:rsid w:val="24B93C4E"/>
    <w:rsid w:val="24E567F1"/>
    <w:rsid w:val="257F4BA7"/>
    <w:rsid w:val="26283FB5"/>
    <w:rsid w:val="270E3DDA"/>
    <w:rsid w:val="27C070C8"/>
    <w:rsid w:val="291458F7"/>
    <w:rsid w:val="29AA6C76"/>
    <w:rsid w:val="2BA03472"/>
    <w:rsid w:val="2BD870AF"/>
    <w:rsid w:val="2C2C447C"/>
    <w:rsid w:val="2C31056E"/>
    <w:rsid w:val="2C8E6F44"/>
    <w:rsid w:val="2E4567ED"/>
    <w:rsid w:val="2F695895"/>
    <w:rsid w:val="30AA3BFA"/>
    <w:rsid w:val="32CE2FBA"/>
    <w:rsid w:val="3321610D"/>
    <w:rsid w:val="332B21BB"/>
    <w:rsid w:val="34285A1D"/>
    <w:rsid w:val="35021C06"/>
    <w:rsid w:val="357240D1"/>
    <w:rsid w:val="35BD2D58"/>
    <w:rsid w:val="36816173"/>
    <w:rsid w:val="3852678F"/>
    <w:rsid w:val="38544E94"/>
    <w:rsid w:val="390164DD"/>
    <w:rsid w:val="3AD508FF"/>
    <w:rsid w:val="3AF8522A"/>
    <w:rsid w:val="3B4402BD"/>
    <w:rsid w:val="3B665FE4"/>
    <w:rsid w:val="3BD75940"/>
    <w:rsid w:val="3E0F3DFA"/>
    <w:rsid w:val="3F514D57"/>
    <w:rsid w:val="405F5EB3"/>
    <w:rsid w:val="406C6823"/>
    <w:rsid w:val="413E0889"/>
    <w:rsid w:val="41C924BE"/>
    <w:rsid w:val="427E2D85"/>
    <w:rsid w:val="4392593E"/>
    <w:rsid w:val="439A35C1"/>
    <w:rsid w:val="43A324A6"/>
    <w:rsid w:val="43CC2BFE"/>
    <w:rsid w:val="43D16466"/>
    <w:rsid w:val="440A64FC"/>
    <w:rsid w:val="443338EB"/>
    <w:rsid w:val="44572BAD"/>
    <w:rsid w:val="45BC54BB"/>
    <w:rsid w:val="45F621B4"/>
    <w:rsid w:val="47150D60"/>
    <w:rsid w:val="480A77CA"/>
    <w:rsid w:val="48B268BC"/>
    <w:rsid w:val="498703ED"/>
    <w:rsid w:val="4A070E34"/>
    <w:rsid w:val="4A6873F9"/>
    <w:rsid w:val="4C244B93"/>
    <w:rsid w:val="4F18319B"/>
    <w:rsid w:val="4F563CC4"/>
    <w:rsid w:val="500E7377"/>
    <w:rsid w:val="503415A0"/>
    <w:rsid w:val="506D3493"/>
    <w:rsid w:val="50DD1EDA"/>
    <w:rsid w:val="52655DBB"/>
    <w:rsid w:val="52746492"/>
    <w:rsid w:val="53B35B89"/>
    <w:rsid w:val="53F464D0"/>
    <w:rsid w:val="554A46D4"/>
    <w:rsid w:val="558E3565"/>
    <w:rsid w:val="56D4209E"/>
    <w:rsid w:val="578660ED"/>
    <w:rsid w:val="57BF32A0"/>
    <w:rsid w:val="5849373A"/>
    <w:rsid w:val="585148E1"/>
    <w:rsid w:val="585965FA"/>
    <w:rsid w:val="5898534D"/>
    <w:rsid w:val="599124C8"/>
    <w:rsid w:val="59AC7E58"/>
    <w:rsid w:val="5A203D5A"/>
    <w:rsid w:val="5AD85ED5"/>
    <w:rsid w:val="5C0A2029"/>
    <w:rsid w:val="5D6C1AFD"/>
    <w:rsid w:val="5D7A3273"/>
    <w:rsid w:val="5E4E45BF"/>
    <w:rsid w:val="5E6E102A"/>
    <w:rsid w:val="5F6652E9"/>
    <w:rsid w:val="608B62B2"/>
    <w:rsid w:val="60C304B3"/>
    <w:rsid w:val="61326FAE"/>
    <w:rsid w:val="61B612BE"/>
    <w:rsid w:val="63DA0EDD"/>
    <w:rsid w:val="651A3F0B"/>
    <w:rsid w:val="655774EE"/>
    <w:rsid w:val="6591230E"/>
    <w:rsid w:val="65B42D41"/>
    <w:rsid w:val="6653074D"/>
    <w:rsid w:val="67E67E83"/>
    <w:rsid w:val="6BA57B96"/>
    <w:rsid w:val="6BDB33FF"/>
    <w:rsid w:val="6CBC7404"/>
    <w:rsid w:val="6DA5360D"/>
    <w:rsid w:val="6DB32117"/>
    <w:rsid w:val="6DC30922"/>
    <w:rsid w:val="6E2C1BDC"/>
    <w:rsid w:val="707E3A8B"/>
    <w:rsid w:val="71A072F4"/>
    <w:rsid w:val="71F17B50"/>
    <w:rsid w:val="722F0678"/>
    <w:rsid w:val="723D3431"/>
    <w:rsid w:val="72653FC6"/>
    <w:rsid w:val="72763DC3"/>
    <w:rsid w:val="72D655D0"/>
    <w:rsid w:val="75E86628"/>
    <w:rsid w:val="771234A5"/>
    <w:rsid w:val="781B78E5"/>
    <w:rsid w:val="782C09FC"/>
    <w:rsid w:val="78547B29"/>
    <w:rsid w:val="792C76C0"/>
    <w:rsid w:val="79CE2867"/>
    <w:rsid w:val="7B082483"/>
    <w:rsid w:val="7BE9206A"/>
    <w:rsid w:val="7CA75EF6"/>
    <w:rsid w:val="7D2D3A06"/>
    <w:rsid w:val="7DE53E10"/>
    <w:rsid w:val="7E372025"/>
    <w:rsid w:val="7ED06D3F"/>
    <w:rsid w:val="7F815F12"/>
    <w:rsid w:val="7FA4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textAlignment w:val="center"/>
    </w:pPr>
    <w:rPr>
      <w:rFonts w:ascii="Times New Roman" w:hAnsi="Times New Roman" w:eastAsia="宋体" w:cstheme="minorBidi"/>
      <w:kern w:val="2"/>
      <w:sz w:val="24"/>
      <w:szCs w:val="22"/>
      <w:lang w:val="en-US" w:eastAsia="zh-CN" w:bidi="ar-SA"/>
    </w:rPr>
  </w:style>
  <w:style w:type="paragraph" w:styleId="2">
    <w:name w:val="heading 1"/>
    <w:basedOn w:val="1"/>
    <w:next w:val="1"/>
    <w:link w:val="34"/>
    <w:qFormat/>
    <w:uiPriority w:val="9"/>
    <w:pPr>
      <w:keepNext/>
      <w:keepLines/>
      <w:spacing w:before="240" w:after="120" w:line="240" w:lineRule="auto"/>
      <w:ind w:firstLine="0" w:firstLineChars="0"/>
      <w:jc w:val="left"/>
      <w:outlineLvl w:val="0"/>
    </w:pPr>
    <w:rPr>
      <w:b/>
      <w:bCs/>
      <w:kern w:val="44"/>
      <w:sz w:val="28"/>
      <w:szCs w:val="44"/>
    </w:rPr>
  </w:style>
  <w:style w:type="paragraph" w:styleId="3">
    <w:name w:val="heading 2"/>
    <w:basedOn w:val="1"/>
    <w:next w:val="1"/>
    <w:link w:val="35"/>
    <w:unhideWhenUsed/>
    <w:qFormat/>
    <w:uiPriority w:val="9"/>
    <w:pPr>
      <w:keepNext/>
      <w:keepLines/>
      <w:spacing w:before="120" w:after="60" w:line="240" w:lineRule="auto"/>
      <w:ind w:firstLine="0" w:firstLineChars="0"/>
      <w:outlineLvl w:val="1"/>
    </w:pPr>
    <w:rPr>
      <w:rFonts w:cstheme="majorBidi"/>
      <w:b/>
      <w:bCs/>
      <w:szCs w:val="32"/>
    </w:rPr>
  </w:style>
  <w:style w:type="paragraph" w:styleId="4">
    <w:name w:val="heading 3"/>
    <w:basedOn w:val="1"/>
    <w:next w:val="1"/>
    <w:link w:val="39"/>
    <w:unhideWhenUsed/>
    <w:qFormat/>
    <w:uiPriority w:val="9"/>
    <w:pPr>
      <w:keepNext/>
      <w:keepLines/>
      <w:spacing w:before="120" w:after="60" w:line="240" w:lineRule="auto"/>
      <w:ind w:firstLine="0" w:firstLineChars="0"/>
      <w:outlineLvl w:val="2"/>
    </w:pPr>
    <w:rPr>
      <w:b/>
      <w:bCs/>
      <w:szCs w:val="32"/>
    </w:rPr>
  </w:style>
  <w:style w:type="paragraph" w:styleId="5">
    <w:name w:val="heading 4"/>
    <w:basedOn w:val="1"/>
    <w:next w:val="1"/>
    <w:link w:val="40"/>
    <w:unhideWhenUsed/>
    <w:qFormat/>
    <w:uiPriority w:val="9"/>
    <w:pPr>
      <w:keepNext/>
      <w:keepLines/>
      <w:spacing w:before="120" w:after="60" w:line="240" w:lineRule="auto"/>
      <w:ind w:firstLine="0" w:firstLineChars="0"/>
      <w:outlineLvl w:val="3"/>
    </w:pPr>
    <w:rPr>
      <w:rFonts w:cstheme="majorBidi"/>
      <w:b/>
      <w:bCs/>
      <w:szCs w:val="28"/>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Normal Indent"/>
    <w:basedOn w:val="1"/>
    <w:link w:val="85"/>
    <w:qFormat/>
    <w:uiPriority w:val="0"/>
    <w:pPr>
      <w:adjustRightInd w:val="0"/>
      <w:snapToGrid w:val="0"/>
      <w:ind w:firstLine="420"/>
      <w:textAlignment w:val="auto"/>
    </w:pPr>
    <w:rPr>
      <w:rFonts w:ascii="宋体" w:hAnsi="宋体" w:cs="Times New Roman"/>
      <w:sz w:val="28"/>
      <w:szCs w:val="20"/>
    </w:rPr>
  </w:style>
  <w:style w:type="paragraph" w:styleId="7">
    <w:name w:val="annotation text"/>
    <w:basedOn w:val="1"/>
    <w:link w:val="47"/>
    <w:unhideWhenUsed/>
    <w:qFormat/>
    <w:uiPriority w:val="0"/>
    <w:pPr>
      <w:jc w:val="left"/>
      <w:textAlignment w:val="auto"/>
    </w:pPr>
  </w:style>
  <w:style w:type="paragraph" w:styleId="8">
    <w:name w:val="Body Text"/>
    <w:basedOn w:val="1"/>
    <w:next w:val="1"/>
    <w:qFormat/>
    <w:uiPriority w:val="1"/>
    <w:rPr>
      <w:szCs w:val="24"/>
    </w:rPr>
  </w:style>
  <w:style w:type="paragraph" w:styleId="9">
    <w:name w:val="Body Text Indent"/>
    <w:basedOn w:val="1"/>
    <w:next w:val="10"/>
    <w:semiHidden/>
    <w:unhideWhenUsed/>
    <w:qFormat/>
    <w:uiPriority w:val="99"/>
    <w:pPr>
      <w:spacing w:after="120"/>
      <w:ind w:left="420" w:leftChars="200"/>
    </w:pPr>
  </w:style>
  <w:style w:type="paragraph" w:customStyle="1" w:styleId="10">
    <w:name w:val="样式 正文文本缩进 + 行距: 1.5 倍行距"/>
    <w:basedOn w:val="9"/>
    <w:qFormat/>
    <w:uiPriority w:val="0"/>
    <w:pPr>
      <w:ind w:firstLine="560"/>
    </w:pPr>
    <w:rPr>
      <w:rFonts w:cs="宋体"/>
      <w:sz w:val="28"/>
    </w:rPr>
  </w:style>
  <w:style w:type="paragraph" w:styleId="11">
    <w:name w:val="List 2"/>
    <w:basedOn w:val="1"/>
    <w:semiHidden/>
    <w:unhideWhenUsed/>
    <w:qFormat/>
    <w:uiPriority w:val="99"/>
    <w:pPr>
      <w:ind w:left="100" w:leftChars="200" w:hanging="200" w:hangingChars="200"/>
      <w:contextualSpacing/>
      <w:textAlignment w:val="auto"/>
    </w:pPr>
    <w:rPr>
      <w:rFonts w:cs="Times New Roman"/>
    </w:rPr>
  </w:style>
  <w:style w:type="paragraph" w:styleId="12">
    <w:name w:val="Plain Text"/>
    <w:basedOn w:val="1"/>
    <w:next w:val="1"/>
    <w:link w:val="87"/>
    <w:qFormat/>
    <w:uiPriority w:val="0"/>
    <w:pPr>
      <w:widowControl/>
    </w:pPr>
    <w:rPr>
      <w:rFonts w:ascii="宋体" w:hAnsi="Courier New"/>
    </w:rPr>
  </w:style>
  <w:style w:type="paragraph" w:styleId="13">
    <w:name w:val="Date"/>
    <w:basedOn w:val="1"/>
    <w:next w:val="1"/>
    <w:link w:val="67"/>
    <w:semiHidden/>
    <w:unhideWhenUsed/>
    <w:qFormat/>
    <w:uiPriority w:val="99"/>
    <w:pPr>
      <w:ind w:left="100" w:leftChars="2500"/>
    </w:pPr>
  </w:style>
  <w:style w:type="paragraph" w:styleId="14">
    <w:name w:val="Balloon Text"/>
    <w:basedOn w:val="1"/>
    <w:link w:val="43"/>
    <w:semiHidden/>
    <w:unhideWhenUsed/>
    <w:qFormat/>
    <w:uiPriority w:val="99"/>
    <w:pPr>
      <w:spacing w:line="240" w:lineRule="auto"/>
    </w:pPr>
    <w:rPr>
      <w:sz w:val="18"/>
      <w:szCs w:val="18"/>
    </w:rPr>
  </w:style>
  <w:style w:type="paragraph" w:styleId="15">
    <w:name w:val="footer"/>
    <w:basedOn w:val="1"/>
    <w:link w:val="42"/>
    <w:unhideWhenUsed/>
    <w:qFormat/>
    <w:uiPriority w:val="0"/>
    <w:pPr>
      <w:tabs>
        <w:tab w:val="center" w:pos="4153"/>
        <w:tab w:val="right" w:pos="8306"/>
      </w:tabs>
      <w:snapToGrid w:val="0"/>
      <w:spacing w:line="240" w:lineRule="auto"/>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7">
    <w:name w:val="Subtitle"/>
    <w:basedOn w:val="1"/>
    <w:next w:val="1"/>
    <w:link w:val="37"/>
    <w:qFormat/>
    <w:uiPriority w:val="11"/>
    <w:pPr>
      <w:spacing w:before="120" w:after="60" w:line="240" w:lineRule="auto"/>
      <w:ind w:firstLine="0" w:firstLineChars="0"/>
      <w:outlineLvl w:val="3"/>
    </w:pPr>
    <w:rPr>
      <w:b/>
      <w:bCs/>
      <w:kern w:val="28"/>
      <w:szCs w:val="32"/>
    </w:rPr>
  </w:style>
  <w:style w:type="paragraph" w:styleId="18">
    <w:name w:val="List"/>
    <w:basedOn w:val="1"/>
    <w:semiHidden/>
    <w:unhideWhenUsed/>
    <w:qFormat/>
    <w:uiPriority w:val="99"/>
    <w:pPr>
      <w:ind w:left="200" w:hanging="200" w:hangingChars="200"/>
      <w:contextualSpacing/>
    </w:pPr>
  </w:style>
  <w:style w:type="paragraph" w:styleId="19">
    <w:name w:val="Body Text Indent 3"/>
    <w:basedOn w:val="1"/>
    <w:link w:val="56"/>
    <w:semiHidden/>
    <w:unhideWhenUsed/>
    <w:qFormat/>
    <w:uiPriority w:val="99"/>
    <w:pPr>
      <w:ind w:left="359" w:leftChars="171" w:firstLine="420"/>
      <w:textAlignment w:val="auto"/>
    </w:pPr>
    <w:rPr>
      <w:rFonts w:cs="Times New Roman"/>
      <w:sz w:val="21"/>
      <w:szCs w:val="24"/>
    </w:rPr>
  </w:style>
  <w:style w:type="paragraph" w:styleId="20">
    <w:name w:val="Normal (Web)"/>
    <w:basedOn w:val="1"/>
    <w:semiHidden/>
    <w:unhideWhenUsed/>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paragraph" w:styleId="21">
    <w:name w:val="Title"/>
    <w:basedOn w:val="1"/>
    <w:next w:val="1"/>
    <w:link w:val="36"/>
    <w:qFormat/>
    <w:uiPriority w:val="10"/>
    <w:pPr>
      <w:spacing w:before="120" w:after="60" w:line="240" w:lineRule="auto"/>
      <w:ind w:firstLine="0" w:firstLineChars="0"/>
      <w:outlineLvl w:val="2"/>
    </w:pPr>
    <w:rPr>
      <w:rFonts w:cstheme="majorBidi"/>
      <w:b/>
      <w:bCs/>
      <w:szCs w:val="32"/>
    </w:rPr>
  </w:style>
  <w:style w:type="paragraph" w:styleId="22">
    <w:name w:val="annotation subject"/>
    <w:basedOn w:val="7"/>
    <w:next w:val="7"/>
    <w:link w:val="51"/>
    <w:semiHidden/>
    <w:unhideWhenUsed/>
    <w:qFormat/>
    <w:uiPriority w:val="99"/>
    <w:pPr>
      <w:textAlignment w:val="center"/>
    </w:pPr>
    <w:rPr>
      <w:b/>
      <w:bCs/>
    </w:rPr>
  </w:style>
  <w:style w:type="paragraph" w:styleId="23">
    <w:name w:val="Body Text First Indent"/>
    <w:basedOn w:val="8"/>
    <w:next w:val="1"/>
    <w:qFormat/>
    <w:uiPriority w:val="0"/>
    <w:pPr>
      <w:ind w:firstLine="420" w:firstLineChars="100"/>
    </w:pPr>
  </w:style>
  <w:style w:type="paragraph" w:styleId="24">
    <w:name w:val="Body Text First Indent 2"/>
    <w:basedOn w:val="9"/>
    <w:next w:val="1"/>
    <w:unhideWhenUsed/>
    <w:qFormat/>
    <w:uiPriority w:val="99"/>
    <w:pPr>
      <w:ind w:left="0" w:leftChars="0" w:firstLine="48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HTML Code"/>
    <w:basedOn w:val="27"/>
    <w:semiHidden/>
    <w:unhideWhenUsed/>
    <w:qFormat/>
    <w:uiPriority w:val="99"/>
    <w:rPr>
      <w:rFonts w:ascii="Courier New" w:hAnsi="Courier New"/>
      <w:sz w:val="20"/>
    </w:rPr>
  </w:style>
  <w:style w:type="character" w:styleId="32">
    <w:name w:val="annotation reference"/>
    <w:basedOn w:val="27"/>
    <w:semiHidden/>
    <w:unhideWhenUsed/>
    <w:qFormat/>
    <w:uiPriority w:val="99"/>
    <w:rPr>
      <w:sz w:val="21"/>
      <w:szCs w:val="21"/>
    </w:rPr>
  </w:style>
  <w:style w:type="paragraph" w:styleId="33">
    <w:name w:val="No Spacing"/>
    <w:basedOn w:val="18"/>
    <w:next w:val="1"/>
    <w:link w:val="50"/>
    <w:qFormat/>
    <w:uiPriority w:val="1"/>
    <w:pPr>
      <w:spacing w:line="240" w:lineRule="auto"/>
      <w:ind w:left="0" w:firstLine="0" w:firstLineChars="0"/>
      <w:jc w:val="center"/>
    </w:pPr>
    <w:rPr>
      <w:sz w:val="21"/>
    </w:rPr>
  </w:style>
  <w:style w:type="character" w:customStyle="1" w:styleId="34">
    <w:name w:val="标题 1 字符"/>
    <w:basedOn w:val="27"/>
    <w:link w:val="2"/>
    <w:qFormat/>
    <w:uiPriority w:val="9"/>
    <w:rPr>
      <w:rFonts w:ascii="Times New Roman" w:hAnsi="Times New Roman" w:eastAsia="宋体"/>
      <w:b/>
      <w:bCs/>
      <w:kern w:val="44"/>
      <w:sz w:val="28"/>
      <w:szCs w:val="44"/>
    </w:rPr>
  </w:style>
  <w:style w:type="character" w:customStyle="1" w:styleId="35">
    <w:name w:val="标题 2 字符"/>
    <w:basedOn w:val="27"/>
    <w:link w:val="3"/>
    <w:qFormat/>
    <w:uiPriority w:val="9"/>
    <w:rPr>
      <w:rFonts w:ascii="Times New Roman" w:hAnsi="Times New Roman" w:eastAsia="宋体" w:cstheme="majorBidi"/>
      <w:b/>
      <w:bCs/>
      <w:sz w:val="24"/>
      <w:szCs w:val="32"/>
    </w:rPr>
  </w:style>
  <w:style w:type="character" w:customStyle="1" w:styleId="36">
    <w:name w:val="标题 字符"/>
    <w:basedOn w:val="27"/>
    <w:link w:val="21"/>
    <w:qFormat/>
    <w:uiPriority w:val="10"/>
    <w:rPr>
      <w:rFonts w:ascii="Times New Roman" w:hAnsi="Times New Roman" w:eastAsia="宋体" w:cstheme="majorBidi"/>
      <w:b/>
      <w:bCs/>
      <w:sz w:val="24"/>
      <w:szCs w:val="32"/>
    </w:rPr>
  </w:style>
  <w:style w:type="character" w:customStyle="1" w:styleId="37">
    <w:name w:val="副标题 字符"/>
    <w:basedOn w:val="27"/>
    <w:link w:val="17"/>
    <w:qFormat/>
    <w:uiPriority w:val="11"/>
    <w:rPr>
      <w:rFonts w:ascii="Times New Roman" w:hAnsi="Times New Roman" w:eastAsia="宋体"/>
      <w:b/>
      <w:bCs/>
      <w:kern w:val="28"/>
      <w:sz w:val="24"/>
      <w:szCs w:val="32"/>
    </w:rPr>
  </w:style>
  <w:style w:type="paragraph" w:customStyle="1" w:styleId="38">
    <w:name w:val="表题"/>
    <w:basedOn w:val="1"/>
    <w:next w:val="1"/>
    <w:qFormat/>
    <w:uiPriority w:val="0"/>
    <w:pPr>
      <w:spacing w:before="50" w:beforeLines="50" w:line="240" w:lineRule="auto"/>
      <w:ind w:firstLine="0" w:firstLineChars="0"/>
      <w:jc w:val="center"/>
    </w:pPr>
    <w:rPr>
      <w:b/>
      <w:sz w:val="21"/>
    </w:rPr>
  </w:style>
  <w:style w:type="character" w:customStyle="1" w:styleId="39">
    <w:name w:val="标题 3 字符"/>
    <w:basedOn w:val="27"/>
    <w:link w:val="4"/>
    <w:qFormat/>
    <w:uiPriority w:val="9"/>
    <w:rPr>
      <w:rFonts w:ascii="Times New Roman" w:hAnsi="Times New Roman" w:eastAsia="宋体"/>
      <w:b/>
      <w:bCs/>
      <w:sz w:val="24"/>
      <w:szCs w:val="32"/>
    </w:rPr>
  </w:style>
  <w:style w:type="character" w:customStyle="1" w:styleId="40">
    <w:name w:val="标题 4 字符"/>
    <w:basedOn w:val="27"/>
    <w:link w:val="5"/>
    <w:qFormat/>
    <w:uiPriority w:val="9"/>
    <w:rPr>
      <w:rFonts w:ascii="Times New Roman" w:hAnsi="Times New Roman" w:eastAsia="宋体" w:cstheme="majorBidi"/>
      <w:b/>
      <w:bCs/>
      <w:sz w:val="24"/>
      <w:szCs w:val="28"/>
    </w:rPr>
  </w:style>
  <w:style w:type="character" w:customStyle="1" w:styleId="41">
    <w:name w:val="页眉 字符"/>
    <w:basedOn w:val="27"/>
    <w:link w:val="16"/>
    <w:qFormat/>
    <w:uiPriority w:val="99"/>
    <w:rPr>
      <w:rFonts w:ascii="Times New Roman" w:hAnsi="Times New Roman" w:eastAsia="宋体"/>
      <w:sz w:val="18"/>
      <w:szCs w:val="18"/>
    </w:rPr>
  </w:style>
  <w:style w:type="character" w:customStyle="1" w:styleId="42">
    <w:name w:val="页脚 字符"/>
    <w:basedOn w:val="27"/>
    <w:link w:val="15"/>
    <w:qFormat/>
    <w:uiPriority w:val="99"/>
    <w:rPr>
      <w:rFonts w:ascii="Times New Roman" w:hAnsi="Times New Roman" w:eastAsia="宋体"/>
      <w:sz w:val="18"/>
      <w:szCs w:val="18"/>
    </w:rPr>
  </w:style>
  <w:style w:type="character" w:customStyle="1" w:styleId="43">
    <w:name w:val="批注框文本 字符"/>
    <w:basedOn w:val="27"/>
    <w:link w:val="14"/>
    <w:semiHidden/>
    <w:qFormat/>
    <w:uiPriority w:val="99"/>
    <w:rPr>
      <w:rFonts w:ascii="Times New Roman" w:hAnsi="Times New Roman" w:eastAsia="宋体"/>
      <w:sz w:val="18"/>
      <w:szCs w:val="18"/>
    </w:rPr>
  </w:style>
  <w:style w:type="character" w:customStyle="1" w:styleId="44">
    <w:name w:val="表格文字2 Char"/>
    <w:link w:val="45"/>
    <w:qFormat/>
    <w:uiPriority w:val="0"/>
    <w:rPr>
      <w:rFonts w:ascii="宋体" w:hAnsi="宋体" w:eastAsia="宋体" w:cs="宋体"/>
      <w:bCs/>
      <w:spacing w:val="5"/>
      <w:kern w:val="0"/>
      <w:szCs w:val="21"/>
    </w:rPr>
  </w:style>
  <w:style w:type="paragraph" w:customStyle="1" w:styleId="45">
    <w:name w:val="表格文字2"/>
    <w:basedOn w:val="1"/>
    <w:link w:val="44"/>
    <w:qFormat/>
    <w:uiPriority w:val="0"/>
    <w:pPr>
      <w:tabs>
        <w:tab w:val="left" w:pos="277"/>
        <w:tab w:val="left" w:pos="600"/>
        <w:tab w:val="left" w:pos="780"/>
        <w:tab w:val="left" w:pos="2517"/>
      </w:tabs>
      <w:adjustRightInd w:val="0"/>
      <w:spacing w:before="60" w:line="240" w:lineRule="auto"/>
      <w:ind w:firstLine="0" w:firstLineChars="0"/>
      <w:jc w:val="center"/>
      <w:textAlignment w:val="auto"/>
    </w:pPr>
    <w:rPr>
      <w:rFonts w:ascii="宋体" w:hAnsi="宋体" w:cs="宋体"/>
      <w:bCs/>
      <w:spacing w:val="5"/>
      <w:kern w:val="0"/>
      <w:sz w:val="21"/>
      <w:szCs w:val="21"/>
    </w:rPr>
  </w:style>
  <w:style w:type="character" w:customStyle="1" w:styleId="46">
    <w:name w:val="showhidemsg"/>
    <w:basedOn w:val="27"/>
    <w:qFormat/>
    <w:uiPriority w:val="0"/>
  </w:style>
  <w:style w:type="character" w:customStyle="1" w:styleId="47">
    <w:name w:val="批注文字 字符"/>
    <w:basedOn w:val="27"/>
    <w:link w:val="7"/>
    <w:qFormat/>
    <w:uiPriority w:val="0"/>
    <w:rPr>
      <w:rFonts w:ascii="Times New Roman" w:hAnsi="Times New Roman" w:eastAsia="宋体"/>
      <w:sz w:val="24"/>
    </w:rPr>
  </w:style>
  <w:style w:type="character" w:customStyle="1" w:styleId="48">
    <w:name w:val="未处理的提及1"/>
    <w:basedOn w:val="27"/>
    <w:semiHidden/>
    <w:unhideWhenUsed/>
    <w:qFormat/>
    <w:uiPriority w:val="99"/>
    <w:rPr>
      <w:color w:val="605E5C"/>
      <w:shd w:val="clear" w:color="auto" w:fill="E1DFDD"/>
    </w:rPr>
  </w:style>
  <w:style w:type="paragraph" w:customStyle="1" w:styleId="49">
    <w:name w:val="无间隔1"/>
    <w:basedOn w:val="18"/>
    <w:next w:val="1"/>
    <w:qFormat/>
    <w:uiPriority w:val="1"/>
    <w:pPr>
      <w:spacing w:line="240" w:lineRule="auto"/>
      <w:ind w:left="0" w:firstLine="0" w:firstLineChars="0"/>
      <w:jc w:val="center"/>
      <w:textAlignment w:val="auto"/>
    </w:pPr>
    <w:rPr>
      <w:sz w:val="21"/>
    </w:rPr>
  </w:style>
  <w:style w:type="character" w:customStyle="1" w:styleId="50">
    <w:name w:val="无间隔 字符"/>
    <w:basedOn w:val="27"/>
    <w:link w:val="33"/>
    <w:qFormat/>
    <w:uiPriority w:val="1"/>
    <w:rPr>
      <w:rFonts w:ascii="Times New Roman" w:hAnsi="Times New Roman" w:eastAsia="宋体"/>
    </w:rPr>
  </w:style>
  <w:style w:type="character" w:customStyle="1" w:styleId="51">
    <w:name w:val="批注主题 字符"/>
    <w:basedOn w:val="47"/>
    <w:link w:val="22"/>
    <w:semiHidden/>
    <w:qFormat/>
    <w:uiPriority w:val="99"/>
    <w:rPr>
      <w:rFonts w:ascii="Times New Roman" w:hAnsi="Times New Roman" w:eastAsia="宋体"/>
      <w:b/>
      <w:bCs/>
      <w:sz w:val="24"/>
    </w:rPr>
  </w:style>
  <w:style w:type="paragraph" w:customStyle="1" w:styleId="52">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53">
    <w:name w:val="msonormal"/>
    <w:basedOn w:val="1"/>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character" w:customStyle="1" w:styleId="54">
    <w:name w:val="标题 字符1"/>
    <w:basedOn w:val="27"/>
    <w:qFormat/>
    <w:uiPriority w:val="10"/>
    <w:rPr>
      <w:rFonts w:asciiTheme="majorHAnsi" w:hAnsiTheme="majorHAnsi" w:eastAsiaTheme="majorEastAsia" w:cstheme="majorBidi"/>
      <w:b/>
      <w:bCs/>
      <w:sz w:val="32"/>
      <w:szCs w:val="32"/>
    </w:rPr>
  </w:style>
  <w:style w:type="character" w:customStyle="1" w:styleId="55">
    <w:name w:val="副标题 字符1"/>
    <w:basedOn w:val="27"/>
    <w:qFormat/>
    <w:uiPriority w:val="11"/>
    <w:rPr>
      <w:b/>
      <w:bCs/>
      <w:kern w:val="28"/>
      <w:sz w:val="32"/>
      <w:szCs w:val="32"/>
    </w:rPr>
  </w:style>
  <w:style w:type="character" w:customStyle="1" w:styleId="56">
    <w:name w:val="正文文本缩进 3 字符"/>
    <w:basedOn w:val="27"/>
    <w:link w:val="19"/>
    <w:semiHidden/>
    <w:qFormat/>
    <w:uiPriority w:val="99"/>
    <w:rPr>
      <w:rFonts w:ascii="Times New Roman" w:hAnsi="Times New Roman" w:eastAsia="宋体" w:cs="Times New Roman"/>
      <w:szCs w:val="24"/>
    </w:rPr>
  </w:style>
  <w:style w:type="paragraph" w:styleId="57">
    <w:name w:val="List Paragraph"/>
    <w:basedOn w:val="1"/>
    <w:qFormat/>
    <w:uiPriority w:val="34"/>
    <w:pPr>
      <w:ind w:firstLine="420"/>
      <w:textAlignment w:val="auto"/>
    </w:pPr>
    <w:rPr>
      <w:rFonts w:cs="Times New Roman"/>
    </w:rPr>
  </w:style>
  <w:style w:type="paragraph" w:customStyle="1" w:styleId="58">
    <w:name w:val="表格字体"/>
    <w:basedOn w:val="1"/>
    <w:qFormat/>
    <w:uiPriority w:val="99"/>
    <w:pPr>
      <w:adjustRightInd w:val="0"/>
      <w:spacing w:line="240" w:lineRule="auto"/>
      <w:ind w:firstLine="0" w:firstLineChars="0"/>
      <w:jc w:val="center"/>
      <w:textAlignment w:val="auto"/>
    </w:pPr>
    <w:rPr>
      <w:rFonts w:cs="Times New Roman"/>
      <w:sz w:val="21"/>
      <w:szCs w:val="21"/>
    </w:rPr>
  </w:style>
  <w:style w:type="character" w:customStyle="1" w:styleId="59">
    <w:name w:val="表内 字符"/>
    <w:link w:val="60"/>
    <w:qFormat/>
    <w:uiPriority w:val="0"/>
    <w:rPr>
      <w:bCs/>
      <w:color w:val="000000"/>
      <w:szCs w:val="21"/>
    </w:rPr>
  </w:style>
  <w:style w:type="paragraph" w:customStyle="1" w:styleId="60">
    <w:name w:val="表内"/>
    <w:basedOn w:val="11"/>
    <w:link w:val="59"/>
    <w:qFormat/>
    <w:uiPriority w:val="0"/>
    <w:pPr>
      <w:widowControl/>
      <w:spacing w:line="240" w:lineRule="auto"/>
      <w:ind w:left="0" w:leftChars="0" w:firstLine="0" w:firstLineChars="0"/>
      <w:jc w:val="center"/>
    </w:pPr>
    <w:rPr>
      <w:rFonts w:asciiTheme="minorHAnsi" w:hAnsiTheme="minorHAnsi" w:eastAsiaTheme="minorEastAsia" w:cstheme="minorBidi"/>
      <w:bCs/>
      <w:color w:val="000000"/>
      <w:sz w:val="21"/>
      <w:szCs w:val="21"/>
    </w:rPr>
  </w:style>
  <w:style w:type="paragraph" w:customStyle="1" w:styleId="61">
    <w:name w:val="Char Char Char Char Char Char Char Char Char"/>
    <w:basedOn w:val="1"/>
    <w:qFormat/>
    <w:uiPriority w:val="99"/>
    <w:pPr>
      <w:spacing w:line="240" w:lineRule="auto"/>
      <w:ind w:firstLine="0" w:firstLineChars="0"/>
      <w:textAlignment w:val="auto"/>
    </w:pPr>
    <w:rPr>
      <w:rFonts w:cs="Times New Roman"/>
      <w:sz w:val="21"/>
      <w:szCs w:val="24"/>
    </w:rPr>
  </w:style>
  <w:style w:type="character" w:styleId="62">
    <w:name w:val="Placeholder Text"/>
    <w:basedOn w:val="27"/>
    <w:semiHidden/>
    <w:qFormat/>
    <w:uiPriority w:val="99"/>
    <w:rPr>
      <w:color w:val="808080"/>
    </w:rPr>
  </w:style>
  <w:style w:type="character" w:customStyle="1" w:styleId="63">
    <w:name w:val="未处理的提及11"/>
    <w:basedOn w:val="27"/>
    <w:semiHidden/>
    <w:qFormat/>
    <w:uiPriority w:val="99"/>
    <w:rPr>
      <w:color w:val="605E5C"/>
      <w:shd w:val="clear" w:color="auto" w:fill="E1DFDD"/>
    </w:rPr>
  </w:style>
  <w:style w:type="character" w:customStyle="1" w:styleId="64">
    <w:name w:val="标题 1 Char Char Char"/>
    <w:qFormat/>
    <w:uiPriority w:val="0"/>
    <w:rPr>
      <w:rFonts w:hint="eastAsia" w:ascii="宋体" w:hAnsi="宋体" w:eastAsia="宋体"/>
      <w:bCs/>
      <w:sz w:val="28"/>
    </w:rPr>
  </w:style>
  <w:style w:type="character" w:customStyle="1" w:styleId="65">
    <w:name w:val="表格文字 Char Char"/>
    <w:qFormat/>
    <w:uiPriority w:val="0"/>
    <w:rPr>
      <w:szCs w:val="21"/>
    </w:rPr>
  </w:style>
  <w:style w:type="table" w:customStyle="1" w:styleId="66">
    <w:name w:val="网格型1"/>
    <w:basedOn w:val="2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日期 字符"/>
    <w:basedOn w:val="27"/>
    <w:link w:val="13"/>
    <w:semiHidden/>
    <w:qFormat/>
    <w:uiPriority w:val="99"/>
    <w:rPr>
      <w:rFonts w:ascii="Times New Roman" w:hAnsi="Times New Roman" w:eastAsia="宋体"/>
      <w:sz w:val="24"/>
    </w:rPr>
  </w:style>
  <w:style w:type="table" w:customStyle="1" w:styleId="68">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文本"/>
    <w:link w:val="75"/>
    <w:qFormat/>
    <w:uiPriority w:val="0"/>
    <w:pPr>
      <w:adjustRightInd w:val="0"/>
      <w:snapToGrid w:val="0"/>
      <w:spacing w:line="480" w:lineRule="exact"/>
      <w:ind w:firstLine="200" w:firstLineChars="200"/>
      <w:jc w:val="both"/>
    </w:pPr>
    <w:rPr>
      <w:rFonts w:ascii="宋体" w:hAnsi="Calibri" w:eastAsia="宋体" w:cs="Times New Roman"/>
      <w:spacing w:val="5"/>
      <w:sz w:val="25"/>
      <w:szCs w:val="22"/>
      <w:lang w:val="en-US" w:eastAsia="zh-CN" w:bidi="ar-SA"/>
    </w:rPr>
  </w:style>
  <w:style w:type="paragraph" w:customStyle="1" w:styleId="70">
    <w:name w:val="表内居中"/>
    <w:qFormat/>
    <w:uiPriority w:val="0"/>
    <w:pPr>
      <w:tabs>
        <w:tab w:val="right" w:leader="middleDot" w:pos="7938"/>
      </w:tabs>
      <w:adjustRightInd w:val="0"/>
      <w:snapToGrid w:val="0"/>
      <w:jc w:val="center"/>
    </w:pPr>
    <w:rPr>
      <w:rFonts w:ascii="宋体" w:hAnsi="宋体" w:eastAsia="宋体" w:cs="Times New Roman"/>
      <w:sz w:val="21"/>
      <w:lang w:val="en-US" w:eastAsia="zh-CN" w:bidi="ar-SA"/>
    </w:rPr>
  </w:style>
  <w:style w:type="paragraph" w:customStyle="1" w:styleId="71">
    <w:name w:val="表名称"/>
    <w:link w:val="73"/>
    <w:qFormat/>
    <w:uiPriority w:val="0"/>
    <w:pPr>
      <w:adjustRightInd w:val="0"/>
      <w:snapToGrid w:val="0"/>
      <w:ind w:firstLine="480"/>
      <w:jc w:val="center"/>
    </w:pPr>
    <w:rPr>
      <w:rFonts w:ascii="Times New Roman" w:hAnsi="Times New Roman" w:eastAsia="宋体" w:cs="Times New Roman"/>
      <w:b/>
      <w:kern w:val="2"/>
      <w:sz w:val="21"/>
      <w:szCs w:val="21"/>
      <w:lang w:val="en-US" w:eastAsia="zh-CN" w:bidi="ar-SA"/>
    </w:rPr>
  </w:style>
  <w:style w:type="paragraph" w:customStyle="1" w:styleId="72">
    <w:name w:val="表内两端"/>
    <w:link w:val="74"/>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73">
    <w:name w:val="表名称 Char"/>
    <w:link w:val="71"/>
    <w:qFormat/>
    <w:uiPriority w:val="0"/>
    <w:rPr>
      <w:b/>
      <w:kern w:val="2"/>
      <w:sz w:val="21"/>
      <w:szCs w:val="21"/>
    </w:rPr>
  </w:style>
  <w:style w:type="character" w:customStyle="1" w:styleId="74">
    <w:name w:val="表内两端 Char"/>
    <w:link w:val="72"/>
    <w:qFormat/>
    <w:uiPriority w:val="0"/>
    <w:rPr>
      <w:rFonts w:ascii="宋体" w:hAnsi="Times New Roman" w:eastAsia="宋体" w:cs="Times New Roman"/>
      <w:kern w:val="0"/>
      <w:szCs w:val="20"/>
    </w:rPr>
  </w:style>
  <w:style w:type="character" w:customStyle="1" w:styleId="75">
    <w:name w:val="文本 Char"/>
    <w:link w:val="69"/>
    <w:qFormat/>
    <w:uiPriority w:val="0"/>
    <w:rPr>
      <w:rFonts w:ascii="宋体" w:hAnsi="Calibri" w:eastAsia="宋体" w:cs="Times New Roman"/>
      <w:spacing w:val="5"/>
      <w:kern w:val="0"/>
      <w:sz w:val="25"/>
    </w:rPr>
  </w:style>
  <w:style w:type="character" w:customStyle="1" w:styleId="76">
    <w:name w:val="fontstyle21"/>
    <w:qFormat/>
    <w:uiPriority w:val="0"/>
    <w:rPr>
      <w:rFonts w:hint="default" w:ascii="Times New Roman" w:hAnsi="Times New Roman" w:cs="Times New Roman"/>
      <w:b/>
      <w:bCs/>
      <w:color w:val="000000"/>
      <w:sz w:val="24"/>
      <w:szCs w:val="24"/>
    </w:rPr>
  </w:style>
  <w:style w:type="paragraph" w:customStyle="1" w:styleId="77">
    <w:name w:val="_Style 5"/>
    <w:basedOn w:val="1"/>
    <w:qFormat/>
    <w:uiPriority w:val="0"/>
    <w:pPr>
      <w:ind w:firstLine="420"/>
    </w:pPr>
    <w:rPr>
      <w:rFonts w:ascii="Calibri" w:hAnsi="Calibri"/>
    </w:rPr>
  </w:style>
  <w:style w:type="paragraph" w:customStyle="1" w:styleId="78">
    <w:name w:val="lxy表头"/>
    <w:basedOn w:val="1"/>
    <w:qFormat/>
    <w:uiPriority w:val="0"/>
    <w:pPr>
      <w:autoSpaceDE w:val="0"/>
      <w:autoSpaceDN w:val="0"/>
      <w:adjustRightInd w:val="0"/>
      <w:snapToGrid w:val="0"/>
      <w:jc w:val="center"/>
    </w:pPr>
    <w:rPr>
      <w:rFonts w:ascii="宋体" w:hAnsi="宋体" w:cs="宋体"/>
      <w:b/>
      <w:color w:val="0000FF"/>
      <w:kern w:val="0"/>
    </w:rPr>
  </w:style>
  <w:style w:type="paragraph" w:customStyle="1" w:styleId="79">
    <w:name w:val="表内文字"/>
    <w:qFormat/>
    <w:uiPriority w:val="0"/>
    <w:pPr>
      <w:adjustRightInd w:val="0"/>
      <w:snapToGrid w:val="0"/>
      <w:jc w:val="center"/>
    </w:pPr>
    <w:rPr>
      <w:rFonts w:ascii="宋体" w:hAnsi="宋体" w:eastAsia="宋体" w:cs="Times New Roman"/>
      <w:spacing w:val="-10"/>
      <w:kern w:val="2"/>
      <w:sz w:val="23"/>
      <w:szCs w:val="22"/>
      <w:lang w:val="en-US" w:eastAsia="zh-CN" w:bidi="en-US"/>
    </w:rPr>
  </w:style>
  <w:style w:type="paragraph" w:customStyle="1" w:styleId="80">
    <w:name w:val="图表名称"/>
    <w:basedOn w:val="1"/>
    <w:link w:val="82"/>
    <w:qFormat/>
    <w:uiPriority w:val="0"/>
    <w:pPr>
      <w:tabs>
        <w:tab w:val="left" w:pos="3390"/>
      </w:tabs>
      <w:adjustRightInd w:val="0"/>
      <w:snapToGrid w:val="0"/>
      <w:spacing w:line="240" w:lineRule="auto"/>
      <w:ind w:firstLine="0" w:firstLineChars="0"/>
      <w:jc w:val="center"/>
      <w:textAlignment w:val="auto"/>
    </w:pPr>
    <w:rPr>
      <w:rFonts w:ascii="宋体" w:hAnsi="宋体" w:cs="宋体"/>
      <w:b/>
      <w:szCs w:val="25"/>
      <w:lang w:val="zh-CN" w:bidi="zh-CN"/>
    </w:rPr>
  </w:style>
  <w:style w:type="paragraph" w:customStyle="1" w:styleId="81">
    <w:name w:val="表中文字"/>
    <w:basedOn w:val="1"/>
    <w:qFormat/>
    <w:uiPriority w:val="0"/>
    <w:pPr>
      <w:tabs>
        <w:tab w:val="left" w:pos="2700"/>
      </w:tabs>
      <w:adjustRightInd w:val="0"/>
      <w:snapToGrid w:val="0"/>
      <w:spacing w:line="240" w:lineRule="auto"/>
      <w:ind w:firstLine="0" w:firstLineChars="0"/>
      <w:jc w:val="center"/>
    </w:pPr>
    <w:rPr>
      <w:sz w:val="21"/>
      <w:szCs w:val="21"/>
    </w:rPr>
  </w:style>
  <w:style w:type="character" w:customStyle="1" w:styleId="82">
    <w:name w:val="图表名称 Char"/>
    <w:link w:val="80"/>
    <w:qFormat/>
    <w:uiPriority w:val="0"/>
    <w:rPr>
      <w:rFonts w:ascii="宋体" w:hAnsi="宋体" w:eastAsia="宋体" w:cs="宋体"/>
      <w:b/>
      <w:kern w:val="2"/>
      <w:sz w:val="24"/>
      <w:szCs w:val="25"/>
      <w:lang w:val="zh-CN" w:bidi="zh-CN"/>
    </w:rPr>
  </w:style>
  <w:style w:type="paragraph" w:customStyle="1" w:styleId="83">
    <w:name w:val="主表格"/>
    <w:basedOn w:val="1"/>
    <w:qFormat/>
    <w:uiPriority w:val="0"/>
    <w:pPr>
      <w:spacing w:line="240" w:lineRule="auto"/>
      <w:ind w:firstLine="0" w:firstLineChars="0"/>
      <w:jc w:val="center"/>
    </w:pPr>
  </w:style>
  <w:style w:type="paragraph" w:customStyle="1" w:styleId="84">
    <w:name w:val="【表中文字】"/>
    <w:basedOn w:val="1"/>
    <w:qFormat/>
    <w:uiPriority w:val="0"/>
    <w:pPr>
      <w:spacing w:line="240" w:lineRule="auto"/>
      <w:ind w:firstLine="0" w:firstLineChars="0"/>
      <w:jc w:val="center"/>
      <w:textAlignment w:val="auto"/>
    </w:pPr>
    <w:rPr>
      <w:rFonts w:cs="Times New Roman"/>
      <w:kern w:val="0"/>
      <w:sz w:val="20"/>
      <w:szCs w:val="20"/>
    </w:rPr>
  </w:style>
  <w:style w:type="character" w:customStyle="1" w:styleId="85">
    <w:name w:val="正文缩进 字符"/>
    <w:link w:val="6"/>
    <w:qFormat/>
    <w:uiPriority w:val="0"/>
    <w:rPr>
      <w:rFonts w:ascii="宋体" w:hAnsi="宋体"/>
      <w:kern w:val="2"/>
      <w:sz w:val="28"/>
    </w:rPr>
  </w:style>
  <w:style w:type="character" w:customStyle="1" w:styleId="86">
    <w:name w:val="页脚 字符1"/>
    <w:qFormat/>
    <w:uiPriority w:val="0"/>
    <w:rPr>
      <w:rFonts w:ascii="Times New Roman" w:hAnsi="Times New Roman" w:eastAsia="宋体" w:cs="Times New Roman"/>
      <w:sz w:val="18"/>
    </w:rPr>
  </w:style>
  <w:style w:type="character" w:customStyle="1" w:styleId="87">
    <w:name w:val="纯文本 字符"/>
    <w:basedOn w:val="27"/>
    <w:link w:val="12"/>
    <w:qFormat/>
    <w:uiPriority w:val="0"/>
    <w:rPr>
      <w:rFonts w:ascii="宋体" w:hAnsi="Courier New"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f250784a-4c18-4e3f-bbba-ab8ea4d20acc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BAFCF31</paraID>
      <start>0</start>
      <end>2</end>
      <status>modified</status>
      <modifiedWord>1.</modifiedWord>
      <trackRevisions>false</trackRevisions>
    </reviewItem>
    <reviewItem>
      <errorID>8b94ec6f-20a8-4ee3-83ec-3560e83df151</errorID>
      <errorWord>…等</errorWord>
      <group>L1_Punc</group>
      <groupName>标点问题</groupName>
      <ability>L2_Punc</ability>
      <abilityName>标点符号检查</abilityName>
      <candidateList>
        <item>等</item>
      </candidateList>
      <explain>〈助〉❶〈书〉用在人称代词或指人的名词后面，表示复数：我～｜彼～。❷表示列举未尽（可以叠用）：北京、天津～地｜纸张文具～～。❸列举后煞尾：长江、黄河、黑龙江、珠江～四大河流。</explain>
      <paraID>72AC3B6D</paraID>
      <start>100</start>
      <end>101</end>
      <status>modified</status>
      <modifiedWord>等</modifiedWord>
      <trackRevisions>false</trackRevisions>
    </reviewItem>
    <reviewItem>
      <errorID>94eb23dd-4035-45a4-8fb0-46211bd23687</errorID>
      <errorWord>，故</errorWord>
      <group>L1_Word</group>
      <groupName>字词问题</groupName>
      <ability>L2_Typo</ability>
      <abilityName>字词错误</abilityName>
      <candidateList>
        <item>，</item>
      </candidateList>
      <explain/>
      <paraID>72AC3B6D</paraID>
      <start>123</start>
      <end>125</end>
      <status>ignored</status>
      <modifiedWord/>
      <trackRevisions>false</trackRevisions>
    </reviewItem>
    <reviewItem>
      <errorID>dd7287a0-2827-4971-ae7e-7db4067e7e95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5470C061</paraID>
      <start>0</start>
      <end>2</end>
      <status>modified</status>
      <modifiedWord>2.</modifiedWord>
      <trackRevisions>false</trackRevisions>
    </reviewItem>
    <reviewItem>
      <errorID>3cf3e870-f729-43de-b242-eeeb1cc74a68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7B0D474E</paraID>
      <start>0</start>
      <end>2</end>
      <status>modified</status>
      <modifiedWord>3.</modifiedWord>
      <trackRevisions>false</trackRevisions>
    </reviewItem>
    <reviewItem>
      <errorID>d373dcb2-be1e-4e78-ad90-e38fa81e7efd</errorID>
      <errorWord>法律、法规</errorWord>
      <group>L1_Word</group>
      <groupName>字词问题</groupName>
      <ability>L2_Typo</ability>
      <abilityName>字词错误</abilityName>
      <candidateList>
        <item>法律法规</item>
      </candidateList>
      <explain/>
      <paraID>1F6CC714</paraID>
      <start>141</start>
      <end>146</end>
      <status>ignored</status>
      <modifiedWord/>
      <trackRevisions>false</trackRevisions>
    </reviewItem>
    <reviewItem>
      <errorID>b3aabfb0-0fbf-4fd2-a226-3337677439c9</errorID>
      <errorWord>其它</errorWord>
      <group>L1_Word</group>
      <groupName>字词问题</groupName>
      <ability>L2_Alias</ability>
      <abilityName>也作/曾用词</abilityName>
      <candidateList>
        <item>其他</item>
      </candidateList>
      <explain>词汇[其它]为不规范表述或旧称，其规范书面表述为[其他]。</explain>
      <paraID>3B3FB54E</paraID>
      <start>31</start>
      <end>33</end>
      <status>ignored</status>
      <modifiedWord/>
      <trackRevisions>false</trackRevisions>
    </reviewItem>
    <reviewItem>
      <errorID>3dff2451-adbc-44c6-97d0-bf05cd261236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2C301FAE</paraID>
      <start>0</start>
      <end>2</end>
      <status>modified</status>
      <modifiedWord>1.</modifiedWord>
      <trackRevisions>false</trackRevisions>
    </reviewItem>
    <reviewItem>
      <errorID>bf1400c9-c053-4b38-a57e-e13a0e21ecf1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4D3C12AD</paraID>
      <start>0</start>
      <end>2</end>
      <status>modified</status>
      <modifiedWord>2.</modifiedWord>
      <trackRevisions>false</trackRevisions>
    </reviewItem>
    <reviewItem>
      <errorID>c6c9804c-67e0-4dd2-b19d-bfe32c3ddb51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14A56718</paraID>
      <start>0</start>
      <end>2</end>
      <status>modified</status>
      <modifiedWord>3.</modifiedWord>
      <trackRevisions>false</trackRevisions>
    </reviewItem>
    <reviewItem>
      <errorID>7b963f0b-297b-40ef-b6e9-e6176551f0c7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2870BAF1</paraID>
      <start>0</start>
      <end>2</end>
      <status>modified</status>
      <modifiedWord>4.</modifiedWord>
      <trackRevisions>false</trackRevisions>
    </reviewItem>
    <reviewItem>
      <errorID>a0eb00f0-049f-4a0d-ada8-35413fbbc4a0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7C08460</paraID>
      <start>0</start>
      <end>2</end>
      <status>modified</status>
      <modifiedWord>5.</modifiedWord>
      <trackRevisions>false</trackRevisions>
    </reviewItem>
    <reviewItem>
      <errorID>7ad5643a-babf-4032-86cd-c80c339761a8</errorID>
      <errorWord>工业工地</errorWord>
      <group>L1_Word</group>
      <groupName>字词问题</groupName>
      <ability>L2_Typo</ability>
      <abilityName>字词错误</abilityName>
      <candidateList>
        <item>工业用地</item>
      </candidateList>
      <explain>存在发音相近字词的误用。</explain>
      <paraID> 7C08460</paraID>
      <start>31</start>
      <end>35</end>
      <status>modified</status>
      <modifiedWord>工业用地</modifiedWord>
      <trackRevisions>false</trackRevisions>
    </reviewItem>
    <reviewItem>
      <errorID>369e9dbc-bde2-4335-829b-d1621e181f03</errorID>
      <errorWord>施加</errorWord>
      <group>L1_Word</group>
      <groupName>字词问题</groupName>
      <ability>L2_Typo</ability>
      <abilityName>字词错误</abilityName>
      <candidateList>
        <item>施用</item>
      </candidateList>
      <explain/>
      <paraID>3E65C8E3</paraID>
      <start>62</start>
      <end>64</end>
      <status>ignored</status>
      <modifiedWord/>
      <trackRevisions>false</trackRevisions>
    </reviewItem>
    <reviewItem>
      <errorID>879b553f-2998-42a8-98b4-f7288632d2d8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4A21C5D6</paraID>
      <start>0</start>
      <end>2</end>
      <status>modified</status>
      <modifiedWord>4.</modifiedWord>
      <trackRevisions>false</trackRevisions>
    </reviewItem>
    <reviewItem>
      <errorID>8ad99f9b-b480-4459-a60c-4363e943f5a9</errorID>
      <errorWord>&lt;</errorWord>
      <group>L1_Format</group>
      <groupName>格式问题</groupName>
      <ability>L2_HalfPunc</ability>
      <abilityName>全半角检查</abilityName>
      <candidateList>
        <item>〈</item>
      </candidateList>
      <explain>文本全半角错误。</explain>
      <paraID>4A21C5D6</paraID>
      <start>11</start>
      <end>12</end>
      <status>modified</status>
      <modifiedWord>〈</modifiedWord>
      <trackRevisions>false</trackRevisions>
    </reviewItem>
    <reviewItem>
      <errorID>fa2b49b3-2a23-4f41-b022-0fbc465164f3</errorID>
      <errorWord>&gt;</errorWord>
      <group>L1_Format</group>
      <groupName>格式问题</groupName>
      <ability>L2_HalfPunc</ability>
      <abilityName>全半角检查</abilityName>
      <candidateList>
        <item>〉</item>
      </candidateList>
      <explain>文本全半角错误。</explain>
      <paraID>4A21C5D6</paraID>
      <start>34</start>
      <end>35</end>
      <status>modified</status>
      <modifiedWord>〉</modifiedWord>
      <trackRevisions>false</trackRevisions>
    </reviewItem>
    <reviewItem>
      <errorID>3f0ac4f6-24f7-421e-957e-d853b07e4c84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40D85BE5</paraID>
      <start>0</start>
      <end>2</end>
      <status>modified</status>
      <modifiedWord>5.</modifiedWord>
      <trackRevisions>false</trackRevisions>
    </reviewItem>
    <reviewItem>
      <errorID>3f28f6a2-a5b8-41db-b1d3-b5cd0c0827a7</errorID>
      <errorWord>II类</errorWord>
      <group>L1_Knowledge</group>
      <groupName>知识性问题</groupName>
      <ability>L2_Knowledge</ability>
      <abilityName>其他知识</abilityName>
      <candidateList>
        <item>Ⅱ类</item>
      </candidateList>
      <explain/>
      <paraID>6962F9F7</paraID>
      <start>86</start>
      <end>88</end>
      <status>modified</status>
      <modifiedWord>Ⅱ类</modifiedWord>
      <trackRevisions>false</trackRevisions>
    </reviewItem>
    <reviewItem>
      <errorID>a0205ef9-b8a1-4547-8ca1-aaf654c60163</errorID>
      <errorWord>(</errorWord>
      <group>L1_Format</group>
      <groupName>格式问题</groupName>
      <ability>L2_HalfPunc</ability>
      <abilityName>全半角检查</abilityName>
      <candidateList>
        <item>（</item>
      </candidateList>
      <explain>文本全半角错误。</explain>
      <paraID>6962F9F7</paraID>
      <start>266</start>
      <end>267</end>
      <status>modified</status>
      <modifiedWord>（</modifiedWord>
      <trackRevisions>false</trackRevisions>
    </reviewItem>
    <reviewItem>
      <errorID>ab761c85-5a00-4711-a3ed-d54584e185e0</errorID>
      <errorWord>)</errorWord>
      <group>L1_Format</group>
      <groupName>格式问题</groupName>
      <ability>L2_HalfPunc</ability>
      <abilityName>全半角检查</abilityName>
      <candidateList>
        <item>）</item>
      </candidateList>
      <explain>文本全半角错误。</explain>
      <paraID>6962F9F7</paraID>
      <start>280</start>
      <end>281</end>
      <status>modified</status>
      <modifiedWord>）</modifiedWord>
      <trackRevisions>false</trackRevisions>
    </reviewItem>
    <reviewItem>
      <errorID>5972ff95-49bc-47d5-9368-5a6b93fe4369</errorID>
      <errorWord>(</errorWord>
      <group>L1_Format</group>
      <groupName>格式问题</groupName>
      <ability>L2_HalfPunc</ability>
      <abilityName>全半角检查</abilityName>
      <candidateList>
        <item>（</item>
      </candidateList>
      <explain>文本全半角错误。</explain>
      <paraID>6962F9F7</paraID>
      <start>297</start>
      <end>298</end>
      <status>modified</status>
      <modifiedWord>（</modifiedWord>
      <trackRevisions>false</trackRevisions>
    </reviewItem>
    <reviewItem>
      <errorID>c5f68f03-6844-4a16-82d2-da6f4a715fa4</errorID>
      <errorWord>)</errorWord>
      <group>L1_Format</group>
      <groupName>格式问题</groupName>
      <ability>L2_HalfPunc</ability>
      <abilityName>全半角检查</abilityName>
      <candidateList>
        <item>）</item>
      </candidateList>
      <explain>文本全半角错误。</explain>
      <paraID>6962F9F7</paraID>
      <start>302</start>
      <end>303</end>
      <status>modified</status>
      <modifiedWord>）</modifiedWord>
      <trackRevisions>false</trackRevisions>
    </reviewItem>
    <reviewItem>
      <errorID>807aa57b-16bc-4d0d-8a51-b1d8e6eba3ed</errorID>
      <errorWord>碳达峰和碳中和</errorWord>
      <group>L1_Political</group>
      <groupName>政治性问题</groupName>
      <ability>L2_Keyword</ability>
      <abilityName>固定表述</abilityName>
      <candidateList>
        <item>碳达峰碳中和</item>
      </candidateList>
      <explain>词汇“碳达峰碳中和”在特定场景下为固定表述形式，请确认此处的“碳达峰和碳中和”是否存在不当。</explain>
      <paraID>6C15BA56</paraID>
      <start>73</start>
      <end>80</end>
      <status>ignored</status>
      <modifiedWord/>
      <trackRevisions>false</trackRevisions>
    </reviewItem>
    <reviewItem>
      <errorID>abf1e93b-8819-4bf9-8a7c-da18500da002</errorID>
      <errorWord>法律、法规</errorWord>
      <group>L1_Word</group>
      <groupName>字词问题</groupName>
      <ability>L2_Typo</ability>
      <abilityName>字词错误</abilityName>
      <candidateList>
        <item>法律法规</item>
      </candidateList>
      <explain/>
      <paraID>31C3FBE9</paraID>
      <start>141</start>
      <end>146</end>
      <status>ignored</status>
      <modifiedWord/>
      <trackRevisions>false</trackRevisions>
    </reviewItem>
    <reviewItem>
      <errorID>427ddef9-66d0-439c-8a6c-d61fd6449af9</errorID>
      <errorWord>其它</errorWord>
      <group>L1_Word</group>
      <groupName>字词问题</groupName>
      <ability>L2_Alias</ability>
      <abilityName>也作/曾用词</abilityName>
      <candidateList>
        <item>其他</item>
      </candidateList>
      <explain>词汇[其它]为不规范表述或旧称，其规范书面表述为[其他]。</explain>
      <paraID>18EC22CD</paraID>
      <start>30</start>
      <end>32</end>
      <status>ignored</status>
      <modifiedWord/>
      <trackRevisions>false</trackRevisions>
    </reviewItem>
    <reviewItem>
      <errorID>bc21235c-5d6e-4f09-ab7f-0c3dcdbbe16c</errorID>
      <errorWord>-</errorWord>
      <group>L1_Format</group>
      <groupName>格式问题</groupName>
      <ability>L2_HalfPunc</ability>
      <abilityName>全半角检查</abilityName>
      <candidateList>
        <item>－</item>
      </candidateList>
      <explain>文本全半角错误。</explain>
      <paraID>1E6DBCA7</paraID>
      <start>5</start>
      <end>6</end>
      <status>unmodified</status>
      <modifiedWord/>
      <trackRevisions>false</trackRevisions>
    </reviewItem>
    <reviewItem>
      <errorID>be877c95-2e92-41b1-9c30-1ecec32ac3c6</errorID>
      <errorWord>-</errorWord>
      <group>L1_Format</group>
      <groupName>格式问题</groupName>
      <ability>L2_HalfPunc</ability>
      <abilityName>全半角检查</abilityName>
      <candidateList>
        <item>－</item>
      </candidateList>
      <explain>文本全半角错误。</explain>
      <paraID>6EEA2B84</paraID>
      <start>5</start>
      <end>6</end>
      <status>unmodified</status>
      <modifiedWord/>
      <trackRevisions>false</trackRevisions>
    </reviewItem>
    <reviewItem>
      <errorID>3a1a8095-01f9-498b-8377-c8a1a625002d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1DCB8A3C</paraID>
      <start>160</start>
      <end>163</end>
      <status>unmodified</status>
      <modifiedWord/>
      <trackRevisions>false</trackRevisions>
    </reviewItem>
    <reviewItem>
      <errorID>d121def0-7982-486f-ac3a-86910a0978b5</errorID>
      <errorWord>，</errorWord>
      <group>L1_Word</group>
      <groupName>字词问题</groupName>
      <ability>L2_Typo</ability>
      <abilityName>字词错误</abilityName>
      <candidateList>
        <item>，对</item>
      </candidateList>
      <explain/>
      <paraID>39F6A382</paraID>
      <start>34</start>
      <end>35</end>
      <status>unmodified</status>
      <modifiedWord/>
      <trackRevisions>false</trackRevisions>
    </reviewItem>
    <reviewItem>
      <errorID>d6c455c2-b357-42d5-a184-115a5809edd4</errorID>
      <errorWord>期</errorWord>
      <group>L1_Word</group>
      <groupName>字词问题</groupName>
      <ability>L2_Typo</ability>
      <abilityName>字词错误</abilityName>
      <candidateList>
        <item>期间</item>
      </candidateList>
      <explain>〈名〉某个时期里面：农忙～｜春节～｜抗战～。</explain>
      <paraID> D120977</paraID>
      <start>2</start>
      <end>4</end>
      <status>modified</status>
      <modifiedWord>期间</modifiedWord>
      <trackRevisions>false</trackRevisions>
    </reviewItem>
    <reviewItem>
      <errorID>f5aec86d-2cff-478b-9750-297b07fb6fdf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346D2185</paraID>
      <start>77</start>
      <end>80</end>
      <status>ignored</status>
      <modifiedWord/>
      <trackRevisions>false</trackRevisions>
    </reviewItem>
    <reviewItem>
      <errorID>f4e0c9b6-4c35-4d07-b739-e38ef83c42b6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346D2185</paraID>
      <start>87</start>
      <end>90</end>
      <status>ignored</status>
      <modifiedWord/>
      <trackRevisions>false</trackRevisions>
    </reviewItem>
    <reviewItem>
      <errorID>ce66601a-4f04-496e-b2cd-784c13c22f1c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586695CD</paraID>
      <start>0</start>
      <end>2</end>
      <status>modified</status>
      <modifiedWord>5.</modifiedWord>
      <trackRevisions>false</trackRevisions>
    </reviewItem>
    <reviewItem>
      <errorID>15bdaddc-127b-44e0-845a-30f84c0c4884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C35333F</paraID>
      <start>0</start>
      <end>2</end>
      <status>modified</status>
      <modifiedWord>1.</modifiedWord>
      <trackRevisions>false</trackRevisions>
    </reviewItem>
    <reviewItem>
      <errorID>7c505fc9-a159-4b3c-abeb-2acaa0069ee3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6FFBBEFE</paraID>
      <start>0</start>
      <end>2</end>
      <status>modified</status>
      <modifiedWord>2.</modifiedWord>
      <trackRevisions>false</trackRevisions>
    </reviewItem>
    <reviewItem>
      <errorID>0fd94fd2-81db-464f-9aad-481b69be1991</errorID>
      <errorWord>法律、法规</errorWord>
      <group>L1_Word</group>
      <groupName>字词问题</groupName>
      <ability>L2_Typo</ability>
      <abilityName>字词错误</abilityName>
      <candidateList>
        <item>法律法规</item>
      </candidateList>
      <explain/>
      <paraID>77CEBBCB</paraID>
      <start>3</start>
      <end>8</end>
      <status>ignored</status>
      <modifiedWord/>
      <trackRevisions>false</trackRevisions>
    </reviewItem>
    <reviewItem>
      <errorID>701a2b3d-10e0-48e0-b30c-8e612c21ee0b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896AE37</paraID>
      <start>0</start>
      <end>2</end>
      <status>modified</status>
      <modifiedWord>1.</modifiedWord>
      <trackRevisions>false</trackRevisions>
    </reviewItem>
    <reviewItem>
      <errorID>139c9b9e-0abd-40f4-9e74-a80b96142e8e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41A01F8E</paraID>
      <start>0</start>
      <end>2</end>
      <status>modified</status>
      <modifiedWord>2.</modifiedWord>
      <trackRevisions>false</trackRevisions>
    </reviewItem>
    <reviewItem>
      <errorID>330de07d-a7bb-4e92-9945-5aadd334cdba</errorID>
      <errorWord>,</errorWord>
      <group>L1_Format</group>
      <groupName>格式问题</groupName>
      <ability>L2_HalfPunc</ability>
      <abilityName>全半角检查</abilityName>
      <candidateList>
        <item>，</item>
      </candidateList>
      <explain>文本全半角错误。</explain>
      <paraID>46685368</paraID>
      <start>84</start>
      <end>85</end>
      <status>ignored</status>
      <modifiedWord/>
      <trackRevisions>false</trackRevisions>
    </reviewItem>
    <reviewItem>
      <errorID>77194567-f26f-428b-870e-08359437ac91</errorID>
      <errorWord>噪音</errorWord>
      <group>L1_Word</group>
      <groupName>字词问题</groupName>
      <ability>L2_Alias</ability>
      <abilityName>也作/曾用词</abilityName>
      <candidateList>
        <item>噪声</item>
      </candidateList>
      <explain>词汇[噪音]为不规范表述或旧称，其规范书面表述为[噪声]。</explain>
      <paraID> D75A60A</paraID>
      <start>7</start>
      <end>9</end>
      <status>ignored</status>
      <modifiedWord/>
      <trackRevisions>false</trackRevisions>
    </reviewItem>
    <reviewItem>
      <errorID>74ce61dc-3673-44b3-9ae8-3eceff8c7753</errorID>
      <errorWord>程</errorWord>
      <group>L1_Word</group>
      <groupName>字词问题</groupName>
      <ability>L2_Typo</ability>
      <abilityName>字词错误</abilityName>
      <candidateList>
        <item>程中</item>
      </candidateList>
      <explain/>
      <paraID>11EECBB7</paraID>
      <start>29</start>
      <end>30</end>
      <status>ignored</status>
      <modifiedWord/>
      <trackRevisions>false</trackRevisions>
    </reviewItem>
    <reviewItem>
      <errorID>aad52fba-ea14-4ffe-92ab-dfeec2d59267</errorID>
      <errorWord>程</errorWord>
      <group>L1_Word</group>
      <groupName>字词问题</groupName>
      <ability>L2_Typo</ability>
      <abilityName>字词错误</abilityName>
      <candidateList>
        <item>程中</item>
      </candidateList>
      <explain/>
      <paraID>11EECBB7</paraID>
      <start>75</start>
      <end>76</end>
      <status>ignored</status>
      <modifiedWord/>
      <trackRevisions>false</trackRevisions>
    </reviewItem>
    <reviewItem>
      <errorID>7778432b-5c31-4bec-8e23-3998202dbdaa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E55C325</paraID>
      <start>0</start>
      <end>2</end>
      <status>modified</status>
      <modifiedWord>6.</modifiedWord>
      <trackRevisions>false</trackRevisions>
    </reviewItem>
    <reviewItem>
      <errorID>1f237ec2-0130-4cd9-96b1-af4bc7e85b1e</errorID>
      <errorWord>，</errorWord>
      <group>L1_Word</group>
      <groupName>字词问题</groupName>
      <ability>L2_Typo</ability>
      <abilityName>字词错误</abilityName>
      <candidateList>
        <item>，因</item>
      </candidateList>
      <explain/>
      <paraID>479D46AF</paraID>
      <start>93</start>
      <end>94</end>
      <status>unmodified</status>
      <modifiedWord/>
      <trackRevisions>false</trackRevisions>
    </reviewItem>
    <reviewItem>
      <errorID>681a7611-9d84-4282-a780-e9e8f12f0471</errorID>
      <errorWord>新疆维吾尔自治区环境保护条例</errorWord>
      <group>L1_Knowledge</group>
      <groupName>知识性问题</groupName>
      <ability>L2_Knowledge</ability>
      <abilityName>其他知识</abilityName>
      <candidateList>
        <item>《新疆维吾尔自治区环境保护条例》</item>
      </candidateList>
      <explain>完整法律法规名称需要加书名号，请注意检查。</explain>
      <paraID>2F2C3DA6</paraID>
      <start>0</start>
      <end>14</end>
      <status>unmodified</status>
      <modifiedWord/>
      <trackRevisions>false</trackRevisions>
    </reviewItem>
    <reviewItem>
      <errorID>6f6b90b2-8b35-4726-9828-71cf389d4825</errorID>
      <errorWord>项目标准</errorWord>
      <group>L1_Knowledge</group>
      <groupName>知识性问题</groupName>
      <ability>L2_Term</ability>
      <abilityName>专业术语</abilityName>
      <candidateList>
        <item>项目核准</item>
      </candidateList>
      <explain/>
      <paraID>449B4089</paraID>
      <start>105</start>
      <end>109</end>
      <status>unmodified</status>
      <modifiedWord/>
      <trackRevisions>false</trackRevisions>
    </reviewItem>
    <reviewItem>
      <errorID>d07dd8b9-68ff-489e-96a8-5e476eb27c14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4B722C1C</paraID>
      <start>0</start>
      <end>2</end>
      <status>modified</status>
      <modifiedWord>1.</modifiedWord>
      <trackRevisions>false</trackRevisions>
    </reviewItem>
    <reviewItem>
      <errorID>7eb3d6d7-5662-473a-8b3f-bca7b02a946a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7613065C</paraID>
      <start>0</start>
      <end>2</end>
      <status>modified</status>
      <modifiedWord>2.</modifiedWord>
      <trackRevisions>false</trackRevisions>
    </reviewItem>
    <reviewItem>
      <errorID>0c5805aa-90dd-4ab0-a5fa-87dcd0789ceb</errorID>
      <errorWord>绿色发展的理念</errorWord>
      <group>L1_Political</group>
      <groupName>政治性问题</groupName>
      <ability>L2_Keyword</ability>
      <abilityName>固定表述</abilityName>
      <candidateList>
        <item>绿色发展理念</item>
      </candidateList>
      <explain>词汇“绿色发展理念”在特定场景下为固定表述形式，请确认此处的“绿色发展的理念”是否存在不当。</explain>
      <paraID>2BD109D7</paraID>
      <start>61</start>
      <end>67</end>
      <status>modified</status>
      <modifiedWord>绿色发展理念</modifiedWord>
      <trackRevisions>false</trackRevisions>
    </reviewItem>
    <reviewItem>
      <errorID>58a1ee68-c488-4a31-8351-4aff6da07fa6</errorID>
      <errorWord>，</errorWord>
      <group>L1_Word</group>
      <groupName>字词问题</groupName>
      <ability>L2_Typo</ability>
      <abilityName>字词错误</abilityName>
      <candidateList>
        <item>，以</item>
      </candidateList>
      <explain/>
      <paraID>3481FAED</paraID>
      <start>147</start>
      <end>148</end>
      <status>ignored</status>
      <modifiedWord/>
      <trackRevisions>false</trackRevisions>
    </reviewItem>
    <reviewItem>
      <errorID>28082a35-e8b7-49ff-8887-472d445bf2b0</errorID>
      <errorWord>绿色发展的理念</errorWord>
      <group>L1_Political</group>
      <groupName>政治性问题</groupName>
      <ability>L2_Keyword</ability>
      <abilityName>固定表述</abilityName>
      <candidateList>
        <item>绿色发展理念</item>
      </candidateList>
      <explain>词汇“绿色发展理念”在特定场景下为固定表述形式，请确认此处的“绿色发展的理念”是否存在不当。</explain>
      <paraID>23D9ABE8</paraID>
      <start>160</start>
      <end>166</end>
      <status>modified</status>
      <modifiedWord>绿色发展理念</modifiedWord>
      <trackRevisions>false</trackRevisions>
    </reviewItem>
    <reviewItem>
      <errorID>55d68cd3-0a74-4998-a366-5a7d60a8ce83</errorID>
      <errorWord>》</errorWord>
      <group>L1_Word</group>
      <groupName>字词问题</groupName>
      <ability>L2_Typo</ability>
      <abilityName>字词错误</abilityName>
      <candidateList>
        <item>》和</item>
      </candidateList>
      <explain/>
      <paraID>777D3758</paraID>
      <start>17</start>
      <end>19</end>
      <status>modified</status>
      <modifiedWord>》和</modifiedWord>
      <trackRevisions>false</trackRevisions>
    </reviewItem>
    <reviewItem>
      <errorID>8da49722-70f4-473a-9aff-1f5516e750b5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463B93EC</paraID>
      <start>0</start>
      <end>2</end>
      <status>modified</status>
      <modifiedWord>1.</modifiedWord>
      <trackRevisions>false</trackRevisions>
    </reviewItem>
    <reviewItem>
      <errorID>f6bb6e26-2c99-43ab-831d-34b2401fef86</errorID>
      <errorWord>座</errorWord>
      <group>L1_Knowledge</group>
      <groupName>知识性问题</groupName>
      <ability>L2_Knowledge</ability>
      <abilityName>其他知识</abilityName>
      <candidateList>
        <item>栋</item>
      </candidateList>
      <explain/>
      <paraID> 7CDED3F</paraID>
      <start>3</start>
      <end>4</end>
      <status>ignored</status>
      <modifiedWord/>
      <trackRevisions>false</trackRevisions>
    </reviewItem>
    <reviewItem>
      <errorID>9de2179d-dcf4-46c9-99b7-439f8f33fbab</errorID>
      <errorWord>全面遮盖</errorWord>
      <group>L1_Political</group>
      <groupName>政治性问题</groupName>
      <ability>L2_Keyword</ability>
      <abilityName>固定表述</abilityName>
      <candidateList>
        <item>全面覆盖</item>
      </candidateList>
      <explain>词汇“全面覆盖”在特定场景下为固定表述形式，请确认此处的“全面遮盖”是否存在不当。</explain>
      <paraID> 24CF9C7</paraID>
      <start>28</start>
      <end>32</end>
      <status>ignored</status>
      <modifiedWord/>
      <trackRevisions>false</trackRevisions>
    </reviewItem>
    <reviewItem>
      <errorID>f8a03263-b49e-43d9-a55a-259a82026971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164561C7</paraID>
      <start>0</start>
      <end>2</end>
      <status>modified</status>
      <modifiedWord>2.</modifiedWord>
      <trackRevisions>false</trackRevisions>
    </reviewItem>
    <reviewItem>
      <errorID>4aa99316-ebf2-4c42-bab5-2da37d48141a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3FEC1D90</paraID>
      <start>4</start>
      <end>5</end>
      <status>ignored</status>
      <modifiedWord/>
      <trackRevisions>false</trackRevisions>
    </reviewItem>
    <reviewItem>
      <errorID>5e0aac5e-7a9f-4d4e-953f-7f87566e1a3b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3C00AFE1</paraID>
      <start>0</start>
      <end>2</end>
      <status>modified</status>
      <modifiedWord>3.</modifiedWord>
      <trackRevisions>false</trackRevisions>
    </reviewItem>
    <reviewItem>
      <errorID>2ec7de5f-f094-4d6e-bf3e-9aa088e7fcef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98640E2</paraID>
      <start>0</start>
      <end>2</end>
      <status>modified</status>
      <modifiedWord>4.</modifiedWord>
      <trackRevisions>false</trackRevisions>
    </reviewItem>
    <reviewItem>
      <errorID>914b9932-1f5d-4c57-9e5d-9b6168f338d0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2CCEF90B</paraID>
      <start>0</start>
      <end>2</end>
      <status>modified</status>
      <modifiedWord>3.</modifiedWord>
      <trackRevisions>false</trackRevisions>
    </reviewItem>
    <reviewItem>
      <errorID>e3318853-39b2-4920-ab3c-42e1eafc2909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36F293A4</paraID>
      <start>79</start>
      <end>80</end>
      <status>modified</status>
      <modifiedWord>—</modifiedWord>
      <trackRevisions>false</trackRevisions>
    </reviewItem>
    <reviewItem>
      <errorID>0dcf9a52-f8bd-4511-bf8b-c818655f5a26</errorID>
      <errorWord>主要以废旧物资回收企业为主</errorWord>
      <group>L1_Word</group>
      <groupName>字词问题</groupName>
      <ability>L2_Typo</ability>
      <abilityName>字词错误</abilityName>
      <candidateList>
        <item>以废旧物资回收企业为主</item>
      </candidateList>
      <explain/>
      <paraID>34EE7AE8</paraID>
      <start>56</start>
      <end>67</end>
      <status>modified</status>
      <modifiedWord>以废旧物资回收企业为主</modifiedWord>
      <trackRevisions>false</trackRevisions>
    </reviewItem>
    <reviewItem>
      <errorID>0e365f2e-d00a-463b-9369-fd0547980e13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45DC424C</paraID>
      <start>0</start>
      <end>2</end>
      <status>modified</status>
      <modifiedWord>1.</modifiedWord>
      <trackRevisions>false</trackRevisions>
    </reviewItem>
    <reviewItem>
      <errorID>08f29ca6-8715-406a-aa55-f5ddc77fd763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40C0C728</paraID>
      <start>0</start>
      <end>2</end>
      <status>modified</status>
      <modifiedWord>2.</modifiedWord>
      <trackRevisions>false</trackRevisions>
    </reviewItem>
    <reviewItem>
      <errorID>3b9a347a-b187-4fcb-894b-c6720abbf169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5FCC4ADF</paraID>
      <start>0</start>
      <end>2</end>
      <status>modified</status>
      <modifiedWord>3.</modifiedWord>
      <trackRevisions>false</trackRevisions>
    </reviewItem>
    <reviewItem>
      <errorID>a27a672f-768c-4aa1-9f95-5b802bde7a83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1D385B89</paraID>
      <start>0</start>
      <end>2</end>
      <status>modified</status>
      <modifiedWord>4.</modifiedWord>
      <trackRevisions>false</trackRevisions>
    </reviewItem>
    <reviewItem>
      <errorID>1d9a48fa-052f-4456-a1a9-2e449de23950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67027D03</paraID>
      <start>0</start>
      <end>2</end>
      <status>modified</status>
      <modifiedWord>1.</modifiedWord>
      <trackRevisions>false</trackRevisions>
    </reviewItem>
    <reviewItem>
      <errorID>b68e4ecb-a9bc-48ff-8a74-431bc69b7476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190E49FE</paraID>
      <start>0</start>
      <end>2</end>
      <status>modified</status>
      <modifiedWord>2.</modifiedWord>
      <trackRevisions>false</trackRevisions>
    </reviewItem>
    <reviewItem>
      <errorID>900101e1-816e-465a-aba3-4be877f7e3ef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201882C5</paraID>
      <start>0</start>
      <end>2</end>
      <status>modified</status>
      <modifiedWord>3.</modifiedWord>
      <trackRevisions>false</trackRevisions>
    </reviewItem>
    <reviewItem>
      <errorID>d00598df-0f81-439b-b079-6a2ea238c3f4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2774EAB7</paraID>
      <start>0</start>
      <end>2</end>
      <status>modified</status>
      <modifiedWord>4.</modifiedWord>
      <trackRevisions>false</trackRevisions>
    </reviewItem>
    <reviewItem>
      <errorID>c379bf3a-700b-428e-b18a-48188a2edaa4</errorID>
      <errorWord>外逸</errorWord>
      <group>L1_Word</group>
      <groupName>字词问题</groupName>
      <ability>L2_Typo</ability>
      <abilityName>字词错误</abilityName>
      <candidateList>
        <item>外溢</item>
      </candidateList>
      <explain/>
      <paraID>22AAF7C8</paraID>
      <start>122</start>
      <end>124</end>
      <status>modified</status>
      <modifiedWord>外溢</modifiedWord>
      <trackRevisions>false</trackRevisions>
    </reviewItem>
    <reviewItem>
      <errorID>abbc17d8-78ff-4116-9e8b-3e616c871f42</errorID>
      <errorWord>噪音</errorWord>
      <group>L1_Word</group>
      <groupName>字词问题</groupName>
      <ability>L2_Alias</ability>
      <abilityName>也作/曾用词</abilityName>
      <candidateList>
        <item>噪声</item>
      </candidateList>
      <explain>词汇[噪音]为不规范表述或旧称，其规范书面表述为[噪声]。</explain>
      <paraID>3C16B7AF</paraID>
      <start>25</start>
      <end>27</end>
      <status>modified</status>
      <modifiedWord>噪声</modifiedWord>
      <trackRevisions>false</trackRevisions>
    </reviewItem>
    <reviewItem>
      <errorID>2ae86976-c87e-4c00-8471-33961d0b425e</errorID>
      <errorWord>的颗粒物</errorWord>
      <group>L1_Knowledge</group>
      <groupName>知识性问题</groupName>
      <ability>L2_Term</ability>
      <abilityName>专业术语</abilityName>
      <candidateList>
        <item>细颗粒物</item>
      </candidateList>
      <explain/>
      <paraID>3DCF6B22</paraID>
      <start>6</start>
      <end>10</end>
      <status>ignored</status>
      <modifiedWord/>
      <trackRevisions>false</trackRevisions>
    </reviewItem>
    <reviewItem>
      <errorID>38e1344c-2108-4bb7-bbb6-6d861f671771</errorID>
      <errorWord>部分</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 694E18D</paraID>
      <start>23</start>
      <end>25</end>
      <status>modified</status>
      <modifiedWord>部门</modifiedWord>
      <trackRevisions>false</trackRevisions>
    </reviewItem>
    <reviewItem>
      <errorID>dd7b913d-706b-496a-b990-d95c869bf881</errorID>
      <errorWord>源源</errorWord>
      <group>L1_Word</group>
      <groupName>字词问题</groupName>
      <ability>L2_Typo</ability>
      <abilityName>字词错误</abilityName>
      <candidateList>
        <item>源</item>
      </candidateList>
      <explain/>
      <paraID>2C48A924</paraID>
      <start>1</start>
      <end>3</end>
      <status>ignored</status>
      <modifiedWord/>
      <trackRevisions>false</trackRevisions>
    </reviewItem>
    <reviewItem>
      <errorID>3ba93769-6955-421e-819a-573f5c870437</errorID>
      <errorWord>，</errorWord>
      <group>L1_Format</group>
      <groupName>格式问题</groupName>
      <ability>L2_HalfPunc</ability>
      <abilityName>全半角检查</abilityName>
      <candidateList>
        <item>, </item>
      </candidateList>
      <explain>文本全半角错误。</explain>
      <paraID> A383D59</paraID>
      <start>1</start>
      <end>2</end>
      <status>unmodified</status>
      <modifiedWord/>
      <trackRevisions>false</trackRevisions>
    </reviewItem>
    <reviewItem>
      <errorID>caa4b83a-26cd-4860-b5ec-a4ef476e282b</errorID>
      <errorWord>，</errorWord>
      <group>L1_Format</group>
      <groupName>格式问题</groupName>
      <ability>L2_HalfPunc</ability>
      <abilityName>全半角检查</abilityName>
      <candidateList>
        <item>, </item>
      </candidateList>
      <explain>文本全半角错误。</explain>
      <paraID>786CE57D</paraID>
      <start>1</start>
      <end>2</end>
      <status>unmodified</status>
      <modifiedWord/>
      <trackRevisions>false</trackRevisions>
    </reviewItem>
    <reviewItem>
      <errorID>02278cfb-6445-4d54-b146-9532a9ec75e6</errorID>
      <errorWord>法律、法规</errorWord>
      <group>L1_Word</group>
      <groupName>字词问题</groupName>
      <ability>L2_Typo</ability>
      <abilityName>字词错误</abilityName>
      <candidateList>
        <item>法律法规</item>
      </candidateList>
      <explain/>
      <paraID>1392A4F4</paraID>
      <start>39</start>
      <end>43</end>
      <status>modified</status>
      <modifiedWord>法律法规</modifiedWord>
      <trackRevisions>false</trackRevisions>
    </reviewItem>
    <reviewItem>
      <errorID>b5f94102-c477-426a-a903-bebbef3728a0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633DD422</paraID>
      <start>0</start>
      <end>2</end>
      <status>modified</status>
      <modifiedWord>1.</modifiedWord>
      <trackRevisions>false</trackRevisions>
    </reviewItem>
    <reviewItem>
      <errorID>eedeef37-1b12-4e11-9f0d-7735cc4259bb</errorID>
      <errorWord>;</errorWord>
      <group>L1_Format</group>
      <groupName>格式问题</groupName>
      <ability>L2_HalfPunc</ability>
      <abilityName>全半角检查</abilityName>
      <candidateList>
        <item>；</item>
      </candidateList>
      <explain>文本全半角错误。</explain>
      <paraID>633DD422</paraID>
      <start>12</start>
      <end>13</end>
      <status>modified</status>
      <modifiedWord>；</modifiedWord>
      <trackRevisions>false</trackRevisions>
    </reviewItem>
    <reviewItem>
      <errorID>4f4af541-a650-42c1-9be4-c30bfa99a8f9</errorID>
      <errorWord>:</errorWord>
      <group>L1_Format</group>
      <groupName>格式问题</groupName>
      <ability>L2_HalfPunc</ability>
      <abilityName>全半角检查</abilityName>
      <candidateList>
        <item>：</item>
      </candidateList>
      <explain>文本全半角错误。</explain>
      <paraID>633DD422</paraID>
      <start>15</start>
      <end>16</end>
      <status>modified</status>
      <modifiedWord>：</modifiedWord>
      <trackRevisions>false</trackRevisions>
    </reviewItem>
    <reviewItem>
      <errorID>041a5a83-a41a-42c8-9a7e-64735e520171</errorID>
      <errorWord>:</errorWord>
      <group>L1_Format</group>
      <groupName>格式问题</groupName>
      <ability>L2_HalfPunc</ability>
      <abilityName>全半角检查</abilityName>
      <candidateList>
        <item>：</item>
      </candidateList>
      <explain>文本全半角错误。</explain>
      <paraID>55FFF511</paraID>
      <start>2</start>
      <end>3</end>
      <status>modified</status>
      <modifiedWord>：</modifiedWord>
      <trackRevisions>false</trackRevisions>
    </reviewItem>
    <reviewItem>
      <errorID>51af5fe5-3a96-4726-a368-4183ccfe5805</errorID>
      <errorWord>:</errorWord>
      <group>L1_Format</group>
      <groupName>格式问题</groupName>
      <ability>L2_HalfPunc</ability>
      <abilityName>全半角检查</abilityName>
      <candidateList>
        <item>：</item>
      </candidateList>
      <explain>文本全半角错误。</explain>
      <paraID>55FFF511</paraID>
      <start>11</start>
      <end>12</end>
      <status>modified</status>
      <modifiedWord>：</modifiedWord>
      <trackRevisions>false</trackRevisions>
    </reviewItem>
    <reviewItem>
      <errorID>f4652408-7f9e-4887-8724-97347f931896</errorID>
      <errorWord>:</errorWord>
      <group>L1_Format</group>
      <groupName>格式问题</groupName>
      <ability>L2_HalfPunc</ability>
      <abilityName>全半角检查</abilityName>
      <candidateList>
        <item>：</item>
      </candidateList>
      <explain>文本全半角错误。</explain>
      <paraID>55FFF511</paraID>
      <start>19</start>
      <end>20</end>
      <status>modified</status>
      <modifiedWord>：</modifiedWord>
      <trackRevisions>false</trackRevisions>
    </reviewItem>
    <reviewItem>
      <errorID>3ba6a613-0a47-4cb4-998d-9c7b5d44bbd4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57696969</paraID>
      <start>0</start>
      <end>2</end>
      <status>modified</status>
      <modifiedWord>2.</modifiedWord>
      <trackRevisions>false</trackRevisions>
    </reviewItem>
    <reviewItem>
      <errorID>4bd90e0d-8b5f-4637-8315-b9ca83025b09</errorID>
      <errorWord>:</errorWord>
      <group>L1_Format</group>
      <groupName>格式问题</groupName>
      <ability>L2_HalfPunc</ability>
      <abilityName>全半角检查</abilityName>
      <candidateList>
        <item>：</item>
      </candidateList>
      <explain>文本全半角错误。</explain>
      <paraID>57696969</paraID>
      <start>6</start>
      <end>7</end>
      <status>modified</status>
      <modifiedWord>：</modifiedWord>
      <trackRevisions>false</trackRevisions>
    </reviewItem>
    <reviewItem>
      <errorID>a9536459-7863-4b1f-8b08-ade82ab2014e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454CC355</paraID>
      <start>0</start>
      <end>2</end>
      <status>modified</status>
      <modifiedWord>1.</modifiedWord>
      <trackRevisions>false</trackRevisions>
    </reviewItem>
    <reviewItem>
      <errorID>d7fd9ed2-85fa-4cde-a014-23e76be4326e</errorID>
      <errorWord>(</errorWord>
      <group>L1_Format</group>
      <groupName>格式问题</groupName>
      <ability>L2_HalfPunc</ability>
      <abilityName>全半角检查</abilityName>
      <candidateList>
        <item>（</item>
      </candidateList>
      <explain>文本全半角错误。</explain>
      <paraID>454CC355</paraID>
      <start>28</start>
      <end>29</end>
      <status>modified</status>
      <modifiedWord>（</modifiedWord>
      <trackRevisions>false</trackRevisions>
    </reviewItem>
    <reviewItem>
      <errorID>efb4f401-9582-49b0-9c36-caf05ad4f384</errorID>
      <errorWord>)</errorWord>
      <group>L1_Format</group>
      <groupName>格式问题</groupName>
      <ability>L2_HalfPunc</ability>
      <abilityName>全半角检查</abilityName>
      <candidateList>
        <item>）</item>
      </candidateList>
      <explain>文本全半角错误。</explain>
      <paraID>454CC355</paraID>
      <start>38</start>
      <end>39</end>
      <status>modified</status>
      <modifiedWord>）</modifiedWord>
      <trackRevisions>false</trackRevisions>
    </reviewItem>
    <reviewItem>
      <errorID>a3850de4-83bb-4120-85a4-6c2aa1554ccc</errorID>
      <errorWord>(</errorWord>
      <group>L1_Format</group>
      <groupName>格式问题</groupName>
      <ability>L2_HalfPunc</ability>
      <abilityName>全半角检查</abilityName>
      <candidateList>
        <item>（</item>
      </candidateList>
      <explain>文本全半角错误。</explain>
      <paraID>454CC355</paraID>
      <start>60</start>
      <end>61</end>
      <status>modified</status>
      <modifiedWord>（</modifiedWord>
      <trackRevisions>false</trackRevisions>
    </reviewItem>
    <reviewItem>
      <errorID>f1ad1e7a-7504-4e5b-ba2e-27f7a1f49528</errorID>
      <errorWord>)</errorWord>
      <group>L1_Format</group>
      <groupName>格式问题</groupName>
      <ability>L2_HalfPunc</ability>
      <abilityName>全半角检查</abilityName>
      <candidateList>
        <item>）</item>
      </candidateList>
      <explain>文本全半角错误。</explain>
      <paraID>454CC355</paraID>
      <start>66</start>
      <end>67</end>
      <status>modified</status>
      <modifiedWord>）</modifiedWord>
      <trackRevisions>false</trackRevisions>
    </reviewItem>
    <reviewItem>
      <errorID>afbc07b1-1112-4411-846b-121b8ff1ffe9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2CEE774F</paraID>
      <start>0</start>
      <end>2</end>
      <status>modified</status>
      <modifiedWord>2.</modifiedWord>
      <trackRevisions>false</trackRevisions>
    </reviewItem>
    <reviewItem>
      <errorID>2808f328-6f89-45f2-a665-bbfa0f14aeec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5363ECF6</paraID>
      <start>0</start>
      <end>2</end>
      <status>modified</status>
      <modifiedWord>3.</modifiedWord>
      <trackRevisions>false</trackRevisions>
    </reviewItem>
    <reviewItem>
      <errorID>fabeae8e-ab65-45c1-8f4b-6099e92b8574</errorID>
      <errorWord>:</errorWord>
      <group>L1_Format</group>
      <groupName>格式问题</groupName>
      <ability>L2_HalfPunc</ability>
      <abilityName>全半角检查</abilityName>
      <candidateList>
        <item>：</item>
      </candidateList>
      <explain>文本全半角错误。</explain>
      <paraID>5363ECF6</paraID>
      <start>4</start>
      <end>5</end>
      <status>modified</status>
      <modifiedWord>：</modifiedWord>
      <trackRevisions>false</trackRevisions>
    </reviewItem>
    <reviewItem>
      <errorID>12507217-0002-40f8-b825-e9a8305350b1</errorID>
      <errorWord>)</errorWord>
      <group>L1_Format</group>
      <groupName>格式问题</groupName>
      <ability>L2_HalfPunc</ability>
      <abilityName>全半角检查</abilityName>
      <candidateList>
        <item>）</item>
      </candidateList>
      <explain>文本全半角错误。</explain>
      <paraID>3B867C59</paraID>
      <start>10</start>
      <end>11</end>
      <status>modified</status>
      <modifiedWord>）</modifiedWord>
      <trackRevisions>false</trackRevisions>
    </reviewItem>
    <reviewItem>
      <errorID>8c713296-a4fc-494c-afdc-c61953af9f49</errorID>
      <errorWord>～</errorWord>
      <group>L1_Format</group>
      <groupName>格式问题</groupName>
      <ability>L2_HalfPunc</ability>
      <abilityName>全半角检查</abilityName>
      <candidateList>
        <item>~</item>
      </candidateList>
      <explain>文本全半角错误。</explain>
      <paraID>63835409</paraID>
      <start>3</start>
      <end>4</end>
      <status>modified</status>
      <modifiedWord>~</modifiedWord>
      <trackRevisions>false</trackRevisions>
    </reviewItem>
    <reviewItem>
      <errorID>1bc476fe-1a3b-4bd8-b16b-424bdde41155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563BDAF6</paraID>
      <start>0</start>
      <end>2</end>
      <status>modified</status>
      <modifiedWord>3.</modifiedWord>
      <trackRevisions>false</trackRevisions>
    </reviewItem>
    <reviewItem>
      <errorID>a0ba5e36-4553-4517-842c-f20457bb211d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6A692EF7</paraID>
      <start>0</start>
      <end>2</end>
      <status>modified</status>
      <modifiedWord>4.</modifiedWord>
      <trackRevisions>false</trackRevisions>
    </reviewItem>
    <reviewItem>
      <errorID>d20c84bd-8a2c-4945-a6bd-7e2c2838f9cf</errorID>
      <errorWord>须</errorWord>
      <group>L1_Word</group>
      <groupName>字词问题</groupName>
      <ability>L2_Typo</ability>
      <abilityName>字词错误</abilityName>
      <candidateList>
        <item>须以</item>
      </candidateList>
      <explain/>
      <paraID>7809258D</paraID>
      <start>6</start>
      <end>8</end>
      <status>modified</status>
      <modifiedWord>须以</modifiedWord>
      <trackRevisions>false</trackRevisions>
    </reviewItem>
    <reviewItem>
      <errorID>3d9ef8aa-11bb-447a-b4f4-f7bcc9e7f716</errorID>
      <errorWord>管理要</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7BA773EC</paraID>
      <start>5</start>
      <end>7</end>
      <status>modified</status>
      <modifiedWord>管理</modifiedWord>
      <trackRevisions>false</trackRevisions>
    </reviewItem>
    <reviewItem>
      <errorID>99b949b4-45fb-4b80-a9d5-015e2294e448</errorID>
      <errorWord>部</errorWord>
      <group>L1_Word</group>
      <groupName>字词问题</groupName>
      <ability>L2_Typo</ability>
      <abilityName>字词错误</abilityName>
      <candidateList>
        <item/>
      </candidateList>
      <explain/>
      <paraID>502C4903</paraID>
      <start>51</start>
      <end>52</end>
      <status>ignored</status>
      <modifiedWord/>
      <trackRevisions>false</trackRevisions>
    </reviewItem>
    <reviewItem>
      <errorID>3027034e-47c6-4b9e-b93e-d1e9466ecdd9</errorID>
      <errorWord>接受</errorWord>
      <group>L1_Word</group>
      <groupName>字词问题</groupName>
      <ability>L2_Typo</ability>
      <abilityName>字词错误</abilityName>
      <candidateList>
        <item>接收</item>
      </candidateList>
      <explain>存在发音相同字词的误用。</explain>
      <paraID>559F7BFB</paraID>
      <start>1</start>
      <end>3</end>
      <status>unmodified</status>
      <modifiedWord/>
      <trackRevisions>false</trackRevisions>
    </reviewItem>
    <reviewItem>
      <errorID>0e971830-583c-468c-a371-29d02a441140</errorID>
      <errorWord>接受</errorWord>
      <group>L1_Word</group>
      <groupName>字词问题</groupName>
      <ability>L2_Typo</ability>
      <abilityName>字词错误</abilityName>
      <candidateList>
        <item>接收</item>
      </candidateList>
      <explain>存在发音相同字词的误用。</explain>
      <paraID>559F7BFB</paraID>
      <start>23</start>
      <end>25</end>
      <status>unmodified</status>
      <modifiedWord/>
      <trackRevisions>false</trackRevisions>
    </reviewItem>
    <reviewItem>
      <errorID>0f428704-428d-496d-b7eb-51a7ef2b4bdd</errorID>
      <errorWord>接受</errorWord>
      <group>L1_Word</group>
      <groupName>字词问题</groupName>
      <ability>L2_Typo</ability>
      <abilityName>字词错误</abilityName>
      <candidateList>
        <item>接收</item>
      </candidateList>
      <explain>存在发音相同字词的误用。</explain>
      <paraID>559F7BFB</paraID>
      <start>42</start>
      <end>44</end>
      <status>unmodified</status>
      <modifiedWord/>
      <trackRevisions>false</trackRevisions>
    </reviewItem>
    <reviewItem>
      <errorID>ba13e379-c80e-4a8c-8f83-d19c2f04c31a</errorID>
      <errorWord>接受</errorWord>
      <group>L1_Word</group>
      <groupName>字词问题</groupName>
      <ability>L2_Typo</ability>
      <abilityName>字词错误</abilityName>
      <candidateList>
        <item>接收</item>
      </candidateList>
      <explain>存在发音相同字词的误用。</explain>
      <paraID>626427E5</paraID>
      <start>47</start>
      <end>49</end>
      <status>unmodified</status>
      <modifiedWord/>
      <trackRevisions>false</trackRevisions>
    </reviewItem>
    <reviewItem>
      <errorID>72ed9bc6-6d30-49ea-824e-4628c066deb2</errorID>
      <errorWord>主要</errorWord>
      <group>L1_Word</group>
      <groupName>字词问题</groupName>
      <ability>L2_Typo</ability>
      <abilityName>字词错误</abilityName>
      <candidateList>
        <item>主意</item>
      </candidateList>
      <explain/>
      <paraID>6CC46EB4</paraID>
      <start>81</start>
      <end>83</end>
      <status>unmodified</status>
      <modifiedWord/>
      <trackRevisions>false</trackRevisions>
    </reviewItem>
    <reviewItem>
      <errorID>d236b622-6385-45d4-b29f-02b3447adfc0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36529DA3</paraID>
      <start>73</start>
      <end>74</end>
      <status>ignored</status>
      <modifiedWord/>
      <trackRevisions>false</trackRevisions>
    </reviewItem>
    <reviewItem>
      <errorID>d2c82439-938f-4218-84fc-22bdc9c07a69</errorID>
      <errorWord>，</errorWord>
      <group>L1_Word</group>
      <groupName>字词问题</groupName>
      <ability>L2_Typo</ability>
      <abilityName>字词错误</abilityName>
      <candidateList>
        <item>，对</item>
      </candidateList>
      <explain/>
      <paraID>672BB56B</paraID>
      <start>115</start>
      <end>117</end>
      <status>modified</status>
      <modifiedWord>，对</modifiedWord>
      <trackRevisions>false</trackRevisions>
    </reviewItem>
    <reviewItem>
      <errorID>6b2c8246-6b14-4ea9-ac52-cb2804dacf26</errorID>
      <errorWord>泄露</errorWord>
      <group>L1_Word</group>
      <groupName>字词问题</groupName>
      <ability>L2_Typo</ability>
      <abilityName>字词错误</abilityName>
      <candidateList>
        <item>泄漏</item>
      </candidateList>
      <explain>存在发音相同字词的误用。</explain>
      <paraID>711DCC4F</paraID>
      <start>66</start>
      <end>68</end>
      <status>modified</status>
      <modifiedWord>泄漏</modifiedWord>
      <trackRevisions>false</trackRevisions>
    </reviewItem>
    <reviewItem>
      <errorID>58fc8419-dfa8-4758-aab0-31193a8b02c6</errorID>
      <errorWord>应付</errorWord>
      <group>L1_Word</group>
      <groupName>字词问题</groupName>
      <ability>L2_Typo</ability>
      <abilityName>字词错误</abilityName>
      <candidateList>
        <item>应对</item>
      </candidateList>
      <explain/>
      <paraID>233D24CF</paraID>
      <start>136</start>
      <end>138</end>
      <status>modified</status>
      <modifiedWord>应对</modifiedWord>
      <trackRevisions>false</trackRevisions>
    </reviewItem>
    <reviewItem>
      <errorID>9d299858-6c22-4f89-877d-141976eb30df</errorID>
      <errorWord>设</errorWord>
      <group>L1_Word</group>
      <groupName>字词问题</groupName>
      <ability>L2_Typo</ability>
      <abilityName>字词错误</abilityName>
      <candidateList>
        <item>设立</item>
      </candidateList>
      <explain/>
      <paraID>680E6E13</paraID>
      <start>17</start>
      <end>19</end>
      <status>modified</status>
      <modifiedWord>设立</modifiedWord>
      <trackRevisions>false</trackRevisions>
    </reviewItem>
    <reviewItem>
      <errorID>609eb78b-2fd9-4103-a05a-8a60e09910da</errorID>
      <errorWord>法律、法规</errorWord>
      <group>L1_Word</group>
      <groupName>字词问题</groupName>
      <ability>L2_Typo</ability>
      <abilityName>字词错误</abilityName>
      <candidateList>
        <item>法律法规</item>
      </candidateList>
      <explain/>
      <paraID>4847AB17</paraID>
      <start>24</start>
      <end>28</end>
      <status>modified</status>
      <modifiedWord>法律法规</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107D1E-B92B-4FC0-A453-1BBB5304205A}">
  <ds:schemaRefs/>
</ds:datastoreItem>
</file>

<file path=customXml/itemProps3.xml><?xml version="1.0" encoding="utf-8"?>
<ds:datastoreItem xmlns:ds="http://schemas.openxmlformats.org/officeDocument/2006/customXml" ds:itemID="{97371F5D-9C92-44C6-BC70-2AD070C02023}">
  <ds:schemaRefs/>
</ds:datastoreItem>
</file>

<file path=docProps/app.xml><?xml version="1.0" encoding="utf-8"?>
<Properties xmlns="http://schemas.openxmlformats.org/officeDocument/2006/extended-properties" xmlns:vt="http://schemas.openxmlformats.org/officeDocument/2006/docPropsVTypes">
  <Template>Normal</Template>
  <Pages>72</Pages>
  <Words>8381</Words>
  <Characters>47773</Characters>
  <Lines>398</Lines>
  <Paragraphs>112</Paragraphs>
  <TotalTime>103</TotalTime>
  <ScaleCrop>false</ScaleCrop>
  <LinksUpToDate>false</LinksUpToDate>
  <CharactersWithSpaces>56042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2025-12-22T12:36:00Z</dcterms:created>
  <dc:creator>鲍 宏岩</dc:creator>
  <cp:lastModifiedBy>Administrator</cp:lastModifiedBy>
  <cp:lastPrinted>2026-01-04T10:54:00Z</cp:lastPrinted>
  <dcterms:modified xsi:type="dcterms:W3CDTF">2026-01-09T08:16:31Z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41920F5FD95B4D20A67CAE18231E12DA_13</vt:lpwstr>
  </property>
  <property fmtid="{D5CDD505-2E9C-101B-9397-08002B2CF9AE}" pid="4" name="KSOTemplateDocerSaveRecord">
    <vt:lpwstr>eyJoZGlkIjoiMTZmZGQ1YjY3YWE4ZjQxNzM3Mjc0MGM1ZTljYWMwNWUiLCJ1c2VySWQiOiIxNzMxMTIxNzk1In0=</vt:lpwstr>
  </property>
</Properties>
</file>