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textAlignment w:val="auto"/>
        <w:outlineLvl w:val="0"/>
        <w:rPr>
          <w:rFonts w:ascii="方正小标宋_GBK" w:eastAsia="方正小标宋_GBK" w:cs="Times New Roman"/>
          <w:bCs/>
          <w:color w:val="000000" w:themeColor="text1"/>
          <w:sz w:val="72"/>
          <w:szCs w:val="72"/>
          <w14:textFill>
            <w14:solidFill>
              <w14:schemeClr w14:val="tx1"/>
            </w14:solidFill>
          </w14:textFill>
        </w:rPr>
      </w:pPr>
      <w:bookmarkStart w:id="0" w:name="_Hlk215836209"/>
    </w:p>
    <w:p>
      <w:pPr>
        <w:adjustRightInd w:val="0"/>
        <w:snapToGrid w:val="0"/>
        <w:spacing w:line="240" w:lineRule="auto"/>
        <w:ind w:firstLine="0" w:firstLineChars="0"/>
        <w:jc w:val="center"/>
        <w:textAlignment w:val="auto"/>
        <w:outlineLvl w:val="0"/>
        <w:rPr>
          <w:rFonts w:ascii="宋体" w:hAnsi="宋体" w:cs="Times New Roman"/>
          <w:bCs/>
          <w:color w:val="000000" w:themeColor="text1"/>
          <w:sz w:val="72"/>
          <w:szCs w:val="72"/>
          <w14:textFill>
            <w14:solidFill>
              <w14:schemeClr w14:val="tx1"/>
            </w14:solidFill>
          </w14:textFill>
        </w:rPr>
      </w:pPr>
      <w:r>
        <w:rPr>
          <w:rFonts w:hint="eastAsia" w:ascii="宋体" w:hAnsi="宋体" w:cs="Times New Roman"/>
          <w:bCs/>
          <w:color w:val="000000" w:themeColor="text1"/>
          <w:sz w:val="72"/>
          <w:szCs w:val="72"/>
          <w14:textFill>
            <w14:solidFill>
              <w14:schemeClr w14:val="tx1"/>
            </w14:solidFill>
          </w14:textFill>
        </w:rPr>
        <w:t>建设项目环境影响报告表</w:t>
      </w:r>
    </w:p>
    <w:p>
      <w:pPr>
        <w:adjustRightInd w:val="0"/>
        <w:snapToGrid w:val="0"/>
        <w:spacing w:before="260" w:beforeLines="80" w:line="240" w:lineRule="auto"/>
        <w:ind w:firstLine="0" w:firstLineChars="0"/>
        <w:jc w:val="center"/>
        <w:textAlignment w:val="auto"/>
        <w:rPr>
          <w:rFonts w:ascii="宋体" w:hAnsi="宋体" w:cs="Times New Roman"/>
          <w:bCs/>
          <w:color w:val="000000" w:themeColor="text1"/>
          <w:sz w:val="48"/>
          <w:szCs w:val="48"/>
          <w14:textFill>
            <w14:solidFill>
              <w14:schemeClr w14:val="tx1"/>
            </w14:solidFill>
          </w14:textFill>
        </w:rPr>
      </w:pPr>
      <w:r>
        <w:rPr>
          <w:rFonts w:hint="eastAsia" w:ascii="宋体" w:hAnsi="宋体" w:cs="Times New Roman"/>
          <w:bCs/>
          <w:color w:val="000000" w:themeColor="text1"/>
          <w:sz w:val="48"/>
          <w:szCs w:val="48"/>
          <w14:textFill>
            <w14:solidFill>
              <w14:schemeClr w14:val="tx1"/>
            </w14:solidFill>
          </w14:textFill>
        </w:rPr>
        <w:t>（污染影响类）</w:t>
      </w: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pacing w:after="240"/>
        <w:ind w:left="1800" w:hanging="1800" w:hangingChars="500"/>
        <w:jc w:val="left"/>
        <w:textAlignment w:val="auto"/>
        <w:rPr>
          <w:rFonts w:cs="Times New Roman"/>
          <w:color w:val="000000" w:themeColor="text1"/>
          <w:sz w:val="36"/>
          <w:szCs w:val="36"/>
          <w:u w:val="single"/>
          <w14:textFill>
            <w14:solidFill>
              <w14:schemeClr w14:val="tx1"/>
            </w14:solidFill>
          </w14:textFill>
        </w:rPr>
      </w:pPr>
      <w:bookmarkStart w:id="1" w:name="_Hlk215836157"/>
      <w:r>
        <w:rPr>
          <w:rFonts w:cs="Times New Roman"/>
          <w:color w:val="000000" w:themeColor="text1"/>
          <w:sz w:val="36"/>
          <w:szCs w:val="36"/>
          <w14:textFill>
            <w14:solidFill>
              <w14:schemeClr w14:val="tx1"/>
            </w14:solidFill>
          </w14:textFill>
        </w:rPr>
        <w:t>项目名称：</w:t>
      </w:r>
      <w:bookmarkStart w:id="2" w:name="_Hlk215836128"/>
      <w:r>
        <w:rPr>
          <w:rFonts w:hint="eastAsia" w:cs="Times New Roman"/>
          <w:color w:val="000000" w:themeColor="text1"/>
          <w:sz w:val="36"/>
          <w:szCs w:val="36"/>
          <w:u w:val="single"/>
          <w14:textFill>
            <w14:solidFill>
              <w14:schemeClr w14:val="tx1"/>
            </w14:solidFill>
          </w14:textFill>
        </w:rPr>
        <w:t>新疆锦瑞驰云再生资源回收有限公司再生资源加工处置建设项目</w:t>
      </w:r>
      <w:bookmarkEnd w:id="2"/>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p>
    <w:p>
      <w:pPr>
        <w:adjustRightInd w:val="0"/>
        <w:snapToGrid w:val="0"/>
        <w:ind w:firstLine="0" w:firstLineChars="0"/>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建设单位（盖章）：</w:t>
      </w:r>
      <w:r>
        <w:rPr>
          <w:rFonts w:hint="eastAsia" w:cs="Times New Roman"/>
          <w:color w:val="000000" w:themeColor="text1"/>
          <w:sz w:val="36"/>
          <w:szCs w:val="36"/>
          <w:u w:val="single"/>
          <w14:textFill>
            <w14:solidFill>
              <w14:schemeClr w14:val="tx1"/>
            </w14:solidFill>
          </w14:textFill>
        </w:rPr>
        <w:t>新疆锦瑞驰云再生资源回收有限公司</w:t>
      </w:r>
      <w:r>
        <w:rPr>
          <w:rFonts w:cs="Times New Roman"/>
          <w:color w:val="000000" w:themeColor="text1"/>
          <w:sz w:val="36"/>
          <w:szCs w:val="36"/>
          <w:u w:val="single"/>
          <w14:textFill>
            <w14:solidFill>
              <w14:schemeClr w14:val="tx1"/>
            </w14:solidFill>
          </w14:textFill>
        </w:rPr>
        <w:t xml:space="preserve">  </w:t>
      </w:r>
    </w:p>
    <w:p>
      <w:pPr>
        <w:adjustRightInd w:val="0"/>
        <w:snapToGrid w:val="0"/>
        <w:ind w:firstLine="0" w:firstLineChars="0"/>
        <w:textAlignment w:val="auto"/>
        <w:rPr>
          <w:rFonts w:ascii="宋体" w:hAnsi="宋体"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编制日期：</w:t>
      </w:r>
      <w:r>
        <w:rPr>
          <w:rFonts w:cs="Times New Roman"/>
          <w:color w:val="000000" w:themeColor="text1"/>
          <w:sz w:val="36"/>
          <w:szCs w:val="36"/>
          <w:u w:val="single"/>
          <w14:textFill>
            <w14:solidFill>
              <w14:schemeClr w14:val="tx1"/>
            </w14:solidFill>
          </w14:textFill>
        </w:rPr>
        <w:t>202</w:t>
      </w:r>
      <w:r>
        <w:rPr>
          <w:rFonts w:hint="eastAsia" w:cs="Times New Roman"/>
          <w:color w:val="000000" w:themeColor="text1"/>
          <w:sz w:val="36"/>
          <w:szCs w:val="36"/>
          <w:u w:val="single"/>
          <w14:textFill>
            <w14:solidFill>
              <w14:schemeClr w14:val="tx1"/>
            </w14:solidFill>
          </w14:textFill>
        </w:rPr>
        <w:t>5</w:t>
      </w:r>
      <w:r>
        <w:rPr>
          <w:rFonts w:cs="Times New Roman"/>
          <w:color w:val="000000" w:themeColor="text1"/>
          <w:sz w:val="36"/>
          <w:szCs w:val="36"/>
          <w:u w:val="single"/>
          <w14:textFill>
            <w14:solidFill>
              <w14:schemeClr w14:val="tx1"/>
            </w14:solidFill>
          </w14:textFill>
        </w:rPr>
        <w:t>年1</w:t>
      </w:r>
      <w:r>
        <w:rPr>
          <w:rFonts w:hint="eastAsia" w:cs="Times New Roman"/>
          <w:color w:val="000000" w:themeColor="text1"/>
          <w:sz w:val="36"/>
          <w:szCs w:val="36"/>
          <w:u w:val="single"/>
          <w14:textFill>
            <w14:solidFill>
              <w14:schemeClr w14:val="tx1"/>
            </w14:solidFill>
          </w14:textFill>
        </w:rPr>
        <w:t>2</w:t>
      </w:r>
      <w:r>
        <w:rPr>
          <w:rFonts w:cs="Times New Roman"/>
          <w:color w:val="000000" w:themeColor="text1"/>
          <w:sz w:val="36"/>
          <w:szCs w:val="36"/>
          <w:u w:val="single"/>
          <w14:textFill>
            <w14:solidFill>
              <w14:schemeClr w14:val="tx1"/>
            </w14:solidFill>
          </w14:textFill>
        </w:rPr>
        <w:t xml:space="preserve">月  </w:t>
      </w:r>
      <w:r>
        <w:rPr>
          <w:rFonts w:ascii="宋体" w:hAnsi="宋体" w:cs="Times New Roman"/>
          <w:color w:val="000000" w:themeColor="text1"/>
          <w:sz w:val="36"/>
          <w:szCs w:val="36"/>
          <w:u w:val="single"/>
          <w14:textFill>
            <w14:solidFill>
              <w14:schemeClr w14:val="tx1"/>
            </w14:solidFill>
          </w14:textFill>
        </w:rPr>
        <w:t xml:space="preserve">                           </w:t>
      </w:r>
    </w:p>
    <w:bookmarkEnd w:id="1"/>
    <w:p>
      <w:pPr>
        <w:adjustRightInd w:val="0"/>
        <w:snapToGrid w:val="0"/>
        <w:spacing w:line="288" w:lineRule="auto"/>
        <w:ind w:firstLine="1040" w:firstLineChars="0"/>
        <w:textAlignment w:val="auto"/>
        <w:rPr>
          <w:rFonts w:ascii="仿宋_GB2312" w:eastAsia="仿宋_GB2312" w:cs="Times New Roman"/>
          <w:color w:val="000000" w:themeColor="text1"/>
          <w:sz w:val="36"/>
          <w:szCs w:val="36"/>
          <w:u w:val="single"/>
          <w14:textFill>
            <w14:solidFill>
              <w14:schemeClr w14:val="tx1"/>
            </w14:solidFill>
          </w14:textFill>
        </w:rPr>
      </w:pPr>
      <w:bookmarkStart w:id="3" w:name="_Hlk57884087"/>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bookmarkEnd w:id="3"/>
    <w:p>
      <w:pPr>
        <w:adjustRightInd w:val="0"/>
        <w:snapToGrid w:val="0"/>
        <w:spacing w:line="288" w:lineRule="auto"/>
        <w:ind w:firstLine="0" w:firstLineChars="0"/>
        <w:jc w:val="center"/>
        <w:textAlignment w:val="auto"/>
        <w:rPr>
          <w:rFonts w:ascii="楷体_GB2312" w:eastAsia="楷体_GB2312" w:cs="Times New Roman"/>
          <w:color w:val="000000" w:themeColor="text1"/>
          <w:sz w:val="36"/>
          <w:szCs w:val="36"/>
          <w14:textFill>
            <w14:solidFill>
              <w14:schemeClr w14:val="tx1"/>
            </w14:solidFill>
          </w14:textFill>
        </w:rPr>
      </w:pPr>
      <w:r>
        <w:rPr>
          <w:rFonts w:hint="eastAsia" w:ascii="楷体_GB2312" w:eastAsia="楷体_GB2312" w:cs="Times New Roman"/>
          <w:color w:val="000000" w:themeColor="text1"/>
          <w:sz w:val="36"/>
          <w:szCs w:val="36"/>
          <w14:textFill>
            <w14:solidFill>
              <w14:schemeClr w14:val="tx1"/>
            </w14:solidFill>
          </w14:textFill>
        </w:rPr>
        <w:t>中华人民共和国生态环境部制</w:t>
      </w:r>
    </w:p>
    <w:p>
      <w:pPr>
        <w:ind w:firstLine="480"/>
      </w:pPr>
    </w:p>
    <w:bookmarkEnd w:id="0"/>
    <w:p>
      <w:pPr>
        <w:ind w:firstLine="480"/>
      </w:pPr>
    </w:p>
    <w:p>
      <w:pPr>
        <w:ind w:firstLine="480"/>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一、建设项目基本情况</w:t>
      </w:r>
    </w:p>
    <w:tbl>
      <w:tblPr>
        <w:tblStyle w:val="24"/>
        <w:tblW w:w="498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83"/>
        <w:gridCol w:w="1703"/>
        <w:gridCol w:w="2040"/>
        <w:gridCol w:w="1856"/>
        <w:gridCol w:w="2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5"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建设项目名称</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4" w:name="_Hlk215841538"/>
            <w:bookmarkStart w:id="5" w:name="_Hlk215836409"/>
            <w:r>
              <w:rPr>
                <w:rFonts w:hint="eastAsia" w:cs="Times New Roman"/>
                <w:color w:val="000000" w:themeColor="text1"/>
                <w:szCs w:val="24"/>
                <w14:textFill>
                  <w14:solidFill>
                    <w14:schemeClr w14:val="tx1"/>
                  </w14:solidFill>
                </w14:textFill>
              </w:rPr>
              <w:t>新疆锦瑞驰云再生资源回收有限公司</w:t>
            </w:r>
            <w:bookmarkEnd w:id="4"/>
            <w:r>
              <w:rPr>
                <w:rFonts w:hint="eastAsia" w:cs="Times New Roman"/>
                <w:color w:val="000000" w:themeColor="text1"/>
                <w:szCs w:val="24"/>
                <w14:textFill>
                  <w14:solidFill>
                    <w14:schemeClr w14:val="tx1"/>
                  </w14:solidFill>
                </w14:textFill>
              </w:rPr>
              <w:t>再生资源加工处置建设项目</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3"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项目代码</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22" w:name="_GoBack"/>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建设单位联系人</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9"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建设地点</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4"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地理坐标</w:t>
            </w:r>
          </w:p>
        </w:tc>
        <w:tc>
          <w:tcPr>
            <w:tcW w:w="3796" w:type="pct"/>
            <w:gridSpan w:val="3"/>
            <w:vAlign w:val="center"/>
          </w:tcPr>
          <w:p>
            <w:pPr>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6"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国民经济</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t>C</w:t>
            </w:r>
            <w:r>
              <w:rPr>
                <w:rFonts w:hint="eastAsia"/>
              </w:rPr>
              <w:t>4220非金属废料和碎屑加工处理</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6" w:name="_Hlk49843745"/>
            <w:r>
              <w:rPr>
                <w:rFonts w:cs="Times New Roman"/>
                <w:color w:val="000000" w:themeColor="text1"/>
                <w:szCs w:val="24"/>
                <w14:textFill>
                  <w14:solidFill>
                    <w14:schemeClr w14:val="tx1"/>
                  </w14:solidFill>
                </w14:textFill>
              </w:rPr>
              <w:t>建设项目</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bookmarkEnd w:id="6"/>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rPr>
              <w:t>三十九、废弃资源综合利用业42-85、非金属废料和碎屑加工处理4</w:t>
            </w:r>
            <w:r>
              <w:t>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建设性质</w:t>
            </w:r>
          </w:p>
        </w:tc>
        <w:tc>
          <w:tcPr>
            <w:tcW w:w="1123" w:type="pct"/>
            <w:vAlign w:val="center"/>
          </w:tcPr>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新建（迁建）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改建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扩建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技术改造</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申报情形</w:t>
            </w:r>
          </w:p>
        </w:tc>
        <w:tc>
          <w:tcPr>
            <w:tcW w:w="1650" w:type="pct"/>
            <w:vAlign w:val="center"/>
          </w:tcPr>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首次申报项目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不予批准后再次申报项目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超五年重新审核项目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4"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备案）部门（选填）</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库尔勒市发展和改革委员会</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备案）文号（选填）</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2025210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总投资（万元）</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156.2</w:t>
            </w:r>
          </w:p>
        </w:tc>
        <w:tc>
          <w:tcPr>
            <w:tcW w:w="1022" w:type="pct"/>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环保投资（万元）</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hint="eastAsia" w:cs="Times New Roman"/>
                <w:color w:val="000000" w:themeColor="text1"/>
                <w:szCs w:val="24"/>
                <w14:textFill>
                  <w14:solidFill>
                    <w14:schemeClr w14:val="tx1"/>
                  </w14:solidFill>
                </w14:textFill>
              </w:rPr>
              <w:t>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环保投资占比（%）</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15.04</w:t>
            </w:r>
          </w:p>
        </w:tc>
        <w:tc>
          <w:tcPr>
            <w:tcW w:w="1022" w:type="pct"/>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施工工期</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3"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是否开工建设</w:t>
            </w:r>
          </w:p>
        </w:tc>
        <w:tc>
          <w:tcPr>
            <w:tcW w:w="1123" w:type="pct"/>
            <w:vAlign w:val="center"/>
          </w:tcPr>
          <w:p>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否</w:t>
            </w:r>
          </w:p>
          <w:p>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00A3"/>
            </w:r>
            <w:r>
              <w:rPr>
                <w:rFonts w:cs="Times New Roman"/>
                <w:color w:val="000000" w:themeColor="text1"/>
                <w:szCs w:val="24"/>
                <w14:textFill>
                  <w14:solidFill>
                    <w14:schemeClr w14:val="tx1"/>
                  </w14:solidFill>
                </w14:textFill>
              </w:rPr>
              <w:t>是</w:t>
            </w:r>
          </w:p>
        </w:tc>
        <w:tc>
          <w:tcPr>
            <w:tcW w:w="1022" w:type="pct"/>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pacing w:val="-6"/>
                <w:szCs w:val="24"/>
                <w14:textFill>
                  <w14:solidFill>
                    <w14:schemeClr w14:val="tx1"/>
                  </w14:solidFill>
                </w14:textFill>
              </w:rPr>
            </w:pPr>
            <w:r>
              <w:rPr>
                <w:rFonts w:cs="Times New Roman"/>
                <w:color w:val="000000" w:themeColor="text1"/>
                <w:spacing w:val="-6"/>
                <w:szCs w:val="24"/>
                <w14:textFill>
                  <w14:solidFill>
                    <w14:schemeClr w14:val="tx1"/>
                  </w14:solidFill>
                </w14:textFill>
              </w:rPr>
              <w:t>用地（用海）</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pacing w:val="-6"/>
                <w:szCs w:val="24"/>
                <w14:textFill>
                  <w14:solidFill>
                    <w14:schemeClr w14:val="tx1"/>
                  </w14:solidFill>
                </w14:textFill>
              </w:rPr>
              <w:t>面积（m</w:t>
            </w:r>
            <w:r>
              <w:rPr>
                <w:rFonts w:cs="Times New Roman"/>
                <w:color w:val="000000" w:themeColor="text1"/>
                <w:spacing w:val="-6"/>
                <w:szCs w:val="24"/>
                <w:vertAlign w:val="superscript"/>
                <w14:textFill>
                  <w14:solidFill>
                    <w14:schemeClr w14:val="tx1"/>
                  </w14:solidFill>
                </w14:textFill>
              </w:rPr>
              <w:t>2</w:t>
            </w:r>
            <w:r>
              <w:rPr>
                <w:rFonts w:cs="Times New Roman"/>
                <w:color w:val="000000" w:themeColor="text1"/>
                <w:spacing w:val="-6"/>
                <w:szCs w:val="24"/>
                <w14:textFill>
                  <w14:solidFill>
                    <w14:schemeClr w14:val="tx1"/>
                  </w14:solidFill>
                </w14:textFill>
              </w:rPr>
              <w:t>）</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7151.35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1203" w:type="pct"/>
            <w:gridSpan w:val="2"/>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专项评价设置情况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1203" w:type="pct"/>
            <w:gridSpan w:val="2"/>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1203" w:type="pct"/>
            <w:gridSpan w:val="2"/>
            <w:vAlign w:val="center"/>
          </w:tcPr>
          <w:p>
            <w:pPr>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规划环境影响评价情况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03" w:type="pct"/>
            <w:gridSpan w:val="2"/>
            <w:vAlign w:val="center"/>
          </w:tcPr>
          <w:p>
            <w:pPr>
              <w:autoSpaceDE w:val="0"/>
              <w:autoSpaceDN w:val="0"/>
              <w:adjustRightInd w:val="0"/>
              <w:snapToGrid w:val="0"/>
              <w:spacing w:line="240" w:lineRule="auto"/>
              <w:ind w:firstLine="0" w:firstLineChars="0"/>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规划及规划环境影响评价符合性分析</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42" w:hRule="atLeast"/>
        </w:trPr>
        <w:tc>
          <w:tcPr>
            <w:tcW w:w="267" w:type="pct"/>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其他符合性分析</w:t>
            </w:r>
          </w:p>
        </w:tc>
        <w:tc>
          <w:tcPr>
            <w:tcW w:w="4732" w:type="pct"/>
            <w:gridSpan w:val="4"/>
            <w:vAlign w:val="center"/>
          </w:tcPr>
          <w:p>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1.项目产业政策符合性分析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根据国家发展和改革委员会《产业结构调整指导目录（</w:t>
            </w:r>
            <w:r>
              <w:rPr>
                <w:color w:val="000000" w:themeColor="text1"/>
                <w14:textFill>
                  <w14:solidFill>
                    <w14:schemeClr w14:val="tx1"/>
                  </w14:solidFill>
                </w14:textFill>
              </w:rPr>
              <w:t>2024</w:t>
            </w:r>
            <w:r>
              <w:rPr>
                <w:rFonts w:hint="eastAsia"/>
                <w:color w:val="000000" w:themeColor="text1"/>
                <w14:textFill>
                  <w14:solidFill>
                    <w14:schemeClr w14:val="tx1"/>
                  </w14:solidFill>
                </w14:textFill>
              </w:rPr>
              <w:t>年本）》的要求，</w:t>
            </w:r>
            <w:r>
              <w:rPr>
                <w:rFonts w:hint="eastAsia"/>
              </w:rPr>
              <w:t>本项目属于鼓励类中的“</w:t>
            </w:r>
            <w:r>
              <w:rPr>
                <w:rFonts w:hint="eastAsia"/>
                <w:b/>
                <w:bCs/>
              </w:rPr>
              <w:t>四十二、环境保护与资源节约综合利用</w:t>
            </w:r>
            <w:r>
              <w:rPr>
                <w:rFonts w:hint="eastAsia"/>
              </w:rPr>
              <w:t>——</w:t>
            </w:r>
            <w:r>
              <w:t>8</w:t>
            </w:r>
            <w:r>
              <w:rPr>
                <w:rFonts w:hint="eastAsia"/>
              </w:rPr>
              <w:t>、废弃物循环利用：</w:t>
            </w:r>
            <w:r>
              <w:rPr>
                <w:rFonts w:hint="eastAsia" w:cs="Times New Roman"/>
              </w:rPr>
              <w:t>废钢铁、废有色金属、废纸、废橡胶、废玻璃、</w:t>
            </w:r>
            <w:r>
              <w:rPr>
                <w:rFonts w:hint="eastAsia" w:cs="Times New Roman"/>
                <w:b/>
                <w:bCs/>
              </w:rPr>
              <w:t>废塑料等</w:t>
            </w:r>
            <w:r>
              <w:rPr>
                <w:rFonts w:hint="eastAsia" w:cs="Times New Roman"/>
              </w:rPr>
              <w:t>城市典型废弃物循环利用、技术设备开发及应用”，故</w:t>
            </w:r>
            <w:r>
              <w:rPr>
                <w:rFonts w:hint="eastAsia"/>
                <w:color w:val="000000" w:themeColor="text1"/>
                <w14:textFill>
                  <w14:solidFill>
                    <w14:schemeClr w14:val="tx1"/>
                  </w14:solidFill>
                </w14:textFill>
              </w:rPr>
              <w:t>符合国家产业政策。</w:t>
            </w:r>
            <w:bookmarkStart w:id="7" w:name="_Hlk97287319"/>
          </w:p>
          <w:p>
            <w:pPr>
              <w:ind w:firstLine="0" w:firstLineChars="0"/>
              <w:rPr>
                <w:rFonts w:cs="Times New Roman"/>
                <w:b/>
                <w:bCs/>
              </w:rPr>
            </w:pPr>
            <w:r>
              <w:rPr>
                <w:rFonts w:hint="eastAsia"/>
                <w:b/>
                <w:bCs/>
                <w:color w:val="000000" w:themeColor="text1"/>
                <w14:textFill>
                  <w14:solidFill>
                    <w14:schemeClr w14:val="tx1"/>
                  </w14:solidFill>
                </w14:textFill>
              </w:rPr>
              <w:t>2.选址合理性分析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本项目位于库尔勒市哈拉玉宫镇废旧物资回收加工产业园内的废旧塑料回收加工区。项目所在地水、电、道路等基础设施配套齐全，具备良好的建设条件。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项目用地为工业用地，不涉及农业、林业用地，无土地权属纠纷；用地范围内未占用饮用水水源保护区、自然保护区、风景名胜区、生态功能保护区及其他生态敏感区与脆弱区，符合生态保护红线管控要求。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从行业属性看，本项目属于资源综合利用类环保产业项目，是推动废塑料资源化利用、促进循环经济发展的重要组成部分。项目以废旧塑料为原料，经分拣、破碎、清洗、脱水等工艺处理后，制成洁净的塑料碎片，作为再生资源外售至下游塑料加工企业，实现废弃物的减量化、资源化和无害化处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建设与运营过程中，项目严格落实环境保护主体责任，依据环境影响评价文件要求，配套建设完善且技术可行的污染物治理设施，确保各类污染物稳定达标排放。项目选址不在生态环境保护“禁批”或“限批”范围内，符合国家及地方关于建设项目审批的相关政策规定，具备实施的合法性和可行性。</w:t>
            </w:r>
          </w:p>
          <w:p>
            <w:pPr>
              <w:ind w:firstLine="480"/>
              <w:rPr>
                <w:rFonts w:cs="Times New Roman"/>
              </w:rPr>
            </w:pPr>
            <w:r>
              <w:rPr>
                <w:rFonts w:hint="eastAsia"/>
                <w:color w:val="000000" w:themeColor="text1"/>
                <w14:textFill>
                  <w14:solidFill>
                    <w14:schemeClr w14:val="tx1"/>
                  </w14:solidFill>
                </w14:textFill>
              </w:rPr>
              <w:t>综上所述，本项目选址合理，符合相关规划与环保要求</w:t>
            </w:r>
            <w:r>
              <w:rPr>
                <w:color w:val="000000" w:themeColor="text1"/>
                <w14:textFill>
                  <w14:solidFill>
                    <w14:schemeClr w14:val="tx1"/>
                  </w14:solidFill>
                </w14:textFill>
              </w:rPr>
              <w:t>。</w:t>
            </w:r>
          </w:p>
          <w:p>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3.本项目与《新疆维吾尔自治区“三线一单”生态环境分区管控方案》（新政发〔2021〕18号）符合性分析</w:t>
            </w:r>
          </w:p>
          <w:p>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1-1  </w:t>
            </w:r>
            <w:r>
              <w:rPr>
                <w:rFonts w:hint="eastAsia" w:cs="Times New Roman"/>
                <w:b/>
                <w:kern w:val="0"/>
                <w:sz w:val="21"/>
                <w:szCs w:val="20"/>
              </w:rPr>
              <w:t>本项目与《新疆维吾尔自治区“三线一单”生态环境分区管控方案》符合性分析一览表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566"/>
              <w:gridCol w:w="4087"/>
              <w:gridCol w:w="2165"/>
              <w:gridCol w:w="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名称</w:t>
                  </w:r>
                </w:p>
              </w:tc>
              <w:tc>
                <w:tcPr>
                  <w:tcW w:w="2786" w:type="pct"/>
                  <w:gridSpan w:val="2"/>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文件要求</w:t>
                  </w:r>
                </w:p>
              </w:tc>
              <w:tc>
                <w:tcPr>
                  <w:tcW w:w="129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restar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《新疆维吾尔自治区生态环境分区管控动态更新成果》（新环环评发〔2024〕</w:t>
                  </w:r>
                </w:p>
                <w:p>
                  <w:pPr>
                    <w:spacing w:line="240" w:lineRule="auto"/>
                    <w:ind w:firstLine="0" w:firstLineChars="0"/>
                    <w:contextualSpacing/>
                    <w:jc w:val="center"/>
                    <w:rPr>
                      <w:rFonts w:cs="Times New Roman"/>
                      <w:sz w:val="21"/>
                      <w:szCs w:val="21"/>
                    </w:rPr>
                  </w:pPr>
                  <w:r>
                    <w:rPr>
                      <w:rFonts w:hint="eastAsia" w:cs="Times New Roman"/>
                      <w:sz w:val="21"/>
                      <w:szCs w:val="21"/>
                    </w:rPr>
                    <w:t>157号）</w:t>
                  </w: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生态保护红线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按照“生态功能不降低、面积不减少、性质不改变”的基本要求，对划定的生态保护红线实施严格管控，保障和维护国家生态安全的底线和生命线</w:t>
                  </w:r>
                </w:p>
              </w:tc>
              <w:tc>
                <w:tcPr>
                  <w:tcW w:w="129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本项目不在生态保护红线范围内</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环境质量底线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营运期产生的废水主要包括生产废水和生活污水。生产废水经沉淀池处理后，回用于生产，不外排；生活污水经化粪池预处理后，定期由吸污车抽运至库尔勒市南市区污水处理厂进一步处理；破碎工序采用湿法破碎工艺，在密闭厂房内进行，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资源利用上线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强化节约集约利用，持续提升资源能源利用效率，水资源、土地资源、能源消耗等达到国家、自治区下达的总量和强度控制目标</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本项目用水由库尔勒市哈拉玉宫镇废旧物资回收加工产业园供水系统供给，占地规模小。用水量、建设用地规模及综合能耗均符合国家及自治区规定的总量和强度控制要求</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环境管控单元</w:t>
                  </w:r>
                </w:p>
              </w:tc>
              <w:tc>
                <w:tcPr>
                  <w:tcW w:w="2446" w:type="pct"/>
                  <w:vAlign w:val="center"/>
                </w:tcPr>
                <w:p>
                  <w:pPr>
                    <w:adjustRightInd w:val="0"/>
                    <w:spacing w:line="240" w:lineRule="auto"/>
                    <w:ind w:firstLine="420"/>
                    <w:rPr>
                      <w:rFonts w:cs="Times New Roman"/>
                      <w:sz w:val="21"/>
                      <w:szCs w:val="21"/>
                    </w:rPr>
                  </w:pPr>
                  <w:r>
                    <w:rPr>
                      <w:rFonts w:hint="eastAsia" w:cs="Times New Roman"/>
                      <w:sz w:val="21"/>
                      <w:szCs w:val="21"/>
                    </w:rPr>
                    <w:t>自治区共划定1777个环境管控单元，分为优先保护单元、重点管控单元和一般管控单元三类，实施分类管控。</w:t>
                  </w:r>
                </w:p>
                <w:p>
                  <w:pPr>
                    <w:adjustRightInd w:val="0"/>
                    <w:spacing w:line="240" w:lineRule="auto"/>
                    <w:ind w:firstLine="420"/>
                    <w:rPr>
                      <w:rFonts w:cs="Times New Roman"/>
                      <w:sz w:val="21"/>
                      <w:szCs w:val="21"/>
                    </w:rPr>
                  </w:pPr>
                  <w:r>
                    <w:rPr>
                      <w:rFonts w:hint="eastAsia" w:cs="Times New Roman"/>
                      <w:sz w:val="21"/>
                      <w:szCs w:val="21"/>
                    </w:rPr>
                    <w:t>优先保护单元925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adjustRightInd w:val="0"/>
                    <w:spacing w:line="240" w:lineRule="auto"/>
                    <w:ind w:firstLine="420"/>
                    <w:rPr>
                      <w:rFonts w:cs="Times New Roman"/>
                      <w:sz w:val="21"/>
                      <w:szCs w:val="21"/>
                    </w:rPr>
                  </w:pPr>
                  <w:r>
                    <w:rPr>
                      <w:rFonts w:hint="eastAsia" w:cs="Times New Roman"/>
                      <w:sz w:val="21"/>
                      <w:szCs w:val="21"/>
                    </w:rPr>
                    <w:t>重点管控单元713个，主要包括城镇建成区、工业园区和开发强度大、污染物排放强度高的工业聚集区等。重点管控单元要着力优化空间布局，不断提升资源利用效率，有针对性地加强污染物排放管控和环境风险管控，解决生态环境质量不达标、生态环境风险高等问题。</w:t>
                  </w:r>
                </w:p>
                <w:p>
                  <w:pPr>
                    <w:spacing w:line="240" w:lineRule="auto"/>
                    <w:ind w:firstLine="420"/>
                    <w:contextualSpacing/>
                    <w:rPr>
                      <w:rFonts w:cs="Times New Roman"/>
                      <w:sz w:val="21"/>
                      <w:szCs w:val="21"/>
                    </w:rPr>
                  </w:pPr>
                  <w:r>
                    <w:rPr>
                      <w:rFonts w:hint="eastAsia" w:cs="Times New Roman"/>
                      <w:sz w:val="21"/>
                      <w:szCs w:val="21"/>
                    </w:rPr>
                    <w:t>一般管控单元139个，主要包括优先保护单元和重点管控单元之外的其它区域。一般管控单元主要落实生态环境保护基本要求，推动区域环境质量持续改善。</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位于库尔勒市一般管控单元（ZH65280130001），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bl>
          <w:p>
            <w:pPr>
              <w:pStyle w:val="7"/>
              <w:ind w:firstLine="480"/>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根据《关于印发〈新疆维吾尔自治区生态环境分区管控动态更新成果〉的通知》（新环环评发〔2024〕157号），对</w:t>
            </w:r>
            <w:r>
              <w:rPr>
                <w:rFonts w:hint="eastAsia"/>
              </w:rPr>
              <w:t>本项目与新疆维吾尔自治区生态环境分区管控总体要求符合性分析。</w:t>
            </w:r>
          </w:p>
          <w:p>
            <w:pPr>
              <w:pStyle w:val="86"/>
              <w:spacing w:before="163"/>
            </w:pPr>
            <w:r>
              <w:rPr>
                <w:rFonts w:hint="eastAsia"/>
              </w:rPr>
              <w:t>表1</w:t>
            </w:r>
            <w:r>
              <w:t xml:space="preserve">-2  </w:t>
            </w:r>
            <w:r>
              <w:rPr>
                <w:rFonts w:hint="eastAsia"/>
              </w:rPr>
              <w:t>本项目与新疆维吾尔自治区生态环境分区管控总体要求符合性分析</w:t>
            </w:r>
          </w:p>
          <w:tbl>
            <w:tblPr>
              <w:tblStyle w:val="24"/>
              <w:tblW w:w="497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41"/>
              <w:gridCol w:w="588"/>
              <w:gridCol w:w="4191"/>
              <w:gridCol w:w="2520"/>
              <w:gridCol w:w="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59" w:type="pct"/>
                  <w:gridSpan w:val="2"/>
                  <w:vAlign w:val="center"/>
                </w:tcPr>
                <w:p>
                  <w:pPr>
                    <w:pStyle w:val="32"/>
                    <w:rPr>
                      <w:rFonts w:cs="Times New Roman"/>
                      <w:szCs w:val="21"/>
                    </w:rPr>
                  </w:pPr>
                  <w:r>
                    <w:rPr>
                      <w:rFonts w:cs="Times New Roman"/>
                      <w:szCs w:val="21"/>
                    </w:rPr>
                    <w:t>管控维度</w:t>
                  </w:r>
                </w:p>
              </w:tc>
              <w:tc>
                <w:tcPr>
                  <w:tcW w:w="2520" w:type="pct"/>
                  <w:vAlign w:val="center"/>
                </w:tcPr>
                <w:p>
                  <w:pPr>
                    <w:pStyle w:val="32"/>
                    <w:rPr>
                      <w:rFonts w:cs="Times New Roman"/>
                      <w:szCs w:val="21"/>
                    </w:rPr>
                  </w:pPr>
                  <w:r>
                    <w:rPr>
                      <w:rFonts w:cs="Times New Roman"/>
                      <w:szCs w:val="21"/>
                    </w:rPr>
                    <w:t>管控要求</w:t>
                  </w:r>
                </w:p>
              </w:tc>
              <w:tc>
                <w:tcPr>
                  <w:tcW w:w="1516" w:type="pct"/>
                  <w:vAlign w:val="center"/>
                </w:tcPr>
                <w:p>
                  <w:pPr>
                    <w:pStyle w:val="32"/>
                    <w:rPr>
                      <w:rFonts w:cs="Times New Roman"/>
                      <w:szCs w:val="21"/>
                    </w:rPr>
                  </w:pPr>
                  <w:r>
                    <w:rPr>
                      <w:rFonts w:cs="Times New Roman"/>
                      <w:szCs w:val="21"/>
                    </w:rPr>
                    <w:t>本项目情况</w:t>
                  </w:r>
                </w:p>
              </w:tc>
              <w:tc>
                <w:tcPr>
                  <w:tcW w:w="405" w:type="pct"/>
                  <w:vAlign w:val="center"/>
                </w:tcPr>
                <w:p>
                  <w:pPr>
                    <w:pStyle w:val="32"/>
                    <w:rPr>
                      <w:rFonts w:cs="Times New Roman"/>
                      <w:szCs w:val="21"/>
                    </w:rPr>
                  </w:pPr>
                  <w:r>
                    <w:rPr>
                      <w:rFonts w:cs="Times New Roman"/>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05" w:type="pct"/>
                  <w:vMerge w:val="restart"/>
                  <w:vAlign w:val="center"/>
                </w:tcPr>
                <w:p>
                  <w:pPr>
                    <w:pStyle w:val="32"/>
                    <w:rPr>
                      <w:rFonts w:cs="Times New Roman"/>
                      <w:szCs w:val="21"/>
                    </w:rPr>
                  </w:pPr>
                  <w:r>
                    <w:rPr>
                      <w:rFonts w:cs="Times New Roman"/>
                      <w:szCs w:val="21"/>
                    </w:rPr>
                    <w:t>A1空间布局</w:t>
                  </w:r>
                </w:p>
              </w:tc>
              <w:tc>
                <w:tcPr>
                  <w:tcW w:w="354" w:type="pct"/>
                  <w:vMerge w:val="restart"/>
                  <w:vAlign w:val="center"/>
                </w:tcPr>
                <w:p>
                  <w:pPr>
                    <w:pStyle w:val="32"/>
                    <w:rPr>
                      <w:rFonts w:cs="Times New Roman"/>
                      <w:szCs w:val="21"/>
                    </w:rPr>
                  </w:pPr>
                  <w:r>
                    <w:rPr>
                      <w:rFonts w:cs="Times New Roman"/>
                      <w:szCs w:val="21"/>
                    </w:rPr>
                    <w:t>A1.1禁止开发建设的活动</w:t>
                  </w:r>
                </w:p>
              </w:tc>
              <w:tc>
                <w:tcPr>
                  <w:tcW w:w="2520" w:type="pct"/>
                  <w:vAlign w:val="center"/>
                </w:tcPr>
                <w:p>
                  <w:pPr>
                    <w:pStyle w:val="87"/>
                    <w:spacing w:before="10" w:line="240" w:lineRule="auto"/>
                    <w:ind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〔A1.1-1〕禁止新建、扩建《产业结构调整指导目录（2024年本）》中淘汰类项目。禁止引入《市场准入负面清单（2022年版）》禁止准入类事项。</w:t>
                  </w:r>
                </w:p>
              </w:tc>
              <w:tc>
                <w:tcPr>
                  <w:tcW w:w="1516" w:type="pct"/>
                  <w:vAlign w:val="center"/>
                </w:tcPr>
                <w:p>
                  <w:pPr>
                    <w:pStyle w:val="32"/>
                    <w:jc w:val="both"/>
                    <w:rPr>
                      <w:rFonts w:cs="Times New Roman"/>
                      <w:szCs w:val="21"/>
                    </w:rPr>
                  </w:pPr>
                  <w:r>
                    <w:rPr>
                      <w:rFonts w:cs="Times New Roman"/>
                      <w:szCs w:val="21"/>
                    </w:rPr>
                    <w:t>本项目不属于《产业结构调整指导目录（2024年本）》中的淘汰类项目；不属于《市场准入负面清单（2025年版）》中禁止准入类项目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2"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〔A1.1-2〕禁止建设不符合国家和自治区环境保护标准的项目。</w:t>
                  </w:r>
                </w:p>
              </w:tc>
              <w:tc>
                <w:tcPr>
                  <w:tcW w:w="1516" w:type="pct"/>
                  <w:vAlign w:val="center"/>
                </w:tcPr>
                <w:p>
                  <w:pPr>
                    <w:pStyle w:val="32"/>
                    <w:rPr>
                      <w:rFonts w:cs="Times New Roman"/>
                      <w:szCs w:val="21"/>
                    </w:rPr>
                  </w:pPr>
                  <w:r>
                    <w:rPr>
                      <w:rFonts w:cs="Times New Roman"/>
                      <w:szCs w:val="21"/>
                    </w:rPr>
                    <w:t>本项目执行标准符合国家和自治区环境保护标准</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4" w:line="240" w:lineRule="auto"/>
                    <w:ind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〔A1.1-3〕禁止在饮用水水源保护区、风景名胜区、自然保护区的核心区和缓冲区、城镇居民区、文化教育科学研究区等人口集中区域以及法律法规规定的其他禁止养殖区域建设畜禽养殖场、养殖小区。</w:t>
                  </w:r>
                </w:p>
              </w:tc>
              <w:tc>
                <w:tcPr>
                  <w:tcW w:w="1516" w:type="pct"/>
                  <w:vAlign w:val="center"/>
                </w:tcPr>
                <w:p>
                  <w:pPr>
                    <w:pStyle w:val="32"/>
                    <w:rPr>
                      <w:rFonts w:cs="Times New Roman"/>
                      <w:szCs w:val="21"/>
                    </w:rPr>
                  </w:pPr>
                  <w:r>
                    <w:rPr>
                      <w:rFonts w:cs="Times New Roman"/>
                      <w:szCs w:val="21"/>
                    </w:rPr>
                    <w:t>本项目为废塑料加工利用项目，不涉及畜禽养殖场、养殖小区</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6" w:line="240" w:lineRule="auto"/>
                    <w:ind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〔A1.1-4〕禁止在水源涵养区、地下水源、饮用水源、自然保护区、风景名胜区、森林公园、重要湿地及人群密集区等生态敏感区域内进行煤炭、石油、天然气开发。</w:t>
                  </w:r>
                </w:p>
              </w:tc>
              <w:tc>
                <w:tcPr>
                  <w:tcW w:w="1516" w:type="pct"/>
                  <w:vAlign w:val="center"/>
                </w:tcPr>
                <w:p>
                  <w:pPr>
                    <w:pStyle w:val="32"/>
                    <w:rPr>
                      <w:rFonts w:cs="Times New Roman"/>
                      <w:szCs w:val="21"/>
                    </w:rPr>
                  </w:pPr>
                  <w:r>
                    <w:rPr>
                      <w:rFonts w:cs="Times New Roman"/>
                      <w:szCs w:val="21"/>
                    </w:rPr>
                    <w:t>本项目为废塑料加工利用项目，不涉及煤炭、石油、天然气开发</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-5〕禁止下列破坏湿地及其生态功能的行为：（一）开（围）垦、排干自然湿地，永久性截断自然湿地水源；（二）擅自填埋自然湿地，擅自采砂、采矿、取土；（三）排放不符合水污染物排放标准的工业废水、生活污水及其他污染湿地的废水、污水，倾倒、堆放、丢弃、遗撒固体废物；（四）过度放牧或者滥采野生植物，过度捕捞或者灭绝式捕捞，过度施肥、投药、投放饵料等污染湿地的种植养殖行为；（五）其他破坏湿地及其生态功能的行为。</w:t>
                  </w:r>
                </w:p>
              </w:tc>
              <w:tc>
                <w:tcPr>
                  <w:tcW w:w="1516" w:type="pct"/>
                  <w:vAlign w:val="center"/>
                </w:tcPr>
                <w:p>
                  <w:pPr>
                    <w:pStyle w:val="32"/>
                    <w:rPr>
                      <w:rFonts w:cs="Times New Roman"/>
                      <w:szCs w:val="21"/>
                    </w:rPr>
                  </w:pPr>
                  <w:r>
                    <w:rPr>
                      <w:rFonts w:cs="Times New Roman"/>
                      <w:szCs w:val="21"/>
                    </w:rPr>
                    <w:t>本项目占地区域不涉及自然湿地，不涉及上述禁止行为</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6"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1516" w:type="pct"/>
                  <w:vAlign w:val="center"/>
                </w:tcPr>
                <w:p>
                  <w:pPr>
                    <w:pStyle w:val="32"/>
                    <w:jc w:val="both"/>
                    <w:rPr>
                      <w:rFonts w:cs="Times New Roman"/>
                      <w:szCs w:val="21"/>
                    </w:rPr>
                  </w:pPr>
                  <w:r>
                    <w:rPr>
                      <w:rFonts w:cs="Times New Roman"/>
                      <w:szCs w:val="21"/>
                    </w:rPr>
                    <w:t>本项目为废塑料加工利用项目，不属于高污染（排放）、高能（水）耗、高环境风险的工业项目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〔A1.1-7〕</w:t>
                  </w:r>
                  <w:r>
                    <w:rPr>
                      <w:rFonts w:hint="eastAsia" w:ascii="宋体" w:hAnsi="宋体" w:cs="宋体"/>
                      <w:szCs w:val="21"/>
                    </w:rPr>
                    <w:t>①</w:t>
                  </w:r>
                  <w:r>
                    <w:rPr>
                      <w:rFonts w:cs="Times New Roman"/>
                      <w:szCs w:val="21"/>
                    </w:rPr>
                    <w:t>坚决遏制高耗能高排放低水平项目盲目发展。严把高耗能高排放低水平项目准入关口，严格落实污染物排放区域削减要求，对不符合规定的项目坚决停批停建。依法依规淘汰落后产能和化解过剩产能。</w:t>
                  </w:r>
                  <w:r>
                    <w:rPr>
                      <w:rFonts w:hint="eastAsia" w:ascii="宋体" w:hAnsi="宋体" w:cs="宋体"/>
                      <w:szCs w:val="21"/>
                    </w:rPr>
                    <w:t>②</w:t>
                  </w:r>
                  <w:r>
                    <w:rPr>
                      <w:rFonts w:cs="Times New Roman"/>
                      <w:szCs w:val="21"/>
                    </w:rPr>
                    <w:t>重点行业企业纳入重污染天气绩效分级，制定“一厂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1516" w:type="pct"/>
                  <w:vAlign w:val="center"/>
                </w:tcPr>
                <w:p>
                  <w:pPr>
                    <w:pStyle w:val="32"/>
                    <w:rPr>
                      <w:rFonts w:cs="Times New Roman"/>
                      <w:szCs w:val="21"/>
                    </w:rPr>
                  </w:pPr>
                  <w:r>
                    <w:rPr>
                      <w:rFonts w:cs="Times New Roman"/>
                      <w:szCs w:val="21"/>
                    </w:rPr>
                    <w:t>本项目为废塑料加工利用项目，不属于高耗能高排放低水平项目；不属于重点行业企业</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〔A1.1-8〕严格执行危险化学品“禁限控”目录，新建危险化学品生产项目必须进入一般或较低安全风险的化工园区（与其他行业生产装置配套建设的项目除外），引导其他石化化工项目在化工园区发展。</w:t>
                  </w:r>
                </w:p>
              </w:tc>
              <w:tc>
                <w:tcPr>
                  <w:tcW w:w="1516" w:type="pct"/>
                  <w:vAlign w:val="center"/>
                </w:tcPr>
                <w:p>
                  <w:pPr>
                    <w:pStyle w:val="32"/>
                    <w:rPr>
                      <w:rFonts w:cs="Times New Roman"/>
                      <w:szCs w:val="21"/>
                    </w:rPr>
                  </w:pPr>
                  <w:r>
                    <w:rPr>
                      <w:rFonts w:cs="Times New Roman"/>
                      <w:szCs w:val="21"/>
                    </w:rPr>
                    <w:t>本项目为废塑料加工利用项目，不属于危险化学品生产项目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-9〕严禁新建自治区《禁止、控制和限制危险化学品目录》中淘汰类、禁止类危险化学品化工项目。严格执行生态保护红线、永久基本农田管控要求，禁止新（改、扩）建化工项目违规占用生态保护红线和永久基本农田。在塔里木河、伊犁河、额尔齐斯河干流及主要支流岸线1公里范围内，除提升安全、环保、节能、智能化、产品质量水平的技术改造项目外，严格禁止新建、扩建化工项目，不得布局新的化工园区（含化工集中区）。</w:t>
                  </w:r>
                </w:p>
              </w:tc>
              <w:tc>
                <w:tcPr>
                  <w:tcW w:w="1516" w:type="pct"/>
                  <w:vAlign w:val="center"/>
                </w:tcPr>
                <w:p>
                  <w:pPr>
                    <w:pStyle w:val="32"/>
                    <w:rPr>
                      <w:rFonts w:cs="Times New Roman"/>
                      <w:szCs w:val="21"/>
                    </w:rPr>
                  </w:pPr>
                  <w:r>
                    <w:rPr>
                      <w:rFonts w:cs="Times New Roman"/>
                      <w:szCs w:val="21"/>
                    </w:rPr>
                    <w:t>本项目为废塑料加工利用项目，不属于危险化学品生产项目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-10〕推动涉重金属产业集中优化发展，禁止新建用汞的电石法（聚）氯乙烯生产工艺，新建、扩建的重有色金属冶炼、电镀、制革企业优先选择布设在依法合规设立并依法开展规划环境影响评价的产业园区。</w:t>
                  </w:r>
                </w:p>
              </w:tc>
              <w:tc>
                <w:tcPr>
                  <w:tcW w:w="1516" w:type="pct"/>
                  <w:vAlign w:val="center"/>
                </w:tcPr>
                <w:p>
                  <w:pPr>
                    <w:pStyle w:val="32"/>
                    <w:rPr>
                      <w:rFonts w:cs="Times New Roman"/>
                      <w:szCs w:val="21"/>
                    </w:rPr>
                  </w:pPr>
                  <w:r>
                    <w:rPr>
                      <w:rFonts w:cs="Times New Roman"/>
                      <w:szCs w:val="21"/>
                    </w:rPr>
                    <w:t>不涉及上述相关内容</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1.1-11〕国务院有关部门和青藏高原县级以上地方人民政府应当建立健全青藏高原雪山冰川冻土保护制度，加强对雪山冰川冻土的监测预警和系统保护。青藏高原省级人民政府应当将大型冰帽冰川、小规模冰川群等划入生态保护红线，对重要雪山冰川实施封禁保护，采取有效措施，严格控制人为扰动。青藏高原省级人民政府应当划定冻土区保护范围，加强对多年冻土区和中深季节冻土区的保护，严格控制多年冻土区资源开发，严格审批多年冻土区城镇规划和交通、管线、输变电等重大工程项目。青藏高原省级人民政府应当开展雪山冰川冻土与周边生态系统的协同保护，维持有利于雪山冰川冻土保护的自然生态环境。</w:t>
                  </w:r>
                </w:p>
              </w:tc>
              <w:tc>
                <w:tcPr>
                  <w:tcW w:w="1516" w:type="pct"/>
                  <w:vAlign w:val="center"/>
                </w:tcPr>
                <w:p>
                  <w:pPr>
                    <w:pStyle w:val="32"/>
                    <w:rPr>
                      <w:rFonts w:cs="Times New Roman"/>
                      <w:szCs w:val="21"/>
                    </w:rPr>
                  </w:pPr>
                  <w:r>
                    <w:rPr>
                      <w:rFonts w:cs="Times New Roman"/>
                      <w:szCs w:val="21"/>
                    </w:rPr>
                    <w:t>不涉及上述相关内容</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A2.1限制开发建设的活动</w:t>
                  </w:r>
                </w:p>
              </w:tc>
              <w:tc>
                <w:tcPr>
                  <w:tcW w:w="2520" w:type="pct"/>
                  <w:vAlign w:val="center"/>
                </w:tcPr>
                <w:p>
                  <w:pPr>
                    <w:pStyle w:val="32"/>
                    <w:jc w:val="both"/>
                    <w:rPr>
                      <w:rFonts w:cs="Times New Roman"/>
                      <w:szCs w:val="21"/>
                    </w:rPr>
                  </w:pPr>
                  <w:r>
                    <w:rPr>
                      <w:rFonts w:cs="Times New Roman"/>
                      <w:szCs w:val="21"/>
                    </w:rPr>
                    <w:t>〔A1.2-1〕严格控制缺水地区、水污染严重区域和敏感区域高耗水、高污染行业发展。</w:t>
                  </w:r>
                </w:p>
              </w:tc>
              <w:tc>
                <w:tcPr>
                  <w:tcW w:w="1516" w:type="pct"/>
                  <w:vAlign w:val="center"/>
                </w:tcPr>
                <w:p>
                  <w:pPr>
                    <w:pStyle w:val="32"/>
                    <w:rPr>
                      <w:rFonts w:cs="Times New Roman"/>
                      <w:szCs w:val="21"/>
                    </w:rPr>
                  </w:pPr>
                  <w:r>
                    <w:rPr>
                      <w:rFonts w:hint="eastAsia" w:cs="Times New Roman"/>
                      <w:szCs w:val="21"/>
                    </w:rPr>
                    <w:t>本项目运营期用水量较小，不属于高耗水、高污染行业</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5" w:line="240" w:lineRule="auto"/>
                    <w:ind w:right="5"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516" w:type="pct"/>
                  <w:vAlign w:val="center"/>
                </w:tcPr>
                <w:p>
                  <w:pPr>
                    <w:pStyle w:val="32"/>
                    <w:rPr>
                      <w:rFonts w:cs="Times New Roman"/>
                      <w:szCs w:val="21"/>
                    </w:rPr>
                  </w:pPr>
                  <w:r>
                    <w:rPr>
                      <w:rFonts w:cs="Times New Roman"/>
                      <w:szCs w:val="21"/>
                    </w:rPr>
                    <w:t>本项目不占用耕地、林地</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1516" w:type="pct"/>
                  <w:vAlign w:val="center"/>
                </w:tcPr>
                <w:p>
                  <w:pPr>
                    <w:pStyle w:val="32"/>
                    <w:rPr>
                      <w:rFonts w:cs="Times New Roman"/>
                      <w:szCs w:val="21"/>
                    </w:rPr>
                  </w:pPr>
                  <w:r>
                    <w:rPr>
                      <w:rFonts w:cs="Times New Roman"/>
                      <w:szCs w:val="21"/>
                    </w:rPr>
                    <w:t>本项目占地不涉及土地用途变更</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〔A1.2-4〕严格控制建设项目占用湿地。因国家和自治区重点建设工程、基础设施建设，以及重点公益性项目建设，确需占用湿地的，应当按照有关法律法规规定的权限和程序办理批准手续。</w:t>
                  </w:r>
                </w:p>
              </w:tc>
              <w:tc>
                <w:tcPr>
                  <w:tcW w:w="1516" w:type="pct"/>
                  <w:vAlign w:val="center"/>
                </w:tcPr>
                <w:p>
                  <w:pPr>
                    <w:pStyle w:val="32"/>
                    <w:rPr>
                      <w:rFonts w:cs="Times New Roman"/>
                      <w:szCs w:val="21"/>
                    </w:rPr>
                  </w:pPr>
                  <w:r>
                    <w:rPr>
                      <w:rFonts w:cs="Times New Roman"/>
                      <w:szCs w:val="21"/>
                    </w:rPr>
                    <w:t>本项目不占用湿地</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2" w:line="240" w:lineRule="auto"/>
                    <w:ind w:right="5"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〔A1.2-5〕严格管控自然保护地范围内非生态活动，稳妥推进核心区内居民、耕地有序退出，矿权依法依规退出。</w:t>
                  </w:r>
                </w:p>
              </w:tc>
              <w:tc>
                <w:tcPr>
                  <w:tcW w:w="1516" w:type="pct"/>
                  <w:vAlign w:val="center"/>
                </w:tcPr>
                <w:p>
                  <w:pPr>
                    <w:pStyle w:val="32"/>
                    <w:rPr>
                      <w:rFonts w:cs="Times New Roman"/>
                      <w:szCs w:val="21"/>
                    </w:rPr>
                  </w:pPr>
                  <w:r>
                    <w:rPr>
                      <w:rFonts w:cs="Times New Roman"/>
                      <w:szCs w:val="21"/>
                    </w:rPr>
                    <w:t>本项目不涉及占用自然保护地</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A1.3不符合空间布局要求活动的退出要求</w:t>
                  </w:r>
                </w:p>
              </w:tc>
              <w:tc>
                <w:tcPr>
                  <w:tcW w:w="2520" w:type="pct"/>
                  <w:vAlign w:val="center"/>
                </w:tcPr>
                <w:p>
                  <w:pPr>
                    <w:pStyle w:val="32"/>
                    <w:jc w:val="both"/>
                    <w:rPr>
                      <w:rFonts w:cs="Times New Roman"/>
                      <w:szCs w:val="21"/>
                    </w:rPr>
                  </w:pPr>
                  <w:r>
                    <w:rPr>
                      <w:rFonts w:cs="Times New Roman"/>
                      <w:szCs w:val="21"/>
                    </w:rPr>
                    <w:t>〔A1.3-1〕任何单位和个人不得在水源涵养区、饮用水水源保护区内和河流、湖泊、水库周围建设重化工、涉重金属等工业污染项目；对已建成的工业污染项目，当地人民政府应当组织限期搬迁。</w:t>
                  </w:r>
                </w:p>
              </w:tc>
              <w:tc>
                <w:tcPr>
                  <w:tcW w:w="1516" w:type="pct"/>
                  <w:vAlign w:val="center"/>
                </w:tcPr>
                <w:p>
                  <w:pPr>
                    <w:pStyle w:val="32"/>
                    <w:rPr>
                      <w:rFonts w:cs="Times New Roman"/>
                      <w:szCs w:val="21"/>
                    </w:rPr>
                  </w:pPr>
                  <w:r>
                    <w:rPr>
                      <w:rFonts w:cs="Times New Roman"/>
                      <w:szCs w:val="21"/>
                    </w:rPr>
                    <w:t>本项目占地不在水源涵养区、饮用水水源保护区内和河流、湖泊、水库周围</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〔A1.3-2〕对不符合国家产业政策、严重污染水环境的生产项目全部予以取缔。</w:t>
                  </w:r>
                </w:p>
              </w:tc>
              <w:tc>
                <w:tcPr>
                  <w:tcW w:w="1516" w:type="pct"/>
                  <w:vAlign w:val="center"/>
                </w:tcPr>
                <w:p>
                  <w:pPr>
                    <w:pStyle w:val="32"/>
                    <w:jc w:val="both"/>
                    <w:rPr>
                      <w:rFonts w:cs="Times New Roman"/>
                      <w:szCs w:val="21"/>
                    </w:rPr>
                  </w:pPr>
                  <w:r>
                    <w:rPr>
                      <w:rFonts w:cs="Times New Roman"/>
                      <w:szCs w:val="21"/>
                    </w:rPr>
                    <w:t>本项目符合国家产业政策，营运期清洗废水经三级沉淀池处理后回用，生活污水经化粪池处理后，定期由吸污车抽运至库尔勒市南市区污水处理厂处理，不属于严重污染水环境的生产项目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tc>
              <w:tc>
                <w:tcPr>
                  <w:tcW w:w="1516" w:type="pct"/>
                  <w:vAlign w:val="center"/>
                </w:tcPr>
                <w:p>
                  <w:pPr>
                    <w:pStyle w:val="32"/>
                    <w:rPr>
                      <w:rFonts w:cs="Times New Roman"/>
                      <w:szCs w:val="21"/>
                    </w:rPr>
                  </w:pPr>
                  <w:r>
                    <w:rPr>
                      <w:rFonts w:cs="Times New Roman"/>
                      <w:szCs w:val="21"/>
                    </w:rPr>
                    <w:t>本项目不涉及重金属落后产能和化解过剩产能</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〔A1.3-4〕城市建成区、重点流域内已建成投产化工企业和危险化学品生产企业应加快退城入园，搬入化工园区前企业不应实施改扩建工程扩大生产规模。</w:t>
                  </w:r>
                </w:p>
              </w:tc>
              <w:tc>
                <w:tcPr>
                  <w:tcW w:w="1516" w:type="pct"/>
                  <w:vAlign w:val="center"/>
                </w:tcPr>
                <w:p>
                  <w:pPr>
                    <w:pStyle w:val="32"/>
                    <w:rPr>
                      <w:rFonts w:cs="Times New Roman"/>
                      <w:szCs w:val="21"/>
                    </w:rPr>
                  </w:pPr>
                  <w:r>
                    <w:rPr>
                      <w:rFonts w:cs="Times New Roman"/>
                      <w:szCs w:val="21"/>
                    </w:rPr>
                    <w:t>本项目为废塑料加工利用项目，不属于化工企业和危险化学品生产企业</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A1.4其他布局要求</w:t>
                  </w:r>
                </w:p>
              </w:tc>
              <w:tc>
                <w:tcPr>
                  <w:tcW w:w="2520" w:type="pct"/>
                  <w:vAlign w:val="center"/>
                </w:tcPr>
                <w:p>
                  <w:pPr>
                    <w:pStyle w:val="32"/>
                    <w:jc w:val="both"/>
                    <w:rPr>
                      <w:rFonts w:cs="Times New Roman"/>
                      <w:szCs w:val="21"/>
                    </w:rPr>
                  </w:pPr>
                  <w:r>
                    <w:rPr>
                      <w:rFonts w:cs="Times New Roman"/>
                      <w:szCs w:val="21"/>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516" w:type="pct"/>
                  <w:vAlign w:val="center"/>
                </w:tcPr>
                <w:p>
                  <w:pPr>
                    <w:pStyle w:val="32"/>
                    <w:rPr>
                      <w:rFonts w:cs="Times New Roman"/>
                      <w:szCs w:val="21"/>
                    </w:rPr>
                  </w:pPr>
                  <w:r>
                    <w:rPr>
                      <w:rFonts w:cs="Times New Roman"/>
                      <w:szCs w:val="21"/>
                    </w:rPr>
                    <w:t>本项目建设符合国家、自治区主体功能区规划，符合生态环境功能区划、国民经济发展规划、产业发展规划、国土空间规划等相关规划及重点生态功能区负面清单要求</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〔A1.4-2〕新建、扩建石化、化工、焦化、有色金属冶炼、平板玻璃项目应布设在依法合规设立并经规划环评的产业园区。</w:t>
                  </w:r>
                </w:p>
              </w:tc>
              <w:tc>
                <w:tcPr>
                  <w:tcW w:w="1516" w:type="pct"/>
                  <w:vAlign w:val="center"/>
                </w:tcPr>
                <w:p>
                  <w:pPr>
                    <w:pStyle w:val="32"/>
                    <w:rPr>
                      <w:rFonts w:cs="Times New Roman"/>
                      <w:szCs w:val="21"/>
                    </w:rPr>
                  </w:pPr>
                  <w:r>
                    <w:rPr>
                      <w:rFonts w:cs="Times New Roman"/>
                      <w:szCs w:val="21"/>
                    </w:rPr>
                    <w:t>不涉及上述项目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87"/>
                    <w:spacing w:before="4"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1516" w:type="pct"/>
                  <w:vAlign w:val="center"/>
                </w:tcPr>
                <w:p>
                  <w:pPr>
                    <w:pStyle w:val="32"/>
                    <w:rPr>
                      <w:rFonts w:cs="Times New Roman"/>
                      <w:szCs w:val="21"/>
                    </w:rPr>
                  </w:pPr>
                  <w:r>
                    <w:rPr>
                      <w:rFonts w:cs="Times New Roman"/>
                      <w:szCs w:val="21"/>
                    </w:rPr>
                    <w:t>不涉及上述项目</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restart"/>
                  <w:vAlign w:val="center"/>
                </w:tcPr>
                <w:p>
                  <w:pPr>
                    <w:pStyle w:val="32"/>
                    <w:rPr>
                      <w:rFonts w:cs="Times New Roman"/>
                      <w:szCs w:val="21"/>
                    </w:rPr>
                  </w:pPr>
                  <w:r>
                    <w:rPr>
                      <w:rFonts w:cs="Times New Roman"/>
                      <w:szCs w:val="21"/>
                    </w:rPr>
                    <w:t>A2污染物排放管控</w:t>
                  </w:r>
                </w:p>
              </w:tc>
              <w:tc>
                <w:tcPr>
                  <w:tcW w:w="354" w:type="pct"/>
                  <w:vMerge w:val="restart"/>
                  <w:vAlign w:val="center"/>
                </w:tcPr>
                <w:p>
                  <w:pPr>
                    <w:pStyle w:val="32"/>
                    <w:rPr>
                      <w:rFonts w:cs="Times New Roman"/>
                      <w:szCs w:val="21"/>
                    </w:rPr>
                  </w:pPr>
                  <w:r>
                    <w:rPr>
                      <w:rFonts w:cs="Times New Roman"/>
                      <w:szCs w:val="21"/>
                    </w:rPr>
                    <w:t>A2.1污染物削减/代替要求</w:t>
                  </w:r>
                </w:p>
              </w:tc>
              <w:tc>
                <w:tcPr>
                  <w:tcW w:w="2520" w:type="pct"/>
                  <w:vAlign w:val="center"/>
                </w:tcPr>
                <w:p>
                  <w:pPr>
                    <w:pStyle w:val="87"/>
                    <w:spacing w:before="6" w:line="240" w:lineRule="auto"/>
                    <w:ind w:right="1"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2.1-1〕新、改、扩建重点行业建设项目应符合“三线一单”、产业政策、区域环评、规划环评和行业环境准入管控要求。重点区域的新、改、扩建重点行业建设项目应遵循重点重金属污染物排放“减量替代”原则。</w:t>
                  </w:r>
                </w:p>
              </w:tc>
              <w:tc>
                <w:tcPr>
                  <w:tcW w:w="1516" w:type="pct"/>
                  <w:vAlign w:val="center"/>
                </w:tcPr>
                <w:p>
                  <w:pPr>
                    <w:pStyle w:val="32"/>
                    <w:rPr>
                      <w:rFonts w:cs="Times New Roman"/>
                      <w:szCs w:val="21"/>
                    </w:rPr>
                  </w:pPr>
                  <w:r>
                    <w:rPr>
                      <w:rFonts w:cs="Times New Roman"/>
                      <w:szCs w:val="21"/>
                    </w:rPr>
                    <w:t>本项目符合“三线一单”、相关产业政策等相关环境准入管控要求，项目不属于重点行业建设项目</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4"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〔A2.1-2〕以石化、化工、涂装、医药、包装印刷、油品储运销等行业领域为重点，安全高效推进挥发性有机物综合治理，实施原辅材料和产品源头替代工程。</w:t>
                  </w:r>
                </w:p>
              </w:tc>
              <w:tc>
                <w:tcPr>
                  <w:tcW w:w="1516" w:type="pct"/>
                  <w:vAlign w:val="center"/>
                </w:tcPr>
                <w:p>
                  <w:pPr>
                    <w:pStyle w:val="32"/>
                    <w:rPr>
                      <w:rFonts w:cs="Times New Roman"/>
                      <w:szCs w:val="21"/>
                    </w:rPr>
                  </w:pPr>
                  <w:r>
                    <w:rPr>
                      <w:rFonts w:cs="Times New Roman"/>
                      <w:szCs w:val="21"/>
                    </w:rPr>
                    <w:t>本项目不涉及挥发性有机物产生</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6" w:line="240" w:lineRule="auto"/>
                    <w:ind w:right="3"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1516" w:type="pct"/>
                  <w:vAlign w:val="center"/>
                </w:tcPr>
                <w:p>
                  <w:pPr>
                    <w:pStyle w:val="32"/>
                    <w:rPr>
                      <w:rFonts w:cs="Times New Roman"/>
                      <w:szCs w:val="21"/>
                    </w:rPr>
                  </w:pPr>
                  <w:r>
                    <w:rPr>
                      <w:rFonts w:cs="Times New Roman"/>
                      <w:szCs w:val="21"/>
                    </w:rPr>
                    <w:t>本项目不涉及上述内容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2.1-4〕严控建材、铸造、冶炼等行业无组织排放，推进石化、化工、涂装、医药、包装印刷、油品储运销等行业项目挥发性有机物（VOCs）防治。严格有色金属冶炼、石油加工、化工、焦化等行业项目的土壤、地下水污染防治措施要求。推进工业园区和企业集群建设涉VOCs“绿岛”项目，统筹规划建设一批集中涂装中心、活性炭集中处理中心、溶剂回收中心等，实现VOCs集中高效处理。</w:t>
                  </w:r>
                </w:p>
              </w:tc>
              <w:tc>
                <w:tcPr>
                  <w:tcW w:w="1516" w:type="pct"/>
                  <w:vAlign w:val="center"/>
                </w:tcPr>
                <w:p>
                  <w:pPr>
                    <w:pStyle w:val="32"/>
                    <w:rPr>
                      <w:rFonts w:cs="Times New Roman"/>
                      <w:szCs w:val="21"/>
                    </w:rPr>
                  </w:pPr>
                  <w:r>
                    <w:rPr>
                      <w:rFonts w:cs="Times New Roman"/>
                      <w:szCs w:val="21"/>
                    </w:rPr>
                    <w:t>本项目不涉及挥发性有机物产生</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A2.2污染控制措施要求</w:t>
                  </w:r>
                </w:p>
              </w:tc>
              <w:tc>
                <w:tcPr>
                  <w:tcW w:w="2520" w:type="pct"/>
                  <w:vAlign w:val="center"/>
                </w:tcPr>
                <w:p>
                  <w:pPr>
                    <w:pStyle w:val="32"/>
                    <w:jc w:val="both"/>
                    <w:rPr>
                      <w:rFonts w:cs="Times New Roman"/>
                      <w:szCs w:val="21"/>
                    </w:rPr>
                  </w:pPr>
                  <w:r>
                    <w:rPr>
                      <w:rFonts w:cs="Times New Roman"/>
                      <w:szCs w:val="21"/>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1516" w:type="pct"/>
                  <w:vAlign w:val="center"/>
                </w:tcPr>
                <w:p>
                  <w:pPr>
                    <w:pStyle w:val="32"/>
                    <w:rPr>
                      <w:rFonts w:cs="Times New Roman"/>
                      <w:szCs w:val="21"/>
                    </w:rPr>
                  </w:pPr>
                  <w:r>
                    <w:rPr>
                      <w:rFonts w:cs="Times New Roman"/>
                      <w:szCs w:val="21"/>
                    </w:rPr>
                    <w:t>本项目不涉及能源、钢铁、建材、有色、电力、化工等重点领域</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516" w:type="pct"/>
                  <w:vAlign w:val="center"/>
                </w:tcPr>
                <w:p>
                  <w:pPr>
                    <w:pStyle w:val="32"/>
                    <w:rPr>
                      <w:rFonts w:cs="Times New Roman"/>
                      <w:szCs w:val="21"/>
                    </w:rPr>
                  </w:pPr>
                  <w:r>
                    <w:rPr>
                      <w:rFonts w:cs="Times New Roman"/>
                      <w:szCs w:val="21"/>
                    </w:rPr>
                    <w:t>本项目不涉及上述内容</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516" w:type="pct"/>
                  <w:vAlign w:val="center"/>
                </w:tcPr>
                <w:p>
                  <w:pPr>
                    <w:pStyle w:val="32"/>
                    <w:rPr>
                      <w:rFonts w:cs="Times New Roman"/>
                      <w:szCs w:val="21"/>
                    </w:rPr>
                  </w:pPr>
                  <w:r>
                    <w:rPr>
                      <w:rFonts w:cs="Times New Roman"/>
                      <w:szCs w:val="21"/>
                    </w:rPr>
                    <w:t>本项目废气通过采取完善治理措施，废气污染物均达标排放</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〔A2.2-4〕强化用水定额管理。推进地下水超采综合治理。开展河湖生态流量（水量）确定工作，强化生态用水保障。</w:t>
                  </w:r>
                </w:p>
              </w:tc>
              <w:tc>
                <w:tcPr>
                  <w:tcW w:w="1516" w:type="pct"/>
                  <w:vAlign w:val="center"/>
                </w:tcPr>
                <w:p>
                  <w:pPr>
                    <w:pStyle w:val="32"/>
                    <w:rPr>
                      <w:rFonts w:cs="Times New Roman"/>
                      <w:szCs w:val="21"/>
                    </w:rPr>
                  </w:pPr>
                  <w:r>
                    <w:rPr>
                      <w:rFonts w:hint="eastAsia" w:cs="Times New Roman"/>
                      <w:szCs w:val="21"/>
                    </w:rPr>
                    <w:t>本项目用水由库尔勒市哈拉玉宫镇废旧物资回收加工产业园供水系统供给</w:t>
                  </w:r>
                  <w:r>
                    <w:rPr>
                      <w:rFonts w:cs="Times New Roman"/>
                      <w:szCs w:val="21"/>
                    </w:rPr>
                    <w:t>，年用水量较小，不会超过区域用水总量</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tc>
              <w:tc>
                <w:tcPr>
                  <w:tcW w:w="1516" w:type="pct"/>
                  <w:vAlign w:val="center"/>
                </w:tcPr>
                <w:p>
                  <w:pPr>
                    <w:pStyle w:val="32"/>
                    <w:jc w:val="both"/>
                    <w:rPr>
                      <w:rFonts w:cs="Times New Roman"/>
                      <w:szCs w:val="21"/>
                    </w:rPr>
                  </w:pPr>
                  <w:r>
                    <w:rPr>
                      <w:rFonts w:hint="eastAsia" w:cs="Times New Roman"/>
                      <w:szCs w:val="21"/>
                    </w:rPr>
                    <w:t>本项目产生的废水主要包括原料清洗废水、车间地面冲洗废水以及生活污水，</w:t>
                  </w:r>
                  <w:r>
                    <w:rPr>
                      <w:rFonts w:cs="Times New Roman"/>
                      <w:szCs w:val="21"/>
                    </w:rPr>
                    <w:t>其中清洗废水</w:t>
                  </w:r>
                  <w:r>
                    <w:rPr>
                      <w:rFonts w:hint="eastAsia" w:cs="Times New Roman"/>
                      <w:szCs w:val="21"/>
                    </w:rPr>
                    <w:t>、车间地面冲洗废水</w:t>
                  </w:r>
                  <w:r>
                    <w:rPr>
                      <w:rFonts w:cs="Times New Roman"/>
                      <w:szCs w:val="21"/>
                    </w:rPr>
                    <w:t>经三级沉淀池处理后回用，生活污水经化粪池处理后，定期由吸污车抽运至库尔勒市南市区污水处理厂处理</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516" w:type="pct"/>
                  <w:vAlign w:val="center"/>
                </w:tcPr>
                <w:p>
                  <w:pPr>
                    <w:pStyle w:val="32"/>
                    <w:rPr>
                      <w:rFonts w:cs="Times New Roman"/>
                      <w:szCs w:val="21"/>
                    </w:rPr>
                  </w:pPr>
                  <w:r>
                    <w:rPr>
                      <w:rFonts w:hint="eastAsia" w:cs="Times New Roman"/>
                      <w:szCs w:val="21"/>
                    </w:rPr>
                    <w:t>本项目产生的废水主要包括原料清洗废水、车间地面冲洗废水以及生活污水，</w:t>
                  </w:r>
                  <w:r>
                    <w:rPr>
                      <w:rFonts w:cs="Times New Roman"/>
                      <w:szCs w:val="21"/>
                    </w:rPr>
                    <w:t>其中清洗废水</w:t>
                  </w:r>
                  <w:r>
                    <w:rPr>
                      <w:rFonts w:hint="eastAsia" w:cs="Times New Roman"/>
                      <w:szCs w:val="21"/>
                    </w:rPr>
                    <w:t>、车间地面冲洗废水</w:t>
                  </w:r>
                  <w:r>
                    <w:rPr>
                      <w:rFonts w:cs="Times New Roman"/>
                      <w:szCs w:val="21"/>
                    </w:rPr>
                    <w:t>经三级沉淀池处理后回用，生活污水经化粪池处理后，定期由吸污车抽运至库尔勒市南市区污水处理厂处理</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-7〕强化重点区域地下水环境风险管控，对化学品生产企业、工业集聚区、尾矿库、矿山开采区、危险废物处置场、垃圾填埋场等地下水污染源及周边区域，逐步开展地下水环境状况调查评估，加强风险管控。</w:t>
                  </w:r>
                </w:p>
              </w:tc>
              <w:tc>
                <w:tcPr>
                  <w:tcW w:w="1516" w:type="pct"/>
                  <w:vAlign w:val="center"/>
                </w:tcPr>
                <w:p>
                  <w:pPr>
                    <w:pStyle w:val="32"/>
                    <w:jc w:val="both"/>
                    <w:rPr>
                      <w:rFonts w:cs="Times New Roman"/>
                      <w:szCs w:val="21"/>
                    </w:rPr>
                  </w:pPr>
                  <w:r>
                    <w:rPr>
                      <w:rFonts w:cs="Times New Roman"/>
                      <w:szCs w:val="21"/>
                    </w:rPr>
                    <w:t>本项目</w:t>
                  </w:r>
                  <w:r>
                    <w:rPr>
                      <w:rFonts w:hint="eastAsia" w:cs="Times New Roman"/>
                      <w:szCs w:val="21"/>
                    </w:rPr>
                    <w:t>生产</w:t>
                  </w:r>
                  <w:r>
                    <w:rPr>
                      <w:rFonts w:cs="Times New Roman"/>
                      <w:szCs w:val="21"/>
                    </w:rPr>
                    <w:t>废水处理各池体采用钢筋混凝土建设，满足一般防渗区的要求，危险废物贮存</w:t>
                  </w:r>
                  <w:r>
                    <w:rPr>
                      <w:rFonts w:hint="eastAsia" w:cs="Times New Roman"/>
                      <w:szCs w:val="21"/>
                    </w:rPr>
                    <w:t>点</w:t>
                  </w:r>
                  <w:r>
                    <w:rPr>
                      <w:rFonts w:cs="Times New Roman"/>
                      <w:szCs w:val="21"/>
                    </w:rPr>
                    <w:t>满足《危险废物贮存污染控制标准》（GB18597-2023）中防渗防腐要求，生产区域地面全部硬化。通过采取完善的污染治理措施，场址周围地下水环境风险可防控</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〔A2.2-8〕严控土壤重金属污染，加强油（气）田开发土壤污染防治，以历史遗留工业企业污染场地为重点，开展土壤污染风险管控与修复工程。</w:t>
                  </w:r>
                </w:p>
              </w:tc>
              <w:tc>
                <w:tcPr>
                  <w:tcW w:w="1516" w:type="pct"/>
                  <w:vAlign w:val="center"/>
                </w:tcPr>
                <w:p>
                  <w:pPr>
                    <w:pStyle w:val="32"/>
                    <w:rPr>
                      <w:rFonts w:cs="Times New Roman"/>
                      <w:szCs w:val="21"/>
                    </w:rPr>
                  </w:pPr>
                  <w:r>
                    <w:rPr>
                      <w:rFonts w:cs="Times New Roman"/>
                      <w:spacing w:val="-10"/>
                      <w:szCs w:val="21"/>
                    </w:rPr>
                    <w:t>不涉及上述内容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516" w:type="pct"/>
                  <w:vAlign w:val="center"/>
                </w:tcPr>
                <w:p>
                  <w:pPr>
                    <w:pStyle w:val="32"/>
                    <w:rPr>
                      <w:rFonts w:cs="Times New Roman"/>
                      <w:szCs w:val="21"/>
                    </w:rPr>
                  </w:pPr>
                  <w:r>
                    <w:rPr>
                      <w:rFonts w:cs="Times New Roman"/>
                      <w:spacing w:val="-10"/>
                      <w:szCs w:val="21"/>
                    </w:rPr>
                    <w:t>不涉及上述内容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restart"/>
                  <w:vAlign w:val="center"/>
                </w:tcPr>
                <w:p>
                  <w:pPr>
                    <w:pStyle w:val="32"/>
                    <w:ind w:firstLine="480"/>
                    <w:rPr>
                      <w:rFonts w:cs="Times New Roman"/>
                      <w:szCs w:val="21"/>
                    </w:rPr>
                  </w:pPr>
                  <w:r>
                    <w:rPr>
                      <w:rFonts w:cs="Times New Roman"/>
                      <w:szCs w:val="21"/>
                    </w:rPr>
                    <w:t>A3环境风险防控</w:t>
                  </w:r>
                </w:p>
              </w:tc>
              <w:tc>
                <w:tcPr>
                  <w:tcW w:w="354" w:type="pct"/>
                  <w:vMerge w:val="restart"/>
                  <w:vAlign w:val="center"/>
                </w:tcPr>
                <w:p>
                  <w:pPr>
                    <w:pStyle w:val="32"/>
                    <w:rPr>
                      <w:rFonts w:cs="Times New Roman"/>
                      <w:szCs w:val="21"/>
                    </w:rPr>
                  </w:pPr>
                  <w:r>
                    <w:rPr>
                      <w:rFonts w:cs="Times New Roman"/>
                      <w:szCs w:val="21"/>
                    </w:rPr>
                    <w:t>A3.1人居环境要求</w:t>
                  </w:r>
                </w:p>
              </w:tc>
              <w:tc>
                <w:tcPr>
                  <w:tcW w:w="2520" w:type="pct"/>
                  <w:vAlign w:val="center"/>
                </w:tcPr>
                <w:p>
                  <w:pPr>
                    <w:pStyle w:val="32"/>
                    <w:jc w:val="both"/>
                    <w:rPr>
                      <w:rFonts w:cs="Times New Roman"/>
                      <w:szCs w:val="21"/>
                    </w:rPr>
                  </w:pPr>
                  <w:r>
                    <w:rPr>
                      <w:rFonts w:cs="Times New Roman"/>
                      <w:szCs w:val="21"/>
                    </w:rPr>
                    <w:t>〔A3.1-1〕建立和完善重污染天气兵地联合应急预案、预报预警应急机制和会商联动机制。“乌一昌一石”区域内可能影响相邻行政区域大气环境的项目，兵地间、城市间必须相互征求意见。</w:t>
                  </w:r>
                </w:p>
              </w:tc>
              <w:tc>
                <w:tcPr>
                  <w:tcW w:w="1516" w:type="pct"/>
                  <w:vAlign w:val="center"/>
                </w:tcPr>
                <w:p>
                  <w:pPr>
                    <w:pStyle w:val="32"/>
                    <w:rPr>
                      <w:rFonts w:cs="Times New Roman"/>
                      <w:szCs w:val="21"/>
                    </w:rPr>
                  </w:pPr>
                  <w:r>
                    <w:rPr>
                      <w:rFonts w:cs="Times New Roman"/>
                      <w:spacing w:val="-10"/>
                      <w:szCs w:val="21"/>
                    </w:rPr>
                    <w:t>本项目将严格响应库尔勒市重污染天气应急预案</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tc>
              <w:tc>
                <w:tcPr>
                  <w:tcW w:w="1516" w:type="pct"/>
                  <w:vAlign w:val="center"/>
                </w:tcPr>
                <w:p>
                  <w:pPr>
                    <w:pStyle w:val="32"/>
                    <w:rPr>
                      <w:rFonts w:cs="Times New Roman"/>
                      <w:szCs w:val="21"/>
                    </w:rPr>
                  </w:pPr>
                  <w:r>
                    <w:rPr>
                      <w:rFonts w:cs="Times New Roman"/>
                      <w:spacing w:val="-10"/>
                      <w:szCs w:val="21"/>
                    </w:rPr>
                    <w:t>本项目不涉及上述内容</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〔A3.1-3〕强化重污染天气监测预报预警能力，建立和完善重污染天气兵地联合应急预案、预警应急机制和会商联动机制，加强轻、中度污染天气管控。</w:t>
                  </w:r>
                </w:p>
              </w:tc>
              <w:tc>
                <w:tcPr>
                  <w:tcW w:w="1516" w:type="pct"/>
                  <w:vAlign w:val="center"/>
                </w:tcPr>
                <w:p>
                  <w:pPr>
                    <w:pStyle w:val="32"/>
                    <w:rPr>
                      <w:rFonts w:cs="Times New Roman"/>
                      <w:szCs w:val="21"/>
                    </w:rPr>
                  </w:pPr>
                  <w:r>
                    <w:rPr>
                      <w:rFonts w:cs="Times New Roman"/>
                      <w:spacing w:val="-10"/>
                      <w:szCs w:val="21"/>
                    </w:rPr>
                    <w:t>本项目将严格响应库尔勒市重污染天气应急预案</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3.2联防联控要求</w:t>
                  </w:r>
                </w:p>
              </w:tc>
              <w:tc>
                <w:tcPr>
                  <w:tcW w:w="2520" w:type="pct"/>
                  <w:vAlign w:val="center"/>
                </w:tcPr>
                <w:p>
                  <w:pPr>
                    <w:pStyle w:val="32"/>
                    <w:jc w:val="both"/>
                    <w:rPr>
                      <w:rFonts w:cs="Times New Roman"/>
                      <w:szCs w:val="21"/>
                    </w:rPr>
                  </w:pPr>
                  <w:r>
                    <w:rPr>
                      <w:rFonts w:cs="Times New Roman"/>
                      <w:szCs w:val="21"/>
                    </w:rPr>
                    <w:t>〔A3.2-1〕提升饮用水安全保障水平。以县级及以上集中式饮用水水源地为重点，推进饮用水水源保护区规范化建设，统筹推进备用水源或应急水源建设。单一水源供水的重点城市于2025年底前基本完成备用水源或应急水源建设，有条件的地区开展兵地互为备用水源建设。梯次推进农村集中式饮用水水源保护区划定，到2025年，完成乡镇级集中式饮用水水源保护区划定与勘界立标。开展“千吨万人”农村饮用水水源保护区环境风险排查整治，加强农村水源水质监测，依法清理饮用水水源保护区内违法建筑和排污口，实施从水源到水龙头全过程监管。强化饮用水水源保护区环境应急管理，完善重大突发环境事件的物资和技术储备。针对汇水区、补给区存在兵地跨界的，建立统一的饮用水水源应急和执法机制，共享应急物资。</w:t>
                  </w:r>
                </w:p>
              </w:tc>
              <w:tc>
                <w:tcPr>
                  <w:tcW w:w="1516" w:type="pct"/>
                  <w:vAlign w:val="center"/>
                </w:tcPr>
                <w:p>
                  <w:pPr>
                    <w:pStyle w:val="32"/>
                    <w:rPr>
                      <w:rFonts w:cs="Times New Roman"/>
                      <w:szCs w:val="21"/>
                    </w:rPr>
                  </w:pPr>
                  <w:r>
                    <w:rPr>
                      <w:rFonts w:cs="Times New Roman"/>
                      <w:spacing w:val="-10"/>
                      <w:szCs w:val="21"/>
                    </w:rPr>
                    <w:t>本项目建设区域不涉及集中式饮用水水源地</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rPr>
                      <w:rFonts w:cs="Times New Roman"/>
                      <w:szCs w:val="21"/>
                    </w:rPr>
                  </w:pPr>
                  <w:r>
                    <w:rPr>
                      <w:rFonts w:cs="Times New Roman"/>
                      <w:szCs w:val="21"/>
                    </w:rPr>
                    <w:t>〔A3.2-2〕依法推行农用地分类管理制度，强化受污染耕地安全利用和风险管控。因地制宜制定实施安全利用方案，鼓励采取种植结构调整等措施，确保受污染耕地全部实现安全利用。</w:t>
                  </w:r>
                </w:p>
              </w:tc>
              <w:tc>
                <w:tcPr>
                  <w:tcW w:w="1516" w:type="pct"/>
                  <w:vAlign w:val="center"/>
                </w:tcPr>
                <w:p>
                  <w:pPr>
                    <w:pStyle w:val="32"/>
                    <w:rPr>
                      <w:rFonts w:cs="Times New Roman"/>
                      <w:szCs w:val="21"/>
                    </w:rPr>
                  </w:pPr>
                  <w:r>
                    <w:rPr>
                      <w:rFonts w:cs="Times New Roman"/>
                      <w:spacing w:val="-10"/>
                      <w:szCs w:val="21"/>
                    </w:rPr>
                    <w:t>本项目不涉及受污染耕地</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516" w:type="pct"/>
                  <w:vAlign w:val="center"/>
                </w:tcPr>
                <w:p>
                  <w:pPr>
                    <w:pStyle w:val="32"/>
                    <w:rPr>
                      <w:rFonts w:cs="Times New Roman"/>
                      <w:szCs w:val="21"/>
                    </w:rPr>
                  </w:pPr>
                  <w:r>
                    <w:rPr>
                      <w:rFonts w:cs="Times New Roman"/>
                      <w:szCs w:val="21"/>
                    </w:rPr>
                    <w:t>本项目不涉及</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3.2-4〕加强环境风险预警防控。加强涉危险废物企业、涉重金属企业、化工园区、集中式饮用水水源地及重点流域环境风险调查评估，实施分类分级风险管控，协同推进重点区域、流域生态环境污染综合防治、风险防控与生态修复。</w:t>
                  </w:r>
                </w:p>
              </w:tc>
              <w:tc>
                <w:tcPr>
                  <w:tcW w:w="1516" w:type="pct"/>
                  <w:vAlign w:val="center"/>
                </w:tcPr>
                <w:p>
                  <w:pPr>
                    <w:pStyle w:val="32"/>
                    <w:rPr>
                      <w:rFonts w:cs="Times New Roman"/>
                      <w:szCs w:val="21"/>
                    </w:rPr>
                  </w:pPr>
                  <w:r>
                    <w:rPr>
                      <w:rFonts w:cs="Times New Roman"/>
                      <w:szCs w:val="21"/>
                    </w:rPr>
                    <w:t>本评价要求项目加强营运期环境风险防控</w:t>
                  </w: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rPr>
                      <w:rFonts w:cs="Times New Roman"/>
                      <w:szCs w:val="21"/>
                    </w:rPr>
                  </w:pPr>
                  <w:r>
                    <w:rPr>
                      <w:rFonts w:cs="Times New Roman"/>
                      <w:szCs w:val="21"/>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516" w:type="pct"/>
                  <w:vAlign w:val="center"/>
                </w:tcPr>
                <w:p>
                  <w:pPr>
                    <w:pStyle w:val="32"/>
                    <w:rPr>
                      <w:rFonts w:cs="Times New Roman"/>
                      <w:szCs w:val="21"/>
                    </w:rPr>
                  </w:pPr>
                  <w:r>
                    <w:rPr>
                      <w:rFonts w:cs="Times New Roman"/>
                      <w:szCs w:val="21"/>
                    </w:rPr>
                    <w:t>本评价要求企业按要求编制环境风险应急预案，并积极响应应急联动机制</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1516" w:type="pct"/>
                  <w:vAlign w:val="center"/>
                </w:tcPr>
                <w:p>
                  <w:pPr>
                    <w:pStyle w:val="32"/>
                    <w:rPr>
                      <w:rFonts w:cs="Times New Roman"/>
                      <w:szCs w:val="21"/>
                    </w:rPr>
                  </w:pPr>
                  <w:r>
                    <w:rPr>
                      <w:rFonts w:cs="Times New Roman"/>
                      <w:szCs w:val="21"/>
                    </w:rPr>
                    <w:t>本项目将严格响应库尔勒市重污染天气应急预案</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8" w:hRule="atLeast"/>
                <w:jc w:val="center"/>
              </w:trPr>
              <w:tc>
                <w:tcPr>
                  <w:tcW w:w="205" w:type="pct"/>
                  <w:vMerge w:val="restart"/>
                  <w:vAlign w:val="center"/>
                </w:tcPr>
                <w:p>
                  <w:pPr>
                    <w:pStyle w:val="32"/>
                    <w:rPr>
                      <w:rFonts w:cs="Times New Roman"/>
                      <w:szCs w:val="21"/>
                    </w:rPr>
                  </w:pPr>
                  <w:r>
                    <w:rPr>
                      <w:rFonts w:cs="Times New Roman"/>
                      <w:szCs w:val="21"/>
                    </w:rPr>
                    <w:t>A4资源利用要求</w:t>
                  </w:r>
                </w:p>
              </w:tc>
              <w:tc>
                <w:tcPr>
                  <w:tcW w:w="354" w:type="pct"/>
                  <w:vMerge w:val="restart"/>
                  <w:vAlign w:val="center"/>
                </w:tcPr>
                <w:p>
                  <w:pPr>
                    <w:pStyle w:val="32"/>
                    <w:rPr>
                      <w:rFonts w:cs="Times New Roman"/>
                      <w:szCs w:val="21"/>
                    </w:rPr>
                  </w:pPr>
                  <w:r>
                    <w:rPr>
                      <w:rFonts w:cs="Times New Roman"/>
                      <w:szCs w:val="21"/>
                    </w:rPr>
                    <w:t>A4.1水资源</w:t>
                  </w: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〔A4.1-1〕自治区用水总量2025年、2030年控制在国家下达的指标内。</w:t>
                  </w:r>
                </w:p>
              </w:tc>
              <w:tc>
                <w:tcPr>
                  <w:tcW w:w="1516" w:type="pct"/>
                  <w:vAlign w:val="center"/>
                </w:tcPr>
                <w:p>
                  <w:pPr>
                    <w:pStyle w:val="87"/>
                    <w:spacing w:before="1" w:line="240" w:lineRule="auto"/>
                    <w:ind w:right="49" w:firstLine="0" w:firstLineChars="0"/>
                    <w:jc w:val="center"/>
                    <w:rPr>
                      <w:rFonts w:ascii="Times New Roman" w:hAnsi="Times New Roman" w:cs="Times New Roman"/>
                      <w:sz w:val="21"/>
                      <w:szCs w:val="21"/>
                      <w:lang w:eastAsia="zh-CN"/>
                    </w:rPr>
                  </w:pPr>
                  <w:r>
                    <w:rPr>
                      <w:rFonts w:hint="eastAsia" w:cs="Times New Roman"/>
                      <w:sz w:val="21"/>
                      <w:szCs w:val="21"/>
                      <w:lang w:eastAsia="zh-CN"/>
                    </w:rPr>
                    <w:t>本项目用水由库尔勒市哈拉玉宫镇废旧物资回收加工产业园供水系统供给</w:t>
                  </w:r>
                  <w:r>
                    <w:rPr>
                      <w:rFonts w:ascii="Times New Roman" w:hAnsi="Times New Roman" w:cs="Times New Roman"/>
                      <w:sz w:val="21"/>
                      <w:szCs w:val="21"/>
                      <w:lang w:eastAsia="zh-CN"/>
                    </w:rPr>
                    <w:t>，用水量较</w:t>
                  </w:r>
                  <w:r>
                    <w:rPr>
                      <w:rFonts w:hint="eastAsia" w:ascii="Times New Roman" w:hAnsi="Times New Roman" w:cs="Times New Roman"/>
                      <w:sz w:val="21"/>
                      <w:szCs w:val="21"/>
                      <w:lang w:eastAsia="zh-CN"/>
                    </w:rPr>
                    <w:t>小</w:t>
                  </w:r>
                  <w:r>
                    <w:rPr>
                      <w:rFonts w:ascii="Times New Roman" w:hAnsi="Times New Roman" w:cs="Times New Roman"/>
                      <w:sz w:val="21"/>
                      <w:szCs w:val="21"/>
                      <w:lang w:eastAsia="zh-CN"/>
                    </w:rPr>
                    <w:t>，满足自治区总量控制指标</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29" w:hRule="atLeast"/>
                <w:jc w:val="center"/>
              </w:trPr>
              <w:tc>
                <w:tcPr>
                  <w:tcW w:w="205" w:type="pct"/>
                  <w:vMerge w:val="continue"/>
                  <w:vAlign w:val="center"/>
                </w:tcPr>
                <w:p>
                  <w:pPr>
                    <w:pStyle w:val="32"/>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〔A4.1-2〕加大城镇污水再生利用工程建设力度，推进区域再生水循环利用，到2025年，城市生活污水再生利用率力争达到60%。</w:t>
                  </w:r>
                </w:p>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〔A4.1-3〕加强农村水利基础设施建设，推进农村供水保障工程，农村自来水普及率、集中供水率分别达到99.3%、99.7%。</w:t>
                  </w:r>
                </w:p>
              </w:tc>
              <w:tc>
                <w:tcPr>
                  <w:tcW w:w="1516" w:type="pct"/>
                  <w:vAlign w:val="center"/>
                </w:tcPr>
                <w:p>
                  <w:pPr>
                    <w:pStyle w:val="32"/>
                    <w:rPr>
                      <w:rFonts w:cs="Times New Roman"/>
                      <w:szCs w:val="21"/>
                    </w:rPr>
                  </w:pPr>
                  <w:r>
                    <w:rPr>
                      <w:rFonts w:hint="eastAsia" w:cs="Times New Roman"/>
                      <w:szCs w:val="21"/>
                    </w:rPr>
                    <w:t>本项目产生</w:t>
                  </w:r>
                  <w:r>
                    <w:rPr>
                      <w:rFonts w:cs="Times New Roman"/>
                      <w:szCs w:val="21"/>
                    </w:rPr>
                    <w:t>清洗废水</w:t>
                  </w:r>
                  <w:r>
                    <w:rPr>
                      <w:rFonts w:hint="eastAsia" w:cs="Times New Roman"/>
                      <w:szCs w:val="21"/>
                    </w:rPr>
                    <w:t>、车间地面冲洗废水</w:t>
                  </w:r>
                  <w:r>
                    <w:rPr>
                      <w:rFonts w:cs="Times New Roman"/>
                      <w:szCs w:val="21"/>
                    </w:rPr>
                    <w:t>经三级沉淀池处理后回用，生活污水经化粪池处理后，定期由吸污车抽运至库尔勒市南市区污水处理厂处理</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〔A4.1-4〕地下水资源利用实行总量控制和水位控制。取用地下水资源，应当按照国家和自治区有关规定申请取水许可。地下水利用应当以浅层地下水为主。</w:t>
                  </w:r>
                </w:p>
              </w:tc>
              <w:tc>
                <w:tcPr>
                  <w:tcW w:w="1516" w:type="pct"/>
                  <w:vAlign w:val="center"/>
                </w:tcPr>
                <w:p>
                  <w:pPr>
                    <w:pStyle w:val="32"/>
                    <w:rPr>
                      <w:rFonts w:cs="Times New Roman"/>
                      <w:szCs w:val="21"/>
                    </w:rPr>
                  </w:pPr>
                  <w:r>
                    <w:rPr>
                      <w:rFonts w:cs="Times New Roman"/>
                      <w:spacing w:val="-6"/>
                      <w:szCs w:val="21"/>
                    </w:rPr>
                    <w:t>本项目不涉及相关内容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61" w:hRule="atLeast"/>
                <w:jc w:val="center"/>
              </w:trPr>
              <w:tc>
                <w:tcPr>
                  <w:tcW w:w="205" w:type="pct"/>
                  <w:vMerge w:val="continue"/>
                  <w:vAlign w:val="center"/>
                </w:tcPr>
                <w:p>
                  <w:pPr>
                    <w:pStyle w:val="32"/>
                    <w:rPr>
                      <w:rFonts w:cs="Times New Roman"/>
                      <w:szCs w:val="21"/>
                    </w:rPr>
                  </w:pPr>
                </w:p>
              </w:tc>
              <w:tc>
                <w:tcPr>
                  <w:tcW w:w="354" w:type="pct"/>
                  <w:vAlign w:val="center"/>
                </w:tcPr>
                <w:p>
                  <w:pPr>
                    <w:pStyle w:val="32"/>
                    <w:rPr>
                      <w:rFonts w:cs="Times New Roman"/>
                      <w:szCs w:val="21"/>
                    </w:rPr>
                  </w:pPr>
                  <w:r>
                    <w:rPr>
                      <w:rFonts w:cs="Times New Roman"/>
                      <w:szCs w:val="21"/>
                    </w:rPr>
                    <w:t>A4.2土地资源</w:t>
                  </w: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〔A4.2-1〕土地资源上线指标控制在最终批复的国土空间规划控制指标内。</w:t>
                  </w:r>
                </w:p>
              </w:tc>
              <w:tc>
                <w:tcPr>
                  <w:tcW w:w="1516" w:type="pct"/>
                  <w:vAlign w:val="center"/>
                </w:tcPr>
                <w:p>
                  <w:pPr>
                    <w:pStyle w:val="32"/>
                    <w:rPr>
                      <w:rFonts w:cs="Times New Roman"/>
                      <w:szCs w:val="21"/>
                    </w:rPr>
                  </w:pPr>
                  <w:r>
                    <w:rPr>
                      <w:rFonts w:cs="Times New Roman"/>
                      <w:szCs w:val="21"/>
                    </w:rPr>
                    <w:t>本项目租赁现有厂区，未新增用地，不涉及大规模开发</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rPr>
                      <w:rFonts w:cs="Times New Roman"/>
                      <w:szCs w:val="21"/>
                    </w:rPr>
                  </w:pPr>
                </w:p>
              </w:tc>
              <w:tc>
                <w:tcPr>
                  <w:tcW w:w="354" w:type="pct"/>
                  <w:vMerge w:val="restart"/>
                  <w:vAlign w:val="center"/>
                </w:tcPr>
                <w:p>
                  <w:pPr>
                    <w:pStyle w:val="32"/>
                    <w:rPr>
                      <w:rFonts w:cs="Times New Roman"/>
                      <w:szCs w:val="21"/>
                    </w:rPr>
                  </w:pPr>
                  <w:r>
                    <w:rPr>
                      <w:rFonts w:cs="Times New Roman"/>
                      <w:szCs w:val="21"/>
                    </w:rPr>
                    <w:t>A4.3能源利用</w:t>
                  </w: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〔A4.3-1〕单位地区生产总值二氧化碳排放降低水平完成国家下达指标。</w:t>
                  </w:r>
                </w:p>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〔A4.3-2〕到2025年，自治区万元国内生产总值能耗比2020年下降14.5%。</w:t>
                  </w:r>
                </w:p>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〔A4.3-3〕到2025年，非化石能源占一次能源消费比重达18%以上。</w:t>
                  </w:r>
                </w:p>
              </w:tc>
              <w:tc>
                <w:tcPr>
                  <w:tcW w:w="1516" w:type="pct"/>
                  <w:vAlign w:val="center"/>
                </w:tcPr>
                <w:p>
                  <w:pPr>
                    <w:pStyle w:val="32"/>
                    <w:rPr>
                      <w:rFonts w:cs="Times New Roman"/>
                      <w:szCs w:val="21"/>
                    </w:rPr>
                  </w:pPr>
                  <w:r>
                    <w:rPr>
                      <w:rFonts w:cs="Times New Roman"/>
                      <w:spacing w:val="-6"/>
                      <w:szCs w:val="21"/>
                    </w:rPr>
                    <w:t>本项目不涉及相关内容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〔A4.3-4〕鼓励使用清洁能源或电厂热力、工业余热等替代锅炉、炉窑燃料用煤。</w:t>
                  </w:r>
                </w:p>
              </w:tc>
              <w:tc>
                <w:tcPr>
                  <w:tcW w:w="1516" w:type="pct"/>
                  <w:vAlign w:val="center"/>
                </w:tcPr>
                <w:p>
                  <w:pPr>
                    <w:pStyle w:val="32"/>
                    <w:rPr>
                      <w:rFonts w:cs="Times New Roman"/>
                      <w:szCs w:val="21"/>
                    </w:rPr>
                  </w:pPr>
                  <w:r>
                    <w:rPr>
                      <w:rFonts w:cs="Times New Roman"/>
                      <w:spacing w:val="-6"/>
                      <w:szCs w:val="21"/>
                    </w:rPr>
                    <w:t>本项目不涉及相关内容</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〔A4.3-5〕以碳达峰碳中和工作为引领，着力提高能源资源利用效率。引导重点行业深入实施清洁生产改造，钢铁、建材、石油化工等重点行业以及其他行业重点用能单位持续开展节能降耗。</w:t>
                  </w:r>
                </w:p>
              </w:tc>
              <w:tc>
                <w:tcPr>
                  <w:tcW w:w="1516" w:type="pct"/>
                  <w:vAlign w:val="center"/>
                </w:tcPr>
                <w:p>
                  <w:pPr>
                    <w:pStyle w:val="32"/>
                    <w:rPr>
                      <w:rFonts w:cs="Times New Roman"/>
                      <w:szCs w:val="21"/>
                    </w:rPr>
                  </w:pPr>
                  <w:r>
                    <w:rPr>
                      <w:rFonts w:cs="Times New Roman"/>
                      <w:spacing w:val="-6"/>
                      <w:szCs w:val="21"/>
                    </w:rPr>
                    <w:t>本项目不属于重点用能单位</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〔A4.3-6〕深入推进碳达峰碳中和行动。推动能源清洁低碳转型，加强能耗“双控”管理，优化能源消费结构。新增原料用能不纳入能源消费总量控制。持续推进散煤整治。</w:t>
                  </w:r>
                </w:p>
              </w:tc>
              <w:tc>
                <w:tcPr>
                  <w:tcW w:w="1516" w:type="pct"/>
                  <w:vAlign w:val="center"/>
                </w:tcPr>
                <w:p>
                  <w:pPr>
                    <w:pStyle w:val="32"/>
                    <w:rPr>
                      <w:rFonts w:cs="Times New Roman"/>
                      <w:szCs w:val="21"/>
                    </w:rPr>
                  </w:pPr>
                  <w:r>
                    <w:rPr>
                      <w:rFonts w:cs="Times New Roman"/>
                      <w:spacing w:val="-6"/>
                      <w:szCs w:val="21"/>
                    </w:rPr>
                    <w:t>本项目不涉及煤炭消耗</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Align w:val="center"/>
                </w:tcPr>
                <w:p>
                  <w:pPr>
                    <w:pStyle w:val="32"/>
                    <w:rPr>
                      <w:rFonts w:cs="Times New Roman"/>
                      <w:szCs w:val="21"/>
                    </w:rPr>
                  </w:pPr>
                  <w:r>
                    <w:rPr>
                      <w:rFonts w:cs="Times New Roman"/>
                      <w:szCs w:val="21"/>
                    </w:rPr>
                    <w:t>A4.4禁燃区要求</w:t>
                  </w: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〔A4.4-1〕在禁燃区内，禁止销售、燃用高污染燃料；禁止新建、扩建燃用高污染燃料的设施。已建成的，应当在规定期限内改用清洁能源。</w:t>
                  </w:r>
                </w:p>
              </w:tc>
              <w:tc>
                <w:tcPr>
                  <w:tcW w:w="1516" w:type="pct"/>
                  <w:vAlign w:val="center"/>
                </w:tcPr>
                <w:p>
                  <w:pPr>
                    <w:pStyle w:val="32"/>
                    <w:rPr>
                      <w:rFonts w:cs="Times New Roman"/>
                      <w:szCs w:val="21"/>
                    </w:rPr>
                  </w:pPr>
                  <w:r>
                    <w:rPr>
                      <w:rFonts w:cs="Times New Roman"/>
                      <w:spacing w:val="-6"/>
                      <w:szCs w:val="21"/>
                    </w:rPr>
                    <w:t>本项目不在禁燃区</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restart"/>
                  <w:vAlign w:val="center"/>
                </w:tcPr>
                <w:p>
                  <w:pPr>
                    <w:pStyle w:val="32"/>
                    <w:rPr>
                      <w:rFonts w:cs="Times New Roman"/>
                      <w:szCs w:val="21"/>
                    </w:rPr>
                  </w:pPr>
                  <w:r>
                    <w:rPr>
                      <w:rFonts w:cs="Times New Roman"/>
                      <w:szCs w:val="21"/>
                    </w:rPr>
                    <w:t>A4.5资源综合利用</w:t>
                  </w: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516" w:type="pct"/>
                  <w:vMerge w:val="restart"/>
                  <w:vAlign w:val="center"/>
                </w:tcPr>
                <w:p>
                  <w:pPr>
                    <w:spacing w:line="240" w:lineRule="auto"/>
                    <w:ind w:firstLine="0" w:firstLineChars="0"/>
                    <w:rPr>
                      <w:rFonts w:cs="Times New Roman"/>
                      <w:sz w:val="21"/>
                      <w:szCs w:val="21"/>
                    </w:rPr>
                  </w:pPr>
                  <w:r>
                    <w:rPr>
                      <w:rFonts w:cs="Times New Roman"/>
                      <w:sz w:val="21"/>
                      <w:szCs w:val="21"/>
                    </w:rPr>
                    <w:t>本项目产生的沉淀池</w:t>
                  </w:r>
                  <w:r>
                    <w:rPr>
                      <w:rFonts w:hint="eastAsia" w:cs="Times New Roman"/>
                      <w:sz w:val="21"/>
                      <w:szCs w:val="21"/>
                    </w:rPr>
                    <w:t>沉渣</w:t>
                  </w:r>
                  <w:r>
                    <w:rPr>
                      <w:rFonts w:cs="Times New Roman"/>
                      <w:sz w:val="21"/>
                      <w:szCs w:val="21"/>
                    </w:rPr>
                    <w:t>定期清掏晾晒干后送往一般工业固废填埋场；分拣废料集中收集后定期外售至废品回收站；生活垃圾集中收集至垃圾箱后由环卫部门统一清运。</w:t>
                  </w:r>
                  <w:r>
                    <w:rPr>
                      <w:rFonts w:hint="eastAsia" w:cs="Times New Roman"/>
                      <w:sz w:val="21"/>
                      <w:szCs w:val="21"/>
                    </w:rPr>
                    <w:t>危险废物集中收集后，分区存放于危险废物贮存点，定期交由有危险废物处理资质的单位回收处理</w:t>
                  </w:r>
                  <w:r>
                    <w:rPr>
                      <w:rFonts w:cs="Times New Roman"/>
                      <w:sz w:val="21"/>
                      <w:szCs w:val="21"/>
                    </w:rPr>
                    <w:t>，全部综合利用或妥善处置</w:t>
                  </w: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rPr>
                      <w:rFonts w:cs="Times New Roman"/>
                      <w:szCs w:val="21"/>
                    </w:rPr>
                  </w:pPr>
                </w:p>
              </w:tc>
              <w:tc>
                <w:tcPr>
                  <w:tcW w:w="2520" w:type="pct"/>
                  <w:vAlign w:val="center"/>
                </w:tcPr>
                <w:p>
                  <w:pPr>
                    <w:pStyle w:val="87"/>
                    <w:spacing w:before="1" w:line="240" w:lineRule="auto"/>
                    <w:ind w:right="49" w:firstLine="0" w:firstLineChars="0"/>
                    <w:rPr>
                      <w:rFonts w:ascii="Times New Roman" w:hAnsi="Times New Roman" w:cs="Times New Roman"/>
                      <w:sz w:val="21"/>
                      <w:szCs w:val="21"/>
                      <w:lang w:eastAsia="zh-CN"/>
                    </w:rPr>
                  </w:pPr>
                  <w:r>
                    <w:rPr>
                      <w:rFonts w:ascii="Times New Roman" w:hAnsi="Times New Roman" w:cs="Times New Roman"/>
                      <w:sz w:val="21"/>
                      <w:szCs w:val="21"/>
                      <w:lang w:eastAsia="zh-CN"/>
                    </w:rPr>
                    <w:t>〔A4.5-2〕推动工业固废按元素价值综合开发利用，加快推进尾矿（共伴生矿）、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高性能混凝土、预制件、节能型建筑材料等领域的高值化利用水平。</w:t>
                  </w:r>
                </w:p>
              </w:tc>
              <w:tc>
                <w:tcPr>
                  <w:tcW w:w="1516" w:type="pct"/>
                  <w:vMerge w:val="continue"/>
                  <w:vAlign w:val="center"/>
                </w:tcPr>
                <w:p>
                  <w:pPr>
                    <w:pStyle w:val="32"/>
                    <w:rPr>
                      <w:rFonts w:cs="Times New Roman"/>
                      <w:szCs w:val="21"/>
                    </w:rPr>
                  </w:pPr>
                </w:p>
              </w:tc>
              <w:tc>
                <w:tcPr>
                  <w:tcW w:w="405" w:type="pct"/>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4.5-3〕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516" w:type="pct"/>
                  <w:vMerge w:val="continue"/>
                  <w:vAlign w:val="center"/>
                </w:tcPr>
                <w:p>
                  <w:pPr>
                    <w:pStyle w:val="32"/>
                    <w:rPr>
                      <w:rFonts w:cs="Times New Roman"/>
                      <w:szCs w:val="21"/>
                    </w:rPr>
                  </w:pPr>
                </w:p>
              </w:tc>
              <w:tc>
                <w:tcPr>
                  <w:tcW w:w="405" w:type="pct"/>
                  <w:vAlign w:val="center"/>
                </w:tcPr>
                <w:p>
                  <w:pPr>
                    <w:pStyle w:val="32"/>
                    <w:rPr>
                      <w:rFonts w:cs="Times New Roman"/>
                      <w:szCs w:val="21"/>
                    </w:rPr>
                  </w:pPr>
                  <w:r>
                    <w:rPr>
                      <w:rFonts w:cs="Times New Roman"/>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05" w:type="pct"/>
                  <w:vMerge w:val="continue"/>
                  <w:vAlign w:val="center"/>
                </w:tcPr>
                <w:p>
                  <w:pPr>
                    <w:pStyle w:val="32"/>
                    <w:ind w:firstLine="480"/>
                    <w:rPr>
                      <w:rFonts w:cs="Times New Roman"/>
                      <w:szCs w:val="21"/>
                    </w:rPr>
                  </w:pPr>
                </w:p>
              </w:tc>
              <w:tc>
                <w:tcPr>
                  <w:tcW w:w="354" w:type="pct"/>
                  <w:vMerge w:val="continue"/>
                  <w:vAlign w:val="center"/>
                </w:tcPr>
                <w:p>
                  <w:pPr>
                    <w:pStyle w:val="32"/>
                    <w:ind w:firstLine="480"/>
                    <w:rPr>
                      <w:rFonts w:cs="Times New Roman"/>
                      <w:szCs w:val="21"/>
                    </w:rPr>
                  </w:pPr>
                </w:p>
              </w:tc>
              <w:tc>
                <w:tcPr>
                  <w:tcW w:w="2520" w:type="pct"/>
                  <w:vAlign w:val="center"/>
                </w:tcPr>
                <w:p>
                  <w:pPr>
                    <w:pStyle w:val="32"/>
                    <w:jc w:val="both"/>
                    <w:rPr>
                      <w:rFonts w:cs="Times New Roman"/>
                      <w:szCs w:val="21"/>
                    </w:rPr>
                  </w:pPr>
                  <w:r>
                    <w:rPr>
                      <w:rFonts w:cs="Times New Roman"/>
                      <w:szCs w:val="21"/>
                    </w:rPr>
                    <w:t>〔A4.5-4〕发展生态种植、生态养殖，建立农业循环经济发展模式，促进农业固体废物综合利用。鼓励和引导农民采用增施有机肥秸秆还田、种植绿肥等技术，持续减少化肥农药使用比例。加大畜禽粪污和秸秆资源化利用先进技术和新型市场模式的集成推广，推动形成长效运行机制。</w:t>
                  </w:r>
                </w:p>
              </w:tc>
              <w:tc>
                <w:tcPr>
                  <w:tcW w:w="1516" w:type="pct"/>
                  <w:vAlign w:val="center"/>
                </w:tcPr>
                <w:p>
                  <w:pPr>
                    <w:pStyle w:val="32"/>
                    <w:rPr>
                      <w:rFonts w:cs="Times New Roman"/>
                      <w:szCs w:val="21"/>
                    </w:rPr>
                  </w:pPr>
                  <w:r>
                    <w:rPr>
                      <w:rFonts w:cs="Times New Roman"/>
                      <w:szCs w:val="21"/>
                    </w:rPr>
                    <w:t>本项目不涉及相关内容</w:t>
                  </w:r>
                </w:p>
              </w:tc>
              <w:tc>
                <w:tcPr>
                  <w:tcW w:w="405" w:type="pct"/>
                  <w:vAlign w:val="center"/>
                </w:tcPr>
                <w:p>
                  <w:pPr>
                    <w:pStyle w:val="32"/>
                    <w:rPr>
                      <w:rFonts w:cs="Times New Roman"/>
                      <w:szCs w:val="21"/>
                    </w:rPr>
                  </w:pPr>
                  <w:r>
                    <w:rPr>
                      <w:rFonts w:cs="Times New Roman"/>
                      <w:szCs w:val="21"/>
                    </w:rPr>
                    <w:t>符合</w:t>
                  </w:r>
                </w:p>
              </w:tc>
            </w:tr>
          </w:tbl>
          <w:p>
            <w:pPr>
              <w:autoSpaceDE w:val="0"/>
              <w:autoSpaceDN w:val="0"/>
              <w:adjustRightInd w:val="0"/>
              <w:ind w:firstLine="0" w:firstLineChars="0"/>
              <w:rPr>
                <w:b/>
                <w:bCs/>
              </w:rPr>
            </w:pPr>
            <w:r>
              <w:rPr>
                <w:rFonts w:hint="eastAsia"/>
                <w:b/>
                <w:bCs/>
              </w:rPr>
              <w:t>4.本项目与《关于印发〈新疆维吾尔自治区七大片区生态环境分区管控要求〉（2021年版）的通知》（新环环评发〔2021〕162号）符合性分析</w:t>
            </w:r>
          </w:p>
          <w:p>
            <w:pPr>
              <w:autoSpaceDE w:val="0"/>
              <w:autoSpaceDN w:val="0"/>
              <w:adjustRightInd w:val="0"/>
              <w:ind w:firstLine="480"/>
              <w:rPr>
                <w:b/>
                <w:bCs/>
              </w:rPr>
            </w:pPr>
            <w:r>
              <w:rPr>
                <w:rFonts w:hint="eastAsia"/>
              </w:rPr>
              <w:t>本项目位于巴音郭楞蒙古自治州库尔勒市，属于天山南坡片区，本项目与“天山南坡片区总体管控要求”符合性分析见表1-</w:t>
            </w:r>
            <w:r>
              <w:t>3</w:t>
            </w:r>
            <w:r>
              <w:rPr>
                <w:rFonts w:hint="eastAsia"/>
              </w:rPr>
              <w:t>。</w:t>
            </w:r>
          </w:p>
          <w:p>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1-3  </w:t>
            </w:r>
            <w:r>
              <w:rPr>
                <w:rFonts w:hint="eastAsia" w:cs="Times New Roman"/>
                <w:b/>
                <w:kern w:val="0"/>
                <w:sz w:val="21"/>
                <w:szCs w:val="20"/>
              </w:rPr>
              <w:t>本项目与七大片天山南坡片区总体管控要求符合性分析一览表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4367"/>
              <w:gridCol w:w="2827"/>
              <w:gridCol w:w="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restar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天山南坡片区总体管控要求</w:t>
                  </w:r>
                </w:p>
              </w:tc>
              <w:tc>
                <w:tcPr>
                  <w:tcW w:w="2614"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管控要求</w:t>
                  </w:r>
                </w:p>
              </w:tc>
              <w:tc>
                <w:tcPr>
                  <w:tcW w:w="1693"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693"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本项目不在托木尔峰和天山南坡中段冰雪水源及生物多样性保护生态功能区</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693"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本项目不涉及油气勘探开发</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推进塔里木河流域用水结构调整，维护塔里木河、博斯腾湖基本生态用水</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本项目不涉及塔里木河、博斯腾湖生态用水</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加强塔里木河流域水环境风险管控。加大博斯腾湖污染源头达标排放治理和监督力度，实施博斯腾湖综合治理。</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63" w:hRule="atLeast"/>
              </w:trPr>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加强油（气）资源开发区土壤环境污染综合整治。强化涉重金属行业污染防控与工业废物处理处置。</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本项目不涉及油气开发，不涉及重金属排放</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bl>
          <w:p>
            <w:pPr>
              <w:autoSpaceDE w:val="0"/>
              <w:autoSpaceDN w:val="0"/>
              <w:adjustRightInd w:val="0"/>
              <w:spacing w:line="384" w:lineRule="auto"/>
              <w:ind w:firstLine="480"/>
              <w:rPr>
                <w:rFonts w:hAnsi="宋体" w:cs="宋体"/>
                <w:kern w:val="0"/>
              </w:rPr>
            </w:pPr>
            <w:r>
              <w:rPr>
                <w:rFonts w:hint="eastAsia" w:hAnsi="宋体" w:cs="宋体"/>
                <w:kern w:val="0"/>
              </w:rPr>
              <w:t>综上，本项目符合《新疆维吾尔自治区七大片区生态环境分区管控要求》中天山南坡片区总体管控要求。</w:t>
            </w:r>
          </w:p>
          <w:p>
            <w:pPr>
              <w:autoSpaceDE w:val="0"/>
              <w:autoSpaceDN w:val="0"/>
              <w:adjustRightInd w:val="0"/>
              <w:spacing w:line="384" w:lineRule="auto"/>
              <w:ind w:firstLine="0" w:firstLineChars="0"/>
              <w:rPr>
                <w:rFonts w:hAnsi="宋体" w:cs="宋体"/>
                <w:b/>
                <w:bCs/>
                <w:kern w:val="0"/>
              </w:rPr>
            </w:pPr>
            <w:r>
              <w:rPr>
                <w:rFonts w:hint="eastAsia" w:hAnsi="宋体" w:cs="宋体"/>
                <w:b/>
                <w:bCs/>
                <w:kern w:val="0"/>
              </w:rPr>
              <w:t>5.本项目与《关于印发巴音郭楞蒙古自治州生态环境分区管控动态更新成果（2023年）的通知》（巴政办发〔2024〕32号）的符合性分析</w:t>
            </w:r>
          </w:p>
          <w:p>
            <w:pPr>
              <w:adjustRightInd w:val="0"/>
              <w:spacing w:before="163" w:beforeLines="50" w:line="240" w:lineRule="auto"/>
              <w:ind w:firstLine="0" w:firstLineChars="0"/>
              <w:jc w:val="center"/>
              <w:textAlignment w:val="auto"/>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1-4  </w:t>
            </w:r>
            <w:r>
              <w:rPr>
                <w:rFonts w:hint="eastAsia" w:cs="Times New Roman"/>
                <w:b/>
                <w:bCs/>
                <w:spacing w:val="-20"/>
                <w:kern w:val="21"/>
                <w:sz w:val="21"/>
                <w:szCs w:val="24"/>
              </w:rPr>
              <w:t>本项目与巴音郭楞蒙古自治州生态环境分区管控方案符合性分析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4540"/>
              <w:gridCol w:w="2046"/>
              <w:gridCol w:w="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名称</w:t>
                  </w:r>
                </w:p>
              </w:tc>
              <w:tc>
                <w:tcPr>
                  <w:tcW w:w="2718"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符合性分析</w:t>
                  </w:r>
                </w:p>
              </w:tc>
              <w:tc>
                <w:tcPr>
                  <w:tcW w:w="1225" w:type="pct"/>
                  <w:vAlign w:val="center"/>
                </w:tcPr>
                <w:p>
                  <w:pPr>
                    <w:spacing w:line="240" w:lineRule="auto"/>
                    <w:ind w:firstLine="0" w:firstLineChars="0"/>
                    <w:contextualSpacing/>
                    <w:jc w:val="center"/>
                    <w:rPr>
                      <w:rFonts w:cs="Times New Roman"/>
                      <w:sz w:val="21"/>
                      <w:szCs w:val="21"/>
                    </w:rPr>
                  </w:pPr>
                  <w:r>
                    <w:rPr>
                      <w:rFonts w:cs="Times New Roman"/>
                      <w:sz w:val="21"/>
                      <w:szCs w:val="21"/>
                    </w:rPr>
                    <w:t>本项目</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生态保护红线</w:t>
                  </w:r>
                </w:p>
              </w:tc>
              <w:tc>
                <w:tcPr>
                  <w:tcW w:w="2718" w:type="pct"/>
                  <w:vAlign w:val="center"/>
                </w:tcPr>
                <w:p>
                  <w:pPr>
                    <w:spacing w:line="240" w:lineRule="auto"/>
                    <w:ind w:firstLine="0" w:firstLineChars="0"/>
                    <w:contextualSpacing/>
                    <w:jc w:val="center"/>
                    <w:rPr>
                      <w:rFonts w:cs="Times New Roman"/>
                      <w:sz w:val="21"/>
                      <w:szCs w:val="21"/>
                    </w:rPr>
                  </w:pPr>
                  <w:r>
                    <w:rPr>
                      <w:rFonts w:cs="Times New Roman"/>
                      <w:sz w:val="21"/>
                      <w:szCs w:val="21"/>
                    </w:rPr>
                    <w:t>按照“生态功能不降低、面积不减少、性质不改变”的基本要求，对划定的生态保护红线实施严格管控，保障和维护国家生态安全的底线和生命线</w:t>
                  </w:r>
                </w:p>
              </w:tc>
              <w:tc>
                <w:tcPr>
                  <w:tcW w:w="1225" w:type="pct"/>
                  <w:vAlign w:val="center"/>
                </w:tcPr>
                <w:p>
                  <w:pPr>
                    <w:spacing w:line="240" w:lineRule="auto"/>
                    <w:ind w:firstLine="0" w:firstLineChars="0"/>
                    <w:contextualSpacing/>
                    <w:jc w:val="center"/>
                    <w:rPr>
                      <w:rFonts w:cs="Times New Roman"/>
                      <w:sz w:val="21"/>
                      <w:szCs w:val="21"/>
                    </w:rPr>
                  </w:pPr>
                  <w:r>
                    <w:rPr>
                      <w:rFonts w:cs="Times New Roman"/>
                      <w:sz w:val="21"/>
                      <w:szCs w:val="21"/>
                    </w:rPr>
                    <w:t>本项目不在生态保护红线范围内</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环境质量底线</w:t>
                  </w:r>
                </w:p>
              </w:tc>
              <w:tc>
                <w:tcPr>
                  <w:tcW w:w="2718" w:type="pc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全州水环境质量持续改善，开都河、塔里木河、迪那河、车尔臣河、黄水沟5条河流13个监测断面稳定达到Ⅱ类水（塔里木河氟化物不参与考核，其他指标均为Ⅱ类），孔雀河4个监测断面达到</w:t>
                  </w:r>
                  <w:r>
                    <w:rPr>
                      <w:rFonts w:hint="eastAsia" w:cs="Times New Roman"/>
                      <w:color w:val="000000"/>
                      <w:sz w:val="21"/>
                      <w:szCs w:val="21"/>
                    </w:rPr>
                    <w:t>Ⅱ类</w:t>
                  </w:r>
                  <w:r>
                    <w:rPr>
                      <w:rFonts w:cs="Times New Roman"/>
                      <w:color w:val="000000"/>
                      <w:sz w:val="21"/>
                      <w:szCs w:val="21"/>
                    </w:rPr>
                    <w:t>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cs="Times New Roman"/>
                      <w:color w:val="000000"/>
                      <w:sz w:val="21"/>
                      <w:szCs w:val="21"/>
                      <w:vertAlign w:val="subscript"/>
                    </w:rPr>
                    <w:t>2</w:t>
                  </w:r>
                  <w:r>
                    <w:rPr>
                      <w:rFonts w:cs="Times New Roman"/>
                      <w:color w:val="000000"/>
                      <w:sz w:val="21"/>
                      <w:szCs w:val="21"/>
                    </w:rPr>
                    <w:t>、NO</w:t>
                  </w:r>
                  <w:r>
                    <w:rPr>
                      <w:rFonts w:cs="Times New Roman"/>
                      <w:color w:val="000000"/>
                      <w:sz w:val="21"/>
                      <w:szCs w:val="21"/>
                      <w:vertAlign w:val="subscript"/>
                    </w:rPr>
                    <w:t>2</w:t>
                  </w:r>
                  <w:r>
                    <w:rPr>
                      <w:rFonts w:cs="Times New Roman"/>
                      <w:color w:val="000000"/>
                      <w:sz w:val="21"/>
                      <w:szCs w:val="21"/>
                    </w:rPr>
                    <w:t>浓度长期维持在较低水平，达到环境空气质量一级标准；逐步减少颗粒物排放，PM</w:t>
                  </w:r>
                  <w:r>
                    <w:rPr>
                      <w:rFonts w:cs="Times New Roman"/>
                      <w:color w:val="000000"/>
                      <w:sz w:val="21"/>
                      <w:szCs w:val="21"/>
                      <w:vertAlign w:val="subscript"/>
                    </w:rPr>
                    <w:t>10</w:t>
                  </w:r>
                  <w:r>
                    <w:rPr>
                      <w:rFonts w:cs="Times New Roman"/>
                      <w:color w:val="000000"/>
                      <w:sz w:val="21"/>
                      <w:szCs w:val="21"/>
                    </w:rPr>
                    <w:t>、PM</w:t>
                  </w:r>
                  <w:r>
                    <w:rPr>
                      <w:rFonts w:cs="Times New Roman"/>
                      <w:color w:val="000000"/>
                      <w:sz w:val="21"/>
                      <w:szCs w:val="21"/>
                      <w:vertAlign w:val="subscript"/>
                    </w:rPr>
                    <w:t>2.5</w:t>
                  </w:r>
                  <w:r>
                    <w:rPr>
                      <w:rFonts w:cs="Times New Roman"/>
                      <w:color w:val="000000"/>
                      <w:sz w:val="21"/>
                      <w:szCs w:val="21"/>
                    </w:rPr>
                    <w:t>平均浓度分别低于81μg/m</w:t>
                  </w:r>
                  <w:r>
                    <w:rPr>
                      <w:rFonts w:cs="Times New Roman"/>
                      <w:color w:val="000000"/>
                      <w:sz w:val="21"/>
                      <w:szCs w:val="21"/>
                      <w:vertAlign w:val="superscript"/>
                    </w:rPr>
                    <w:t>3</w:t>
                  </w:r>
                  <w:r>
                    <w:rPr>
                      <w:rFonts w:cs="Times New Roman"/>
                      <w:color w:val="000000"/>
                      <w:sz w:val="21"/>
                      <w:szCs w:val="21"/>
                    </w:rPr>
                    <w:t>、31.5μg/m</w:t>
                  </w:r>
                  <w:r>
                    <w:rPr>
                      <w:rFonts w:cs="Times New Roman"/>
                      <w:color w:val="000000"/>
                      <w:sz w:val="21"/>
                      <w:szCs w:val="21"/>
                      <w:vertAlign w:val="superscript"/>
                    </w:rPr>
                    <w:t>3</w:t>
                  </w:r>
                  <w:r>
                    <w:rPr>
                      <w:rFonts w:hint="eastAsia" w:cs="Times New Roman"/>
                      <w:color w:val="000000"/>
                      <w:sz w:val="21"/>
                      <w:szCs w:val="21"/>
                    </w:rPr>
                    <w:t>（</w:t>
                  </w:r>
                  <w:r>
                    <w:rPr>
                      <w:rFonts w:cs="Times New Roman"/>
                      <w:color w:val="000000"/>
                      <w:sz w:val="21"/>
                      <w:szCs w:val="21"/>
                    </w:rPr>
                    <w:t>库尔勒市，扣除沙尘天气影响</w:t>
                  </w:r>
                  <w:r>
                    <w:rPr>
                      <w:rFonts w:hint="eastAsia" w:cs="Times New Roman"/>
                      <w:color w:val="000000"/>
                      <w:sz w:val="21"/>
                      <w:szCs w:val="21"/>
                    </w:rPr>
                    <w:t>）</w:t>
                  </w:r>
                  <w:r>
                    <w:rPr>
                      <w:rFonts w:cs="Times New Roman"/>
                      <w:color w:val="000000"/>
                      <w:sz w:val="21"/>
                      <w:szCs w:val="21"/>
                    </w:rPr>
                    <w:t>，空气优良天数比例大于75.2%</w:t>
                  </w:r>
                  <w:r>
                    <w:rPr>
                      <w:rFonts w:hint="eastAsia" w:cs="Times New Roman"/>
                      <w:color w:val="000000"/>
                      <w:sz w:val="21"/>
                      <w:szCs w:val="21"/>
                    </w:rPr>
                    <w:t>（</w:t>
                  </w:r>
                  <w:r>
                    <w:rPr>
                      <w:rFonts w:cs="Times New Roman"/>
                      <w:color w:val="000000"/>
                      <w:sz w:val="21"/>
                      <w:szCs w:val="21"/>
                    </w:rPr>
                    <w:t>库尔勒市</w:t>
                  </w:r>
                  <w:r>
                    <w:rPr>
                      <w:rFonts w:hint="eastAsia" w:cs="Times New Roman"/>
                      <w:color w:val="000000"/>
                      <w:sz w:val="21"/>
                      <w:szCs w:val="21"/>
                    </w:rPr>
                    <w:t>）</w:t>
                  </w:r>
                  <w:r>
                    <w:rPr>
                      <w:rFonts w:cs="Times New Roman"/>
                      <w:color w:val="000000"/>
                      <w:sz w:val="21"/>
                      <w:szCs w:val="21"/>
                    </w:rPr>
                    <w:t>，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225" w:type="pct"/>
                  <w:vAlign w:val="center"/>
                </w:tcPr>
                <w:p>
                  <w:pPr>
                    <w:spacing w:line="240" w:lineRule="auto"/>
                    <w:ind w:firstLine="0" w:firstLineChars="0"/>
                    <w:contextualSpacing/>
                    <w:rPr>
                      <w:rFonts w:cs="Times New Roman"/>
                      <w:color w:val="000000"/>
                      <w:sz w:val="21"/>
                      <w:szCs w:val="21"/>
                    </w:rPr>
                  </w:pPr>
                  <w:r>
                    <w:rPr>
                      <w:rFonts w:hint="eastAsia" w:cs="Times New Roman"/>
                      <w:sz w:val="21"/>
                      <w:szCs w:val="21"/>
                    </w:rPr>
                    <w:t>本项目营运期产生的废水主要包括生产废水和生活污水。生产废水经沉淀池处理后，回用于生产，不外排；生活污水经化粪池预处理后，定期由吸污车抽运至库尔勒市南市区污水处理厂进一步处理；破碎工序采用湿法破碎工艺，在密闭厂房内进行，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资源利用上线</w:t>
                  </w:r>
                </w:p>
              </w:tc>
              <w:tc>
                <w:tcPr>
                  <w:tcW w:w="2718" w:type="pct"/>
                  <w:vAlign w:val="center"/>
                </w:tcPr>
                <w:p>
                  <w:pPr>
                    <w:spacing w:line="240" w:lineRule="auto"/>
                    <w:ind w:firstLine="0" w:firstLineChars="0"/>
                    <w:contextualSpacing/>
                    <w:rPr>
                      <w:rFonts w:cs="Times New Roman"/>
                      <w:sz w:val="21"/>
                      <w:szCs w:val="21"/>
                    </w:rPr>
                  </w:pPr>
                  <w:r>
                    <w:rPr>
                      <w:rFonts w:cs="Times New Roman"/>
                      <w:sz w:val="21"/>
                      <w:szCs w:val="21"/>
                    </w:rPr>
                    <w:t>强化节约集约利用，持续提升资源能源利用效率，水资源、土地资源、能源消耗等达到国家、自治区下达的总量和强度控制目标，加快低碳发展，提升碳汇能力，做好碳达峰和碳中和工作</w:t>
                  </w:r>
                </w:p>
              </w:tc>
              <w:tc>
                <w:tcPr>
                  <w:tcW w:w="1225"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本项目用水由库尔勒市哈拉玉宫镇废旧物资回收加工产业园供水系统供给</w:t>
                  </w:r>
                  <w:r>
                    <w:rPr>
                      <w:rFonts w:cs="Times New Roman"/>
                      <w:color w:val="000000"/>
                      <w:sz w:val="21"/>
                      <w:szCs w:val="21"/>
                    </w:rPr>
                    <w:t>，占地面积小，项目用水量、土地资源、能源消耗未超过国家、自治区下达的总量和强度控制目标</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65"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pacing w:val="-10"/>
                      <w:kern w:val="0"/>
                      <w:sz w:val="21"/>
                      <w:szCs w:val="21"/>
                    </w:rPr>
                    <w:t>环境管控单元</w:t>
                  </w:r>
                </w:p>
              </w:tc>
              <w:tc>
                <w:tcPr>
                  <w:tcW w:w="2718" w:type="pct"/>
                  <w:vAlign w:val="center"/>
                </w:tcPr>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自治州划定154个环境管控单元，分为优先保护单元、重点管控单元和一般管控单元等三个管控类别。</w:t>
                  </w:r>
                </w:p>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优先保护类单元66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重点管控单元79个。主要包括城镇建成区、工业园区和开发强度大、污染物排放强度高的工业聚集区等。要着力优化空间布局，不断提升资源利用效率，有针对性地加强污染物排放管控和环境风险防控，解决生态环境质量不达标、生态环境风险高等问题。</w:t>
                  </w:r>
                </w:p>
                <w:p>
                  <w:pPr>
                    <w:spacing w:line="240" w:lineRule="auto"/>
                    <w:ind w:firstLine="420"/>
                    <w:contextualSpacing/>
                    <w:rPr>
                      <w:rFonts w:cs="Times New Roman"/>
                      <w:sz w:val="21"/>
                      <w:szCs w:val="21"/>
                    </w:rPr>
                  </w:pPr>
                  <w:r>
                    <w:rPr>
                      <w:rFonts w:cs="Times New Roman"/>
                      <w:color w:val="000000"/>
                      <w:sz w:val="21"/>
                      <w:szCs w:val="21"/>
                    </w:rPr>
                    <w:t>一般管控单元共9个。主要包括优先保护单元和重点管控单元之外的其它区域。一般管控单元以沙漠、荒漠、戈壁、一般农业生产等为主的管控单元，主要落实生态环境保护基本要求，推动区域环境质量持续改善。</w:t>
                  </w:r>
                </w:p>
              </w:tc>
              <w:tc>
                <w:tcPr>
                  <w:tcW w:w="1225" w:type="pc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本项目位于库尔勒市一般管控单元（ZH65280130001），</w:t>
                  </w:r>
                  <w:r>
                    <w:rPr>
                      <w:rFonts w:hint="eastAsia" w:cs="Times New Roman"/>
                      <w:color w:val="000000"/>
                      <w:sz w:val="21"/>
                      <w:szCs w:val="21"/>
                    </w:rPr>
                    <w:t>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bl>
          <w:p>
            <w:pPr>
              <w:spacing w:line="240" w:lineRule="auto"/>
              <w:ind w:firstLine="480"/>
              <w:textAlignment w:val="auto"/>
              <w:rPr>
                <w:rFonts w:cs="Times New Roman"/>
                <w:szCs w:val="24"/>
              </w:rPr>
            </w:pPr>
            <w:r>
              <w:rPr>
                <w:rFonts w:hint="eastAsia" w:cs="Times New Roman"/>
                <w:szCs w:val="24"/>
              </w:rPr>
              <w:t>（2）</w:t>
            </w:r>
            <w:r>
              <w:rPr>
                <w:rFonts w:hint="eastAsia" w:hAnsi="宋体" w:cs="宋体"/>
                <w:kern w:val="0"/>
              </w:rPr>
              <w:t>本项目与巴音郭楞蒙古自治州总体管控要求符合性分析</w:t>
            </w:r>
          </w:p>
          <w:p>
            <w:pPr>
              <w:adjustRightInd w:val="0"/>
              <w:spacing w:before="163" w:beforeLines="50" w:line="240" w:lineRule="auto"/>
              <w:ind w:firstLineChars="0"/>
              <w:jc w:val="center"/>
              <w:rPr>
                <w:b/>
                <w:kern w:val="0"/>
                <w:sz w:val="21"/>
                <w:szCs w:val="20"/>
              </w:rPr>
            </w:pPr>
            <w:r>
              <w:rPr>
                <w:rFonts w:hint="eastAsia"/>
                <w:b/>
                <w:kern w:val="0"/>
                <w:sz w:val="21"/>
                <w:szCs w:val="20"/>
              </w:rPr>
              <w:t>表</w:t>
            </w:r>
            <w:r>
              <w:rPr>
                <w:b/>
                <w:kern w:val="0"/>
                <w:sz w:val="21"/>
                <w:szCs w:val="20"/>
              </w:rPr>
              <w:t xml:space="preserve">1-5 </w:t>
            </w:r>
            <w:r>
              <w:rPr>
                <w:rFonts w:hint="eastAsia"/>
                <w:b/>
                <w:kern w:val="0"/>
                <w:sz w:val="21"/>
                <w:szCs w:val="20"/>
              </w:rPr>
              <w:t xml:space="preserve"> 本项目与巴音郭楞蒙古自治州总体管控要求符合性分析一览表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78"/>
              <w:gridCol w:w="291"/>
              <w:gridCol w:w="5511"/>
              <w:gridCol w:w="1713"/>
              <w:gridCol w:w="5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277"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巴音郭楞蒙古自治州总体管控要求</w:t>
                  </w:r>
                </w:p>
              </w:tc>
              <w:tc>
                <w:tcPr>
                  <w:tcW w:w="291" w:type="dxa"/>
                  <w:vAlign w:val="center"/>
                </w:tcPr>
                <w:p>
                  <w:pPr>
                    <w:spacing w:line="240" w:lineRule="auto"/>
                    <w:ind w:firstLine="0" w:firstLineChars="0"/>
                    <w:contextualSpacing/>
                    <w:jc w:val="center"/>
                    <w:rPr>
                      <w:rFonts w:cs="Times New Roman"/>
                      <w:sz w:val="21"/>
                      <w:szCs w:val="21"/>
                    </w:rPr>
                  </w:pPr>
                  <w:r>
                    <w:rPr>
                      <w:rFonts w:cs="Times New Roman"/>
                      <w:sz w:val="21"/>
                      <w:szCs w:val="21"/>
                    </w:rPr>
                    <w:t>管控类别</w:t>
                  </w: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管控要求</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空间布局约束</w:t>
                  </w: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1.1禁止在人口集中地区和其他依法需要特殊保护的区域内焚烧沥青、油毡、橡胶、塑料、皮革、垃圾以及其他产生有毒有害烟尘和恶臭气体的物质。</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本项目位于库尔勒市哈拉玉宫镇废旧物资回收加工产业园，废气采取完善的污染防治措施后达标排放</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禁止在居民住宅楼、未配套设立专用烟道的商住综合楼以及商住综合楼内与居住层相邻的商业楼层内新建、改建、扩建产生油烟、异味、废气的餐饮服务项目。任何单位和个人不得在当地人民政府禁止的区域内露天烧烤食品或者为露天烧烤食品提供场地。</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1.3县级及以上城市建成区原则上不再新建每小时35蒸吨以下的燃煤锅炉，其他地区原则上不再新建每小时10蒸吨及以下的燃煤锅炉。</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本项目不使用锅炉</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1.4禁止在自治州行政区域内引进能（水）耗不符合相关国家标准中准入值要求，且污染物排放和环境风险防控不符合国家（地方）标准及有关产业准入条件的高污染（排放）、高能（水）耗、高环境风险的工业项目。</w:t>
                  </w:r>
                </w:p>
              </w:tc>
              <w:tc>
                <w:tcPr>
                  <w:tcW w:w="1713"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本项目用水由库尔勒市哈拉玉宫镇废旧物资回收加工产业园供水系统供给</w:t>
                  </w:r>
                  <w:r>
                    <w:rPr>
                      <w:rFonts w:cs="Times New Roman"/>
                      <w:sz w:val="21"/>
                      <w:szCs w:val="21"/>
                    </w:rPr>
                    <w:t>，用水量较小，项目通过采取完善的污染防治措施和环境风险防范措施，污染物可达标排放，项目实施后环境风险可防控</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1.5禁止新建、改建、扩建严重污染大气环境的项目。工业和信息化主管部门应当会同发展和改革、生态环境等部门，根据巴州生态环境局提供的大气监测数据制定工业产业转型升级行动计划和严重污染大气项目退出计划，报本级人民政府批准后向社会公布。对城市建成区大气环境质量造成明显影响的项目，自治州、各县（市）人民政府规定期限内未达到治理要求的项目，应当停产、限期搬迁或者关闭。</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本项目行业类别为C4220非金属废料和碎屑加工处理，不属于重污染行业</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1.6在饮用水水源保护区内，禁止设置排污口。</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1.7开都-孔雀河流域、塔里木河流域沿岸，要严格控制石油加工、化学原料和化学制品制造、医药制造、化学纤维制造、有色金属冶炼、纺织印染等项目环境风险，合理布局生产装置及危险化学品仓储等设施。</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1.8开都-孔雀河流域、塔里木河流域沿岸，要严格控制石油加工、化学原料和化学制品制造、医药制造、化学纤维制造、有色金属冶炼、纺织、印染等项目环境风险，合理布局生产装置及危险化学品仓储等设施。</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本项目占地不涉及基本农田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1.9县级以上地方人民政府应当依法将符合条件的优先保护类耕地划为永久基本农田，实行严格保护。在永久基本农田集中区域，不得新建可能造成土壤污染的建设项目；已经建成的，应当限期关闭拆除。</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本项目占地不涉及基本农田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1.10落实重度污染土地严格管控措施。加强对严格管控类耕地、园地、草地的用途管理，依法将其划定为农产品禁止生产区域，严禁种植食用农产品，不得列入国家中央财政投资农业高效节水项目建设；对威胁地下水、饮用水水源安全的，有关县市人民政府要制定环境风险管控方案，并落实有关措施。研究推进严格管控类耕地、园地、草地纳入新一轮退耕还林还草实施范围，制定实施重度污染耕地、园地、草地种植结构调整或退耕还林还草计划。推行耕地轮作休耕制度试点、草地轮牧休牧禁牧制度试点。</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本项目占地不涉及重度污染土地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1.11强化空间布局管控。严格执行相关行业企业布局选址要求，禁止在居民区、学校、医疗和养老机构等周边新建土壤环境重点监管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本项目位于库尔勒市哈拉玉宫镇废旧物资回收加工产业园，符合区域功能定位和土壤污染防治要求</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1.12【生态红线禁止类】生态保护红线内，自然保护地核心保护区原则上禁止人为活动，其他区域严格禁止开发性、生产性建设活动。</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本项目不在生态保护红线范围内</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1.13【生态红线允许类】在符合现行法律法规前提下，除国家重大战略项目外，仅允许对生态功能不造成破坏的有限人为活动，主要包括：（1）管护巡护、保护执法、科学研究、调查监测、测绘导航、防灾减灾救灾、军事国防、疫情防控等活动及相关的必要设施修筑。</w:t>
                  </w:r>
                </w:p>
                <w:p>
                  <w:pPr>
                    <w:spacing w:line="240" w:lineRule="auto"/>
                    <w:ind w:firstLine="0" w:firstLineChars="0"/>
                    <w:contextualSpacing/>
                    <w:rPr>
                      <w:rFonts w:cs="Times New Roman"/>
                      <w:sz w:val="21"/>
                      <w:szCs w:val="21"/>
                    </w:rPr>
                  </w:pPr>
                  <w:r>
                    <w:rPr>
                      <w:rFonts w:cs="Times New Roman"/>
                      <w:sz w:val="21"/>
                      <w:szCs w:val="21"/>
                    </w:rPr>
                    <w:t>（2）原住居民和其他合法权益主体，允许在不扩大现有建设用地、用海用岛、耕地、水产养殖规模和放牧强度（符合草畜平衡管理规定）的前提下，开展种植、放牧、捕捞、养殖等活动，修筑生产生活设施。（3）经依法批准的考古调查发掘、古生物化石调查发掘、标本采集和文物保护活动。（4）按规定对人工商品林进行抚育采伐，或以提升森林质量、优化栖息地、建设生物防火隔离带等为目的的树种更新。（5）不破坏生态功能的适度参观旅游、科普宣教及符合相关规划的配套性服务设施和相关的必要公共设施建设及维护。（6）必须且无法避让、符合县级以上国土空间规划的线性基础设施、通讯和防洪、供水设施建设和船舶航行、航道疏浚清淤等活动；已有的合法水利、交通运输等设施运行维护改造。（7）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8）依据县级以上国土空间规划和生态保护修复专项规划开展的生态修复。（9）根据我国相关法律法规和与邻国签署的国界管理制度协定（条约）开展的边界边境通视道清理以及界务工程的修建、维护和拆除工作。（10）法律法规规定允许的其他人为活动</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本项目不在生态保护红线范围内</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1.14自治州、各县（市）人民政府不得批准在沙漠边缘地带和林地、草原开垦耕地；已经开垦并对生态产生不良影响的，应当有计划地组织退耕还林还草；对已退耕、闲置和未开垦的荒滩、荒地，采取引洪灌溉、生态输水、扎草方格等措施，促进生态自然修复。禁止在退耕还林还草实施范围内复耕和从事滥采、乱挖等破坏地表植被的行为。</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本项目占地不涉及上述相关内容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1.15严格保护具有水源涵养功能的自然植被，禁止过度放牧、无序采矿、毁林开荒、开垦草原等行为。</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本项目占地不涉及上述相关内容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1.16限制陡坡垦殖和超载过牧；加强小流域综合治理，实行封山禁牧，恢复退化植被。加强对能源和矿产资源开发及建设项目的监管，加大矿山环境整治修复力度，最大限度地减少人为因素造成新的水土流失。</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本项目占地不涉及上述相关内容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1.17对重要水源涵养区建立生态功能保护区，加强对水源涵养区的保护与管理，严格保护具有重要水源涵养功能的自然植被，限制或禁止各种损害生态系统水源涵养功能的经济社会活动和生产方式，如无序采矿、毁林开荒、湿地和草地开垦、过度放牧、道路建设等。</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本项目占地不涉及上述相关内容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1.18主体功能区实行更加严格的产业准入标准。严格限制区内“两高一资”产业落地，禁止高水资源消耗产业在水源涵养生态功能区布局，限制土地资源高消耗产业在水土保持生态功能区发展，降低防风固沙生态功能区的农牧业开发强度，禁止生物多样性维护生态功能区的大规模水电开发和林纸一体化产业发展。</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本项目为废塑料加工利用项目，位于库尔勒市哈拉玉宫镇废旧物资回收加工产业园，满足产业准入要求，不属于“两高一资”产业</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1.19自然保护区核心保护区：</w:t>
                  </w:r>
                </w:p>
                <w:p>
                  <w:pPr>
                    <w:spacing w:line="240" w:lineRule="auto"/>
                    <w:ind w:firstLine="0" w:firstLineChars="0"/>
                    <w:contextualSpacing/>
                    <w:rPr>
                      <w:rFonts w:cs="Times New Roman"/>
                      <w:sz w:val="21"/>
                      <w:szCs w:val="21"/>
                    </w:rPr>
                  </w:pPr>
                  <w:r>
                    <w:rPr>
                      <w:rFonts w:cs="Times New Roman"/>
                      <w:sz w:val="21"/>
                      <w:szCs w:val="21"/>
                    </w:rPr>
                    <w:t>除满足国家特殊战略需要的有关活动外，原则上禁止人为活动。但允许开展以下活动：</w:t>
                  </w:r>
                </w:p>
                <w:p>
                  <w:pPr>
                    <w:spacing w:line="240" w:lineRule="auto"/>
                    <w:ind w:firstLine="0" w:firstLineChars="0"/>
                    <w:contextualSpacing/>
                    <w:rPr>
                      <w:rFonts w:cs="Times New Roman"/>
                      <w:sz w:val="21"/>
                      <w:szCs w:val="21"/>
                    </w:rPr>
                  </w:pPr>
                  <w:r>
                    <w:rPr>
                      <w:rFonts w:cs="Times New Roman"/>
                      <w:sz w:val="21"/>
                      <w:szCs w:val="21"/>
                    </w:rPr>
                    <w:t>1.管护巡护、保护执法等管理活动，经批准的科学研究、资源调查以及必要的科研监测保护和防灾减灾救灾、应急抢险救援等。</w:t>
                  </w:r>
                </w:p>
                <w:p>
                  <w:pPr>
                    <w:spacing w:line="240" w:lineRule="auto"/>
                    <w:ind w:firstLine="0" w:firstLineChars="0"/>
                    <w:contextualSpacing/>
                    <w:rPr>
                      <w:rFonts w:cs="Times New Roman"/>
                      <w:sz w:val="21"/>
                      <w:szCs w:val="21"/>
                    </w:rPr>
                  </w:pPr>
                  <w:r>
                    <w:rPr>
                      <w:rFonts w:cs="Times New Roman"/>
                      <w:sz w:val="21"/>
                      <w:szCs w:val="21"/>
                    </w:rPr>
                    <w:t>2.因病虫害、外来物种入侵、维持主要保护对象生存环境等特殊情况，经批准，可以开展重要生态修复工程、物种重引入、增殖放流、病害动植物清理等人工干预措施。</w:t>
                  </w:r>
                </w:p>
                <w:p>
                  <w:pPr>
                    <w:spacing w:line="240" w:lineRule="auto"/>
                    <w:ind w:firstLine="0" w:firstLineChars="0"/>
                    <w:contextualSpacing/>
                    <w:rPr>
                      <w:rFonts w:cs="Times New Roman"/>
                      <w:sz w:val="21"/>
                      <w:szCs w:val="21"/>
                    </w:rPr>
                  </w:pPr>
                  <w:r>
                    <w:rPr>
                      <w:rFonts w:cs="Times New Roman"/>
                      <w:sz w:val="21"/>
                      <w:szCs w:val="21"/>
                    </w:rPr>
                    <w:t>3.根据保护对象不同实行差别化管控措施：</w:t>
                  </w:r>
                </w:p>
                <w:p>
                  <w:pPr>
                    <w:spacing w:line="240" w:lineRule="auto"/>
                    <w:ind w:firstLine="0" w:firstLineChars="0"/>
                    <w:contextualSpacing/>
                    <w:rPr>
                      <w:rFonts w:cs="Times New Roman"/>
                      <w:sz w:val="21"/>
                      <w:szCs w:val="21"/>
                    </w:rPr>
                  </w:pPr>
                  <w:r>
                    <w:rPr>
                      <w:rFonts w:cs="Times New Roman"/>
                      <w:sz w:val="21"/>
                      <w:szCs w:val="21"/>
                    </w:rPr>
                    <w:t>（1）保护对象栖息地、觅食地与人类农业生产生活息息相关的自然保护区，经科学评估，在不影响主要保护对象生存、繁衍的前提下，允许当地居民从事正常的生产、生活等活动。保留一定数量的耕地，允许开展耕种、灌溉活动，但应禁止使用有害农药。</w:t>
                  </w:r>
                </w:p>
                <w:p>
                  <w:pPr>
                    <w:spacing w:line="240" w:lineRule="auto"/>
                    <w:ind w:firstLine="0" w:firstLineChars="0"/>
                    <w:contextualSpacing/>
                    <w:rPr>
                      <w:rFonts w:cs="Times New Roman"/>
                      <w:sz w:val="21"/>
                      <w:szCs w:val="21"/>
                    </w:rPr>
                  </w:pPr>
                  <w:r>
                    <w:rPr>
                      <w:rFonts w:cs="Times New Roman"/>
                      <w:sz w:val="21"/>
                      <w:szCs w:val="21"/>
                    </w:rPr>
                    <w:t>（2）保护对象为水生生物、候鸟的自然保护区，应科学划定航行区域，航行船舶实行合理的限速、限航、低噪音、禁鸣、禁排管理，禁止过驳作业、合理选择航道养护方式，确保保护对象安全。</w:t>
                  </w:r>
                </w:p>
                <w:p>
                  <w:pPr>
                    <w:spacing w:line="240" w:lineRule="auto"/>
                    <w:ind w:firstLine="0" w:firstLineChars="0"/>
                    <w:contextualSpacing/>
                    <w:rPr>
                      <w:rFonts w:cs="Times New Roman"/>
                      <w:sz w:val="21"/>
                      <w:szCs w:val="21"/>
                    </w:rPr>
                  </w:pPr>
                  <w:r>
                    <w:rPr>
                      <w:rFonts w:cs="Times New Roman"/>
                      <w:sz w:val="21"/>
                      <w:szCs w:val="21"/>
                    </w:rPr>
                    <w:t>（3）保护对象为迁徙、洄游、繁育野生动物的自然保护区，在野生动物非栖息季节，可以适度开展不影响自然保护区生态功能的有限人为活动。</w:t>
                  </w:r>
                </w:p>
                <w:p>
                  <w:pPr>
                    <w:spacing w:line="240" w:lineRule="auto"/>
                    <w:ind w:firstLine="0" w:firstLineChars="0"/>
                    <w:contextualSpacing/>
                    <w:rPr>
                      <w:rFonts w:cs="Times New Roman"/>
                      <w:sz w:val="21"/>
                      <w:szCs w:val="21"/>
                    </w:rPr>
                  </w:pPr>
                  <w:r>
                    <w:rPr>
                      <w:rFonts w:cs="Times New Roman"/>
                      <w:sz w:val="21"/>
                      <w:szCs w:val="21"/>
                    </w:rPr>
                    <w:t>（4）保护对象位于地下的自然遗迹类自然保护区，可以适度开展不影响地下遗迹保护的人为活动。</w:t>
                  </w:r>
                </w:p>
                <w:p>
                  <w:pPr>
                    <w:spacing w:line="240" w:lineRule="auto"/>
                    <w:ind w:firstLine="0" w:firstLineChars="0"/>
                    <w:contextualSpacing/>
                    <w:rPr>
                      <w:rFonts w:cs="Times New Roman"/>
                      <w:sz w:val="21"/>
                      <w:szCs w:val="21"/>
                    </w:rPr>
                  </w:pPr>
                  <w:r>
                    <w:rPr>
                      <w:rFonts w:cs="Times New Roman"/>
                      <w:sz w:val="21"/>
                      <w:szCs w:val="21"/>
                    </w:rPr>
                    <w:t>4.暂时不能搬迁的原住居民，可以有过渡期。过渡期内在不扩大现有建设用地和耕地规模的情况下，允许修缮生产生活以及供水设施，保留生活必需的少量种植、放牧、捕捞、养殖等活动。</w:t>
                  </w:r>
                </w:p>
                <w:p>
                  <w:pPr>
                    <w:spacing w:line="240" w:lineRule="auto"/>
                    <w:ind w:firstLine="0" w:firstLineChars="0"/>
                    <w:contextualSpacing/>
                    <w:rPr>
                      <w:rFonts w:cs="Times New Roman"/>
                      <w:sz w:val="21"/>
                      <w:szCs w:val="21"/>
                    </w:rPr>
                  </w:pPr>
                  <w:r>
                    <w:rPr>
                      <w:rFonts w:cs="Times New Roman"/>
                      <w:sz w:val="21"/>
                      <w:szCs w:val="21"/>
                    </w:rPr>
                    <w:t>5.已有合法线性基础设施和供水等涉及民生的基础设施的运行和维护，以及经批准采取隧道或桥梁等方式（地面或水面无修筑设施）穿越或跨越的线性基础设施，必要的航道基础设施建设、河势控制、河道整治等活动。</w:t>
                  </w:r>
                </w:p>
                <w:p>
                  <w:pPr>
                    <w:spacing w:line="240" w:lineRule="auto"/>
                    <w:ind w:firstLine="0" w:firstLineChars="0"/>
                    <w:contextualSpacing/>
                    <w:rPr>
                      <w:rFonts w:cs="Times New Roman"/>
                      <w:sz w:val="21"/>
                      <w:szCs w:val="21"/>
                    </w:rPr>
                  </w:pPr>
                  <w:r>
                    <w:rPr>
                      <w:rFonts w:cs="Times New Roman"/>
                      <w:sz w:val="21"/>
                      <w:szCs w:val="21"/>
                    </w:rPr>
                    <w:t>6.已依法设立的铀矿矿业权勘查开采；已依法设立的油气探矿权勘查活动；已依法设立的矿泉水、地热采矿权不扩大生产规模、不新增生产设施，到期后有序退出；其他矿业权停止勘查开采活动。</w:t>
                  </w:r>
                </w:p>
                <w:p>
                  <w:pPr>
                    <w:spacing w:line="240" w:lineRule="auto"/>
                    <w:ind w:firstLine="0" w:firstLineChars="0"/>
                    <w:contextualSpacing/>
                    <w:rPr>
                      <w:rFonts w:cs="Times New Roman"/>
                      <w:sz w:val="21"/>
                      <w:szCs w:val="21"/>
                    </w:rPr>
                  </w:pPr>
                  <w:r>
                    <w:rPr>
                      <w:rFonts w:cs="Times New Roman"/>
                      <w:sz w:val="21"/>
                      <w:szCs w:val="21"/>
                    </w:rPr>
                    <w:t>7.根据我国相关法律法规和与邻国签署的国界管理制度协定（条约）开展的边界通视道清理以及界务工程的修建、维护和拆除工作；根据中央统一部署在未定界地区开展旨在加强管控和反蚕食斗争的各种活动。</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本项目所在区域不涉及自然保护区核心保护区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1.20自然保护区一般控制区：</w:t>
                  </w:r>
                </w:p>
                <w:p>
                  <w:pPr>
                    <w:spacing w:line="240" w:lineRule="auto"/>
                    <w:ind w:firstLine="0" w:firstLineChars="0"/>
                    <w:contextualSpacing/>
                    <w:rPr>
                      <w:rFonts w:cs="Times New Roman"/>
                      <w:sz w:val="21"/>
                      <w:szCs w:val="21"/>
                    </w:rPr>
                  </w:pPr>
                  <w:r>
                    <w:rPr>
                      <w:rFonts w:cs="Times New Roman"/>
                      <w:sz w:val="21"/>
                      <w:szCs w:val="21"/>
                    </w:rPr>
                    <w:t>除满足国家特殊战略需要的有关活动外，原则上禁止开发性、生产性建设活动。仅允许以下对生态功能不造成破坏的有限人为活动：</w:t>
                  </w:r>
                </w:p>
                <w:p>
                  <w:pPr>
                    <w:spacing w:line="240" w:lineRule="auto"/>
                    <w:ind w:firstLine="0" w:firstLineChars="0"/>
                    <w:contextualSpacing/>
                    <w:rPr>
                      <w:rFonts w:cs="Times New Roman"/>
                      <w:sz w:val="21"/>
                      <w:szCs w:val="21"/>
                    </w:rPr>
                  </w:pPr>
                  <w:r>
                    <w:rPr>
                      <w:rFonts w:cs="Times New Roman"/>
                      <w:sz w:val="21"/>
                      <w:szCs w:val="21"/>
                    </w:rPr>
                    <w:t>1.核心保护区允许开展的活动。</w:t>
                  </w:r>
                </w:p>
                <w:p>
                  <w:pPr>
                    <w:spacing w:line="240" w:lineRule="auto"/>
                    <w:ind w:firstLine="0" w:firstLineChars="0"/>
                    <w:contextualSpacing/>
                    <w:rPr>
                      <w:rFonts w:cs="Times New Roman"/>
                      <w:sz w:val="21"/>
                      <w:szCs w:val="21"/>
                    </w:rPr>
                  </w:pPr>
                  <w:r>
                    <w:rPr>
                      <w:rFonts w:cs="Times New Roman"/>
                      <w:sz w:val="21"/>
                      <w:szCs w:val="21"/>
                    </w:rPr>
                    <w:t>2.零星的原住居民在不扩大现有建设用地和耕地规模前提下，允许修缮生产生活设施，保留生活必需种植、放牧、捕捞、养殖等活动。</w:t>
                  </w:r>
                </w:p>
                <w:p>
                  <w:pPr>
                    <w:spacing w:line="240" w:lineRule="auto"/>
                    <w:ind w:firstLine="0" w:firstLineChars="0"/>
                    <w:contextualSpacing/>
                    <w:rPr>
                      <w:rFonts w:cs="Times New Roman"/>
                      <w:sz w:val="21"/>
                      <w:szCs w:val="21"/>
                    </w:rPr>
                  </w:pPr>
                  <w:r>
                    <w:rPr>
                      <w:rFonts w:cs="Times New Roman"/>
                      <w:sz w:val="21"/>
                      <w:szCs w:val="21"/>
                    </w:rPr>
                    <w:t>3.自然资源、生态环境监测和执法，包括水文水资源监测和涉水违法事件的查处等，灾害风险监测、灾害防治活动。</w:t>
                  </w:r>
                </w:p>
                <w:p>
                  <w:pPr>
                    <w:spacing w:line="240" w:lineRule="auto"/>
                    <w:ind w:firstLine="0" w:firstLineChars="0"/>
                    <w:contextualSpacing/>
                    <w:rPr>
                      <w:rFonts w:cs="Times New Roman"/>
                      <w:sz w:val="21"/>
                      <w:szCs w:val="21"/>
                    </w:rPr>
                  </w:pPr>
                  <w:r>
                    <w:rPr>
                      <w:rFonts w:cs="Times New Roman"/>
                      <w:sz w:val="21"/>
                      <w:szCs w:val="21"/>
                    </w:rPr>
                    <w:t>4.经依法批准的非破坏性科学研究观测、标本采集。</w:t>
                  </w:r>
                </w:p>
                <w:p>
                  <w:pPr>
                    <w:spacing w:line="240" w:lineRule="auto"/>
                    <w:ind w:firstLine="0" w:firstLineChars="0"/>
                    <w:contextualSpacing/>
                    <w:rPr>
                      <w:rFonts w:cs="Times New Roman"/>
                      <w:sz w:val="21"/>
                      <w:szCs w:val="21"/>
                    </w:rPr>
                  </w:pPr>
                  <w:r>
                    <w:rPr>
                      <w:rFonts w:cs="Times New Roman"/>
                      <w:sz w:val="21"/>
                      <w:szCs w:val="21"/>
                    </w:rPr>
                    <w:t>5.经依法批准的考古调查发掘和文物保护活动。</w:t>
                  </w:r>
                </w:p>
                <w:p>
                  <w:pPr>
                    <w:spacing w:line="240" w:lineRule="auto"/>
                    <w:ind w:firstLine="0" w:firstLineChars="0"/>
                    <w:contextualSpacing/>
                    <w:rPr>
                      <w:rFonts w:cs="Times New Roman"/>
                      <w:sz w:val="21"/>
                      <w:szCs w:val="21"/>
                    </w:rPr>
                  </w:pPr>
                  <w:r>
                    <w:rPr>
                      <w:rFonts w:cs="Times New Roman"/>
                      <w:sz w:val="21"/>
                      <w:szCs w:val="21"/>
                    </w:rPr>
                    <w:t>6.适度的参观旅游及相关的必要公共设施建设。</w:t>
                  </w:r>
                </w:p>
                <w:p>
                  <w:pPr>
                    <w:spacing w:line="240" w:lineRule="auto"/>
                    <w:ind w:firstLine="0" w:firstLineChars="0"/>
                    <w:contextualSpacing/>
                    <w:rPr>
                      <w:rFonts w:cs="Times New Roman"/>
                      <w:sz w:val="21"/>
                      <w:szCs w:val="21"/>
                    </w:rPr>
                  </w:pPr>
                  <w:r>
                    <w:rPr>
                      <w:rFonts w:cs="Times New Roman"/>
                      <w:sz w:val="21"/>
                      <w:szCs w:val="21"/>
                    </w:rPr>
                    <w:t>7.必须且无法避让、符合县级以上国土空间规划的线性基础设施建设、防洪和供水设施建设与运行维护；已有的合法水利、交通运输等设施运行和维护。</w:t>
                  </w:r>
                </w:p>
                <w:p>
                  <w:pPr>
                    <w:spacing w:line="240" w:lineRule="auto"/>
                    <w:ind w:firstLine="0" w:firstLineChars="0"/>
                    <w:contextualSpacing/>
                    <w:rPr>
                      <w:rFonts w:cs="Times New Roman"/>
                      <w:sz w:val="21"/>
                      <w:szCs w:val="21"/>
                    </w:rPr>
                  </w:pPr>
                  <w:r>
                    <w:rPr>
                      <w:rFonts w:cs="Times New Roman"/>
                      <w:sz w:val="21"/>
                      <w:szCs w:val="21"/>
                    </w:rPr>
                    <w:t>8.战略性矿产资源基础地质调查和矿产远景调查等公益性工作；已依法设立的油气采矿权在不扩大生产区域范围，以及矿泉水、地热采矿权在不扩大生产规模、不新增生产设施的条件下，继续开采活动；其他矿业权停止勘查开采活动。</w:t>
                  </w:r>
                </w:p>
                <w:p>
                  <w:pPr>
                    <w:spacing w:line="240" w:lineRule="auto"/>
                    <w:ind w:firstLine="0" w:firstLineChars="0"/>
                    <w:contextualSpacing/>
                    <w:rPr>
                      <w:rFonts w:cs="Times New Roman"/>
                      <w:sz w:val="21"/>
                      <w:szCs w:val="21"/>
                    </w:rPr>
                  </w:pPr>
                  <w:r>
                    <w:rPr>
                      <w:rFonts w:cs="Times New Roman"/>
                      <w:sz w:val="21"/>
                      <w:szCs w:val="21"/>
                    </w:rPr>
                    <w:t>9.确实难以避让的军事设施建设项目及重大军事演训活动。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本项目所在区域不涉及自然保护区一般控制区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1.21生态保护红线外的生态空间，原则上按限制开发区域的要求进行管理。按照生态空间用途分区，依法制定区域准入条件，明确允许、限制、禁止的产业和项目类型清单，根据空间规划确定的开发强度，提出城乡建设、工农业生产、矿产开发、旅游康体等活动的规模、强度、布局和环境保护等方面的要求，由同级人民政府予以公示。</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本项目所在区域不涉及生态保护红线外的生态空间</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1.22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本项目所在区域不涉及生态保护红线外的生态空间及耕地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1.23在不改变利用方式的前提下，依据资源环境承载能力，对依法保护的生态空间实行承载力控制，防止过度垦殖、放牧、采伐、取水、渔猎、旅游等对生态功能造成损害，确保自然生态系统的稳定。</w:t>
                  </w:r>
                </w:p>
              </w:tc>
              <w:tc>
                <w:tcPr>
                  <w:tcW w:w="1713" w:type="dxa"/>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本项目用水由库尔勒市哈拉玉宫镇废旧物资回收加工产业园供水系统供给</w:t>
                  </w:r>
                  <w:r>
                    <w:rPr>
                      <w:rFonts w:cs="Times New Roman"/>
                      <w:sz w:val="21"/>
                      <w:szCs w:val="21"/>
                    </w:rPr>
                    <w:t>，项目用水量未超过国家、自治区下达的总量和强度控制目标</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1.24禁止在自然保护区内进行砍伐、放牧、狩猎、捕捞、采药、开垦、烧荒、开矿、采石、挖沙等活动；但是，法律、行政法规另有规定的除外。禁止任何人进入自然保护区的核心区。禁止在自然保护区的缓冲区开展旅游和生产经营活动。严禁开设与自然保护区保护方向不一致的参观、旅游项目。</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本项目所在区域不涉及自然保护区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1.25在风景名胜区内禁止进行下列活动：</w:t>
                  </w:r>
                </w:p>
                <w:p>
                  <w:pPr>
                    <w:spacing w:line="240" w:lineRule="auto"/>
                    <w:ind w:firstLine="0" w:firstLineChars="0"/>
                    <w:contextualSpacing/>
                    <w:rPr>
                      <w:rFonts w:cs="Times New Roman"/>
                      <w:sz w:val="21"/>
                      <w:szCs w:val="21"/>
                    </w:rPr>
                  </w:pPr>
                  <w:r>
                    <w:rPr>
                      <w:rFonts w:cs="Times New Roman"/>
                      <w:sz w:val="21"/>
                      <w:szCs w:val="21"/>
                    </w:rPr>
                    <w:t>（一）开山、采石、开矿、开荒、修坟立碑等破坏景观、植被和地形地貌的活动；</w:t>
                  </w:r>
                </w:p>
                <w:p>
                  <w:pPr>
                    <w:spacing w:line="240" w:lineRule="auto"/>
                    <w:ind w:firstLine="0" w:firstLineChars="0"/>
                    <w:contextualSpacing/>
                    <w:rPr>
                      <w:rFonts w:cs="Times New Roman"/>
                      <w:sz w:val="21"/>
                      <w:szCs w:val="21"/>
                    </w:rPr>
                  </w:pPr>
                  <w:r>
                    <w:rPr>
                      <w:rFonts w:cs="Times New Roman"/>
                      <w:sz w:val="21"/>
                      <w:szCs w:val="21"/>
                    </w:rPr>
                    <w:t>（二）修建储存爆炸性、易燃性、放射性、毒害性、腐蚀性物品的设施；</w:t>
                  </w:r>
                </w:p>
                <w:p>
                  <w:pPr>
                    <w:spacing w:line="240" w:lineRule="auto"/>
                    <w:ind w:firstLine="0" w:firstLineChars="0"/>
                    <w:contextualSpacing/>
                    <w:rPr>
                      <w:rFonts w:cs="Times New Roman"/>
                      <w:sz w:val="21"/>
                      <w:szCs w:val="21"/>
                    </w:rPr>
                  </w:pPr>
                  <w:r>
                    <w:rPr>
                      <w:rFonts w:cs="Times New Roman"/>
                      <w:sz w:val="21"/>
                      <w:szCs w:val="21"/>
                    </w:rPr>
                    <w:t>（三）在景物或者设施上刻划、涂污；</w:t>
                  </w:r>
                </w:p>
                <w:p>
                  <w:pPr>
                    <w:spacing w:line="240" w:lineRule="auto"/>
                    <w:ind w:firstLine="0" w:firstLineChars="0"/>
                    <w:contextualSpacing/>
                    <w:rPr>
                      <w:rFonts w:cs="Times New Roman"/>
                      <w:sz w:val="21"/>
                      <w:szCs w:val="21"/>
                    </w:rPr>
                  </w:pPr>
                  <w:r>
                    <w:rPr>
                      <w:rFonts w:cs="Times New Roman"/>
                      <w:sz w:val="21"/>
                      <w:szCs w:val="21"/>
                    </w:rPr>
                    <w:t>（四）乱扔垃圾。</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本项目所在区域不涉及风景名胜区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1.26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本项目所在区域不涉及风景名胜区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1.27禁止下列破坏湿地及其生态功能的行为：</w:t>
                  </w:r>
                </w:p>
                <w:p>
                  <w:pPr>
                    <w:spacing w:line="240" w:lineRule="auto"/>
                    <w:ind w:firstLine="0" w:firstLineChars="0"/>
                    <w:contextualSpacing/>
                    <w:rPr>
                      <w:rFonts w:cs="Times New Roman"/>
                      <w:sz w:val="21"/>
                      <w:szCs w:val="21"/>
                    </w:rPr>
                  </w:pPr>
                  <w:r>
                    <w:rPr>
                      <w:rFonts w:cs="Times New Roman"/>
                      <w:sz w:val="21"/>
                      <w:szCs w:val="21"/>
                    </w:rPr>
                    <w:t>（一）开（围）垦、排干自然湿地，永久性截断自然湿地水源；</w:t>
                  </w:r>
                </w:p>
                <w:p>
                  <w:pPr>
                    <w:spacing w:line="240" w:lineRule="auto"/>
                    <w:ind w:firstLine="0" w:firstLineChars="0"/>
                    <w:contextualSpacing/>
                    <w:rPr>
                      <w:rFonts w:cs="Times New Roman"/>
                      <w:sz w:val="21"/>
                      <w:szCs w:val="21"/>
                    </w:rPr>
                  </w:pPr>
                  <w:r>
                    <w:rPr>
                      <w:rFonts w:cs="Times New Roman"/>
                      <w:sz w:val="21"/>
                      <w:szCs w:val="21"/>
                    </w:rPr>
                    <w:t>（二）擅自填埋自然湿地，擅自采砂、采矿、取土；</w:t>
                  </w:r>
                </w:p>
                <w:p>
                  <w:pPr>
                    <w:spacing w:line="240" w:lineRule="auto"/>
                    <w:ind w:firstLine="0" w:firstLineChars="0"/>
                    <w:contextualSpacing/>
                    <w:rPr>
                      <w:rFonts w:cs="Times New Roman"/>
                      <w:sz w:val="21"/>
                      <w:szCs w:val="21"/>
                    </w:rPr>
                  </w:pPr>
                  <w:r>
                    <w:rPr>
                      <w:rFonts w:cs="Times New Roman"/>
                      <w:sz w:val="21"/>
                      <w:szCs w:val="21"/>
                    </w:rPr>
                    <w:t>（三）排放不符合水污染物排放标准的工业废水、生活污水及其他污染湿地的废水、污水，倾倒、堆放、丢弃、遗撒固体废物；</w:t>
                  </w:r>
                </w:p>
                <w:p>
                  <w:pPr>
                    <w:spacing w:line="240" w:lineRule="auto"/>
                    <w:ind w:firstLine="0" w:firstLineChars="0"/>
                    <w:contextualSpacing/>
                    <w:rPr>
                      <w:rFonts w:cs="Times New Roman"/>
                      <w:sz w:val="21"/>
                      <w:szCs w:val="21"/>
                    </w:rPr>
                  </w:pPr>
                  <w:r>
                    <w:rPr>
                      <w:rFonts w:cs="Times New Roman"/>
                      <w:sz w:val="21"/>
                      <w:szCs w:val="21"/>
                    </w:rPr>
                    <w:t>（四）过度放牧或者滥采野生植物，过度捕捞或者灭绝式捕捞，过度施肥、投药、投放饵料等污染湿地的种植养殖行为；</w:t>
                  </w:r>
                </w:p>
                <w:p>
                  <w:pPr>
                    <w:spacing w:line="240" w:lineRule="auto"/>
                    <w:ind w:firstLine="0" w:firstLineChars="0"/>
                    <w:contextualSpacing/>
                    <w:rPr>
                      <w:rFonts w:cs="Times New Roman"/>
                      <w:sz w:val="21"/>
                      <w:szCs w:val="21"/>
                    </w:rPr>
                  </w:pPr>
                  <w:r>
                    <w:rPr>
                      <w:rFonts w:cs="Times New Roman"/>
                      <w:sz w:val="21"/>
                      <w:szCs w:val="21"/>
                    </w:rPr>
                    <w:t>（五）其他破坏湿地及其生态功能的行为。</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本项目所在区域不涉及湿地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1.28国家级森林公园内：</w:t>
                  </w:r>
                </w:p>
                <w:p>
                  <w:pPr>
                    <w:spacing w:line="240" w:lineRule="auto"/>
                    <w:ind w:firstLine="0" w:firstLineChars="0"/>
                    <w:contextualSpacing/>
                    <w:rPr>
                      <w:rFonts w:cs="Times New Roman"/>
                      <w:sz w:val="21"/>
                      <w:szCs w:val="21"/>
                    </w:rPr>
                  </w:pPr>
                  <w:r>
                    <w:rPr>
                      <w:rFonts w:cs="Times New Roman"/>
                      <w:sz w:val="21"/>
                      <w:szCs w:val="21"/>
                    </w:rPr>
                    <w:t>3、国家级自然公园范围内除国家重大项目外，仅允许对生态功能不造成破坏的有限人为活动：（一）自然公园内居民和其他合法权益主体依法依规开展的生产生活及设施建设。（二）符合自然公园保护管理要求的文化、体育活动和必要的配套设施建设。（三）符合生态保护红线管控要求的其他活动和设施建设。（四）法律法规和国家政策允许在自然公园内开展的其他活动。</w:t>
                  </w:r>
                </w:p>
                <w:p>
                  <w:pPr>
                    <w:spacing w:line="240" w:lineRule="auto"/>
                    <w:ind w:firstLine="0" w:firstLineChars="0"/>
                    <w:contextualSpacing/>
                    <w:rPr>
                      <w:rFonts w:cs="Times New Roman"/>
                      <w:sz w:val="21"/>
                      <w:szCs w:val="21"/>
                    </w:rPr>
                  </w:pPr>
                  <w:r>
                    <w:rPr>
                      <w:rFonts w:cs="Times New Roman"/>
                      <w:sz w:val="21"/>
                      <w:szCs w:val="21"/>
                    </w:rPr>
                    <w:t>4、在国家级自然公园内开展第十九条规定的活动和设施建设，应当征求国家级自然公园管理单位的意见。其中，国家重大项目建设还应当征求省级以上林业和草原主管部门意见；开展上述（三）、（四）项的设施建设，自然公园规划确定的索道、滑雪场、游乐场等对生态和景观影响较大的项目建设，以及考古发掘、古生物化石发掘、航道疏浚清淤、矿产资源勘查等活动，应当征求省级林业和草原主管部门意见。</w:t>
                  </w:r>
                </w:p>
                <w:p>
                  <w:pPr>
                    <w:spacing w:line="240" w:lineRule="auto"/>
                    <w:ind w:firstLine="0" w:firstLineChars="0"/>
                    <w:contextualSpacing/>
                    <w:rPr>
                      <w:rFonts w:cs="Times New Roman"/>
                      <w:sz w:val="21"/>
                      <w:szCs w:val="21"/>
                    </w:rPr>
                  </w:pPr>
                  <w:r>
                    <w:rPr>
                      <w:rFonts w:cs="Times New Roman"/>
                      <w:sz w:val="21"/>
                      <w:szCs w:val="21"/>
                    </w:rPr>
                    <w:t>5、林业和草原主管部门或者国家级自然公园管理单位应当加强对设施建设必要性、方案合理性、设施建设对自然公园影响等的审查，必要时组织专家进行论证。确需建设且无法避让国家级自然公园，经审查可能与自然公园保护管理存在明显冲突的国家重大项目，应当申请调整国家级自然公园范围。</w:t>
                  </w:r>
                </w:p>
                <w:p>
                  <w:pPr>
                    <w:spacing w:line="240" w:lineRule="auto"/>
                    <w:ind w:firstLine="0" w:firstLineChars="0"/>
                    <w:contextualSpacing/>
                    <w:rPr>
                      <w:rFonts w:cs="Times New Roman"/>
                      <w:sz w:val="21"/>
                      <w:szCs w:val="21"/>
                    </w:rPr>
                  </w:pPr>
                  <w:r>
                    <w:rPr>
                      <w:rFonts w:cs="Times New Roman"/>
                      <w:sz w:val="21"/>
                      <w:szCs w:val="21"/>
                    </w:rPr>
                    <w:t>6、国家级自然公园管理单位应当加强对相关活动和设施建设的监督，督促有关单位和个人严格执行相关法律法规的规定，依法办理相关手续，在指定区域内进行，并采取必要保护修复措施，减少和降低对自然生态系统、自然遗迹以及自然和人文景观的不利影响。</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本项目所在区域不涉及国家级森林公园</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1.29除国家另有规定外，在国家沙漠公园范围内禁止下列行为：</w:t>
                  </w:r>
                </w:p>
                <w:p>
                  <w:pPr>
                    <w:spacing w:line="240" w:lineRule="auto"/>
                    <w:ind w:firstLine="0" w:firstLineChars="0"/>
                    <w:contextualSpacing/>
                    <w:rPr>
                      <w:rFonts w:cs="Times New Roman"/>
                      <w:sz w:val="21"/>
                      <w:szCs w:val="21"/>
                    </w:rPr>
                  </w:pPr>
                  <w:r>
                    <w:rPr>
                      <w:rFonts w:cs="Times New Roman"/>
                      <w:sz w:val="21"/>
                      <w:szCs w:val="21"/>
                    </w:rPr>
                    <w:t>（一）开展房地产、高尔夫球场、大型楼堂馆所、工业开发、农业开发等建设项目。</w:t>
                  </w:r>
                </w:p>
                <w:p>
                  <w:pPr>
                    <w:spacing w:line="240" w:lineRule="auto"/>
                    <w:ind w:firstLine="0" w:firstLineChars="0"/>
                    <w:contextualSpacing/>
                    <w:rPr>
                      <w:rFonts w:cs="Times New Roman"/>
                      <w:sz w:val="21"/>
                      <w:szCs w:val="21"/>
                    </w:rPr>
                  </w:pPr>
                  <w:r>
                    <w:rPr>
                      <w:rFonts w:cs="Times New Roman"/>
                      <w:sz w:val="21"/>
                      <w:szCs w:val="21"/>
                    </w:rPr>
                    <w:t>（二）直接排放或者堆放未经处理或者超标准的生活污水、废水、废渣、废物及其他污染物。</w:t>
                  </w:r>
                </w:p>
                <w:p>
                  <w:pPr>
                    <w:spacing w:line="240" w:lineRule="auto"/>
                    <w:ind w:firstLine="0" w:firstLineChars="0"/>
                    <w:contextualSpacing/>
                    <w:rPr>
                      <w:rFonts w:cs="Times New Roman"/>
                      <w:sz w:val="21"/>
                      <w:szCs w:val="21"/>
                    </w:rPr>
                  </w:pPr>
                  <w:r>
                    <w:rPr>
                      <w:rFonts w:cs="Times New Roman"/>
                      <w:sz w:val="21"/>
                      <w:szCs w:val="21"/>
                    </w:rPr>
                    <w:t>（三）其他破坏或者有损荒漠生态系统功能的活动。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本项目所在区域不涉及国家沙漠公园</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1.30在天山自然遗产地内，禁止实施下列行为：（一）开山、采石、开矿、砍伐、狩猎、开荒、修坟立碑等破坏景观、植被和地形地貌，改变、影响山川水系等自然状态；（二）破坏自然遗产资源的完整性、真实性，或者影响野生动物迁徙、栖息进行工程建设、旅游开发、生产经营；（三）携带外来物种及其制品，开展驯化、繁殖野生动植物等可能给自然生态带来不良影响；（四）法律、法规禁止实施的其他行为。</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本项目所在区域不涉及天山自然遗产地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1.31在天山自然遗产地禁建区内，除配置必要的研究监测和安全防护设施外，禁止进行任何建设活动。天山自然遗产地限建区内，可以建设与自然遗产保护有关的设施。天山自然遗产地展示区内，可以建设与游览观光、文体娱乐等活动有关的公共服务设施和管理设施。按照前款规定实施建设活动的，建设单位、施工单位应当制定生态保护方案，采取有效措施，保护好周围景物、水体、林草植被、野生动物资源和地形地貌，并经天山自然遗产管理机构审核同意后，依照有关法律、法规的规定办理审批手续；天山自然遗产地详细规划已经明确建设项目选址、布局与规模的，可以不再申请核发建设项目选址意见书。</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本项目所在区域不涉及天山自然遗产地禁建区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1.32【开都河流域空间布局约束】</w:t>
                  </w:r>
                </w:p>
                <w:p>
                  <w:pPr>
                    <w:spacing w:line="240" w:lineRule="auto"/>
                    <w:ind w:firstLine="0" w:firstLineChars="0"/>
                    <w:contextualSpacing/>
                    <w:rPr>
                      <w:rFonts w:cs="Times New Roman"/>
                      <w:sz w:val="21"/>
                      <w:szCs w:val="21"/>
                    </w:rPr>
                  </w:pPr>
                  <w:r>
                    <w:rPr>
                      <w:rFonts w:cs="Times New Roman"/>
                      <w:sz w:val="21"/>
                      <w:szCs w:val="21"/>
                    </w:rPr>
                    <w:t>1、禁止在饮用水水源保护区、河流、湖泊、灌排渠设置排污口，兴建与水资源保护无关的建设项目，已设置的排污口应当限期拆除。</w:t>
                  </w:r>
                </w:p>
                <w:p>
                  <w:pPr>
                    <w:spacing w:line="240" w:lineRule="auto"/>
                    <w:ind w:firstLine="0" w:firstLineChars="0"/>
                    <w:contextualSpacing/>
                    <w:rPr>
                      <w:rFonts w:cs="Times New Roman"/>
                      <w:sz w:val="21"/>
                      <w:szCs w:val="21"/>
                    </w:rPr>
                  </w:pPr>
                  <w:r>
                    <w:rPr>
                      <w:rFonts w:cs="Times New Roman"/>
                      <w:sz w:val="21"/>
                      <w:szCs w:val="21"/>
                    </w:rPr>
                    <w:t>2、流域内县级人民政府和兵团第二师各团镇应当采取措施确保行政区域内各河流河道畅通，严禁擅自截流、筑坝、围垦、围网、养殖、捕鱼、挖沙、设闸等危害河岸堤防安全和河道畅通的行为。依法开展必要的河道、堤防、岸线综合整治以及防洪设施和供水设施建设、修缮和改造活动。</w:t>
                  </w:r>
                </w:p>
                <w:p>
                  <w:pPr>
                    <w:spacing w:line="240" w:lineRule="auto"/>
                    <w:ind w:firstLine="0" w:firstLineChars="0"/>
                    <w:contextualSpacing/>
                    <w:rPr>
                      <w:rFonts w:cs="Times New Roman"/>
                      <w:sz w:val="21"/>
                      <w:szCs w:val="21"/>
                    </w:rPr>
                  </w:pPr>
                  <w:r>
                    <w:rPr>
                      <w:rFonts w:cs="Times New Roman"/>
                      <w:sz w:val="21"/>
                      <w:szCs w:val="21"/>
                    </w:rPr>
                    <w:t>3、流域内县级人民政府和兵团第二师各团镇应当加强森林、草原的保护和管理，发挥森林、草原在维护生态平衡、涵养水源、调节气候、水土保持、防风固沙等方面的功能。</w:t>
                  </w:r>
                </w:p>
                <w:p>
                  <w:pPr>
                    <w:spacing w:line="240" w:lineRule="auto"/>
                    <w:ind w:firstLine="0" w:firstLineChars="0"/>
                    <w:contextualSpacing/>
                    <w:rPr>
                      <w:rFonts w:cs="Times New Roman"/>
                      <w:sz w:val="21"/>
                      <w:szCs w:val="21"/>
                    </w:rPr>
                  </w:pPr>
                  <w:r>
                    <w:rPr>
                      <w:rFonts w:cs="Times New Roman"/>
                      <w:sz w:val="21"/>
                      <w:szCs w:val="21"/>
                    </w:rPr>
                    <w:t>4、流域内县级人民政府和兵团第二师各团镇应当在草原生态脆弱区、森林资源集中分布区、珍稀濒危野生动植物集中分布区，采取划区休牧轮牧、封山禁牧、天然林保护等重点工程治理措施，保护生物多样性，修复生态系统。</w:t>
                  </w:r>
                </w:p>
                <w:p>
                  <w:pPr>
                    <w:spacing w:line="240" w:lineRule="auto"/>
                    <w:ind w:firstLine="0" w:firstLineChars="0"/>
                    <w:contextualSpacing/>
                    <w:rPr>
                      <w:rFonts w:cs="Times New Roman"/>
                      <w:sz w:val="21"/>
                      <w:szCs w:val="21"/>
                    </w:rPr>
                  </w:pPr>
                  <w:r>
                    <w:rPr>
                      <w:rFonts w:cs="Times New Roman"/>
                      <w:sz w:val="21"/>
                      <w:szCs w:val="21"/>
                    </w:rPr>
                    <w:t>5、流域内县级人民政府和兵团第二师各团镇应当依法加强珍贵、濒危野生动植物保护和管理，采取措施减少珍稀、濒危野生动植物主要生息繁衍场所的人为活动。禁止违法猎捕野生动物、破坏野生动物栖息地。禁止捕捞濒危水生野生鱼类等资源，禁止投放外来水生物种，保护和增殖水生野生动植物资源。</w:t>
                  </w:r>
                </w:p>
                <w:p>
                  <w:pPr>
                    <w:spacing w:line="240" w:lineRule="auto"/>
                    <w:ind w:firstLine="0" w:firstLineChars="0"/>
                    <w:contextualSpacing/>
                    <w:rPr>
                      <w:rFonts w:cs="Times New Roman"/>
                      <w:sz w:val="21"/>
                      <w:szCs w:val="21"/>
                    </w:rPr>
                  </w:pPr>
                  <w:r>
                    <w:rPr>
                      <w:rFonts w:cs="Times New Roman"/>
                      <w:sz w:val="21"/>
                      <w:szCs w:val="21"/>
                    </w:rPr>
                    <w:t>6、流域内林业和草原主管部门应当加强流域内的湿地保护工作，组织对湿地的综合性调查研究，开展湿地及生物多样性的监测。对受到严重破坏的湿地生态系统，应当采取措施予以修复。</w:t>
                  </w:r>
                </w:p>
                <w:p>
                  <w:pPr>
                    <w:spacing w:line="240" w:lineRule="auto"/>
                    <w:ind w:firstLine="0" w:firstLineChars="0"/>
                    <w:contextualSpacing/>
                    <w:rPr>
                      <w:rFonts w:cs="Times New Roman"/>
                      <w:sz w:val="21"/>
                      <w:szCs w:val="21"/>
                    </w:rPr>
                  </w:pPr>
                  <w:r>
                    <w:rPr>
                      <w:rFonts w:cs="Times New Roman"/>
                      <w:sz w:val="21"/>
                      <w:szCs w:val="21"/>
                    </w:rPr>
                    <w:t>7、流域内文化体育广播电视和旅游主管部门应当做好本行政区域内的旅游资源调查、评价工作，合理利用生态资源和旅游资源。乡村旅游应当统一规划，合理布局。经营集中的地方，应当对生活垃圾和污水统一处置。在河道保护管理范围内从事旅游、餐饮等开发利用项目的单位和个人，应当遵守河道生态保护规划和水功能区划确定的管理要求以及相关法律规定，设置垃圾回收容器，并负责清理其经营河面的漂浮物，不得造成水质污染、生态环境破坏或者影响防洪安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本项目所在区域不涉及开都河流域</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1.33[冰川保护]国务院有关部门和青藏高原县级以上地方人民政府应当建立健全青藏高原雪山冰川冻土保护制度，加强对雪山冰川冻土的监测预警和系统保护。青藏高原省级人民政府应当将大型冰帽冰川、小规模冰川群等划入生态保护红线，对重要雪山冰川实施封禁保护，采取有效措施，严格控制人为扰动。青藏高原省级人民政府应当划定冻土区保护范围，加强对多年冻土区和中深季节冻土区的保护，严格控制多年冻土区资源开发，严格审批多年冻土区城镇规划和交通、管线、输变电等重大工程项目。青藏高原省级人民政府应当开展雪山冰川冻土与周边生态系统的协同保护，维持有利于雪山冰川冻土保护的自然生态环境。</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本项目所在区域不涉及冰川冻土</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1.34[国家级自然公园]（1）自然公园包括国家级风景名胜区、国家级森林公园、国家级地质公园、国家级海洋公园、国家级湿地公园、国家级沙漠（石漠）公园和国家级草原公园。国家级自然公园按照一般控制区管理。生态保育区以承担生态系统保护和修复为主要功能，可以规划保护、培育、修复、管理活动和相关的必要设施建设，以及适度的观光游览活动。根据保护管理需要，可以在生态保育区内划定不对公众开放或者季节性开放区域。合理利用区以开展自然体验、科普教育、观光游览、休闲健身等旅游活动为主要功能，兼顾自然公园内居民和其他合法权益主体的正常生产生活和资源利用。不得规划房地产、高尔夫球场、开发区等开发项目以及与保护管理目标不一致的旅游项目。严格控制索道、滑雪场、游乐场以及人造景观等对生态和景观影响较大的建设项目，确需规划的，应当附专题论证报告。（2）严格保护国家级自然公园内的森林、草原、湿地、荒漠、海洋、水域、生物等珍贵自然资源，以及自然遗迹、自然景观和文物古迹等人文景观。在国家级自然公园内开展相关活动和设施建设，不得擅自改变其自然状态和历史风貌。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p>
                  <w:pPr>
                    <w:spacing w:line="240" w:lineRule="auto"/>
                    <w:ind w:firstLine="0" w:firstLineChars="0"/>
                    <w:contextualSpacing/>
                    <w:rPr>
                      <w:rFonts w:cs="Times New Roman"/>
                      <w:sz w:val="21"/>
                      <w:szCs w:val="21"/>
                    </w:rPr>
                  </w:pPr>
                  <w:r>
                    <w:rPr>
                      <w:rFonts w:cs="Times New Roman"/>
                      <w:sz w:val="21"/>
                      <w:szCs w:val="21"/>
                    </w:rPr>
                    <w:t>（3）严格保护国家级自然公园内的森林、草原、湿地、荒漠、海洋、水域、生物等珍贵自然资源，以及自然遗迹、自然景观和文物古迹等人文景观。在国家级自然公园内开展相关活动和设施建设，不得擅自改变其自然状态和历史风貌。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p>
                  <w:pPr>
                    <w:spacing w:line="240" w:lineRule="auto"/>
                    <w:ind w:firstLine="0" w:firstLineChars="0"/>
                    <w:contextualSpacing/>
                    <w:rPr>
                      <w:rFonts w:cs="Times New Roman"/>
                      <w:sz w:val="21"/>
                      <w:szCs w:val="21"/>
                    </w:rPr>
                  </w:pPr>
                  <w:r>
                    <w:rPr>
                      <w:rFonts w:cs="Times New Roman"/>
                      <w:sz w:val="21"/>
                      <w:szCs w:val="21"/>
                    </w:rPr>
                    <w:t>（4）国家级自然公园范围内除国家重大项目外，仅允许对生态功能不造成破坏的有限人为活动：自然公园内居民和其他合法权益主体依法依规开展的生产生活及设施建设；符合自然公园保护管理要求的文化、体育活动和必要的配套设施建设；符合生态保护红线管控要求的其他活动和设施建设；法律法规和国家政策允许在自然公园内开展的其他活动。</w:t>
                  </w:r>
                </w:p>
                <w:p>
                  <w:pPr>
                    <w:spacing w:line="240" w:lineRule="auto"/>
                    <w:ind w:firstLine="0" w:firstLineChars="0"/>
                    <w:contextualSpacing/>
                    <w:rPr>
                      <w:rFonts w:cs="Times New Roman"/>
                      <w:sz w:val="21"/>
                      <w:szCs w:val="21"/>
                    </w:rPr>
                  </w:pPr>
                  <w:r>
                    <w:rPr>
                      <w:rFonts w:cs="Times New Roman"/>
                      <w:sz w:val="21"/>
                      <w:szCs w:val="21"/>
                    </w:rPr>
                    <w:t>（5）国家级自然公园管理单位应当配合县级以上人民政府及其有关部门开展国家级自然公园内受损、退化自然生态系统和野生生物</w:t>
                  </w:r>
                </w:p>
                <w:p>
                  <w:pPr>
                    <w:spacing w:line="240" w:lineRule="auto"/>
                    <w:ind w:firstLine="0" w:firstLineChars="0"/>
                    <w:contextualSpacing/>
                    <w:rPr>
                      <w:rFonts w:cs="Times New Roman"/>
                      <w:sz w:val="21"/>
                      <w:szCs w:val="21"/>
                    </w:rPr>
                  </w:pPr>
                  <w:r>
                    <w:rPr>
                      <w:rFonts w:cs="Times New Roman"/>
                      <w:sz w:val="21"/>
                      <w:szCs w:val="21"/>
                    </w:rPr>
                    <w:t>生境以及废弃地等的一体化保护与修复，提升生态系统稳定性、持续性和多样性。生态修复应当采取自然恢复为主，自然恢复和人工修复</w:t>
                  </w:r>
                </w:p>
                <w:p>
                  <w:pPr>
                    <w:spacing w:line="240" w:lineRule="auto"/>
                    <w:ind w:firstLine="0" w:firstLineChars="0"/>
                    <w:contextualSpacing/>
                    <w:rPr>
                      <w:rFonts w:cs="Times New Roman"/>
                      <w:sz w:val="21"/>
                      <w:szCs w:val="21"/>
                    </w:rPr>
                  </w:pPr>
                  <w:r>
                    <w:rPr>
                      <w:rFonts w:cs="Times New Roman"/>
                      <w:sz w:val="21"/>
                      <w:szCs w:val="21"/>
                    </w:rPr>
                    <w:t>相结合的措施，最大限度地保持自然景观和天然植被的原真性。严格防范外来入侵物种。</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本项目所在区域不涉及开都河流域</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污染物排放管控</w:t>
                  </w: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2.1水源涵养和生物多样性维护型重点生态功能区水质达到地表水、地下水I类，空气质量达到一级。</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本项目位于库尔勒市哈拉玉宫镇废旧物资回收加工产业园，不属于重点生态功能区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2.2燃煤电厂和其他燃煤单位应当采用清洁生产工艺，配套建设除尘、脱硫、脱硝等装置，或者采取技术改造等其他控制大气污染物排放的措施。国家鼓励燃煤单位采用先进的除尘、脱硫、脱硝、脱汞等大气污染物协同控制的技术和装置，减少大气污染物的排放。</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本项目不使用锅炉</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2.3钢铁、建材、有色金属、石油、化工等企业生产过程中排放粉尘、硫化物和氮氧化物的，应当采用清洁生产工艺，配套建设除尘、脱硫、脱硝等装置，或者采取技术改造等其他控制大气污染物排放的措施。</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本项目为非金属废料和碎屑加工处理，不涉及</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2.4钢铁、建材、有色金属、石油、化工、制药、矿产开采等企业，应当加强精细化管理，采取集中收集处理等措施，严格控制粉尘和气态污染物的排放。工业生产企业应当采取密闭、围挡、遮盖、清扫、洒水等措施，减少内部物料的堆存、传输、装卸等环节产生的粉尘和气态污染物的排放。</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本项目不使用锅炉</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2.5库尔勒大气联防联控区域（库尔勒人民广场为中心点，半径50公里的范围，主要包括库尔勒市和焉耆县、博湖县、和静县、尉犁县的部分行政区域）的火电、钢铁、水泥、石化行业和燃煤锅炉应执行相应大气污染物特别排放限值标准。</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本项目位于库尔勒大气联防联控区域内，但不在火电、钢铁、水泥、石化等行业范围内，且不使用燃煤锅炉</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2.6根据水环境保护的需要，在饮用水水源保护区内，采取禁止或者限制使用含磷洗涤剂、化肥、农药以及限制种植养殖等措施。</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本项目所在区域不涉及饮用水水源保护区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2.7饮用水源地准保护区内无新建、扩建制药、化工、造纸、制革、印染、染料、炼焦、炼硫、炼砷、炼油、电镀、农药等对水体污染严重的建设项目。</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本项目所在区域不涉及饮用水源地准保护区，且项目不属于上述对水体污染严重的建设项目</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2.8饮用水水源二级保护区内城镇生活垃圾全部集中收集并在保护区外进行无害化处置。准保护区内工业园区企业的第一类水污染物达到车间排放要求、常规污染物达到间接排放标准后，进入园区污水处理厂集中处理。不能满足水质要求的地表水饮用水水源，准保护区或汇水区域采取水污染物容量总量控制措施，限期达标。</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本项目位于库尔勒市哈拉玉宫镇废旧物资回收加工产业园，不涉及饮用水水源二级保护区及准保护区</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2.9所有排污单位必须依法实现全面达标排放。逐一排查工业企业排污情况，重点排污单位应按要求安装污染物在线监控设施，达标企业应采取措施确保稳定达标。实行“红黄牌”警示制度，对超标和超总量的企业予以“黄牌”警示，一律限制生产或停产整治；对整治仍不能达到要求且情节严重的企业予以“红牌”处罚，一律停业、关闭。定期公布环保“黄牌”、“红牌”企业名单。定期抽查排污单位达标排放情况，结果向社会公布。加大综合惩处和处罚执行力度，建立环保领域非诉案件执行联动配合机制，对行政处罚、行政命令执行情况实施后督察。</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本项目通过采取完善的污染防治措施和环境风险防范措施，污染物可达标排放</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2.10严格控制环境激素类化学品污染。完成环境激素类化学品生产使用情况调查，监控评估水源地、农产品种植区及水产品集中养殖区风险，实施环境激素类化学品淘汰、限制、替代等措施。严格控制持久性有机污染物排放，实施持久性有机污染物统计报表制度，对污染物和废弃物进行严格管理。</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2.11【开都河流域污染排放限制】</w:t>
                  </w:r>
                </w:p>
                <w:p>
                  <w:pPr>
                    <w:spacing w:line="240" w:lineRule="auto"/>
                    <w:ind w:firstLine="0" w:firstLineChars="0"/>
                    <w:contextualSpacing/>
                    <w:rPr>
                      <w:rFonts w:cs="Times New Roman"/>
                      <w:sz w:val="21"/>
                      <w:szCs w:val="21"/>
                    </w:rPr>
                  </w:pPr>
                  <w:r>
                    <w:rPr>
                      <w:rFonts w:cs="Times New Roman"/>
                      <w:sz w:val="21"/>
                      <w:szCs w:val="21"/>
                    </w:rPr>
                    <w:t>1、禁止向流域内水体倾倒矿渣、有毒有害物质、垃圾、农业投入品废弃物以及其他污染水体的废弃物，禁止向水体丢弃禽畜动物尸体和排放油类或者含病原体的污水及残液。</w:t>
                  </w:r>
                </w:p>
                <w:p>
                  <w:pPr>
                    <w:spacing w:line="240" w:lineRule="auto"/>
                    <w:ind w:firstLine="0" w:firstLineChars="0"/>
                    <w:contextualSpacing/>
                    <w:rPr>
                      <w:rFonts w:cs="Times New Roman"/>
                      <w:sz w:val="21"/>
                      <w:szCs w:val="21"/>
                    </w:rPr>
                  </w:pPr>
                  <w:r>
                    <w:rPr>
                      <w:rFonts w:cs="Times New Roman"/>
                      <w:sz w:val="21"/>
                      <w:szCs w:val="21"/>
                    </w:rPr>
                    <w:t>2、流域内县级人民政府和兵团第二师各团镇应当加强农业生态公共设施建设，推广新能源和可再生能源技术和设施，推进农业生产废弃物和农村生活垃圾无害化、减量化和资源化处理，禁止使用剧毒、高毒、高残留农药，防止农业面源污染。</w:t>
                  </w:r>
                </w:p>
                <w:p>
                  <w:pPr>
                    <w:spacing w:line="240" w:lineRule="auto"/>
                    <w:ind w:firstLine="0" w:firstLineChars="0"/>
                    <w:contextualSpacing/>
                    <w:rPr>
                      <w:rFonts w:cs="Times New Roman"/>
                      <w:sz w:val="21"/>
                      <w:szCs w:val="21"/>
                    </w:rPr>
                  </w:pPr>
                  <w:r>
                    <w:rPr>
                      <w:rFonts w:cs="Times New Roman"/>
                      <w:sz w:val="21"/>
                      <w:szCs w:val="21"/>
                    </w:rPr>
                    <w:t>3、流域内农业农村主管部门应当开展农业生态环境状况调查与监测评价，建立农业生态环境监测网点，定期发布农业生态环境质量报告，预测农业生态环境变化趋势。</w:t>
                  </w:r>
                </w:p>
                <w:p>
                  <w:pPr>
                    <w:spacing w:line="240" w:lineRule="auto"/>
                    <w:ind w:firstLine="0" w:firstLineChars="0"/>
                    <w:contextualSpacing/>
                    <w:rPr>
                      <w:rFonts w:cs="Times New Roman"/>
                      <w:sz w:val="21"/>
                      <w:szCs w:val="21"/>
                    </w:rPr>
                  </w:pPr>
                  <w:r>
                    <w:rPr>
                      <w:rFonts w:cs="Times New Roman"/>
                      <w:sz w:val="21"/>
                      <w:szCs w:val="21"/>
                    </w:rPr>
                    <w:t>4、流域内的城镇应当建立、完善生活污水处理、生活垃圾无害化处理、供排水、集中供热等公共设施。人口相对集中的村应当加强生态环境保护和公共卫生管理，统一规划建设生活垃圾、污水排放等收集处理设施。</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本项目所在区域不涉及开都河流域</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97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2.12自治州、铁门关市、博斯腾湖周边各级人民政府、焉耆垦区团（镇）应当采取保护和治理措施，维护和改善博斯腾湖水环境，使汇入博斯腾湖的各河流水质达到《地表水环境质量标准》（GB3838—2002）Ⅱ类标准，博斯腾湖水质达到《地表水环境质量标准》（GB3838-2002）Ⅲ类标准。</w:t>
                  </w:r>
                </w:p>
              </w:tc>
              <w:tc>
                <w:tcPr>
                  <w:tcW w:w="1713"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2.13【博斯腾湖水污染防治要求】</w:t>
                  </w:r>
                </w:p>
                <w:p>
                  <w:pPr>
                    <w:spacing w:line="240" w:lineRule="auto"/>
                    <w:ind w:firstLine="0" w:firstLineChars="0"/>
                    <w:contextualSpacing/>
                    <w:rPr>
                      <w:rFonts w:cs="Times New Roman"/>
                      <w:sz w:val="21"/>
                      <w:szCs w:val="21"/>
                    </w:rPr>
                  </w:pPr>
                  <w:r>
                    <w:rPr>
                      <w:rFonts w:cs="Times New Roman"/>
                      <w:sz w:val="21"/>
                      <w:szCs w:val="21"/>
                    </w:rPr>
                    <w:t>1、禁止在博斯腾湖及入湖河道（渠）设置排污口。禁止通过暗管、渗井、渗坑等逃避监管的方式向博斯腾湖及入湖河道（渠）排放水污染物。</w:t>
                  </w:r>
                </w:p>
                <w:p>
                  <w:pPr>
                    <w:spacing w:line="240" w:lineRule="auto"/>
                    <w:ind w:firstLine="0" w:firstLineChars="0"/>
                    <w:contextualSpacing/>
                    <w:rPr>
                      <w:rFonts w:cs="Times New Roman"/>
                      <w:sz w:val="21"/>
                      <w:szCs w:val="21"/>
                    </w:rPr>
                  </w:pPr>
                  <w:r>
                    <w:rPr>
                      <w:rFonts w:cs="Times New Roman"/>
                      <w:sz w:val="21"/>
                      <w:szCs w:val="21"/>
                    </w:rPr>
                    <w:t>2、博斯腾湖周边县人民政府、焉耆垦区团（镇）应当统筹建设城镇污水管网，加强对污水处理设施维护运营单位的监督管理，提高污水收</w:t>
                  </w:r>
                </w:p>
                <w:p>
                  <w:pPr>
                    <w:spacing w:line="240" w:lineRule="auto"/>
                    <w:ind w:firstLine="0" w:firstLineChars="0"/>
                    <w:contextualSpacing/>
                    <w:rPr>
                      <w:rFonts w:cs="Times New Roman"/>
                      <w:sz w:val="21"/>
                      <w:szCs w:val="21"/>
                    </w:rPr>
                  </w:pPr>
                  <w:r>
                    <w:rPr>
                      <w:rFonts w:cs="Times New Roman"/>
                      <w:sz w:val="21"/>
                      <w:szCs w:val="21"/>
                    </w:rPr>
                    <w:t>集率和处理率。</w:t>
                  </w:r>
                </w:p>
                <w:p>
                  <w:pPr>
                    <w:spacing w:line="240" w:lineRule="auto"/>
                    <w:ind w:firstLine="0" w:firstLineChars="0"/>
                    <w:contextualSpacing/>
                    <w:rPr>
                      <w:rFonts w:cs="Times New Roman"/>
                      <w:sz w:val="21"/>
                      <w:szCs w:val="21"/>
                    </w:rPr>
                  </w:pPr>
                  <w:r>
                    <w:rPr>
                      <w:rFonts w:cs="Times New Roman"/>
                      <w:sz w:val="21"/>
                      <w:szCs w:val="21"/>
                    </w:rPr>
                    <w:t>3、博斯腾湖周边区域生活污水及工业废水应当满足敏感流域排放要求达标排放，实现中水回用或者综合利用。</w:t>
                  </w:r>
                </w:p>
                <w:p>
                  <w:pPr>
                    <w:spacing w:line="240" w:lineRule="auto"/>
                    <w:ind w:firstLine="0" w:firstLineChars="0"/>
                    <w:contextualSpacing/>
                    <w:rPr>
                      <w:rFonts w:cs="Times New Roman"/>
                      <w:sz w:val="21"/>
                      <w:szCs w:val="21"/>
                    </w:rPr>
                  </w:pPr>
                  <w:r>
                    <w:rPr>
                      <w:rFonts w:cs="Times New Roman"/>
                      <w:sz w:val="21"/>
                      <w:szCs w:val="21"/>
                    </w:rPr>
                    <w:t>4、博斯腾湖周边县人民政府、焉耆垦区团（镇）应当建立健全生态农业体系，制定科学种植制度，加强肥料、农药使用监管，推广使用高</w:t>
                  </w:r>
                </w:p>
                <w:p>
                  <w:pPr>
                    <w:spacing w:line="240" w:lineRule="auto"/>
                    <w:ind w:firstLine="0" w:firstLineChars="0"/>
                    <w:contextualSpacing/>
                    <w:rPr>
                      <w:rFonts w:cs="Times New Roman"/>
                      <w:sz w:val="21"/>
                      <w:szCs w:val="21"/>
                    </w:rPr>
                  </w:pPr>
                  <w:r>
                    <w:rPr>
                      <w:rFonts w:cs="Times New Roman"/>
                      <w:sz w:val="21"/>
                      <w:szCs w:val="21"/>
                    </w:rPr>
                    <w:t>效、低毒、低残留、生物农药，减少农业面源污染。</w:t>
                  </w:r>
                </w:p>
                <w:p>
                  <w:pPr>
                    <w:spacing w:line="240" w:lineRule="auto"/>
                    <w:ind w:firstLine="0" w:firstLineChars="0"/>
                    <w:contextualSpacing/>
                    <w:rPr>
                      <w:rFonts w:cs="Times New Roman"/>
                      <w:sz w:val="21"/>
                      <w:szCs w:val="21"/>
                    </w:rPr>
                  </w:pPr>
                  <w:r>
                    <w:rPr>
                      <w:rFonts w:cs="Times New Roman"/>
                      <w:sz w:val="21"/>
                      <w:szCs w:val="21"/>
                    </w:rPr>
                    <w:t>5、博斯腾湖周边区域从事水产养殖应当科学划定养殖区，依法拆除超过养殖容量的网箱围网设施；配套建设污水处理设施，确保水产养殖尾水达标排放。</w:t>
                  </w:r>
                </w:p>
                <w:p>
                  <w:pPr>
                    <w:spacing w:line="240" w:lineRule="auto"/>
                    <w:ind w:firstLine="0" w:firstLineChars="0"/>
                    <w:contextualSpacing/>
                    <w:rPr>
                      <w:rFonts w:cs="Times New Roman"/>
                      <w:sz w:val="21"/>
                      <w:szCs w:val="21"/>
                    </w:rPr>
                  </w:pPr>
                  <w:r>
                    <w:rPr>
                      <w:rFonts w:cs="Times New Roman"/>
                      <w:sz w:val="21"/>
                      <w:szCs w:val="21"/>
                    </w:rPr>
                    <w:t>6、机动船舶应当采取防止污染物渗漏、溢流或者散落的措施，及时回收残油、废油，防止油类或者其他有害物质造成水污染。</w:t>
                  </w:r>
                </w:p>
                <w:p>
                  <w:pPr>
                    <w:spacing w:line="240" w:lineRule="auto"/>
                    <w:ind w:firstLine="0" w:firstLineChars="0"/>
                    <w:contextualSpacing/>
                    <w:rPr>
                      <w:rFonts w:cs="Times New Roman"/>
                      <w:sz w:val="21"/>
                      <w:szCs w:val="21"/>
                    </w:rPr>
                  </w:pPr>
                  <w:r>
                    <w:rPr>
                      <w:rFonts w:cs="Times New Roman"/>
                      <w:sz w:val="21"/>
                      <w:szCs w:val="21"/>
                    </w:rPr>
                    <w:t>7、博斯腾湖周边区域旅游景区应当配套建设环境保护基础设施，出水水质应当满足敏感流域排放要求</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本项目位置不涉及博斯腾湖周边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2.14狠抓工业污染防治。对水环境影响较大的“低、小、散”落后企业、加工点、作坊的专项整治，严防小型造纸、印染、染料、炼焦、炼油、电镀、农药等严重污染水环境的生产项目死灰复燃。</w:t>
                  </w:r>
                </w:p>
              </w:tc>
              <w:tc>
                <w:tcPr>
                  <w:tcW w:w="1713"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2.15推进污泥处理处置。建立污泥从产生、运输、储存、处置全过程监管体系。污水处理设施产生的污泥应进行稳定化、无害化和资源化处理处置，禁止处理处置不达标的污泥进入耕地，非法污泥堆放点一律予以取缔。</w:t>
                  </w:r>
                </w:p>
              </w:tc>
              <w:tc>
                <w:tcPr>
                  <w:tcW w:w="1713" w:type="dxa"/>
                  <w:vAlign w:val="center"/>
                </w:tcPr>
                <w:p>
                  <w:pPr>
                    <w:spacing w:line="240" w:lineRule="auto"/>
                    <w:ind w:firstLine="0" w:firstLineChars="0"/>
                    <w:contextualSpacing/>
                    <w:rPr>
                      <w:rFonts w:cs="Times New Roman"/>
                      <w:sz w:val="21"/>
                      <w:szCs w:val="21"/>
                    </w:rPr>
                  </w:pPr>
                  <w:r>
                    <w:rPr>
                      <w:rFonts w:cs="Times New Roman"/>
                      <w:sz w:val="21"/>
                      <w:szCs w:val="21"/>
                    </w:rPr>
                    <w:t>本项目产生的沉淀池</w:t>
                  </w:r>
                  <w:r>
                    <w:rPr>
                      <w:rFonts w:hint="eastAsia" w:cs="Times New Roman"/>
                      <w:sz w:val="21"/>
                      <w:szCs w:val="21"/>
                    </w:rPr>
                    <w:t>沉渣</w:t>
                  </w:r>
                  <w:r>
                    <w:rPr>
                      <w:rFonts w:cs="Times New Roman"/>
                      <w:sz w:val="21"/>
                      <w:szCs w:val="21"/>
                    </w:rPr>
                    <w:t>定期清掏晾晒干后送往一般工业固废填埋场；分拣废料集中收集后定期外售至废品回收站；生活垃圾集中收集至垃圾箱后由环卫部门统一清运。</w:t>
                  </w:r>
                  <w:r>
                    <w:rPr>
                      <w:rFonts w:hint="eastAsia" w:cs="Times New Roman"/>
                      <w:sz w:val="21"/>
                      <w:szCs w:val="21"/>
                    </w:rPr>
                    <w:t>危险废物集中收集后，分区存放于危险废物贮存点，定期交由有危险废物处理资质的单位回收处理</w:t>
                  </w:r>
                  <w:r>
                    <w:rPr>
                      <w:rFonts w:cs="Times New Roman"/>
                      <w:sz w:val="21"/>
                      <w:szCs w:val="21"/>
                    </w:rPr>
                    <w:t>，全部综合利用或妥善处置</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jc w:val="left"/>
                    <w:rPr>
                      <w:rFonts w:cs="Times New Roman"/>
                      <w:sz w:val="21"/>
                      <w:szCs w:val="21"/>
                    </w:rPr>
                  </w:pPr>
                  <w:r>
                    <w:rPr>
                      <w:rFonts w:cs="Times New Roman"/>
                      <w:sz w:val="21"/>
                      <w:szCs w:val="21"/>
                    </w:rPr>
                    <w:t>2.16推进农业农村污染防治。依法关闭或搬迁禁养区内的畜禽养殖场（小区）和养殖专业户。现有规模化畜禽养殖场（小区）要根据污染防治需要，配套建设粪便污水贮存、处理、利用设施，散养密集区要实行畜禽粪便污水分户收集、集中处理利用。新建、改建、扩建规模化畜禽养殖场（小区）要实施干湿分流、粪便污水资源化利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jc w:val="left"/>
                    <w:rPr>
                      <w:rFonts w:cs="Times New Roman"/>
                      <w:sz w:val="21"/>
                      <w:szCs w:val="21"/>
                    </w:rPr>
                  </w:pPr>
                  <w:r>
                    <w:rPr>
                      <w:rFonts w:cs="Times New Roman"/>
                      <w:sz w:val="21"/>
                      <w:szCs w:val="21"/>
                    </w:rPr>
                    <w:t>2.17控制农业面源污染。塔里木河流域、开都河流域等敏感区域及大中型灌区，应建设生态沟渠、污水净化塘、地表径流集蓄池等设施，避免上灌下排造成污染物转移扩散，严禁农田排水直接进入河道污染河流水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jc w:val="left"/>
                    <w:rPr>
                      <w:rFonts w:cs="Times New Roman"/>
                      <w:sz w:val="21"/>
                      <w:szCs w:val="21"/>
                    </w:rPr>
                  </w:pPr>
                  <w:r>
                    <w:rPr>
                      <w:rFonts w:cs="Times New Roman"/>
                      <w:sz w:val="21"/>
                      <w:szCs w:val="21"/>
                    </w:rPr>
                    <w:t>2.18加强灌溉水水质管理。开展灌溉水水质监测，灌溉用水应符合农田灌溉水水质标准，水质未达到农田灌溉水水质标准的，县级人民政府应当采取措施予以改善。对因长期使用污水灌溉导致土壤污染严重、威胁农产品质量安全的，要及时调整种植结构。</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jc w:val="left"/>
                    <w:rPr>
                      <w:rFonts w:cs="Times New Roman"/>
                      <w:sz w:val="21"/>
                      <w:szCs w:val="21"/>
                    </w:rPr>
                  </w:pPr>
                  <w:r>
                    <w:rPr>
                      <w:rFonts w:cs="Times New Roman"/>
                      <w:sz w:val="21"/>
                      <w:szCs w:val="21"/>
                    </w:rPr>
                    <w:t>2.19防控企业污染。结合自治区、自治州耕地保护相关规定以及生态红线、耕地红线等要求，加强项目的立项、环评审核审批和节能评估审查等源头控制措施，严格控制在优先保护类耕地、园地、草地集中区域新建有色金属冶炼、石油加工、化工、焦化、电镀、制革、造纸及纸制品、金属制品、金属冶炼及延压加工、煤炭开采、黑色金属和有色金属矿采选业、非金属矿物采选业、危废治理等土壤环境监管重点行业项目。根据土壤详查结果，现有优先保护类耕地、园地、草地集中区域的相关企业，要制定升级改造计划，采用新技术、新工艺，加快提标升级改造步伐。</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本项目不占用生态红线、耕地</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jc w:val="left"/>
                    <w:rPr>
                      <w:rFonts w:cs="Times New Roman"/>
                      <w:sz w:val="21"/>
                      <w:szCs w:val="21"/>
                    </w:rPr>
                  </w:pPr>
                  <w:r>
                    <w:rPr>
                      <w:rFonts w:cs="Times New Roman"/>
                      <w:sz w:val="21"/>
                      <w:szCs w:val="21"/>
                    </w:rPr>
                    <w:t>2.20加强油（气）资源开发区土壤环境污染综合整治。以中国石油天然气股份有限公司塔里木油田分公司桑吉作业区、轮南作业区、塔中作业区以及河南油田分公司新疆采油厂等油（气）资源开发区为重点，加强油（气）田废弃物的无害化处理和资源化利用，严防油（气）田勘探、开发、运行过程中以及事故排放产生的废弃物对土壤的污染。开展油（气）资源开发区历史遗留污染场地治理。</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环境风险管控</w:t>
                  </w: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3.1强化污染防治区域联防联控。坚持属地管理与区域协调联动共治相结合，强化主体责任，完善跨区域大气污染联防联控工作机制，强化兵地区域同防同治，完善兵地沟通协作、信息共享机制以及生态环境治理体系，积极推进兵地生态环境执法改革，使兵地联合执法、交叉执法成为常态。健全污染过程预警应急响应机制。各县市人民政府负责本行政区内的重污染天气应急响应工作，自治州重污染天气应急指挥部统筹指挥重污染应对工作，成员各司其职、密切配合。州生态环境局、气象局监测监控空气质量和气象条件变化，共享数据、科学预警、有效应对。强化部门间沟通协作，建立健全信息共享机制，充分发挥各部门专业优势，提高联防联控和快速反应能力。</w:t>
                  </w:r>
                </w:p>
              </w:tc>
              <w:tc>
                <w:tcPr>
                  <w:tcW w:w="1713"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本项目将严格响应库尔勒市重污染天气应急预案</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3.2提升空气质量预警预报能力。建立健全重污染天气会商制度，加强全州环境空气质量预警预报能力提升建设，逐步建立州、县市为骨干的空气环境质量预报预警体系，开展7天重污染天气监测预警、分析和研判，以及环境空气质量中长期趋势预测分析；完善重污染天气应急减排措施。完善或修订重污染天气应急预案，实施清单化管理。</w:t>
                  </w:r>
                </w:p>
              </w:tc>
              <w:tc>
                <w:tcPr>
                  <w:tcW w:w="1713" w:type="dxa"/>
                  <w:vMerge w:val="continue"/>
                  <w:vAlign w:val="center"/>
                </w:tcPr>
                <w:p>
                  <w:pPr>
                    <w:spacing w:line="240" w:lineRule="auto"/>
                    <w:ind w:firstLine="0" w:firstLineChars="0"/>
                    <w:contextualSpacing/>
                    <w:jc w:val="center"/>
                    <w:rPr>
                      <w:rFonts w:cs="Times New Roman"/>
                      <w:sz w:val="21"/>
                      <w:szCs w:val="21"/>
                    </w:rPr>
                  </w:pP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3.3人民政府应当制定重污染天气应急预案，报上一级生态环境主管部门备案，并向社会公布。重污染天气应急预案应当根据实际需要和情势变化适时修订。重点排污单位应当根据所在地重污染天气应急预案，编制本单位重污染天气应急响应方案。医疗、教育、交通、应急管理等重点部门按照部门分预案开展应急管理工作，对发生或者可能发生危害人体健康和安全的重污染天气，应当启动应急方案。</w:t>
                  </w:r>
                </w:p>
              </w:tc>
              <w:tc>
                <w:tcPr>
                  <w:tcW w:w="1713" w:type="dxa"/>
                  <w:vMerge w:val="continue"/>
                  <w:vAlign w:val="center"/>
                </w:tcPr>
                <w:p>
                  <w:pPr>
                    <w:spacing w:line="240" w:lineRule="auto"/>
                    <w:ind w:firstLine="0" w:firstLineChars="0"/>
                    <w:contextualSpacing/>
                    <w:jc w:val="center"/>
                    <w:rPr>
                      <w:rFonts w:cs="Times New Roman"/>
                      <w:sz w:val="21"/>
                      <w:szCs w:val="21"/>
                    </w:rPr>
                  </w:pP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jc w:val="center"/>
                    <w:rPr>
                      <w:rFonts w:cs="Times New Roman"/>
                      <w:sz w:val="21"/>
                      <w:szCs w:val="21"/>
                    </w:rPr>
                  </w:pPr>
                  <w:r>
                    <w:rPr>
                      <w:rFonts w:cs="Times New Roman"/>
                      <w:sz w:val="21"/>
                      <w:szCs w:val="21"/>
                    </w:rPr>
                    <w:t>3.4自治州、各县（市）人民政府应当根据重污染天气的预警等级，及时启动重污染天气应急预案，并采取与预警等级对应的响应措施，相关单位和个人应当配合。</w:t>
                  </w:r>
                </w:p>
              </w:tc>
              <w:tc>
                <w:tcPr>
                  <w:tcW w:w="1713" w:type="dxa"/>
                  <w:vMerge w:val="continue"/>
                  <w:vAlign w:val="center"/>
                </w:tcPr>
                <w:p>
                  <w:pPr>
                    <w:spacing w:line="240" w:lineRule="auto"/>
                    <w:ind w:firstLine="0" w:firstLineChars="0"/>
                    <w:contextualSpacing/>
                    <w:jc w:val="center"/>
                    <w:rPr>
                      <w:rFonts w:cs="Times New Roman"/>
                      <w:sz w:val="21"/>
                      <w:szCs w:val="21"/>
                    </w:rPr>
                  </w:pP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contextualSpacing/>
                    <w:rPr>
                      <w:rFonts w:cs="Times New Roman"/>
                      <w:sz w:val="21"/>
                      <w:szCs w:val="21"/>
                    </w:rPr>
                  </w:pPr>
                  <w:r>
                    <w:rPr>
                      <w:rFonts w:cs="Times New Roman"/>
                      <w:sz w:val="21"/>
                      <w:szCs w:val="21"/>
                    </w:rPr>
                    <w:t>3.5推进重点流域、饮用水源等环境敏感区域防控体系建设，落实环境风险防控措施，配备拦截、吸附等基本应急处置物资。落实饮用水源一级保护区周边人类活动频繁区域隔离墙、隔离网、视频监控等防范设施建设。</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本项目实施后按照有关法律、规范进行环境风险防控体系建设</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3.6禁止从事下列危及城镇排水与污水处理设施安全的活动：</w:t>
                  </w:r>
                </w:p>
                <w:p>
                  <w:pPr>
                    <w:spacing w:line="240" w:lineRule="auto"/>
                    <w:ind w:firstLine="0" w:firstLineChars="0"/>
                    <w:rPr>
                      <w:rFonts w:cs="Times New Roman"/>
                      <w:sz w:val="21"/>
                      <w:szCs w:val="21"/>
                    </w:rPr>
                  </w:pPr>
                  <w:r>
                    <w:rPr>
                      <w:rFonts w:cs="Times New Roman"/>
                      <w:sz w:val="21"/>
                      <w:szCs w:val="21"/>
                    </w:rPr>
                    <w:t>（一）损毁、盗窃城镇排水与污水处理设施；</w:t>
                  </w:r>
                </w:p>
                <w:p>
                  <w:pPr>
                    <w:spacing w:line="240" w:lineRule="auto"/>
                    <w:ind w:firstLine="0" w:firstLineChars="0"/>
                    <w:rPr>
                      <w:rFonts w:cs="Times New Roman"/>
                      <w:sz w:val="21"/>
                      <w:szCs w:val="21"/>
                    </w:rPr>
                  </w:pPr>
                  <w:r>
                    <w:rPr>
                      <w:rFonts w:cs="Times New Roman"/>
                      <w:sz w:val="21"/>
                      <w:szCs w:val="21"/>
                    </w:rPr>
                    <w:t>（二）穿凿、堵塞城镇排水与污水处理设施；</w:t>
                  </w:r>
                </w:p>
                <w:p>
                  <w:pPr>
                    <w:spacing w:line="240" w:lineRule="auto"/>
                    <w:ind w:firstLine="0" w:firstLineChars="0"/>
                    <w:rPr>
                      <w:rFonts w:cs="Times New Roman"/>
                      <w:sz w:val="21"/>
                      <w:szCs w:val="21"/>
                    </w:rPr>
                  </w:pPr>
                  <w:r>
                    <w:rPr>
                      <w:rFonts w:cs="Times New Roman"/>
                      <w:sz w:val="21"/>
                      <w:szCs w:val="21"/>
                    </w:rPr>
                    <w:t>（三）向城镇排水与污水处理设施排放、倾倒剧毒、易燃易爆、腐蚀性废液和废渣；</w:t>
                  </w:r>
                </w:p>
                <w:p>
                  <w:pPr>
                    <w:spacing w:line="240" w:lineRule="auto"/>
                    <w:ind w:firstLine="0" w:firstLineChars="0"/>
                    <w:rPr>
                      <w:rFonts w:cs="Times New Roman"/>
                      <w:sz w:val="21"/>
                      <w:szCs w:val="21"/>
                    </w:rPr>
                  </w:pPr>
                  <w:r>
                    <w:rPr>
                      <w:rFonts w:cs="Times New Roman"/>
                      <w:sz w:val="21"/>
                      <w:szCs w:val="21"/>
                    </w:rPr>
                    <w:t>（四）向城镇排水与污水处理设施倾倒垃圾、渣土、施工泥浆等废弃物；</w:t>
                  </w:r>
                </w:p>
                <w:p>
                  <w:pPr>
                    <w:spacing w:line="240" w:lineRule="auto"/>
                    <w:ind w:firstLine="0" w:firstLineChars="0"/>
                    <w:rPr>
                      <w:rFonts w:cs="Times New Roman"/>
                      <w:sz w:val="21"/>
                      <w:szCs w:val="21"/>
                    </w:rPr>
                  </w:pPr>
                  <w:r>
                    <w:rPr>
                      <w:rFonts w:cs="Times New Roman"/>
                      <w:sz w:val="21"/>
                      <w:szCs w:val="21"/>
                    </w:rPr>
                    <w:t>（五）建设占压城镇排水与污水处理设施的建筑物、构筑物或者其他设施；</w:t>
                  </w:r>
                </w:p>
                <w:p>
                  <w:pPr>
                    <w:spacing w:line="240" w:lineRule="auto"/>
                    <w:ind w:firstLine="0" w:firstLineChars="0"/>
                    <w:contextualSpacing/>
                    <w:rPr>
                      <w:rFonts w:cs="Times New Roman"/>
                      <w:sz w:val="21"/>
                      <w:szCs w:val="21"/>
                    </w:rPr>
                  </w:pPr>
                  <w:r>
                    <w:rPr>
                      <w:rFonts w:cs="Times New Roman"/>
                      <w:sz w:val="21"/>
                      <w:szCs w:val="21"/>
                    </w:rPr>
                    <w:t>（六）其他危及城镇排水与污水处理设施安全的活动。</w:t>
                  </w:r>
                </w:p>
              </w:tc>
              <w:tc>
                <w:tcPr>
                  <w:tcW w:w="1713" w:type="dxa"/>
                  <w:vAlign w:val="center"/>
                </w:tcPr>
                <w:p>
                  <w:pPr>
                    <w:spacing w:line="240" w:lineRule="auto"/>
                    <w:ind w:firstLine="0" w:firstLineChars="0"/>
                    <w:contextualSpacing/>
                    <w:jc w:val="center"/>
                    <w:rPr>
                      <w:rFonts w:cs="Times New Roman"/>
                      <w:sz w:val="21"/>
                      <w:szCs w:val="21"/>
                    </w:rPr>
                  </w:pPr>
                  <w:r>
                    <w:rPr>
                      <w:rFonts w:cs="Times New Roman"/>
                      <w:sz w:val="21"/>
                      <w:szCs w:val="21"/>
                    </w:rPr>
                    <w:t>本项目不涉及上述禁止活动</w:t>
                  </w:r>
                </w:p>
              </w:tc>
              <w:tc>
                <w:tcPr>
                  <w:tcW w:w="557" w:type="dxa"/>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3.7健全保护区内危险化学品运输管理制度。保护区内有道路、桥梁穿越的，危险化学品运输采取限制运载重量和物资种类、限定行驶线路等管理措施，并完善应急处置设施。保护区内运输危险化学品车辆及其他穿越保护区的流动源，利用全球定位系统等设备实时监控。</w:t>
                  </w:r>
                </w:p>
              </w:tc>
              <w:tc>
                <w:tcPr>
                  <w:tcW w:w="1713" w:type="dxa"/>
                  <w:vAlign w:val="center"/>
                </w:tcPr>
                <w:p>
                  <w:pPr>
                    <w:spacing w:line="240" w:lineRule="auto"/>
                    <w:ind w:firstLine="0" w:firstLineChars="0"/>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3.8严格环境风险控制。防范环境风险。定期评估沿河流湖库的工业企业、工业集聚区环境和健康风险，加强预案管理，落实防控措施，排除水污染隐患。评估现有化学物质环境和健康风险，根据国家公布的优先控制化学品名录，对高风险化学品生产、使用进行严格限制，并逐步淘汰替代。</w:t>
                  </w:r>
                </w:p>
              </w:tc>
              <w:tc>
                <w:tcPr>
                  <w:tcW w:w="1713" w:type="dxa"/>
                  <w:vAlign w:val="center"/>
                </w:tcPr>
                <w:p>
                  <w:pPr>
                    <w:spacing w:line="240" w:lineRule="auto"/>
                    <w:ind w:firstLine="0" w:firstLineChars="0"/>
                    <w:rPr>
                      <w:rFonts w:cs="Times New Roman"/>
                      <w:sz w:val="21"/>
                      <w:szCs w:val="21"/>
                    </w:rPr>
                  </w:pPr>
                  <w:r>
                    <w:rPr>
                      <w:rFonts w:cs="Times New Roman"/>
                      <w:sz w:val="21"/>
                      <w:szCs w:val="21"/>
                    </w:rPr>
                    <w:t>本项目已提出环境风险防范措施及应急要求，企业将按要求编制环境风险应急预案，项目不涉及高风险化学品</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3.9（农田灌溉风险要求）农田灌溉用水应当符合相应的水质标准，防止污染土壤、地下水和农产品。禁止向农田灌溉渠道排放工业废水或者医疗污水。向农田灌溉渠道排放城镇污水以及未综合利用的畜禽养殖废水、农产品加工废水的，应当保证其下游最近的灌溉取水点的水质符合农田灌溉水质标准。</w:t>
                  </w:r>
                </w:p>
              </w:tc>
              <w:tc>
                <w:tcPr>
                  <w:tcW w:w="1713" w:type="dxa"/>
                  <w:vAlign w:val="center"/>
                </w:tcPr>
                <w:p>
                  <w:pPr>
                    <w:spacing w:line="240" w:lineRule="auto"/>
                    <w:ind w:firstLine="0" w:firstLineChars="0"/>
                    <w:rPr>
                      <w:rFonts w:cs="Times New Roman"/>
                      <w:sz w:val="21"/>
                      <w:szCs w:val="21"/>
                    </w:rPr>
                  </w:pPr>
                  <w:r>
                    <w:rPr>
                      <w:rFonts w:cs="Times New Roman"/>
                      <w:sz w:val="21"/>
                      <w:szCs w:val="21"/>
                    </w:rPr>
                    <w:t>本项目原料不涉及危化品运输</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restart"/>
                  <w:vAlign w:val="center"/>
                </w:tcPr>
                <w:p>
                  <w:pPr>
                    <w:spacing w:line="240" w:lineRule="auto"/>
                    <w:ind w:firstLine="0" w:firstLineChars="0"/>
                    <w:contextualSpacing/>
                    <w:jc w:val="center"/>
                    <w:rPr>
                      <w:rFonts w:cs="Times New Roman"/>
                      <w:sz w:val="21"/>
                      <w:szCs w:val="21"/>
                    </w:rPr>
                  </w:pPr>
                  <w:r>
                    <w:rPr>
                      <w:rFonts w:cs="Times New Roman"/>
                      <w:sz w:val="21"/>
                      <w:szCs w:val="21"/>
                    </w:rPr>
                    <w:t>资源利用要求</w:t>
                  </w:r>
                </w:p>
              </w:tc>
              <w:tc>
                <w:tcPr>
                  <w:tcW w:w="5513" w:type="dxa"/>
                  <w:vAlign w:val="center"/>
                </w:tcPr>
                <w:p>
                  <w:pPr>
                    <w:spacing w:line="240" w:lineRule="auto"/>
                    <w:ind w:firstLine="0" w:firstLineChars="0"/>
                    <w:rPr>
                      <w:rFonts w:cs="Times New Roman"/>
                      <w:sz w:val="21"/>
                      <w:szCs w:val="21"/>
                    </w:rPr>
                  </w:pPr>
                  <w:r>
                    <w:rPr>
                      <w:rFonts w:cs="Times New Roman"/>
                      <w:sz w:val="21"/>
                      <w:szCs w:val="21"/>
                    </w:rPr>
                    <w:t>4.1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p>
              </w:tc>
              <w:tc>
                <w:tcPr>
                  <w:tcW w:w="1713" w:type="dxa"/>
                  <w:vMerge w:val="restart"/>
                  <w:vAlign w:val="center"/>
                </w:tcPr>
                <w:p>
                  <w:pPr>
                    <w:spacing w:line="240" w:lineRule="auto"/>
                    <w:ind w:firstLine="0" w:firstLineChars="0"/>
                    <w:rPr>
                      <w:rFonts w:cs="Times New Roman"/>
                      <w:sz w:val="21"/>
                      <w:szCs w:val="21"/>
                    </w:rPr>
                  </w:pPr>
                  <w:r>
                    <w:rPr>
                      <w:rFonts w:cs="Times New Roman"/>
                      <w:sz w:val="21"/>
                      <w:szCs w:val="21"/>
                    </w:rPr>
                    <w:t>本项目营运期产生的废水主要包括生产废水和生活污水。生产废水经沉淀池处理后，回用于生产，不外排；生活污水经化粪池预处理后，定期由吸污车抽运至库尔勒市南市区污水处理厂进一步处理</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4.2促进再生水利用。制定促进再生水利用的政策，以城市及产业集聚区为重点，实施再生水利用工程，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单体建筑面积超过2万平方米的新建公共建筑应安装建筑中水设施。积极推动其他新建住房安装建筑中水设施。</w:t>
                  </w:r>
                </w:p>
              </w:tc>
              <w:tc>
                <w:tcPr>
                  <w:tcW w:w="1713" w:type="dxa"/>
                  <w:vMerge w:val="continue"/>
                  <w:vAlign w:val="center"/>
                </w:tcPr>
                <w:p>
                  <w:pPr>
                    <w:spacing w:line="240" w:lineRule="auto"/>
                    <w:ind w:firstLine="0" w:firstLineChars="0"/>
                    <w:rPr>
                      <w:rFonts w:cs="Times New Roman"/>
                      <w:sz w:val="21"/>
                      <w:szCs w:val="21"/>
                    </w:rPr>
                  </w:pP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4.3依法制定和完善重点河流水资源调度方案。采取闸坝联合调度、生态补水等措施，合理安排闸坝下泄水量和泄流时段，维持河湖基本生态用水需求，重点保障枯水期生态基流。加快重大水资源配置工程建设，提高区域水资源调配能力，发挥好控制性水利工程在改善水质中的作用。制定应急调度预案和调度计划，适时开展抗旱应急、突发水污染应急调度。建立和完善防洪防灾体系。不符合河流最小生态流量要求的规划和建设项目要限制运行，对安全隐患重、生态影响大的建设项目要建立退出机制。</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4.4严格控制开采深层承压水，地热水、矿泉水开发应严格实行取水许可和采矿许可。加强地下水超采区综合治理与修复，实行地下水开采量与水位双控制度，划定地下水禁采区、限采区。依法规范机井建设管理，完成已建机井的排查登记，未经批准的和公共供水管网覆盖范围内的自备水井，逐步予以关闭。</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项目运行期间不设自备井，不涉及地下水开采。</w:t>
                  </w:r>
                  <w:r>
                    <w:rPr>
                      <w:rFonts w:hint="eastAsia" w:cs="Times New Roman"/>
                      <w:sz w:val="21"/>
                      <w:szCs w:val="21"/>
                    </w:rPr>
                    <w:t>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4.5编制重点超采区域地下水压采方案。在地下水超采区，禁止兴建地下水取水工程。加强水源置换，合理配置地表水和地下水开采量，减少地下水开采规模，逐步实现地下水采补平衡。</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4.6流域执行最严格的水资源管理制度，依法实行取水许可和有偿使用制度。在流域内从事生产、建设活动应当遵守生态环境保护规划，严格执行水资源用水总量控制、用水效率控制、水功能区限制纳污“三条红线”控制指标。流域内水资源开发利用应当兼顾上下游、左右岸和有关县、团镇之间的利益，发挥水资源的综合效益</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4.7【开都河流域自然资源开发限制】</w:t>
                  </w:r>
                </w:p>
                <w:p>
                  <w:pPr>
                    <w:spacing w:line="240" w:lineRule="auto"/>
                    <w:ind w:firstLine="0" w:firstLineChars="0"/>
                    <w:rPr>
                      <w:rFonts w:cs="Times New Roman"/>
                      <w:sz w:val="21"/>
                      <w:szCs w:val="21"/>
                    </w:rPr>
                  </w:pPr>
                  <w:r>
                    <w:rPr>
                      <w:rFonts w:cs="Times New Roman"/>
                      <w:sz w:val="21"/>
                      <w:szCs w:val="21"/>
                    </w:rPr>
                    <w:t>1、在流域内进行资源开发和利用，应当坚持先规划后开发、先评价后建设，采取有效措施，维护流域生态环境功能，严守生态保护红线。</w:t>
                  </w:r>
                </w:p>
                <w:p>
                  <w:pPr>
                    <w:spacing w:line="240" w:lineRule="auto"/>
                    <w:ind w:firstLine="0" w:firstLineChars="0"/>
                    <w:rPr>
                      <w:rFonts w:cs="Times New Roman"/>
                      <w:sz w:val="21"/>
                      <w:szCs w:val="21"/>
                    </w:rPr>
                  </w:pPr>
                  <w:r>
                    <w:rPr>
                      <w:rFonts w:cs="Times New Roman"/>
                      <w:sz w:val="21"/>
                      <w:szCs w:val="21"/>
                    </w:rPr>
                    <w:t>2、流域内新建、扩建、改建项目，必须遵守建设项目环境保护管理的法律、法规及流域生态环境保护规划，编制建设项目环境影响报告书（表），按照规定程序报经生态环境保护行政主管部门批准。</w:t>
                  </w:r>
                </w:p>
                <w:p>
                  <w:pPr>
                    <w:spacing w:line="240" w:lineRule="auto"/>
                    <w:ind w:firstLine="0" w:firstLineChars="0"/>
                    <w:rPr>
                      <w:rFonts w:cs="Times New Roman"/>
                      <w:sz w:val="21"/>
                      <w:szCs w:val="21"/>
                    </w:rPr>
                  </w:pPr>
                  <w:r>
                    <w:rPr>
                      <w:rFonts w:cs="Times New Roman"/>
                      <w:sz w:val="21"/>
                      <w:szCs w:val="21"/>
                    </w:rPr>
                    <w:t>3、流域内（国家生态保护红线内）不得新建、扩建、改建水电开发项目。现有水电开发项目必须按照“电调服从水调”原则，建立调度运行机制。现有水电开发项目不得破坏生态基流和鱼类正常洄游通道，已对生态环境造成影响的，应当限期采取治理措施。</w:t>
                  </w:r>
                </w:p>
                <w:p>
                  <w:pPr>
                    <w:spacing w:line="240" w:lineRule="auto"/>
                    <w:ind w:firstLine="0" w:firstLineChars="0"/>
                    <w:rPr>
                      <w:rFonts w:cs="Times New Roman"/>
                      <w:sz w:val="21"/>
                      <w:szCs w:val="21"/>
                    </w:rPr>
                  </w:pPr>
                  <w:r>
                    <w:rPr>
                      <w:rFonts w:cs="Times New Roman"/>
                      <w:sz w:val="21"/>
                      <w:szCs w:val="21"/>
                    </w:rPr>
                    <w:t>4、在流域内调度水资源，应当符合流域生态环境保护和水资源开发利用规划，保障开都河干支流的生态流量和入湖水量、地下水的合理水位，维护生态平衡。</w:t>
                  </w:r>
                </w:p>
                <w:p>
                  <w:pPr>
                    <w:spacing w:line="240" w:lineRule="auto"/>
                    <w:ind w:firstLine="0" w:firstLineChars="0"/>
                    <w:rPr>
                      <w:rFonts w:cs="Times New Roman"/>
                      <w:sz w:val="21"/>
                      <w:szCs w:val="21"/>
                    </w:rPr>
                  </w:pPr>
                  <w:r>
                    <w:rPr>
                      <w:rFonts w:cs="Times New Roman"/>
                      <w:sz w:val="21"/>
                      <w:szCs w:val="21"/>
                    </w:rPr>
                    <w:t>5、在流域内进行矿产资源开发，应当依法进行环境影响评价，按要求编制地质环境保护与恢复治理方案，并组织实施。</w:t>
                  </w:r>
                </w:p>
                <w:p>
                  <w:pPr>
                    <w:spacing w:line="240" w:lineRule="auto"/>
                    <w:ind w:firstLine="0" w:firstLineChars="0"/>
                    <w:rPr>
                      <w:rFonts w:cs="Times New Roman"/>
                      <w:sz w:val="21"/>
                      <w:szCs w:val="21"/>
                    </w:rPr>
                  </w:pPr>
                  <w:r>
                    <w:rPr>
                      <w:rFonts w:cs="Times New Roman"/>
                      <w:sz w:val="21"/>
                      <w:szCs w:val="21"/>
                    </w:rPr>
                    <w:t>6、禁止在下列区域开采矿产资源：</w:t>
                  </w:r>
                </w:p>
                <w:p>
                  <w:pPr>
                    <w:spacing w:line="240" w:lineRule="auto"/>
                    <w:ind w:firstLine="0" w:firstLineChars="0"/>
                    <w:rPr>
                      <w:rFonts w:cs="Times New Roman"/>
                      <w:sz w:val="21"/>
                      <w:szCs w:val="21"/>
                    </w:rPr>
                  </w:pPr>
                  <w:r>
                    <w:rPr>
                      <w:rFonts w:cs="Times New Roman"/>
                      <w:sz w:val="21"/>
                      <w:szCs w:val="21"/>
                    </w:rPr>
                    <w:t>（一）水源涵养区、饮用水水源地保护区、冰川保护区；</w:t>
                  </w:r>
                </w:p>
                <w:p>
                  <w:pPr>
                    <w:spacing w:line="240" w:lineRule="auto"/>
                    <w:ind w:firstLine="0" w:firstLineChars="0"/>
                    <w:rPr>
                      <w:rFonts w:cs="Times New Roman"/>
                      <w:sz w:val="21"/>
                      <w:szCs w:val="21"/>
                    </w:rPr>
                  </w:pPr>
                  <w:r>
                    <w:rPr>
                      <w:rFonts w:cs="Times New Roman"/>
                      <w:sz w:val="21"/>
                      <w:szCs w:val="21"/>
                    </w:rPr>
                    <w:t>（二）风景名胜区、地质遗迹保护区、自然保护区；</w:t>
                  </w:r>
                </w:p>
                <w:p>
                  <w:pPr>
                    <w:spacing w:line="240" w:lineRule="auto"/>
                    <w:ind w:firstLine="0" w:firstLineChars="0"/>
                    <w:rPr>
                      <w:rFonts w:cs="Times New Roman"/>
                      <w:sz w:val="21"/>
                      <w:szCs w:val="21"/>
                    </w:rPr>
                  </w:pPr>
                  <w:r>
                    <w:rPr>
                      <w:rFonts w:cs="Times New Roman"/>
                      <w:sz w:val="21"/>
                      <w:szCs w:val="21"/>
                    </w:rPr>
                    <w:t>（三）开发利用矿产资源有可能对生态环境造成不可恢复影响的区域；</w:t>
                  </w:r>
                </w:p>
                <w:p>
                  <w:pPr>
                    <w:spacing w:line="240" w:lineRule="auto"/>
                    <w:ind w:firstLine="0" w:firstLineChars="0"/>
                    <w:rPr>
                      <w:rFonts w:cs="Times New Roman"/>
                      <w:sz w:val="21"/>
                      <w:szCs w:val="21"/>
                    </w:rPr>
                  </w:pPr>
                  <w:r>
                    <w:rPr>
                      <w:rFonts w:cs="Times New Roman"/>
                      <w:sz w:val="21"/>
                      <w:szCs w:val="21"/>
                    </w:rPr>
                    <w:t>（四）存在难以防治矿山安全隐患的区域；</w:t>
                  </w:r>
                </w:p>
                <w:p>
                  <w:pPr>
                    <w:spacing w:line="240" w:lineRule="auto"/>
                    <w:ind w:firstLine="0" w:firstLineChars="0"/>
                    <w:rPr>
                      <w:rFonts w:cs="Times New Roman"/>
                      <w:sz w:val="21"/>
                      <w:szCs w:val="21"/>
                    </w:rPr>
                  </w:pPr>
                  <w:r>
                    <w:rPr>
                      <w:rFonts w:cs="Times New Roman"/>
                      <w:sz w:val="21"/>
                      <w:szCs w:val="21"/>
                    </w:rPr>
                    <w:t>（五）其他法律法规禁止采矿的区域。</w:t>
                  </w:r>
                </w:p>
                <w:p>
                  <w:pPr>
                    <w:spacing w:line="240" w:lineRule="auto"/>
                    <w:ind w:firstLine="0" w:firstLineChars="0"/>
                    <w:rPr>
                      <w:rFonts w:cs="Times New Roman"/>
                      <w:sz w:val="21"/>
                      <w:szCs w:val="21"/>
                    </w:rPr>
                  </w:pPr>
                  <w:r>
                    <w:rPr>
                      <w:rFonts w:cs="Times New Roman"/>
                      <w:sz w:val="21"/>
                      <w:szCs w:val="21"/>
                    </w:rPr>
                    <w:t>7、在流域内进行交通设施建设应当按照环境影响评价要求的生态环境保护措施，不占或者少占草场、林地，对建设周期长、生态环境影响大的建设工程实行工程环境监理。应当采取措施，保护生物多样性和水源涵养功能，防止水土流失。需要穿越野生动物集中栖息区的，应当修建野生动物通道等防护措施，减少对野生动物栖息环境的影响。</w:t>
                  </w:r>
                </w:p>
                <w:p>
                  <w:pPr>
                    <w:spacing w:line="240" w:lineRule="auto"/>
                    <w:ind w:firstLine="0" w:firstLineChars="0"/>
                    <w:rPr>
                      <w:rFonts w:cs="Times New Roman"/>
                      <w:sz w:val="21"/>
                      <w:szCs w:val="21"/>
                    </w:rPr>
                  </w:pPr>
                  <w:r>
                    <w:rPr>
                      <w:rFonts w:cs="Times New Roman"/>
                      <w:sz w:val="21"/>
                      <w:szCs w:val="21"/>
                    </w:rPr>
                    <w:t>8、在流域内进行旅游景区（点）建设，应当结合生态环境实际进行科学设计，确保旅游景区（点）与当地生态环境相协调。</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本项目所在区域不涉及开都河流域</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4.8开都河岸线保护区：</w:t>
                  </w:r>
                </w:p>
                <w:p>
                  <w:pPr>
                    <w:spacing w:line="240" w:lineRule="auto"/>
                    <w:ind w:firstLine="0" w:firstLineChars="0"/>
                    <w:rPr>
                      <w:rFonts w:cs="Times New Roman"/>
                      <w:sz w:val="21"/>
                      <w:szCs w:val="21"/>
                    </w:rPr>
                  </w:pPr>
                  <w:r>
                    <w:rPr>
                      <w:rFonts w:cs="Times New Roman"/>
                      <w:sz w:val="21"/>
                      <w:szCs w:val="21"/>
                    </w:rPr>
                    <w:t>1、禁止采砂、临河采矿、选矿和淘金等活动；禁止侵占天然湿地的开垦与农业开发、人工草场、非审批的临河建筑、永久构筑物和工业开</w:t>
                  </w:r>
                </w:p>
                <w:p>
                  <w:pPr>
                    <w:spacing w:line="240" w:lineRule="auto"/>
                    <w:ind w:firstLine="0" w:firstLineChars="0"/>
                    <w:rPr>
                      <w:rFonts w:cs="Times New Roman"/>
                      <w:sz w:val="21"/>
                      <w:szCs w:val="21"/>
                    </w:rPr>
                  </w:pPr>
                  <w:r>
                    <w:rPr>
                      <w:rFonts w:cs="Times New Roman"/>
                      <w:sz w:val="21"/>
                      <w:szCs w:val="21"/>
                    </w:rPr>
                    <w:t>发；禁止过度放牧，以草定畜；禁止允许开发目标外的岸线开发利用活动。</w:t>
                  </w:r>
                </w:p>
                <w:p>
                  <w:pPr>
                    <w:spacing w:line="240" w:lineRule="auto"/>
                    <w:ind w:firstLine="0" w:firstLineChars="0"/>
                    <w:rPr>
                      <w:rFonts w:cs="Times New Roman"/>
                      <w:sz w:val="21"/>
                      <w:szCs w:val="21"/>
                    </w:rPr>
                  </w:pPr>
                  <w:r>
                    <w:rPr>
                      <w:rFonts w:cs="Times New Roman"/>
                      <w:sz w:val="21"/>
                      <w:szCs w:val="21"/>
                    </w:rPr>
                    <w:t>2、允许开展水源涵养、水土保持、生态修复治理等生态工程；允许不影响河道岸线稳定与防洪保安、沿河生态环境的适度发展生态旅游，依据保护区管理保护需求与承载力，限定旅游人数；允许符合国家相关法律、法规及国家级自然保护区相关规定，经河道与岸线主管部门审批的交通、桥梁、电力、通信等设施建设。</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本项目所在区域不涉及开都河岸线保护区</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4.9开都河岸线控制利用区：</w:t>
                  </w:r>
                </w:p>
                <w:p>
                  <w:pPr>
                    <w:spacing w:line="240" w:lineRule="auto"/>
                    <w:ind w:firstLine="0" w:firstLineChars="0"/>
                    <w:rPr>
                      <w:rFonts w:cs="Times New Roman"/>
                      <w:sz w:val="21"/>
                      <w:szCs w:val="21"/>
                    </w:rPr>
                  </w:pPr>
                  <w:r>
                    <w:rPr>
                      <w:rFonts w:cs="Times New Roman"/>
                      <w:sz w:val="21"/>
                      <w:szCs w:val="21"/>
                    </w:rPr>
                    <w:t>1、禁止采砂、采石、采矿、淘金等破坏河道、岸线与防洪保安的活动；禁止因发电、蓄水导致的生态基流下泄不足、河道失水减水及下游</w:t>
                  </w:r>
                </w:p>
                <w:p>
                  <w:pPr>
                    <w:spacing w:line="240" w:lineRule="auto"/>
                    <w:ind w:firstLine="0" w:firstLineChars="0"/>
                    <w:rPr>
                      <w:rFonts w:cs="Times New Roman"/>
                      <w:sz w:val="21"/>
                      <w:szCs w:val="21"/>
                    </w:rPr>
                  </w:pPr>
                  <w:r>
                    <w:rPr>
                      <w:rFonts w:cs="Times New Roman"/>
                      <w:sz w:val="21"/>
                      <w:szCs w:val="21"/>
                    </w:rPr>
                    <w:t>河道断流，电调服从水调，建立并完善电调服从水调的工作机制；禁止影响防洪保安的河滩地围垦造田、挤占过水河道的行为；禁止允许</w:t>
                  </w:r>
                </w:p>
                <w:p>
                  <w:pPr>
                    <w:spacing w:line="240" w:lineRule="auto"/>
                    <w:ind w:firstLine="0" w:firstLineChars="0"/>
                    <w:rPr>
                      <w:rFonts w:cs="Times New Roman"/>
                      <w:sz w:val="21"/>
                      <w:szCs w:val="21"/>
                    </w:rPr>
                  </w:pPr>
                  <w:r>
                    <w:rPr>
                      <w:rFonts w:cs="Times New Roman"/>
                      <w:sz w:val="21"/>
                      <w:szCs w:val="21"/>
                    </w:rPr>
                    <w:t>开发目标外的岸线开发利用活动。</w:t>
                  </w:r>
                </w:p>
                <w:p>
                  <w:pPr>
                    <w:spacing w:line="240" w:lineRule="auto"/>
                    <w:ind w:firstLine="0" w:firstLineChars="0"/>
                    <w:rPr>
                      <w:rFonts w:cs="Times New Roman"/>
                      <w:sz w:val="21"/>
                      <w:szCs w:val="21"/>
                    </w:rPr>
                  </w:pPr>
                  <w:r>
                    <w:rPr>
                      <w:rFonts w:cs="Times New Roman"/>
                      <w:sz w:val="21"/>
                      <w:szCs w:val="21"/>
                    </w:rPr>
                    <w:t>2、允许开展水利工程、防洪工程、生态治理与恢复工程、河道及岸线的综合整治工程；允许在不影响河道及岸线稳定、河道防洪保安与沿河生态环境的前提下，适当发展生态旅游；允许符合国家相关法律、法规及自治区、巴州水电开发规划相关规定，经河道与岸线主管部门审批的水电开发建设设施；允许交通、桥梁、水电、通信等设施建设。</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本项目所在区域不涉及开都河岸线控制利用区</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4.10开都河岸线保留区：</w:t>
                  </w:r>
                </w:p>
                <w:p>
                  <w:pPr>
                    <w:spacing w:line="240" w:lineRule="auto"/>
                    <w:ind w:firstLine="0" w:firstLineChars="0"/>
                    <w:rPr>
                      <w:rFonts w:cs="Times New Roman"/>
                      <w:sz w:val="21"/>
                      <w:szCs w:val="21"/>
                    </w:rPr>
                  </w:pPr>
                  <w:r>
                    <w:rPr>
                      <w:rFonts w:cs="Times New Roman"/>
                      <w:sz w:val="21"/>
                      <w:szCs w:val="21"/>
                    </w:rPr>
                    <w:t>1、禁止采砂活动；禁止影响河道行洪，制约防洪保安的岸线内农业开发；禁止涉河涉岸影响河势、岸线稳定及防洪保安的旅游餐饮开发；禁止生活、工业污水与农业排水直排入河；禁止允许开发目标外的岸线开发利用活动。</w:t>
                  </w:r>
                </w:p>
                <w:p>
                  <w:pPr>
                    <w:spacing w:line="240" w:lineRule="auto"/>
                    <w:ind w:firstLine="0" w:firstLineChars="0"/>
                    <w:rPr>
                      <w:rFonts w:cs="Times New Roman"/>
                      <w:sz w:val="21"/>
                      <w:szCs w:val="21"/>
                    </w:rPr>
                  </w:pPr>
                  <w:r>
                    <w:rPr>
                      <w:rFonts w:cs="Times New Roman"/>
                      <w:sz w:val="21"/>
                      <w:szCs w:val="21"/>
                    </w:rPr>
                    <w:t>2、允许开展水利工程、防洪工程、生态治理与恢复工程、河道及岸线的综合整治工程；允许在不影响河道及岸线稳定、河道防洪保安与沿河生态环境的前提下，适当发展生态旅游；允许符合国家相关法律、法规及自治区、巴州经济社会发展规划，经河道与岸线主管部门审批的交通、桥梁、电力传输、通信等设施建设。</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本项目所在区域不涉及开都河岸线保留区</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4.11根据博斯腾湖水生态环境保护需要，确定博斯腾湖大湖区水体最低预警水位为1045.50米。在满足防洪要求确保安全的前提下，优化水资源配置与调度，维持合理水位。流域管理机构应当加强水位变化动态监测，按照法律法规规定，在人员流动相对密集的湖岸场所（大河口和扬水站区域）设立水位变化动态监测结果的显著标志标识，实时公开公示水位</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4.12【博斯腾湖水资源管理】</w:t>
                  </w:r>
                </w:p>
                <w:p>
                  <w:pPr>
                    <w:spacing w:line="240" w:lineRule="auto"/>
                    <w:ind w:firstLine="0" w:firstLineChars="0"/>
                    <w:rPr>
                      <w:rFonts w:cs="Times New Roman"/>
                      <w:sz w:val="21"/>
                      <w:szCs w:val="21"/>
                    </w:rPr>
                  </w:pPr>
                  <w:r>
                    <w:rPr>
                      <w:rFonts w:cs="Times New Roman"/>
                      <w:sz w:val="21"/>
                      <w:szCs w:val="21"/>
                    </w:rPr>
                    <w:t>1、自治州和铁门关市水行政主管部门应当合理配置水资源，建立覆盖全流域取用水总量控制指标体系，实施消耗总量与消耗强度双控制度。</w:t>
                  </w:r>
                </w:p>
                <w:p>
                  <w:pPr>
                    <w:spacing w:line="240" w:lineRule="auto"/>
                    <w:ind w:firstLine="0" w:firstLineChars="0"/>
                    <w:rPr>
                      <w:rFonts w:cs="Times New Roman"/>
                      <w:sz w:val="21"/>
                      <w:szCs w:val="21"/>
                    </w:rPr>
                  </w:pPr>
                  <w:r>
                    <w:rPr>
                      <w:rFonts w:cs="Times New Roman"/>
                      <w:sz w:val="21"/>
                      <w:szCs w:val="21"/>
                    </w:rPr>
                    <w:t>2、流域管理机构应当加强黄水沟上游用水管理和科学调度，增加黄水沟入湖基流，促进博斯腾湖水体循环，改善水质。</w:t>
                  </w:r>
                </w:p>
                <w:p>
                  <w:pPr>
                    <w:spacing w:line="240" w:lineRule="auto"/>
                    <w:ind w:firstLine="0" w:firstLineChars="0"/>
                    <w:rPr>
                      <w:rFonts w:cs="Times New Roman"/>
                      <w:sz w:val="21"/>
                      <w:szCs w:val="21"/>
                    </w:rPr>
                  </w:pPr>
                  <w:r>
                    <w:rPr>
                      <w:rFonts w:cs="Times New Roman"/>
                      <w:sz w:val="21"/>
                      <w:szCs w:val="21"/>
                    </w:rPr>
                    <w:t>3、流域管理机构应当合理调度开都河宝浪苏木闸东、西支水量分配，防止开都河宝浪苏木闸东支断流。</w:t>
                  </w:r>
                </w:p>
                <w:p>
                  <w:pPr>
                    <w:spacing w:line="240" w:lineRule="auto"/>
                    <w:ind w:firstLine="0" w:firstLineChars="0"/>
                    <w:rPr>
                      <w:rFonts w:cs="Times New Roman"/>
                      <w:sz w:val="21"/>
                      <w:szCs w:val="21"/>
                    </w:rPr>
                  </w:pPr>
                  <w:r>
                    <w:rPr>
                      <w:rFonts w:cs="Times New Roman"/>
                      <w:sz w:val="21"/>
                      <w:szCs w:val="21"/>
                    </w:rPr>
                    <w:t>4、博斯腾湖周边区域应当实行居民阶梯水价制度，实行非居民用水超定额、超计划累进加价制度，促进节约用水</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4.13将博斯腾湖大湖、小湖全部岸线划分为优先保护岸线：</w:t>
                  </w:r>
                </w:p>
                <w:p>
                  <w:pPr>
                    <w:spacing w:line="240" w:lineRule="auto"/>
                    <w:ind w:firstLine="0" w:firstLineChars="0"/>
                    <w:rPr>
                      <w:rFonts w:cs="Times New Roman"/>
                      <w:sz w:val="21"/>
                      <w:szCs w:val="21"/>
                    </w:rPr>
                  </w:pPr>
                  <w:r>
                    <w:rPr>
                      <w:rFonts w:cs="Times New Roman"/>
                      <w:sz w:val="21"/>
                      <w:szCs w:val="21"/>
                    </w:rPr>
                    <w:t>1、博斯腾湖大湖岸线需控制侵占自然湿地围坝人工育苇的项目；禁止侵占自然湿地及湖泊水域的围垦造田与农业开发、水产养殖，逐步清退综合治理岸线管理范围内对湖泊防洪与生态环境有影响的非生态防护功能的人工林地与非基本农田农业开发地；严控涉湖涉岸影响湖泊岸线稳定及湖泊水环境、水生态和沿湖生态环境的旅游餐饮开发、农家乐、渔家乐与相关旅游设施建设；禁止生活、工业污水和农业排水直排入湖；禁止影响湖滨自然湿地水循环、湖泊鱼类产卵洄游及其他影响湖泊生态系统的非审批人工围坝、围堤等行为；交通道路路基选址等建设活动原则上应在湖泊岸线管理保护范围之外，以最低限度影响湖泊生态环境与湿地健康；禁止一切影响湖泊防洪保安的涉湖涉岸项目建设；禁止允许开发目标外的岸线开发利用活动。</w:t>
                  </w:r>
                </w:p>
                <w:p>
                  <w:pPr>
                    <w:spacing w:line="240" w:lineRule="auto"/>
                    <w:ind w:firstLine="0" w:firstLineChars="0"/>
                    <w:rPr>
                      <w:rFonts w:cs="Times New Roman"/>
                      <w:sz w:val="21"/>
                      <w:szCs w:val="21"/>
                    </w:rPr>
                  </w:pPr>
                  <w:r>
                    <w:rPr>
                      <w:rFonts w:cs="Times New Roman"/>
                      <w:sz w:val="21"/>
                      <w:szCs w:val="21"/>
                    </w:rPr>
                    <w:t>2、小湖岸线需严控一切侵占自然湿地围坝人工育苇的活动；禁止侵占天然湿地及湖泊水域的围垦造田与大规模农业开发，逐步整治岸线管理范围内的对湖泊防洪及生态环境有影响的非基本农田农业开发地、非生态防护功能的人工林地；禁止涉湖涉岸影响小湖防洪、湿地岸线稳定及小湖水环境、水生态的旅游餐饮开发与旅游设施建设；禁止生活、工业污水和农业排水直排入湖及湿地；严控影响小湖自然湿地水循环、湖泊鱼类产卵洄游及其他影响湖泊生态系统的人工围坝、围堤等行为；禁止允许开发目标外的岸线开发利用活动</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本项目所在区域不涉及博斯腾湖优先保护岸线</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4.14抓好工业节水。依据国家鼓励和淘汰的用水技术、工艺、产品和设备目录，加大工业节水先进技术的推广应用，加快落后技术、设备的淘汰退出。研究制定一批工业节水地方标准，推动重点行业开展企业用水定额对标工作。开展节水诊断、水平衡测试、用水效率评估，严格取用水定额管理。以工业用水重复利用、热力和工艺系统节水、工业给水和废水处理等领域为重点，支持企业实施节水技术改造</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w:t>
                  </w:r>
                  <w:r>
                    <w:rPr>
                      <w:rFonts w:cs="Times New Roman"/>
                      <w:sz w:val="21"/>
                      <w:szCs w:val="21"/>
                    </w:rPr>
                    <w:t>，项目生产技术、工艺、产品和设备不属于淘汰类目录</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4.15加强城镇节水。禁止生产、销售不符合节水标准的产品：公共建筑必须采用节水器具，限期淘汰公共建筑中不符合节水标准的水嘴、便器水箱等生活用水器具。鼓励居民家庭选用节水器具，推动旅馆饭店、学校等用水单位用水器具的更新改造。加快城镇老旧供水管网更新改造。</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4.16发展农业节水。推广渠道防渗、管道输水、喷灌、微灌等节水灌溉技术，完善灌溉用水计量设施。大力推进规模化高效节水灌溉，推广农作物节水抗旱技术。建立灌区测报网络，提高农业用水效率，降低农业用水比重。</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4.17加强河流湖库水量调度管理。依法制定和完善开都河、博斯腾湖、塔里木河水资源调度方案。采取闸坝联合调度、生态补水等措施，合理安排闸坝下泄水量和泄流时段，维持河湖基本生态用水需求，重点保障枯水期生态基流。加快重大水资源配置工程建设，提高区域水资源调配能力，发挥好控制性水利工程在改善水质中的作用。制定应急调度预案和调度计划，适时开展抗旱应急、突发水污染应急调度。建立和完善防洪防灾体系。</w:t>
                  </w:r>
                </w:p>
              </w:tc>
              <w:tc>
                <w:tcPr>
                  <w:tcW w:w="1713" w:type="dxa"/>
                  <w:vAlign w:val="center"/>
                </w:tcPr>
                <w:p>
                  <w:pPr>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4.18加强废弃农膜回收利用。严厉打击违法生产和销售农膜厚度小于0.01毫米、耐候期小于180天等不符合相关质量标准农膜的行为。鼓励生产企业进行科技创新，采用新技术、新材料生产可降解、无污染的农田地膜；鼓励销售企业和农田地膜使用者、农业生产经营组织销售和使用可降解、无污染的农田地膜，并逐步推广。建立农膜回收利用机制，建立健全废弃农膜回收贮运和综合利用网络。</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本项目不涉及相关内容</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4.19国家加强对土壤资源的保护和合理利用。对开发建设过程中剥离的表土，应当单独收集和存放，符合条件的应当优先用于土地复垦、土壤改良、造地和绿化等。禁止将重金属或者其他有毒有害物质含量超标的工业固体废物、生活垃圾或者污染土壤用于土地复垦。</w:t>
                  </w:r>
                </w:p>
              </w:tc>
              <w:tc>
                <w:tcPr>
                  <w:tcW w:w="1713" w:type="dxa"/>
                  <w:vAlign w:val="center"/>
                </w:tcPr>
                <w:p>
                  <w:pPr>
                    <w:spacing w:line="240" w:lineRule="auto"/>
                    <w:ind w:firstLine="0" w:firstLineChars="0"/>
                    <w:jc w:val="center"/>
                    <w:rPr>
                      <w:rFonts w:cs="Times New Roman"/>
                      <w:sz w:val="21"/>
                      <w:szCs w:val="21"/>
                    </w:rPr>
                  </w:pPr>
                  <w:r>
                    <w:rPr>
                      <w:rFonts w:cs="Times New Roman"/>
                      <w:sz w:val="21"/>
                      <w:szCs w:val="21"/>
                    </w:rPr>
                    <w:t>本项目产生的沉淀池</w:t>
                  </w:r>
                  <w:r>
                    <w:rPr>
                      <w:rFonts w:hint="eastAsia" w:cs="Times New Roman"/>
                      <w:sz w:val="21"/>
                      <w:szCs w:val="21"/>
                    </w:rPr>
                    <w:t>沉渣</w:t>
                  </w:r>
                  <w:r>
                    <w:rPr>
                      <w:rFonts w:cs="Times New Roman"/>
                      <w:sz w:val="21"/>
                      <w:szCs w:val="21"/>
                    </w:rPr>
                    <w:t>定期清掏晾晒干后送往一般工业固废填埋场；分拣废料集中收集后定期外售至废品回收站；生活垃圾集中收集至垃圾箱后由环卫部门统一清运。</w:t>
                  </w:r>
                  <w:r>
                    <w:rPr>
                      <w:rFonts w:hint="eastAsia" w:cs="Times New Roman"/>
                      <w:sz w:val="21"/>
                      <w:szCs w:val="21"/>
                    </w:rPr>
                    <w:t>危险废物集中收集后，分区存放于危险废物贮存点，定期交由有危险废物处理资质的单位回收处理</w:t>
                  </w:r>
                  <w:r>
                    <w:rPr>
                      <w:rFonts w:cs="Times New Roman"/>
                      <w:sz w:val="21"/>
                      <w:szCs w:val="21"/>
                    </w:rPr>
                    <w:t>，全部综合利用或妥善处置</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7" w:type="dxa"/>
                  <w:vMerge w:val="continue"/>
                  <w:vAlign w:val="center"/>
                </w:tcPr>
                <w:p>
                  <w:pPr>
                    <w:spacing w:line="240" w:lineRule="auto"/>
                    <w:ind w:firstLine="0" w:firstLineChars="0"/>
                    <w:contextualSpacing/>
                    <w:jc w:val="center"/>
                    <w:rPr>
                      <w:rFonts w:cs="Times New Roman"/>
                      <w:sz w:val="21"/>
                      <w:szCs w:val="21"/>
                    </w:rPr>
                  </w:pPr>
                </w:p>
              </w:tc>
              <w:tc>
                <w:tcPr>
                  <w:tcW w:w="291" w:type="dxa"/>
                  <w:vMerge w:val="continue"/>
                  <w:vAlign w:val="center"/>
                </w:tcPr>
                <w:p>
                  <w:pPr>
                    <w:spacing w:line="240" w:lineRule="auto"/>
                    <w:ind w:firstLine="0" w:firstLineChars="0"/>
                    <w:contextualSpacing/>
                    <w:jc w:val="center"/>
                    <w:rPr>
                      <w:rFonts w:cs="Times New Roman"/>
                      <w:sz w:val="21"/>
                      <w:szCs w:val="21"/>
                    </w:rPr>
                  </w:pPr>
                </w:p>
              </w:tc>
              <w:tc>
                <w:tcPr>
                  <w:tcW w:w="5513" w:type="dxa"/>
                  <w:vAlign w:val="center"/>
                </w:tcPr>
                <w:p>
                  <w:pPr>
                    <w:spacing w:line="240" w:lineRule="auto"/>
                    <w:ind w:firstLine="0" w:firstLineChars="0"/>
                    <w:rPr>
                      <w:rFonts w:cs="Times New Roman"/>
                      <w:sz w:val="21"/>
                      <w:szCs w:val="21"/>
                    </w:rPr>
                  </w:pPr>
                  <w:r>
                    <w:rPr>
                      <w:rFonts w:cs="Times New Roman"/>
                      <w:sz w:val="21"/>
                      <w:szCs w:val="21"/>
                    </w:rPr>
                    <w:t>4.20加强建设用地规划引领管控：严控城乡建设用地规模；优化建设用地结构布局。促进建设用地立体综合开发：鼓励建设用地立体开发；支持土地综合开发利用；推行多层标准化厂房建设。实施城镇存量土地盘活利用：推进城镇低效用地再开发；鼓励低效工业用地内涵挖潜。提高农村建设用地利用效率：严格农村用地标准控制；盘活存量集体建设用地。</w:t>
                  </w:r>
                </w:p>
              </w:tc>
              <w:tc>
                <w:tcPr>
                  <w:tcW w:w="1713" w:type="dxa"/>
                  <w:vAlign w:val="center"/>
                </w:tcPr>
                <w:p>
                  <w:pPr>
                    <w:spacing w:line="240" w:lineRule="auto"/>
                    <w:ind w:firstLine="0" w:firstLineChars="0"/>
                    <w:rPr>
                      <w:rFonts w:cs="Times New Roman"/>
                      <w:sz w:val="21"/>
                      <w:szCs w:val="21"/>
                    </w:rPr>
                  </w:pPr>
                  <w:r>
                    <w:rPr>
                      <w:rFonts w:cs="Times New Roman"/>
                      <w:sz w:val="21"/>
                      <w:szCs w:val="21"/>
                    </w:rPr>
                    <w:t>本项目位于库尔勒市哈拉玉宫镇废旧物资回收加工产业园，符合区域建设用地规划要求</w:t>
                  </w:r>
                </w:p>
              </w:tc>
              <w:tc>
                <w:tcPr>
                  <w:tcW w:w="557" w:type="dxa"/>
                  <w:vAlign w:val="center"/>
                </w:tcPr>
                <w:p>
                  <w:pPr>
                    <w:spacing w:line="240" w:lineRule="auto"/>
                    <w:ind w:firstLine="0" w:firstLineChars="0"/>
                    <w:jc w:val="center"/>
                    <w:rPr>
                      <w:rFonts w:cs="Times New Roman"/>
                      <w:sz w:val="21"/>
                      <w:szCs w:val="21"/>
                    </w:rPr>
                  </w:pPr>
                  <w:r>
                    <w:rPr>
                      <w:rFonts w:cs="Times New Roman"/>
                      <w:sz w:val="21"/>
                      <w:szCs w:val="21"/>
                    </w:rPr>
                    <w:t>符合</w:t>
                  </w:r>
                </w:p>
              </w:tc>
            </w:tr>
            <w:bookmarkEnd w:id="7"/>
          </w:tbl>
          <w:p>
            <w:pPr>
              <w:autoSpaceDE w:val="0"/>
              <w:autoSpaceDN w:val="0"/>
              <w:adjustRightInd w:val="0"/>
              <w:spacing w:line="240" w:lineRule="auto"/>
              <w:ind w:firstLine="422"/>
              <w:jc w:val="center"/>
              <w:textAlignment w:val="auto"/>
              <w:rPr>
                <w:rFonts w:cs="Times New Roman"/>
                <w:b/>
                <w:bCs/>
                <w:kern w:val="0"/>
                <w:sz w:val="21"/>
                <w:szCs w:val="24"/>
              </w:rPr>
            </w:pPr>
            <w:bookmarkStart w:id="8" w:name="_Hlk97287333"/>
            <w:r>
              <w:rPr>
                <w:rFonts w:cs="Times New Roman"/>
                <w:b/>
                <w:bCs/>
                <w:kern w:val="0"/>
                <w:sz w:val="21"/>
                <w:szCs w:val="24"/>
              </w:rPr>
              <w:t>表1-6  本项目与所在管控单元“库尔勒市一般管控单元”符合性分析一览表</w:t>
            </w:r>
          </w:p>
          <w:tbl>
            <w:tblPr>
              <w:tblStyle w:val="24"/>
              <w:tblW w:w="49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07"/>
              <w:gridCol w:w="484"/>
              <w:gridCol w:w="4298"/>
              <w:gridCol w:w="2419"/>
              <w:gridCol w:w="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607" w:type="dxa"/>
                  <w:vAlign w:val="center"/>
                </w:tcPr>
                <w:p>
                  <w:pPr>
                    <w:adjustRightInd w:val="0"/>
                    <w:spacing w:line="240" w:lineRule="auto"/>
                    <w:ind w:firstLine="0" w:firstLineChars="0"/>
                    <w:jc w:val="center"/>
                    <w:textAlignment w:val="auto"/>
                    <w:rPr>
                      <w:rFonts w:cs="Times New Roman"/>
                      <w:sz w:val="21"/>
                    </w:rPr>
                  </w:pPr>
                  <w:r>
                    <w:rPr>
                      <w:rFonts w:cs="Times New Roman"/>
                      <w:sz w:val="21"/>
                    </w:rPr>
                    <w:t>名称</w:t>
                  </w:r>
                </w:p>
              </w:tc>
              <w:tc>
                <w:tcPr>
                  <w:tcW w:w="4783" w:type="dxa"/>
                  <w:gridSpan w:val="2"/>
                  <w:vAlign w:val="center"/>
                </w:tcPr>
                <w:p>
                  <w:pPr>
                    <w:adjustRightInd w:val="0"/>
                    <w:spacing w:line="240" w:lineRule="auto"/>
                    <w:ind w:firstLine="0" w:firstLineChars="0"/>
                    <w:jc w:val="center"/>
                    <w:textAlignment w:val="auto"/>
                    <w:rPr>
                      <w:rFonts w:cs="Times New Roman"/>
                      <w:sz w:val="21"/>
                    </w:rPr>
                  </w:pPr>
                  <w:r>
                    <w:rPr>
                      <w:rFonts w:cs="Times New Roman"/>
                      <w:sz w:val="21"/>
                    </w:rPr>
                    <w:t>文件要求</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0" w:hRule="atLeast"/>
                <w:jc w:val="center"/>
              </w:trPr>
              <w:tc>
                <w:tcPr>
                  <w:tcW w:w="607"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ZH65280130001库尔勒市一般管控</w:t>
                  </w:r>
                  <w:r>
                    <w:rPr>
                      <w:rFonts w:hint="eastAsia" w:cs="Times New Roman"/>
                      <w:sz w:val="21"/>
                    </w:rPr>
                    <w:t>区</w:t>
                  </w: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空间布局约束</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1.建设项目用地原则上不得占用基本农田，确需占用基本农田的建设项目须符合《中华人民共和国基本农田保护条例》中相关要求，占用耕地、林地或草地的建设项目须按照国家、自治区相关补偿要求进行补偿。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8" w:hRule="atLeast"/>
                <w:jc w:val="center"/>
              </w:trPr>
              <w:tc>
                <w:tcPr>
                  <w:tcW w:w="607" w:type="dxa"/>
                  <w:vMerge w:val="continue"/>
                  <w:vAlign w:val="center"/>
                </w:tcPr>
                <w:p>
                  <w:pPr>
                    <w:adjustRightInd w:val="0"/>
                    <w:spacing w:line="240" w:lineRule="auto"/>
                    <w:ind w:firstLine="420"/>
                    <w:jc w:val="center"/>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3.永久基本农田集中区域禁止规划新建可能造成土壤污染的建设项目。涉及有毒有害物质可能造成土壤污染的新（改、扩）建项目，提出并落实土壤和地下水污染防治要求。</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4.严格执行畜禽养殖禁养区规定，根据区域用地和消纳水平，合理确定养殖规模。</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5.禁止向沙漠、滩涂、盐碱地、沼泽地等非法排污、倾倒有毒有害物质。</w:t>
                  </w:r>
                </w:p>
              </w:tc>
              <w:tc>
                <w:tcPr>
                  <w:tcW w:w="2419" w:type="dxa"/>
                  <w:vAlign w:val="center"/>
                </w:tcPr>
                <w:p>
                  <w:pPr>
                    <w:adjustRightInd w:val="0"/>
                    <w:spacing w:line="240" w:lineRule="auto"/>
                    <w:ind w:firstLine="0" w:firstLineChars="0"/>
                    <w:textAlignment w:val="auto"/>
                    <w:rPr>
                      <w:rFonts w:cs="Times New Roman"/>
                      <w:sz w:val="21"/>
                    </w:rPr>
                  </w:pPr>
                  <w:r>
                    <w:rPr>
                      <w:rFonts w:hint="eastAsia" w:cs="Times New Roman"/>
                      <w:sz w:val="21"/>
                    </w:rPr>
                    <w:t>营运期间固体废物全部综合利用或妥善处置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6.禁止利用渗坑、裂隙、溶洞或者采用稀释等方法处置危险废物。</w:t>
                  </w:r>
                </w:p>
              </w:tc>
              <w:tc>
                <w:tcPr>
                  <w:tcW w:w="2419" w:type="dxa"/>
                  <w:vAlign w:val="center"/>
                </w:tcPr>
                <w:p>
                  <w:pPr>
                    <w:adjustRightInd w:val="0"/>
                    <w:spacing w:line="240" w:lineRule="auto"/>
                    <w:ind w:firstLine="0" w:firstLineChars="0"/>
                    <w:textAlignment w:val="auto"/>
                    <w:rPr>
                      <w:rFonts w:cs="Times New Roman"/>
                      <w:sz w:val="21"/>
                    </w:rPr>
                  </w:pPr>
                  <w:r>
                    <w:rPr>
                      <w:rFonts w:cs="Times New Roman"/>
                      <w:sz w:val="21"/>
                    </w:rPr>
                    <w:t>本项目营运期危险废物主要为</w:t>
                  </w:r>
                  <w:r>
                    <w:rPr>
                      <w:rFonts w:hint="eastAsia" w:cs="Times New Roman"/>
                      <w:sz w:val="21"/>
                    </w:rPr>
                    <w:t>废机油、沾有废机油的废抹布和废手套、废机油桶。危险废物集中收集后，分区存放于危险废物贮存点，定期交由有危险废物处理资质的单位回收处理</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7.自治区级重点开采区内新建矿山必须符合国家、自治区、巴州产业政策和规划，达到国家、自治区有关矿山企业准入条件；矿山采矿规模不低于矿产资源规划确定的矿山最低开采规模，矿山占有矿石资源储量与矿山开采规模及矿山服务年限相匹配，具备与矿山开采规模相配套的人才、资金、技术和管理资质条件。禁止核准新建120万吨/年/矿井（不含）及400万吨/年/露天（不含）以下规模的煤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污染物排放管控</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1.强化畜禽粪污资源化利用，改善养殖场通风环境，提高畜禽粪污综合利用率，减少氨挥发排放。鼓励和支持散养密集区实行畜禽粪污分户收集、集中处理。</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2.严格控制林地、草地、园地农药使用量，禁止使用高毒、高残留农药。</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4.对化学品生产企业、工业集聚区、尾矿库、矿山开采区、危险废物处置场、垃圾填埋场等地下水污染源及周边区域，逐步开展地下水环境状况调查评估，加强风险管控。</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本评价要求项目加强营运期环境风险防控</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0"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5.严控土壤重金属污染，加强油（气）田开发土壤污染防治，以历史遗留工业企业污染场地为重点，开展土壤污染风险管控与修复工程。</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3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2419" w:type="dxa"/>
                  <w:vAlign w:val="center"/>
                </w:tcPr>
                <w:p>
                  <w:pPr>
                    <w:adjustRightInd w:val="0"/>
                    <w:spacing w:line="240" w:lineRule="auto"/>
                    <w:ind w:firstLine="0" w:firstLineChars="0"/>
                    <w:textAlignment w:val="auto"/>
                    <w:rPr>
                      <w:rFonts w:cs="Times New Roman"/>
                      <w:sz w:val="21"/>
                    </w:rPr>
                  </w:pPr>
                  <w:r>
                    <w:rPr>
                      <w:rFonts w:cs="Times New Roman"/>
                      <w:sz w:val="21"/>
                    </w:rPr>
                    <w:t>本项目生活污水经化粪池处理后，定期由吸污车抽运至库尔勒市南市区污水处理厂处理。生活垃圾由垃圾桶收集后，环卫部门定期收集处置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1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7.矿山大气、水、水污染物排放应符合国家和自治区相关排放标准，对采矿伴生气、矿井水、选矿废水和尾矿水等应进行综合利用和无害化处理。严格实施“谁开发，谁保护”、“谁污染，谁治理”、“谁破坏，谁恢复”的原则，落实矿山环境保护和修复责任制。矿山在建设过程中，应严格执行“三同时”制度。新建矿山应对地质环境进行检测。矿山应编制矿山地质环境保护与土地复垦方案，落实矿山地质环境保护和恢复责任制。矿山企业应严格按照“节约减排”要求，采取有力措施，从源头上减少“三废”排放，并加强“三废”的综合利用回收。</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9"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环境风险防控</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1.加强对矿山、油田等矿产资源开采影响区域内未利用地的环境监管，发现土壤污染问题的，要坚决查处，并及时督促有关单位采取有效防治措施消除或减轻污染。</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9"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2.对排查出的危库和病库以及风险评估有严重环境安全隐患的尾矿库，要求企业完善污染治理设施、进行治理和修复。全面整治历史遗留尾矿库，完善覆膜、压土、排洪、堤坝加固等隐患治理和闭库措施。</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3.依法推行农用地分类管理制度，强化受污染耕地安全利用和风险管控。因地制宜制定实施安全利用方案，鼓励采取种植结构调整等措施，确保受污染耕地全部实现安全利用。</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6"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推进实施矿山企业尾矿库地质灾害评估和评价制度。防范矿产资源开发活动对矿区土壤环境造成的污染，矿产资源开发企业防治环境污染和生态破坏的设施必须经原审批环评报告的环保部门验收合格后方可投入生产和使用。严格落实规划环评及其批复文件制定的环境风险防范措施。</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资源利用效率</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1.全面推进秸秆综合利用，鼓励秸秆资源化、饲料化、肥料化利用，推动秸秆还田与离田收集。</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2.减少化肥农药使用量，增加有机肥使用量，实现化肥农药使用量负增长。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1"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3.推广渠道防渗、管道输水、喷灌、微灌等节水灌溉技术，完善灌溉用水计量设施。推进规模化高效节水灌溉，推广农作物节水抗旱技术。建立灌区墒情测报网络，提高农业用水效率，降低农业用水比重。</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4.矿产开采回采率、选矿回收率和综合利用率须达到《矿产资源综合利用技术指标及计算方法（DZ/T0272-2015）》标准界定的</w:t>
                  </w:r>
                  <w:r>
                    <w:rPr>
                      <w:rFonts w:hint="eastAsia" w:cs="Times New Roman"/>
                      <w:sz w:val="21"/>
                    </w:rPr>
                    <w:t>“</w:t>
                  </w:r>
                  <w:r>
                    <w:rPr>
                      <w:rFonts w:cs="Times New Roman"/>
                      <w:sz w:val="21"/>
                    </w:rPr>
                    <w:t>三率</w:t>
                  </w:r>
                  <w:r>
                    <w:rPr>
                      <w:rFonts w:hint="eastAsia" w:cs="Times New Roman"/>
                      <w:sz w:val="21"/>
                    </w:rPr>
                    <w:t>”</w:t>
                  </w:r>
                  <w:r>
                    <w:rPr>
                      <w:rFonts w:cs="Times New Roman"/>
                      <w:sz w:val="21"/>
                    </w:rPr>
                    <w:t>指标要求。加强矿山固体废弃物综合利用，向减量化、资源化和无公害化方向发展。</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bl>
          <w:p>
            <w:pPr>
              <w:autoSpaceDE w:val="0"/>
              <w:autoSpaceDN w:val="0"/>
              <w:adjustRightInd w:val="0"/>
              <w:snapToGrid w:val="0"/>
              <w:ind w:firstLine="480"/>
              <w:rPr>
                <w:szCs w:val="21"/>
              </w:rPr>
            </w:pPr>
            <w:r>
              <w:rPr>
                <w:rFonts w:hint="eastAsia"/>
                <w:szCs w:val="21"/>
              </w:rPr>
              <w:t>综上所述，本项目符合《关于印发巴音郭楞蒙古自治州生态环境分区管控动态更新成果（2023年）的通知》（巴政办发〔2024〕32号）、所在管控单元“</w:t>
            </w:r>
            <w:r>
              <w:rPr>
                <w:rFonts w:hint="eastAsia" w:hAnsi="宋体" w:cs="宋体"/>
                <w:kern w:val="0"/>
              </w:rPr>
              <w:t>库尔勒市一般管控单元</w:t>
            </w:r>
            <w:r>
              <w:rPr>
                <w:rFonts w:hint="eastAsia"/>
                <w:szCs w:val="21"/>
              </w:rPr>
              <w:t>”管控要求。</w:t>
            </w:r>
          </w:p>
          <w:p>
            <w:pPr>
              <w:spacing w:line="240" w:lineRule="auto"/>
              <w:ind w:firstLine="198" w:firstLineChars="82"/>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w:t>
            </w:r>
            <w:r>
              <w:rPr>
                <w:rFonts w:hint="eastAsia"/>
                <w:b/>
                <w:color w:val="000000" w:themeColor="text1"/>
                <w:szCs w:val="21"/>
                <w14:textFill>
                  <w14:solidFill>
                    <w14:schemeClr w14:val="tx1"/>
                  </w14:solidFill>
                </w14:textFill>
              </w:rPr>
              <w:t>、废旧塑料回收行业规范性文件符合性分析</w:t>
            </w:r>
          </w:p>
          <w:p>
            <w:pPr>
              <w:adjustRightInd w:val="0"/>
              <w:snapToGrid w:val="0"/>
              <w:spacing w:before="240" w:line="240" w:lineRule="auto"/>
              <w:ind w:firstLine="0" w:firstLineChars="0"/>
              <w:jc w:val="center"/>
              <w:textAlignment w:val="auto"/>
              <w:rPr>
                <w:rFonts w:cs="Times New Roman"/>
                <w:b/>
                <w:sz w:val="21"/>
                <w:szCs w:val="21"/>
              </w:rPr>
            </w:pPr>
            <w:r>
              <w:rPr>
                <w:rFonts w:cs="Times New Roman"/>
                <w:b/>
                <w:sz w:val="21"/>
                <w:szCs w:val="21"/>
              </w:rPr>
              <w:t xml:space="preserve">表1-7  </w:t>
            </w:r>
            <w:r>
              <w:rPr>
                <w:rFonts w:hint="eastAsia" w:cs="Times New Roman"/>
                <w:b/>
                <w:sz w:val="21"/>
                <w:szCs w:val="21"/>
              </w:rPr>
              <w:t>废旧塑料回收行业</w:t>
            </w:r>
            <w:r>
              <w:rPr>
                <w:rFonts w:cs="Times New Roman"/>
                <w:b/>
                <w:sz w:val="21"/>
                <w:szCs w:val="21"/>
              </w:rPr>
              <w:t>规范性文件符合性分析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514"/>
              <w:gridCol w:w="3861"/>
              <w:gridCol w:w="2915"/>
              <w:gridCol w:w="1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tblHeader/>
                <w:jc w:val="center"/>
              </w:trPr>
              <w:tc>
                <w:tcPr>
                  <w:tcW w:w="308"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w:t>
                  </w:r>
                </w:p>
              </w:tc>
              <w:tc>
                <w:tcPr>
                  <w:tcW w:w="2312"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规范要求</w:t>
                  </w:r>
                </w:p>
              </w:tc>
              <w:tc>
                <w:tcPr>
                  <w:tcW w:w="1745"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项目建设条件</w:t>
                  </w:r>
                </w:p>
              </w:tc>
              <w:tc>
                <w:tcPr>
                  <w:tcW w:w="633"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30"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w:t>
                  </w:r>
                  <w:r>
                    <w:rPr>
                      <w:rFonts w:hint="eastAsia" w:cs="Times New Roman"/>
                      <w:b/>
                      <w:bCs/>
                      <w:sz w:val="21"/>
                      <w:szCs w:val="24"/>
                    </w:rPr>
                    <w:t>工业和信息化部公告2015年第81号《废塑料综合利用行业规范条件》及《废塑料综合利用行业规范条件公告管理暂行办法》</w:t>
                  </w:r>
                  <w:r>
                    <w:rPr>
                      <w:rFonts w:cs="Times New Roman"/>
                      <w:b/>
                      <w:bCs/>
                      <w:sz w:val="21"/>
                      <w:szCs w:val="24"/>
                    </w:rPr>
                    <w:t>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55"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企业的设立和布局</w:t>
                  </w:r>
                </w:p>
              </w:tc>
              <w:tc>
                <w:tcPr>
                  <w:tcW w:w="2312" w:type="pct"/>
                  <w:shd w:val="clear" w:color="auto" w:fill="auto"/>
                  <w:vAlign w:val="center"/>
                </w:tcPr>
                <w:p>
                  <w:pPr>
                    <w:pStyle w:val="32"/>
                    <w:rPr>
                      <w:rFonts w:cs="Times New Roman"/>
                      <w:szCs w:val="24"/>
                    </w:rPr>
                  </w:pPr>
                  <w:r>
                    <w:rPr>
                      <w:rFonts w:hint="eastAsia" w:cs="Times New Roman"/>
                      <w:szCs w:val="24"/>
                    </w:rPr>
                    <w:t>废塑料综合利用企业是指采用物理机械法对热塑性废塑料进行再生加工的企业，企业类型主要包括PET再生瓶片类企业、废塑料破碎清洗分选类企业以及塑料再生造粒类企业</w:t>
                  </w:r>
                </w:p>
              </w:tc>
              <w:tc>
                <w:tcPr>
                  <w:tcW w:w="1745" w:type="pct"/>
                  <w:vMerge w:val="restart"/>
                  <w:shd w:val="clear" w:color="auto" w:fill="auto"/>
                  <w:vAlign w:val="center"/>
                </w:tcPr>
                <w:p>
                  <w:pPr>
                    <w:pStyle w:val="32"/>
                    <w:jc w:val="both"/>
                    <w:rPr>
                      <w:rFonts w:cs="Times New Roman"/>
                      <w:szCs w:val="24"/>
                    </w:rPr>
                  </w:pPr>
                  <w:r>
                    <w:rPr>
                      <w:rFonts w:hint="eastAsia" w:cs="Times New Roman"/>
                      <w:szCs w:val="24"/>
                    </w:rPr>
                    <w:t>1、本项目回收废旧PP、PE塑料，对废旧塑料进行破碎清洗。不涉及危险化学品、农药等污染的废弃塑料包装物、废弃一次性医疗用塑料制品等塑料类危险废物，以及氟塑料等特种工程塑料</w:t>
                  </w:r>
                </w:p>
                <w:p>
                  <w:pPr>
                    <w:pStyle w:val="32"/>
                    <w:rPr>
                      <w:rFonts w:cs="Times New Roman"/>
                      <w:szCs w:val="24"/>
                    </w:rPr>
                  </w:pPr>
                  <w:r>
                    <w:rPr>
                      <w:rFonts w:hint="eastAsia" w:cs="Times New Roman"/>
                      <w:szCs w:val="24"/>
                    </w:rPr>
                    <w:t>2、本项目租赁现有厂区，未新增用地，不涉及大规模开发</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废塑料综合利用企业所涉及的热塑性废塑料原料，不包括受到危险化学品、农药等污染的废弃塑料包装物、废弃一次性医疗用塑料制品等塑料类危险废物，以及氟塑料等特种工程塑料</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新建及改造、扩建废塑料加工企业应符合国家产业政策及所在地区土地利用总体规划、城乡建设规划、环境保护、污染防治规划。企业建设应有规范化设计要求，采用节能环保技术及生产装备</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p>
              </w:tc>
              <w:tc>
                <w:tcPr>
                  <w:tcW w:w="2312" w:type="pct"/>
                  <w:shd w:val="clear" w:color="auto" w:fill="auto"/>
                  <w:vAlign w:val="center"/>
                </w:tcPr>
                <w:p>
                  <w:pPr>
                    <w:pStyle w:val="32"/>
                    <w:rPr>
                      <w:rFonts w:cs="Times New Roman"/>
                      <w:szCs w:val="24"/>
                    </w:rPr>
                  </w:pPr>
                  <w:r>
                    <w:rPr>
                      <w:rFonts w:hint="eastAsia" w:cs="Times New Roman"/>
                      <w:szCs w:val="24"/>
                    </w:rP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生产经营规模</w:t>
                  </w:r>
                </w:p>
              </w:tc>
              <w:tc>
                <w:tcPr>
                  <w:tcW w:w="2312" w:type="pct"/>
                  <w:shd w:val="clear" w:color="auto" w:fill="auto"/>
                  <w:vAlign w:val="center"/>
                </w:tcPr>
                <w:p>
                  <w:pPr>
                    <w:pStyle w:val="32"/>
                    <w:rPr>
                      <w:rFonts w:cs="Times New Roman"/>
                      <w:szCs w:val="24"/>
                    </w:rPr>
                  </w:pPr>
                  <w:r>
                    <w:rPr>
                      <w:rFonts w:hint="eastAsia" w:cs="Times New Roman"/>
                      <w:szCs w:val="24"/>
                    </w:rPr>
                    <w:t>废塑料破碎、清洗、分选类企业：新建企业年废塑料处理能力不低于30000吨；已建企业年废塑料处理能力不低于20000吨</w:t>
                  </w:r>
                </w:p>
              </w:tc>
              <w:tc>
                <w:tcPr>
                  <w:tcW w:w="1745" w:type="pct"/>
                  <w:shd w:val="clear" w:color="auto" w:fill="auto"/>
                  <w:vAlign w:val="center"/>
                </w:tcPr>
                <w:p>
                  <w:pPr>
                    <w:pStyle w:val="32"/>
                    <w:rPr>
                      <w:rFonts w:cs="Times New Roman"/>
                      <w:szCs w:val="24"/>
                    </w:rPr>
                  </w:pPr>
                  <w:r>
                    <w:rPr>
                      <w:rFonts w:hint="eastAsia" w:cs="Times New Roman"/>
                      <w:szCs w:val="24"/>
                    </w:rPr>
                    <w:t>本项目废塑料年处理能力为30000吨，全部通过湿法破碎+清洗工艺实现资源化综合利用</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资源综合利用及能耗</w:t>
                  </w:r>
                </w:p>
              </w:tc>
              <w:tc>
                <w:tcPr>
                  <w:tcW w:w="2312" w:type="pct"/>
                  <w:shd w:val="clear" w:color="auto" w:fill="auto"/>
                  <w:vAlign w:val="center"/>
                </w:tcPr>
                <w:p>
                  <w:pPr>
                    <w:pStyle w:val="32"/>
                    <w:rPr>
                      <w:rFonts w:cs="Times New Roman"/>
                      <w:szCs w:val="24"/>
                    </w:rPr>
                  </w:pPr>
                  <w:r>
                    <w:rPr>
                      <w:rFonts w:cs="Times New Roman"/>
                      <w:szCs w:val="24"/>
                    </w:rPr>
                    <w:t>企业应对收集的废塑料进行充分利用，提高资源回收利用效率，不得倾倒、焚烧与填埋</w:t>
                  </w:r>
                </w:p>
              </w:tc>
              <w:tc>
                <w:tcPr>
                  <w:tcW w:w="1745" w:type="pct"/>
                  <w:vMerge w:val="restart"/>
                  <w:shd w:val="clear" w:color="auto" w:fill="auto"/>
                  <w:vAlign w:val="center"/>
                </w:tcPr>
                <w:p>
                  <w:pPr>
                    <w:pStyle w:val="32"/>
                    <w:jc w:val="both"/>
                    <w:rPr>
                      <w:rFonts w:cs="Times New Roman"/>
                      <w:szCs w:val="24"/>
                    </w:rPr>
                  </w:pPr>
                  <w:r>
                    <w:rPr>
                      <w:rFonts w:cs="Times New Roman"/>
                      <w:szCs w:val="24"/>
                    </w:rPr>
                    <w:t>1、本项目不倾倒、焚烧与填埋废塑料</w:t>
                  </w:r>
                </w:p>
                <w:p>
                  <w:pPr>
                    <w:pStyle w:val="32"/>
                    <w:jc w:val="both"/>
                    <w:rPr>
                      <w:rFonts w:cs="Times New Roman"/>
                      <w:szCs w:val="24"/>
                    </w:rPr>
                  </w:pPr>
                  <w:r>
                    <w:rPr>
                      <w:rFonts w:cs="Times New Roman"/>
                      <w:szCs w:val="24"/>
                    </w:rPr>
                    <w:t>2、本项目主要从事废塑料的分拣、破碎与清洗，不涉及熔融造粒等高能耗工艺环节。项目年用电量为10万kWh，处理能力为3万吨/年，单位产品综合电耗为3.33kWh/吨废塑料，低于《废塑料综合利用行业规范条件》中“综合电耗低于500kWh/吨”的要求；年耗新鲜水</w:t>
                  </w:r>
                  <w:r>
                    <w:rPr>
                      <w:rFonts w:hint="eastAsia" w:cs="Times New Roman"/>
                      <w:szCs w:val="24"/>
                    </w:rPr>
                    <w:t>3358.56</w:t>
                  </w:r>
                  <w:r>
                    <w:rPr>
                      <w:rFonts w:cs="Times New Roman"/>
                      <w:szCs w:val="24"/>
                    </w:rPr>
                    <w:t>m³，处理规模为3万吨/年，单位产品新水消耗为0.11m³/吨废塑料，优于规范中“≤1.5m³/吨”的新水消耗限值要求。此外，通过强化分选清洗与废水回用措施，项目可实现较高的资源回收率和废水回用率，整体资源能源利用效率处于行业先进水平，符合绿色低碳与循环经济的发展导向</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塑料再生加工相关生产环节的综合电耗低于500千瓦时/吨废塑料</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jc w:val="both"/>
                    <w:rPr>
                      <w:rFonts w:cs="Times New Roman"/>
                      <w:szCs w:val="24"/>
                    </w:rPr>
                  </w:pPr>
                  <w:r>
                    <w:rPr>
                      <w:rFonts w:hint="eastAsia" w:cs="Times New Roman"/>
                      <w:szCs w:val="24"/>
                    </w:rPr>
                    <w:t>PET再生瓶片类企业与废塑料破碎、清洗、分选企业的综合新水消耗低于1.5吨/吨废塑料；塑料再生造粒类企业的综合新水消耗低于0.2吨/吨废塑料</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其他生产单耗需满足国家相关标准</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工艺与装备</w:t>
                  </w:r>
                </w:p>
              </w:tc>
              <w:tc>
                <w:tcPr>
                  <w:tcW w:w="2312" w:type="pct"/>
                  <w:shd w:val="clear" w:color="auto" w:fill="auto"/>
                  <w:vAlign w:val="center"/>
                </w:tcPr>
                <w:p>
                  <w:pPr>
                    <w:pStyle w:val="32"/>
                    <w:rPr>
                      <w:rFonts w:cs="Times New Roman"/>
                      <w:szCs w:val="24"/>
                    </w:rPr>
                  </w:pPr>
                  <w:r>
                    <w:rPr>
                      <w:rFonts w:hint="eastAsia" w:cs="Times New Roman"/>
                      <w:szCs w:val="24"/>
                    </w:rPr>
                    <w:t>新建及改造、扩建废塑料综合利用企业应采用先进技术、工艺和装备，提高废塑料再生加工过程的自动化水平</w:t>
                  </w:r>
                </w:p>
              </w:tc>
              <w:tc>
                <w:tcPr>
                  <w:tcW w:w="1745" w:type="pct"/>
                  <w:vMerge w:val="restart"/>
                  <w:shd w:val="clear" w:color="auto" w:fill="auto"/>
                  <w:vAlign w:val="center"/>
                </w:tcPr>
                <w:p>
                  <w:pPr>
                    <w:pStyle w:val="32"/>
                    <w:jc w:val="both"/>
                    <w:rPr>
                      <w:rFonts w:cs="Times New Roman"/>
                      <w:szCs w:val="24"/>
                    </w:rPr>
                  </w:pPr>
                  <w:r>
                    <w:rPr>
                      <w:rFonts w:hint="eastAsia" w:cs="Times New Roman"/>
                      <w:szCs w:val="24"/>
                    </w:rPr>
                    <w:t>本项目属于废塑料回收加工类项目，主要工艺包括破碎、清洗和甩干。通过采购撕碎机、破碎机、空分机、甩干机等设备，实现自动化生产。其中，撕碎与破碎工序采用湿法作业，有效抑制粉尘产生；清洗用水经沉淀池处理后循环使用，不外排，符合节水及污染防治要求</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68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jc w:val="both"/>
                    <w:rPr>
                      <w:rFonts w:cs="Times New Roman"/>
                      <w:szCs w:val="24"/>
                    </w:rPr>
                  </w:pPr>
                  <w:r>
                    <w:rPr>
                      <w:rFonts w:hint="eastAsia" w:cs="Times New Roman"/>
                      <w:szCs w:val="24"/>
                    </w:rPr>
                    <w:t>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4"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鼓励废塑料综合利用企业研发和使用生产效率高、工艺技术先进、能耗物耗低的加工生产系统</w:t>
                  </w:r>
                </w:p>
              </w:tc>
              <w:tc>
                <w:tcPr>
                  <w:tcW w:w="1745" w:type="pct"/>
                  <w:vMerge w:val="continue"/>
                  <w:shd w:val="clear" w:color="auto" w:fill="auto"/>
                  <w:vAlign w:val="center"/>
                </w:tcPr>
                <w:p>
                  <w:pPr>
                    <w:pStyle w:val="32"/>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环境保护</w:t>
                  </w:r>
                </w:p>
              </w:tc>
              <w:tc>
                <w:tcPr>
                  <w:tcW w:w="2312" w:type="pct"/>
                  <w:shd w:val="clear" w:color="auto" w:fill="auto"/>
                  <w:vAlign w:val="center"/>
                </w:tcPr>
                <w:p>
                  <w:pPr>
                    <w:pStyle w:val="32"/>
                    <w:rPr>
                      <w:rFonts w:cs="Times New Roman"/>
                      <w:szCs w:val="24"/>
                    </w:rPr>
                  </w:pPr>
                  <w:r>
                    <w:rPr>
                      <w:rFonts w:hint="eastAsia" w:cs="Times New Roman"/>
                      <w:szCs w:val="24"/>
                    </w:rPr>
                    <w:t>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tc>
              <w:tc>
                <w:tcPr>
                  <w:tcW w:w="1745" w:type="pct"/>
                  <w:shd w:val="clear" w:color="auto" w:fill="auto"/>
                  <w:vAlign w:val="center"/>
                </w:tcPr>
                <w:p>
                  <w:pPr>
                    <w:pStyle w:val="32"/>
                    <w:rPr>
                      <w:rFonts w:cs="Times New Roman"/>
                      <w:szCs w:val="24"/>
                    </w:rPr>
                  </w:pPr>
                  <w:r>
                    <w:rPr>
                      <w:rFonts w:hint="eastAsia" w:cs="Times New Roman"/>
                      <w:szCs w:val="24"/>
                    </w:rPr>
                    <w:t>本项目严格按照《中华人民共和国环境影响评价法》报批环评文件，执行三同时制度，项目后续及时编制环境风险应急预案</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企业加工存储场地应建有围墙，在园区内的企业可为单独厂房，地面全部硬化且无明显破损现象</w:t>
                  </w:r>
                </w:p>
              </w:tc>
              <w:tc>
                <w:tcPr>
                  <w:tcW w:w="1745" w:type="pct"/>
                  <w:shd w:val="clear" w:color="auto" w:fill="auto"/>
                  <w:vAlign w:val="center"/>
                </w:tcPr>
                <w:p>
                  <w:pPr>
                    <w:pStyle w:val="32"/>
                    <w:rPr>
                      <w:rFonts w:cs="Times New Roman"/>
                      <w:szCs w:val="24"/>
                    </w:rPr>
                  </w:pPr>
                  <w:r>
                    <w:rPr>
                      <w:rFonts w:hint="eastAsia" w:cs="Times New Roman"/>
                      <w:szCs w:val="24"/>
                    </w:rPr>
                    <w:t>本项目加工存储场地四周设有围墙，地面全部采取硬化措施，确保无破损现象</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tc>
              <w:tc>
                <w:tcPr>
                  <w:tcW w:w="1745" w:type="pct"/>
                  <w:shd w:val="clear" w:color="auto" w:fill="auto"/>
                  <w:vAlign w:val="center"/>
                </w:tcPr>
                <w:p>
                  <w:pPr>
                    <w:pStyle w:val="32"/>
                    <w:jc w:val="both"/>
                    <w:rPr>
                      <w:rFonts w:cs="Times New Roman"/>
                      <w:szCs w:val="24"/>
                    </w:rPr>
                  </w:pPr>
                  <w:r>
                    <w:rPr>
                      <w:rFonts w:hint="eastAsia" w:cs="Times New Roman"/>
                      <w:szCs w:val="24"/>
                    </w:rPr>
                    <w:t>企业在厂区内设置了专用原料堆场、产品堆放区及固体废物暂存间，对原料、产成品、本企业无法利用的废塑料以及不可回用的固体废物实行分类分区存放，杜绝混堆现象，确保物料管理规范化。原料主要来源于生活源回收物，包括儿童玩具、盆子等大型塑料制品。所有原料在堆场内采用篷布进行全覆盖，有效防风抑尘；产品使用集装袋包装，袋口封闭良好，整齐堆放于指定区域，防止二次污染。对于本企业无法资源化利用的废塑料及其他不可利用固体废物，均集中暂存在封闭暂存间内，做到防雨、防渗、防流失</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企业对收集的废塑料中的金属、橡胶、纤维、渣土、油脂、添加物等夹杂物，应采取相应的处理措施。如企业不具备处理条件，应委托其他具有处理能力的企业处理，不得擅自丢弃、倾倒、焚烧与填埋</w:t>
                  </w:r>
                </w:p>
              </w:tc>
              <w:tc>
                <w:tcPr>
                  <w:tcW w:w="1745" w:type="pct"/>
                  <w:shd w:val="clear" w:color="auto" w:fill="auto"/>
                  <w:vAlign w:val="center"/>
                </w:tcPr>
                <w:p>
                  <w:pPr>
                    <w:pStyle w:val="32"/>
                    <w:rPr>
                      <w:rFonts w:cs="Times New Roman"/>
                      <w:szCs w:val="24"/>
                    </w:rPr>
                  </w:pPr>
                  <w:r>
                    <w:rPr>
                      <w:rFonts w:hint="eastAsia" w:cs="Times New Roman"/>
                      <w:szCs w:val="24"/>
                    </w:rPr>
                    <w:t>企业对产生的分拣废料等均进行妥善处理</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tc>
              <w:tc>
                <w:tcPr>
                  <w:tcW w:w="1745" w:type="pct"/>
                  <w:shd w:val="clear" w:color="auto" w:fill="auto"/>
                  <w:vAlign w:val="center"/>
                </w:tcPr>
                <w:p>
                  <w:pPr>
                    <w:pStyle w:val="32"/>
                    <w:rPr>
                      <w:rFonts w:cs="Times New Roman"/>
                      <w:szCs w:val="24"/>
                    </w:rPr>
                  </w:pPr>
                  <w:r>
                    <w:rPr>
                      <w:rFonts w:hint="eastAsia" w:cs="Times New Roman"/>
                      <w:szCs w:val="24"/>
                    </w:rPr>
                    <w:t>项目生产废水均处理后回用于生产，不外排</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再生加工过程中产生废气、粉尘的加工车间应设置废气、粉尘收集处理设施，通过净化处理，达标后排放</w:t>
                  </w:r>
                </w:p>
              </w:tc>
              <w:tc>
                <w:tcPr>
                  <w:tcW w:w="1745" w:type="pct"/>
                  <w:shd w:val="clear" w:color="auto" w:fill="auto"/>
                  <w:vAlign w:val="center"/>
                </w:tcPr>
                <w:p>
                  <w:pPr>
                    <w:pStyle w:val="32"/>
                    <w:rPr>
                      <w:rFonts w:cs="Times New Roman"/>
                      <w:szCs w:val="24"/>
                    </w:rPr>
                  </w:pPr>
                  <w:r>
                    <w:rPr>
                      <w:rFonts w:hint="eastAsia" w:cs="Times New Roman"/>
                      <w:szCs w:val="24"/>
                    </w:rPr>
                    <w:t>破碎工序采用湿法破碎工艺，在密闭厂房内进行，有效抑制粉尘的产生与逸散</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对于加工过程中噪音污染大的设备，必须采取降噪和隔音措施，企业噪声应达到《工业企业厂界环境噪声排放标准》</w:t>
                  </w:r>
                </w:p>
              </w:tc>
              <w:tc>
                <w:tcPr>
                  <w:tcW w:w="1745" w:type="pct"/>
                  <w:shd w:val="clear" w:color="auto" w:fill="auto"/>
                  <w:vAlign w:val="center"/>
                </w:tcPr>
                <w:p>
                  <w:pPr>
                    <w:pStyle w:val="32"/>
                    <w:rPr>
                      <w:rFonts w:cs="Times New Roman"/>
                      <w:szCs w:val="24"/>
                    </w:rPr>
                  </w:pPr>
                  <w:r>
                    <w:rPr>
                      <w:rFonts w:hint="eastAsia" w:cs="Times New Roman"/>
                      <w:szCs w:val="24"/>
                    </w:rPr>
                    <w:t>项目选用低噪声设备，建设后噪声满足《工业企业厂界环境噪声排放标准》</w:t>
                  </w:r>
                  <w:r>
                    <w:rPr>
                      <w:rFonts w:cs="Times New Roman"/>
                      <w:szCs w:val="24"/>
                    </w:rPr>
                    <w:t>2</w:t>
                  </w:r>
                  <w:r>
                    <w:rPr>
                      <w:rFonts w:hint="eastAsia" w:cs="Times New Roman"/>
                      <w:szCs w:val="24"/>
                    </w:rPr>
                    <w:t>类标准</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8"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与《废塑料加工利用污染防治管理规定》符合性分析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原料要求</w:t>
                  </w:r>
                </w:p>
              </w:tc>
              <w:tc>
                <w:tcPr>
                  <w:tcW w:w="2312" w:type="pct"/>
                  <w:shd w:val="clear" w:color="auto" w:fill="auto"/>
                  <w:vAlign w:val="center"/>
                </w:tcPr>
                <w:p>
                  <w:pPr>
                    <w:pStyle w:val="32"/>
                    <w:rPr>
                      <w:rFonts w:cs="Times New Roman"/>
                      <w:szCs w:val="24"/>
                    </w:rPr>
                  </w:pPr>
                  <w:r>
                    <w:rPr>
                      <w:rFonts w:cs="Times New Roman"/>
                      <w:szCs w:val="24"/>
                    </w:rPr>
                    <w:t>禁止在居民区加工利用废塑料。禁止利用废塑料生产厚度小于0.025mm的超薄塑料购物袋和厚度小于0.015mm超薄塑料袋。禁止利用废塑料生产食品用塑料袋。禁止无危险废物经营许可证从事废塑料类危险废物的回收利用活动，包括被危险化学品、农药等污染的废弃塑料包装物，废弃的一次性医疗用塑料制品（如输液器、血袋）等</w:t>
                  </w:r>
                </w:p>
              </w:tc>
              <w:tc>
                <w:tcPr>
                  <w:tcW w:w="1745" w:type="pct"/>
                  <w:shd w:val="clear" w:color="auto" w:fill="auto"/>
                  <w:vAlign w:val="center"/>
                </w:tcPr>
                <w:p>
                  <w:pPr>
                    <w:pStyle w:val="32"/>
                    <w:rPr>
                      <w:rFonts w:cs="Times New Roman"/>
                      <w:szCs w:val="24"/>
                    </w:rPr>
                  </w:pPr>
                  <w:r>
                    <w:rPr>
                      <w:rFonts w:cs="Times New Roman"/>
                      <w:szCs w:val="24"/>
                    </w:rPr>
                    <w:t>本项目位于库尔勒市哈拉玉宫镇废旧物资回收加工产业园，不包含被危险化学品、农药等污染的废弃塑料包装物，废弃的一次性医药用塑料制品（如输液器、血袋）等</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cs="Times New Roman"/>
                      <w:szCs w:val="24"/>
                    </w:rPr>
                    <w:t>进口废塑料加工利用企业应当符合《固体废物进口管理办法》以及</w:t>
                  </w:r>
                  <w:r>
                    <w:rPr>
                      <w:rFonts w:ascii="Helvetica" w:hAnsi="Helvetica"/>
                      <w:color w:val="111111"/>
                      <w:shd w:val="clear" w:color="auto" w:fill="FFFFFF"/>
                    </w:rPr>
                    <w:t>生态环境部</w:t>
                  </w:r>
                  <w:r>
                    <w:rPr>
                      <w:rFonts w:cs="Times New Roman"/>
                      <w:szCs w:val="24"/>
                    </w:rPr>
                    <w:t>关于进口可用作原料的固体废物和废塑料环境保护管理相关规定</w:t>
                  </w:r>
                </w:p>
              </w:tc>
              <w:tc>
                <w:tcPr>
                  <w:tcW w:w="1745" w:type="pct"/>
                  <w:shd w:val="clear" w:color="auto" w:fill="auto"/>
                  <w:vAlign w:val="center"/>
                </w:tcPr>
                <w:p>
                  <w:pPr>
                    <w:pStyle w:val="32"/>
                    <w:rPr>
                      <w:rFonts w:cs="Times New Roman"/>
                      <w:szCs w:val="24"/>
                    </w:rPr>
                  </w:pPr>
                  <w:r>
                    <w:rPr>
                      <w:rFonts w:cs="Times New Roman"/>
                      <w:szCs w:val="24"/>
                    </w:rPr>
                    <w:t>本项目原料来源于本地废品回收站生活类废旧塑料制品，不含进口废塑料</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61"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环保要求</w:t>
                  </w:r>
                </w:p>
              </w:tc>
              <w:tc>
                <w:tcPr>
                  <w:tcW w:w="2312" w:type="pct"/>
                  <w:shd w:val="clear" w:color="auto" w:fill="auto"/>
                  <w:vAlign w:val="center"/>
                </w:tcPr>
                <w:p>
                  <w:pPr>
                    <w:pStyle w:val="32"/>
                    <w:rPr>
                      <w:rFonts w:cs="Times New Roman"/>
                      <w:szCs w:val="24"/>
                    </w:rPr>
                  </w:pPr>
                  <w:r>
                    <w:rPr>
                      <w:rFonts w:hint="eastAsia" w:cs="Times New Roman"/>
                      <w:szCs w:val="24"/>
                    </w:rPr>
                    <w:t>无符合环保要求污水治理设施的，禁止从事废编织袋造粒、缸脚料淘洗、废塑料退镀（涂）、盐卤分拣等加工活动</w:t>
                  </w:r>
                </w:p>
              </w:tc>
              <w:tc>
                <w:tcPr>
                  <w:tcW w:w="1745" w:type="pct"/>
                  <w:shd w:val="clear" w:color="auto" w:fill="auto"/>
                  <w:vAlign w:val="center"/>
                </w:tcPr>
                <w:p>
                  <w:pPr>
                    <w:pStyle w:val="32"/>
                    <w:jc w:val="both"/>
                    <w:rPr>
                      <w:rFonts w:cs="Times New Roman"/>
                      <w:szCs w:val="24"/>
                    </w:rPr>
                  </w:pPr>
                  <w:r>
                    <w:rPr>
                      <w:rFonts w:hint="eastAsia" w:cs="Times New Roman"/>
                      <w:szCs w:val="24"/>
                    </w:rPr>
                    <w:t>本项目属于废塑料回收加工类项目，主要工艺包括破碎、清洗和分选。通过采购撕碎机、破碎机、空分机、甩干机等设备，实现自动化生产。其中，撕碎与破碎工序采用湿法作业，有效抑制粉尘产生；清洗用水经沉淀处理后循环使用，不外排，符合节水及污染防治要求</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vAlign w:val="center"/>
                </w:tcPr>
                <w:p>
                  <w:pPr>
                    <w:pStyle w:val="32"/>
                    <w:rPr>
                      <w:rFonts w:cs="Times New Roman"/>
                      <w:szCs w:val="24"/>
                    </w:rPr>
                  </w:pPr>
                  <w:r>
                    <w:rPr>
                      <w:rFonts w:hint="eastAsia" w:cs="Times New Roman"/>
                      <w:szCs w:val="24"/>
                    </w:rPr>
                    <w:t>废塑料加工利用单位应当以环境无害化方式处理废塑料加工利用过程产生的残余垃圾、滤网；禁止交不符合环保要求的单位或个人处置。禁止露天焚烧废塑料及加工利用过程产生的残余垃圾、滤网</w:t>
                  </w:r>
                </w:p>
              </w:tc>
              <w:tc>
                <w:tcPr>
                  <w:tcW w:w="1745" w:type="pct"/>
                  <w:shd w:val="clear" w:color="auto" w:fill="auto"/>
                  <w:vAlign w:val="center"/>
                </w:tcPr>
                <w:p>
                  <w:pPr>
                    <w:pStyle w:val="32"/>
                    <w:rPr>
                      <w:rFonts w:cs="Times New Roman"/>
                      <w:szCs w:val="24"/>
                    </w:rPr>
                  </w:pPr>
                  <w:r>
                    <w:rPr>
                      <w:rFonts w:hint="eastAsia" w:cs="Times New Roman"/>
                      <w:szCs w:val="24"/>
                    </w:rPr>
                    <w:t>项目产生的固体废物均得到有效处置</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与《禁止进口固体废物目录》符合性分析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pStyle w:val="32"/>
                    <w:rPr>
                      <w:rFonts w:cs="Times New Roman"/>
                      <w:szCs w:val="24"/>
                    </w:rPr>
                  </w:pPr>
                  <w:r>
                    <w:rPr>
                      <w:rFonts w:hint="eastAsia" w:cs="Times New Roman"/>
                      <w:szCs w:val="24"/>
                    </w:rPr>
                    <w:t>禁止进口固废种类</w:t>
                  </w:r>
                </w:p>
              </w:tc>
              <w:tc>
                <w:tcPr>
                  <w:tcW w:w="2312" w:type="pct"/>
                  <w:shd w:val="clear" w:color="auto" w:fill="auto"/>
                  <w:vAlign w:val="center"/>
                </w:tcPr>
                <w:p>
                  <w:pPr>
                    <w:pStyle w:val="32"/>
                    <w:rPr>
                      <w:rFonts w:cs="Times New Roman"/>
                      <w:szCs w:val="24"/>
                    </w:rPr>
                  </w:pPr>
                  <w:r>
                    <w:rPr>
                      <w:rFonts w:hint="eastAsia" w:cs="Times New Roman"/>
                      <w:szCs w:val="24"/>
                    </w:rPr>
                    <w:t>乙烯聚合物的废碎料及下脚料、苯乙烯聚合物的废碎料及下脚料、氯乙烯聚合物的废碎料及下脚料、聚对苯二甲酸乙二酯废碎料及下脚料、其他塑料的废碎料及下脚料（不包括废光盘破碎料下脚料、废PET饮料瓶砖下脚料、不包括铝塑复合膜下脚料）</w:t>
                  </w:r>
                </w:p>
              </w:tc>
              <w:tc>
                <w:tcPr>
                  <w:tcW w:w="1745" w:type="pct"/>
                  <w:shd w:val="clear" w:color="auto" w:fill="auto"/>
                  <w:vAlign w:val="center"/>
                </w:tcPr>
                <w:p>
                  <w:pPr>
                    <w:pStyle w:val="32"/>
                    <w:rPr>
                      <w:rFonts w:cs="Times New Roman"/>
                      <w:szCs w:val="24"/>
                    </w:rPr>
                  </w:pPr>
                  <w:r>
                    <w:rPr>
                      <w:rFonts w:hint="eastAsia" w:cs="Times New Roman"/>
                      <w:szCs w:val="24"/>
                    </w:rPr>
                    <w:t>项目原料均为日用品废旧塑料，不涉及进口废塑料</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hint="eastAsia" w:cs="Times New Roman"/>
                      <w:b/>
                      <w:bCs/>
                      <w:sz w:val="21"/>
                      <w:szCs w:val="24"/>
                    </w:rPr>
                    <w:t>与《废塑料污染控制技术规范》（HJ364-2022）相符性分析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要求</w:t>
                  </w:r>
                </w:p>
              </w:tc>
              <w:tc>
                <w:tcPr>
                  <w:tcW w:w="2312" w:type="pct"/>
                  <w:shd w:val="clear" w:color="auto" w:fill="auto"/>
                </w:tcPr>
                <w:p>
                  <w:pPr>
                    <w:pStyle w:val="32"/>
                    <w:jc w:val="both"/>
                    <w:rPr>
                      <w:rFonts w:cs="Times New Roman"/>
                      <w:szCs w:val="24"/>
                    </w:rPr>
                  </w:pPr>
                  <w:r>
                    <w:rPr>
                      <w:rFonts w:hint="eastAsia" w:cs="Times New Roman"/>
                      <w:szCs w:val="24"/>
                    </w:rPr>
                    <w:t>应根据废塑料的来源、特性、污染情况以及后续再生利用或处置的要求，选择合理的预处理方式</w:t>
                  </w:r>
                </w:p>
              </w:tc>
              <w:tc>
                <w:tcPr>
                  <w:tcW w:w="1745" w:type="pct"/>
                  <w:shd w:val="clear" w:color="auto" w:fill="auto"/>
                  <w:vAlign w:val="center"/>
                </w:tcPr>
                <w:p>
                  <w:pPr>
                    <w:pStyle w:val="32"/>
                    <w:rPr>
                      <w:rFonts w:cs="Times New Roman"/>
                      <w:szCs w:val="24"/>
                    </w:rPr>
                  </w:pPr>
                  <w:r>
                    <w:rPr>
                      <w:rFonts w:hint="eastAsia"/>
                      <w:color w:val="000000" w:themeColor="text1"/>
                      <w14:textFill>
                        <w14:solidFill>
                          <w14:schemeClr w14:val="tx1"/>
                        </w14:solidFill>
                      </w14:textFill>
                    </w:rPr>
                    <w:t>本项目原料来源于本地废品回收站的日用塑料用品、塑料玩具等</w:t>
                  </w:r>
                  <w:r>
                    <w:rPr>
                      <w:rFonts w:hint="eastAsia" w:cs="Times New Roman"/>
                      <w:szCs w:val="24"/>
                    </w:rPr>
                    <w:t>，主要通过破碎、清洗、脱水等工序进行预处理</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4"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废塑料的预处理应控制二次污染。大气污染物排放应符合GB31572或GB16297、GB37822等标准的规定。恶臭污染物排放应符合GB14554的规定。废水控制应根据出水受纳水体的功能要求或纳管要求，执行国家和地方相关排放标准，重点控制的污染物指标包括悬浮物、pH值、色度、石油类和化学需氧量等。噪声排放应符合GB12348的规定</w:t>
                  </w:r>
                </w:p>
              </w:tc>
              <w:tc>
                <w:tcPr>
                  <w:tcW w:w="1745" w:type="pct"/>
                  <w:shd w:val="clear" w:color="auto" w:fill="auto"/>
                  <w:vAlign w:val="center"/>
                </w:tcPr>
                <w:p>
                  <w:pPr>
                    <w:pStyle w:val="32"/>
                    <w:jc w:val="both"/>
                    <w:rPr>
                      <w:rFonts w:cs="Times New Roman"/>
                      <w:szCs w:val="24"/>
                    </w:rPr>
                  </w:pPr>
                  <w:r>
                    <w:rPr>
                      <w:rFonts w:hint="eastAsia" w:cs="Times New Roman"/>
                      <w:szCs w:val="24"/>
                    </w:rPr>
                    <w:t>本项目生产过程中采用湿法破碎，满足</w:t>
                  </w:r>
                  <w:r>
                    <w:rPr>
                      <w:rFonts w:hint="eastAsia"/>
                      <w:color w:val="000000" w:themeColor="text1"/>
                      <w14:textFill>
                        <w14:solidFill>
                          <w14:schemeClr w14:val="tx1"/>
                        </w14:solidFill>
                      </w14:textFill>
                    </w:rPr>
                    <w:t>《大气污染物综合排放标准》（GB16297-1996）表2中的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r>
                    <w:rPr>
                      <w:rFonts w:hint="eastAsia" w:cs="Times New Roman"/>
                      <w:szCs w:val="24"/>
                    </w:rPr>
                    <w:t>。恶臭满足《恶臭污染物排放标准》（GB14554-93）表1恶臭污染物厂界标准值新扩改建项目二级标准。本项目生产废水经三级沉淀池处理后回用，不外排。产噪设备采取低噪声设备、基础减振、厂房隔声措施后，厂界噪声满足《工业企业厂界环境噪声排放标准》（GB12348-2008）标准要求</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废塑料的产生、收集、贮存、预处理和再生利用企业内应单独划分贮存场地，不同种类的废塑料宜分开贮存，贮存场地应具有防雨、防扬散、防渗漏等措施。</w:t>
                  </w:r>
                </w:p>
              </w:tc>
              <w:tc>
                <w:tcPr>
                  <w:tcW w:w="1745" w:type="pct"/>
                  <w:shd w:val="clear" w:color="auto" w:fill="auto"/>
                  <w:vAlign w:val="center"/>
                </w:tcPr>
                <w:p>
                  <w:pPr>
                    <w:pStyle w:val="32"/>
                    <w:rPr>
                      <w:rFonts w:cs="Times New Roman"/>
                      <w:szCs w:val="24"/>
                    </w:rPr>
                  </w:pPr>
                  <w:r>
                    <w:rPr>
                      <w:rFonts w:hint="eastAsia"/>
                      <w:szCs w:val="24"/>
                    </w:rPr>
                    <w:t>本项目回收废塑料，用于本项目生产，所有原料在堆场内采用篷布进行全覆盖，有效防风抑尘；产品使用集装袋包装，袋口封闭良好，整齐堆放于指定区域，防止二次污染。对于本企业无法资源化利用的废塑料及其他不可利用固体废物，均集中暂存在封闭暂存间内，做到防雨、防渗、防流失</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rPr>
                      <w:rFonts w:cs="Times New Roman"/>
                      <w:szCs w:val="24"/>
                    </w:rPr>
                  </w:pPr>
                  <w:r>
                    <w:rPr>
                      <w:rFonts w:hint="eastAsia" w:cs="Times New Roman"/>
                      <w:szCs w:val="24"/>
                    </w:rPr>
                    <w:t>含卤素废塑料的预处理与再生利用，宜与其他塑料分开进行。</w:t>
                  </w:r>
                </w:p>
              </w:tc>
              <w:tc>
                <w:tcPr>
                  <w:tcW w:w="1745" w:type="pct"/>
                  <w:shd w:val="clear" w:color="auto" w:fill="auto"/>
                  <w:vAlign w:val="center"/>
                </w:tcPr>
                <w:p>
                  <w:pPr>
                    <w:pStyle w:val="32"/>
                    <w:rPr>
                      <w:rFonts w:cs="Times New Roman"/>
                      <w:szCs w:val="24"/>
                    </w:rPr>
                  </w:pPr>
                  <w:r>
                    <w:rPr>
                      <w:rFonts w:hint="eastAsia" w:cs="Times New Roman"/>
                      <w:szCs w:val="24"/>
                    </w:rPr>
                    <w:t>本项目不含卤素废塑料</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rPr>
                      <w:rFonts w:cs="Times New Roman"/>
                      <w:szCs w:val="24"/>
                    </w:rPr>
                  </w:pPr>
                  <w:r>
                    <w:rPr>
                      <w:rFonts w:hint="eastAsia" w:cs="Times New Roman"/>
                      <w:szCs w:val="24"/>
                    </w:rPr>
                    <w:t>应采用预分选工艺，将废塑料与其他废物分开，提高下游自动化分选的效率。</w:t>
                  </w:r>
                </w:p>
              </w:tc>
              <w:tc>
                <w:tcPr>
                  <w:tcW w:w="1745" w:type="pct"/>
                  <w:shd w:val="clear" w:color="auto" w:fill="auto"/>
                  <w:vAlign w:val="center"/>
                </w:tcPr>
                <w:p>
                  <w:pPr>
                    <w:pStyle w:val="32"/>
                    <w:jc w:val="both"/>
                    <w:rPr>
                      <w:rFonts w:cs="Times New Roman"/>
                      <w:szCs w:val="24"/>
                    </w:rPr>
                  </w:pPr>
                  <w:r>
                    <w:rPr>
                      <w:rFonts w:hint="eastAsia" w:cs="Times New Roman"/>
                      <w:szCs w:val="21"/>
                    </w:rPr>
                    <w:t>本项目以废旧塑料为原料，经分拣、破碎、清洗、脱水等工艺处理后，制成洁净塑料碎片，实现资源化利用与外售</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5"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rPr>
                      <w:rFonts w:cs="Times New Roman"/>
                      <w:szCs w:val="24"/>
                    </w:rPr>
                  </w:pPr>
                  <w:r>
                    <w:rPr>
                      <w:rFonts w:hint="eastAsia" w:cs="Times New Roman"/>
                      <w:szCs w:val="24"/>
                    </w:rPr>
                    <w:t>废塑料的破碎方法可分为干法破碎和湿法破碎。使用干法破碎时，应配备相应的防尘、防噪声设备。使用湿法破碎时，应有配套的污水收集和处理设施。</w:t>
                  </w:r>
                </w:p>
              </w:tc>
              <w:tc>
                <w:tcPr>
                  <w:tcW w:w="1745" w:type="pct"/>
                  <w:shd w:val="clear" w:color="auto" w:fill="auto"/>
                  <w:vAlign w:val="center"/>
                </w:tcPr>
                <w:p>
                  <w:pPr>
                    <w:pStyle w:val="32"/>
                    <w:rPr>
                      <w:rFonts w:cs="Times New Roman"/>
                      <w:szCs w:val="24"/>
                    </w:rPr>
                  </w:pPr>
                  <w:r>
                    <w:rPr>
                      <w:rFonts w:cs="Times New Roman"/>
                      <w:szCs w:val="24"/>
                    </w:rPr>
                    <w:t>本项目采用湿法破碎工艺，并配套建设了</w:t>
                  </w:r>
                  <w:r>
                    <w:rPr>
                      <w:rFonts w:hint="eastAsia" w:cs="Times New Roman"/>
                      <w:szCs w:val="24"/>
                    </w:rPr>
                    <w:t>三级</w:t>
                  </w:r>
                  <w:r>
                    <w:rPr>
                      <w:rFonts w:cs="Times New Roman"/>
                      <w:szCs w:val="24"/>
                    </w:rPr>
                    <w:t>沉淀池，用于含泥废水的固液分离，实现水资源的循环利用和达标排放</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rPr>
                      <w:rFonts w:cs="Times New Roman"/>
                      <w:szCs w:val="24"/>
                    </w:rPr>
                  </w:pPr>
                  <w:r>
                    <w:rPr>
                      <w:rFonts w:hint="eastAsia" w:cs="Times New Roman"/>
                      <w:szCs w:val="24"/>
                    </w:rPr>
                    <w:t>宜采用节水的自动化清洗技术，宜采用无磷清洗剂或其他绿色清洗剂，不得使用有毒有害的清洗剂。</w:t>
                  </w:r>
                </w:p>
              </w:tc>
              <w:tc>
                <w:tcPr>
                  <w:tcW w:w="1745" w:type="pct"/>
                  <w:shd w:val="clear" w:color="auto" w:fill="auto"/>
                  <w:vAlign w:val="center"/>
                </w:tcPr>
                <w:p>
                  <w:pPr>
                    <w:pStyle w:val="32"/>
                    <w:jc w:val="both"/>
                    <w:rPr>
                      <w:rFonts w:cs="Times New Roman"/>
                      <w:szCs w:val="24"/>
                    </w:rPr>
                  </w:pPr>
                  <w:r>
                    <w:rPr>
                      <w:rFonts w:hint="eastAsia" w:cs="Times New Roman"/>
                      <w:szCs w:val="24"/>
                    </w:rPr>
                    <w:t>本项目回收原料采用物理清洗，破碎后的废塑料送至清洗水池进行清洗，生产废水经沉淀处理后全部循环利用，不外排</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rPr>
                      <w:rFonts w:cs="Times New Roman"/>
                      <w:szCs w:val="24"/>
                    </w:rPr>
                  </w:pPr>
                  <w:r>
                    <w:rPr>
                      <w:rFonts w:hint="eastAsia" w:cs="Times New Roman"/>
                      <w:szCs w:val="24"/>
                    </w:rPr>
                    <w:t>应根据清洗废水中污染物的种类和浓度，配备相应的废水收集和处理设施，清洗废水处理后宜循环使用。</w:t>
                  </w:r>
                </w:p>
              </w:tc>
              <w:tc>
                <w:tcPr>
                  <w:tcW w:w="1745" w:type="pct"/>
                  <w:shd w:val="clear" w:color="auto" w:fill="auto"/>
                  <w:vAlign w:val="center"/>
                </w:tcPr>
                <w:p>
                  <w:pPr>
                    <w:pStyle w:val="32"/>
                    <w:rPr>
                      <w:rFonts w:cs="Times New Roman"/>
                      <w:szCs w:val="24"/>
                    </w:rPr>
                  </w:pPr>
                  <w:r>
                    <w:rPr>
                      <w:rFonts w:hint="eastAsia" w:cs="Times New Roman"/>
                      <w:szCs w:val="24"/>
                    </w:rPr>
                    <w:t>本项目产生的生产废水经沉淀处理后全部循环利用，不外排</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sz w:val="21"/>
                      <w:szCs w:val="24"/>
                    </w:rPr>
                    <w:t>与《废塑料回收技术规范》（GB/T</w:t>
                  </w:r>
                  <w:r>
                    <w:rPr>
                      <w:rFonts w:hint="eastAsia" w:cs="Times New Roman"/>
                      <w:b/>
                      <w:bCs/>
                      <w:sz w:val="21"/>
                      <w:szCs w:val="24"/>
                    </w:rPr>
                    <w:t>3</w:t>
                  </w:r>
                  <w:r>
                    <w:rPr>
                      <w:rFonts w:cs="Times New Roman"/>
                      <w:b/>
                      <w:bCs/>
                      <w:sz w:val="21"/>
                      <w:szCs w:val="24"/>
                    </w:rPr>
                    <w:t>9171-2020）符合性分析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pStyle w:val="32"/>
                    <w:rPr>
                      <w:rFonts w:cs="Times New Roman"/>
                      <w:szCs w:val="24"/>
                    </w:rPr>
                  </w:pPr>
                  <w:r>
                    <w:rPr>
                      <w:rFonts w:hint="eastAsia" w:cs="Times New Roman"/>
                      <w:szCs w:val="24"/>
                    </w:rPr>
                    <w:t>要求</w:t>
                  </w:r>
                </w:p>
              </w:tc>
              <w:tc>
                <w:tcPr>
                  <w:tcW w:w="2312" w:type="pct"/>
                  <w:shd w:val="clear" w:color="auto" w:fill="auto"/>
                </w:tcPr>
                <w:p>
                  <w:pPr>
                    <w:pStyle w:val="32"/>
                    <w:rPr>
                      <w:rFonts w:cs="Times New Roman"/>
                      <w:szCs w:val="24"/>
                    </w:rPr>
                  </w:pPr>
                  <w:r>
                    <w:rPr>
                      <w:rFonts w:hint="eastAsia" w:cs="Times New Roman"/>
                      <w:szCs w:val="24"/>
                    </w:rPr>
                    <w:t>废塑料收集过程中不得就地清洗；废塑料的清洗场地应做防水、防渗漏处理，有特殊要求的地面应做防腐蚀处理。废塑料的清洗方法可分为物理清洗和化学清洗，应根据废塑料来源和污染情况选择清洗工艺；宜采用高效节水的机械清洗技术和无磷清洗剂，不得使用有毒有害的化学清洗剂</w:t>
                  </w:r>
                </w:p>
              </w:tc>
              <w:tc>
                <w:tcPr>
                  <w:tcW w:w="1745" w:type="pct"/>
                  <w:shd w:val="clear" w:color="auto" w:fill="auto"/>
                  <w:vAlign w:val="center"/>
                </w:tcPr>
                <w:p>
                  <w:pPr>
                    <w:pStyle w:val="32"/>
                    <w:jc w:val="both"/>
                    <w:rPr>
                      <w:rFonts w:cs="Times New Roman"/>
                      <w:szCs w:val="24"/>
                    </w:rPr>
                  </w:pPr>
                  <w:r>
                    <w:rPr>
                      <w:rFonts w:hint="eastAsia" w:cs="Times New Roman"/>
                      <w:szCs w:val="24"/>
                    </w:rPr>
                    <w:t>本项目回收原料采用物理清洗，破碎后的废塑料送至清洗水池进行清洗，生产废水经沉淀处理后全部循环利用，不外排</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5000" w:type="pct"/>
                  <w:gridSpan w:val="4"/>
                  <w:shd w:val="clear" w:color="auto" w:fill="auto"/>
                  <w:vAlign w:val="center"/>
                </w:tcPr>
                <w:p>
                  <w:pPr>
                    <w:pStyle w:val="32"/>
                    <w:rPr>
                      <w:rFonts w:cs="Times New Roman"/>
                      <w:b/>
                      <w:bCs/>
                      <w:szCs w:val="24"/>
                    </w:rPr>
                  </w:pPr>
                  <w:r>
                    <w:rPr>
                      <w:rFonts w:cs="Times New Roman"/>
                      <w:b/>
                      <w:bCs/>
                      <w:szCs w:val="24"/>
                    </w:rPr>
                    <w:t>与</w:t>
                  </w:r>
                  <w:r>
                    <w:rPr>
                      <w:rFonts w:hint="eastAsia" w:cs="Times New Roman"/>
                      <w:b/>
                      <w:bCs/>
                      <w:szCs w:val="24"/>
                    </w:rPr>
                    <w:t>再生资源回收管理办法（2019修正）符合性分析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要求</w:t>
                  </w:r>
                </w:p>
              </w:tc>
              <w:tc>
                <w:tcPr>
                  <w:tcW w:w="2312" w:type="pct"/>
                  <w:shd w:val="clear" w:color="auto" w:fill="auto"/>
                  <w:vAlign w:val="center"/>
                </w:tcPr>
                <w:p>
                  <w:pPr>
                    <w:pStyle w:val="32"/>
                    <w:rPr>
                      <w:rFonts w:cs="Times New Roman"/>
                      <w:szCs w:val="24"/>
                    </w:rPr>
                  </w:pPr>
                  <w:r>
                    <w:rPr>
                      <w:rFonts w:hint="eastAsia" w:cs="Times New Roman"/>
                      <w:szCs w:val="24"/>
                    </w:rPr>
                    <w:t>再生资源包括废旧金属、报废电子产品、报废机电设备及其零部件、废造纸原料（如废纸、废棉等）、废轻化工原料（如橡胶、塑料、农药包装物、动物杂骨、毛发等）、废玻璃等</w:t>
                  </w:r>
                </w:p>
              </w:tc>
              <w:tc>
                <w:tcPr>
                  <w:tcW w:w="1745" w:type="pct"/>
                  <w:shd w:val="clear" w:color="auto" w:fill="auto"/>
                  <w:vAlign w:val="center"/>
                </w:tcPr>
                <w:p>
                  <w:pPr>
                    <w:pStyle w:val="32"/>
                    <w:jc w:val="both"/>
                    <w:rPr>
                      <w:rFonts w:cs="Times New Roman"/>
                      <w:szCs w:val="24"/>
                    </w:rPr>
                  </w:pPr>
                  <w:r>
                    <w:rPr>
                      <w:rFonts w:hint="eastAsia" w:cs="Times New Roman"/>
                      <w:szCs w:val="24"/>
                    </w:rPr>
                    <w:t>本项目以废旧塑料为原料，经分拣、破碎、清洗、脱水等工艺处理后制成洁净塑料碎片，属于再生资源综合利用，根据国家关于再生资源回收利用的相关规定，废旧塑料属于废轻化工原料（如橡胶、</w:t>
                  </w:r>
                  <w:r>
                    <w:rPr>
                      <w:rFonts w:hint="eastAsia" w:cs="Times New Roman"/>
                      <w:b/>
                      <w:bCs/>
                      <w:szCs w:val="24"/>
                    </w:rPr>
                    <w:t>塑料</w:t>
                  </w:r>
                  <w:r>
                    <w:rPr>
                      <w:rFonts w:hint="eastAsia" w:cs="Times New Roman"/>
                      <w:szCs w:val="24"/>
                    </w:rPr>
                    <w:t>、农药包装物等）的明确类别之一，是国家鼓励和支持回收利用的典型再生资源。本项目的原料来源、加工工艺及产品方向完全符合《再生资源回收管理办法》中对再生资源经营活动的定义和范围要求</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再生资源回收经营者备案事项整合到营业执照上，市场监管部门核准工商注册登记后，通过省级共享平台将企业信息共享给各相关部门</w:t>
                  </w:r>
                </w:p>
              </w:tc>
              <w:tc>
                <w:tcPr>
                  <w:tcW w:w="1745" w:type="pct"/>
                  <w:shd w:val="clear" w:color="auto" w:fill="auto"/>
                  <w:vAlign w:val="center"/>
                </w:tcPr>
                <w:p>
                  <w:pPr>
                    <w:pStyle w:val="32"/>
                    <w:jc w:val="both"/>
                    <w:rPr>
                      <w:rFonts w:cs="Times New Roman"/>
                      <w:szCs w:val="24"/>
                    </w:rPr>
                  </w:pPr>
                  <w:r>
                    <w:rPr>
                      <w:rFonts w:hint="eastAsia" w:cs="Times New Roman"/>
                      <w:szCs w:val="24"/>
                    </w:rPr>
                    <w:t>本项目已依法取得营业执照，经营范围明确涵盖“再生资源回收”业务，符合相关法律法规要求</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再生资源回收经营者在经营活动中发现有公安机关通报寻查的赃物或有赃物嫌疑的物品时，应当立即报告公安机关</w:t>
                  </w:r>
                </w:p>
              </w:tc>
              <w:tc>
                <w:tcPr>
                  <w:tcW w:w="1745" w:type="pct"/>
                  <w:shd w:val="clear" w:color="auto" w:fill="auto"/>
                  <w:vAlign w:val="center"/>
                </w:tcPr>
                <w:p>
                  <w:pPr>
                    <w:pStyle w:val="32"/>
                    <w:jc w:val="both"/>
                    <w:rPr>
                      <w:rFonts w:cs="Times New Roman"/>
                      <w:szCs w:val="24"/>
                    </w:rPr>
                  </w:pPr>
                  <w:r>
                    <w:rPr>
                      <w:rFonts w:hint="eastAsia" w:cs="Times New Roman"/>
                      <w:szCs w:val="24"/>
                    </w:rPr>
                    <w:t>在经营过程中，如发现公安机关通报追查的赃物或疑似赃物，应立即向属地公安机关报告，并配合做好相关处置工作</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6"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跨行政区域转移再生资源进行储存、处置的，应当依照《中华人民共和国固体废物污染环境防治法》第二十三条的规定办理行政许可</w:t>
                  </w:r>
                </w:p>
              </w:tc>
              <w:tc>
                <w:tcPr>
                  <w:tcW w:w="1745" w:type="pct"/>
                  <w:shd w:val="clear" w:color="auto" w:fill="auto"/>
                  <w:vAlign w:val="center"/>
                </w:tcPr>
                <w:p>
                  <w:pPr>
                    <w:pStyle w:val="32"/>
                    <w:jc w:val="both"/>
                    <w:rPr>
                      <w:rFonts w:cs="Times New Roman"/>
                      <w:szCs w:val="24"/>
                    </w:rPr>
                  </w:pPr>
                  <w:r>
                    <w:rPr>
                      <w:rFonts w:hint="eastAsia" w:cs="Times New Roman"/>
                      <w:szCs w:val="24"/>
                    </w:rPr>
                    <w:t>本项目所用原料均来源于本地正规废品回收站点，主要包括日用塑料制品、塑料玩具等，未涉及跨行政区域的转移或贮存</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s="Times New Roman"/>
                      <w:szCs w:val="24"/>
                    </w:rPr>
                    <w:t>再生资源回收经营者可以通过电话、互联网等形式与居民、企业建立信息互动，实现便民、快捷的回收服务</w:t>
                  </w:r>
                </w:p>
              </w:tc>
              <w:tc>
                <w:tcPr>
                  <w:tcW w:w="1745" w:type="pct"/>
                  <w:shd w:val="clear" w:color="auto" w:fill="auto"/>
                  <w:vAlign w:val="center"/>
                </w:tcPr>
                <w:p>
                  <w:pPr>
                    <w:pStyle w:val="32"/>
                    <w:rPr>
                      <w:rFonts w:cs="Times New Roman"/>
                      <w:szCs w:val="24"/>
                    </w:rPr>
                  </w:pPr>
                  <w:r>
                    <w:rPr>
                      <w:rFonts w:hint="eastAsia" w:cs="Times New Roman"/>
                      <w:szCs w:val="24"/>
                    </w:rPr>
                    <w:t>本项目支持通过电话、微信等方式与居民和企业建立直接联系，提供便捷、高效的回收服务，实现信息互动与快速响应</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5000" w:type="pct"/>
                  <w:gridSpan w:val="4"/>
                  <w:shd w:val="clear" w:color="auto" w:fill="auto"/>
                  <w:vAlign w:val="center"/>
                </w:tcPr>
                <w:p>
                  <w:pPr>
                    <w:pStyle w:val="32"/>
                    <w:rPr>
                      <w:rFonts w:cs="Times New Roman"/>
                      <w:b/>
                      <w:bCs/>
                      <w:szCs w:val="24"/>
                    </w:rPr>
                  </w:pPr>
                  <w:r>
                    <w:rPr>
                      <w:rFonts w:hint="eastAsia" w:cs="Times New Roman"/>
                      <w:b/>
                      <w:bCs/>
                      <w:szCs w:val="24"/>
                    </w:rPr>
                    <w:t>与《关于加快推进再生资源产业发展的指导意见》符合性分析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2"/>
                    <w:rPr>
                      <w:rFonts w:cs="Times New Roman"/>
                      <w:szCs w:val="24"/>
                    </w:rPr>
                  </w:pPr>
                  <w:r>
                    <w:rPr>
                      <w:rFonts w:hint="eastAsia" w:cs="Times New Roman"/>
                      <w:szCs w:val="24"/>
                    </w:rPr>
                    <w:t>要求</w:t>
                  </w:r>
                </w:p>
              </w:tc>
              <w:tc>
                <w:tcPr>
                  <w:tcW w:w="2312" w:type="pct"/>
                  <w:shd w:val="clear" w:color="auto" w:fill="auto"/>
                </w:tcPr>
                <w:p>
                  <w:pPr>
                    <w:pStyle w:val="32"/>
                    <w:jc w:val="both"/>
                    <w:rPr>
                      <w:rFonts w:cs="Times New Roman"/>
                      <w:szCs w:val="24"/>
                    </w:rPr>
                  </w:pPr>
                  <w:r>
                    <w:rPr>
                      <w:rFonts w:hint="eastAsia" w:cs="Times New Roman"/>
                      <w:szCs w:val="24"/>
                    </w:rPr>
                    <w:t>集群化发展，实现产业集聚配套。鼓励再生资源综合利用企业集聚发展。鼓励通过兼并、重组、联营等方式，提高行业集中度。在废有色金属、废塑料、废弃电器电子产品资源化利用等重点领域，依靠技术创新驱动，实现规模化发展。促进再生资源回收体系、国家“城市矿产”示范基地、资源循环利用基地产业链有效衔接，建立产业良性发展环境，探索符合产业发展规律的商业模式，培育再生资源龙头企业</w:t>
                  </w:r>
                </w:p>
              </w:tc>
              <w:tc>
                <w:tcPr>
                  <w:tcW w:w="1745" w:type="pct"/>
                  <w:vMerge w:val="restart"/>
                  <w:shd w:val="clear" w:color="auto" w:fill="auto"/>
                  <w:vAlign w:val="center"/>
                </w:tcPr>
                <w:p>
                  <w:pPr>
                    <w:pStyle w:val="32"/>
                    <w:jc w:val="both"/>
                    <w:rPr>
                      <w:rFonts w:cs="Times New Roman"/>
                      <w:szCs w:val="24"/>
                    </w:rPr>
                  </w:pPr>
                  <w:r>
                    <w:rPr>
                      <w:rFonts w:hint="eastAsia" w:cs="Times New Roman"/>
                      <w:szCs w:val="24"/>
                    </w:rPr>
                    <w:t>本项目属于废塑料回收加工类项目，主要工艺包括破碎、清洗和分选。通过采购撕碎机、破碎机、空分机、甩干机等设备，本项目不对破碎清洗后的塑料进行热熔加工制造活动，产品外售至塑料制造企业用作原料，有利于向产业化方向发展。本项目在产业布局上符合《指导意见》中提出的“集约化发展，实现产业集聚配套”的要求。项目推动废塑料资源化利用，促进再生资源回收体系与可持续产业发展环境的有效衔接</w:t>
                  </w:r>
                </w:p>
              </w:tc>
              <w:tc>
                <w:tcPr>
                  <w:tcW w:w="633" w:type="pct"/>
                  <w:shd w:val="clear" w:color="auto" w:fill="auto"/>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2"/>
                    <w:rPr>
                      <w:rFonts w:cs="Times New Roman"/>
                      <w:szCs w:val="24"/>
                    </w:rPr>
                  </w:pPr>
                </w:p>
              </w:tc>
              <w:tc>
                <w:tcPr>
                  <w:tcW w:w="2312" w:type="pct"/>
                  <w:shd w:val="clear" w:color="auto" w:fill="auto"/>
                </w:tcPr>
                <w:p>
                  <w:pPr>
                    <w:pStyle w:val="32"/>
                    <w:jc w:val="both"/>
                    <w:rPr>
                      <w:rFonts w:cs="Times New Roman"/>
                      <w:szCs w:val="24"/>
                    </w:rPr>
                  </w:pPr>
                  <w:r>
                    <w:rPr>
                      <w:rFonts w:hint="eastAsia"/>
                      <w:color w:val="000000"/>
                    </w:rPr>
                    <w:t>废塑料。大力推进废塑料回收利用体系建设，支持不同品质废塑料的 多元化、高值化利用。以当前资源量大、再生利用率高的品种为重点，鼓励开展 废塑料重点品种再生利用示范，推广规模化的废塑料破碎-分选-改性-造粒先进高效生产线，培育一批龙头企业。积极推动低品质、易污染环境的废塑料资源化利用，鼓励对生活垃圾塑料进行无污染的能源化利用，逐步减少废塑料填埋</w:t>
                  </w:r>
                </w:p>
              </w:tc>
              <w:tc>
                <w:tcPr>
                  <w:tcW w:w="1745" w:type="pct"/>
                  <w:vMerge w:val="continue"/>
                  <w:shd w:val="clear" w:color="auto" w:fill="auto"/>
                  <w:vAlign w:val="center"/>
                </w:tcPr>
                <w:p>
                  <w:pPr>
                    <w:pStyle w:val="32"/>
                    <w:jc w:val="both"/>
                    <w:rPr>
                      <w:rFonts w:cs="Times New Roman"/>
                      <w:szCs w:val="24"/>
                    </w:rPr>
                  </w:pPr>
                </w:p>
              </w:tc>
              <w:tc>
                <w:tcPr>
                  <w:tcW w:w="633" w:type="pct"/>
                  <w:shd w:val="clear" w:color="auto" w:fill="auto"/>
                  <w:vAlign w:val="center"/>
                </w:tcPr>
                <w:p>
                  <w:pPr>
                    <w:pStyle w:val="32"/>
                    <w:rPr>
                      <w:rFonts w:cs="Times New Roman"/>
                      <w:szCs w:val="24"/>
                    </w:rPr>
                  </w:pPr>
                  <w:r>
                    <w:rPr>
                      <w:rFonts w:hint="eastAsia" w:cs="Times New Roman"/>
                      <w:szCs w:val="24"/>
                    </w:rPr>
                    <w:t>符合</w:t>
                  </w:r>
                </w:p>
              </w:tc>
            </w:tr>
          </w:tbl>
          <w:p>
            <w:pPr>
              <w:spacing w:line="240" w:lineRule="auto"/>
              <w:ind w:firstLine="198" w:firstLineChars="82"/>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6、与其他符合性</w:t>
            </w:r>
            <w:r>
              <w:rPr>
                <w:b/>
                <w:color w:val="000000" w:themeColor="text1"/>
                <w:szCs w:val="21"/>
                <w14:textFill>
                  <w14:solidFill>
                    <w14:schemeClr w14:val="tx1"/>
                  </w14:solidFill>
                </w14:textFill>
              </w:rPr>
              <w:t>分析</w:t>
            </w:r>
          </w:p>
          <w:p>
            <w:pPr>
              <w:pStyle w:val="37"/>
              <w:spacing w:before="163"/>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其他符合性分析</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9"/>
              <w:gridCol w:w="3548"/>
              <w:gridCol w:w="2865"/>
              <w:gridCol w:w="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Align w:val="center"/>
                </w:tcPr>
                <w:p>
                  <w:pPr>
                    <w:adjustRightInd w:val="0"/>
                    <w:snapToGrid w:val="0"/>
                    <w:spacing w:line="240" w:lineRule="auto"/>
                    <w:ind w:firstLine="0" w:firstLineChars="0"/>
                    <w:jc w:val="center"/>
                    <w:textAlignment w:val="auto"/>
                    <w:rPr>
                      <w:rFonts w:cs="Times New Roman"/>
                      <w:sz w:val="21"/>
                      <w:szCs w:val="24"/>
                    </w:rPr>
                  </w:pPr>
                  <w:bookmarkStart w:id="9" w:name="_Hlk97245357"/>
                  <w:r>
                    <w:rPr>
                      <w:rFonts w:hint="eastAsia" w:cs="Times New Roman"/>
                      <w:sz w:val="21"/>
                      <w:szCs w:val="24"/>
                    </w:rPr>
                    <w:t>规划</w:t>
                  </w:r>
                </w:p>
              </w:tc>
              <w:tc>
                <w:tcPr>
                  <w:tcW w:w="2125"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规划要求</w:t>
                  </w:r>
                </w:p>
              </w:tc>
              <w:tc>
                <w:tcPr>
                  <w:tcW w:w="17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本项目情况</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7" w:hRule="atLeast"/>
              </w:trPr>
              <w:tc>
                <w:tcPr>
                  <w:tcW w:w="742" w:type="pct"/>
                  <w:vMerge w:val="restart"/>
                  <w:vAlign w:val="center"/>
                </w:tcPr>
                <w:p>
                  <w:pPr>
                    <w:adjustRightInd w:val="0"/>
                    <w:snapToGrid w:val="0"/>
                    <w:spacing w:line="240" w:lineRule="auto"/>
                    <w:ind w:firstLine="0" w:firstLineChars="0"/>
                    <w:textAlignment w:val="auto"/>
                    <w:rPr>
                      <w:rFonts w:cs="Times New Roman"/>
                      <w:sz w:val="21"/>
                      <w:szCs w:val="24"/>
                    </w:rPr>
                  </w:pPr>
                  <w:r>
                    <w:rPr>
                      <w:rFonts w:cs="Times New Roman"/>
                      <w:sz w:val="21"/>
                      <w:szCs w:val="24"/>
                    </w:rPr>
                    <w:t>新疆生态环境保护“十四五”规划</w:t>
                  </w: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强化产业集聚发展。结合重点区域大气污染防治，能耗总量和强度“双控”目标，立足各地产业园区（开发区）自身优势和比较优势，结合“三线一单”和规划环评要求，进一步优化园区产业布局，明确产业定位，地制宜发展特色产业，培育打造制造业高质量发展示范园区。坚定不移推进企业入园，严格园区准入标准，完善和落实园区环境管理制度，加强环境风险防范。鼓励和支持社会资本参与园区发展，加快智慧园区建设，补齐环境保护基础设施短板，完善园区“三废”综合利用等配套设施建设。</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本项目位于库尔勒市哈拉玉宫镇废旧物资回收加工产业园废旧塑料回收加工区，开展废旧塑料资源化利用，落实环境管理和“三废”综合利用要求，有助于打造绿色循环低碳的发展示范</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89" w:hRule="atLeast"/>
              </w:trPr>
              <w:tc>
                <w:tcPr>
                  <w:tcW w:w="742" w:type="pct"/>
                  <w:vMerge w:val="continue"/>
                  <w:vAlign w:val="center"/>
                </w:tcPr>
                <w:p>
                  <w:pPr>
                    <w:adjustRightInd w:val="0"/>
                    <w:snapToGrid w:val="0"/>
                    <w:spacing w:line="240" w:lineRule="auto"/>
                    <w:ind w:firstLine="0" w:firstLineChars="0"/>
                    <w:textAlignment w:val="auto"/>
                    <w:rPr>
                      <w:rFonts w:cs="Times New Roman"/>
                      <w:sz w:val="21"/>
                      <w:szCs w:val="24"/>
                    </w:rPr>
                  </w:pP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加强环境噪声污染防控。加强噪声污染源监管，继续强化和深入推进交通运输噪声、建筑施工噪声、社会生活噪声、工业企业、机场周边噪声污染防治，推进工业企业噪声纳入排污许可管理。</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本项目采用低噪声设备、基础减振、厂房隔声等措施，减轻噪声影响，厂界噪声达标排放</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1" w:hRule="atLeast"/>
              </w:trPr>
              <w:tc>
                <w:tcPr>
                  <w:tcW w:w="742" w:type="pct"/>
                  <w:vMerge w:val="continue"/>
                  <w:vAlign w:val="center"/>
                </w:tcPr>
                <w:p>
                  <w:pPr>
                    <w:pStyle w:val="32"/>
                    <w:rPr>
                      <w:color w:val="000000" w:themeColor="text1"/>
                      <w14:textFill>
                        <w14:solidFill>
                          <w14:schemeClr w14:val="tx1"/>
                        </w14:solidFill>
                      </w14:textFill>
                    </w:rPr>
                  </w:pP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坚持预防为主、保护优先、风险管控，持续推进土壤污染防治攻坚行动，强化土壤和地下水污染风险管控和修复，实施水土环境风险协同防控。</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本项目通过采取完善的污染防治措施和环境风险防范措施，污染物可达标排放，</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88" w:hRule="atLeast"/>
              </w:trPr>
              <w:tc>
                <w:tcPr>
                  <w:tcW w:w="742" w:type="pct"/>
                  <w:vMerge w:val="restart"/>
                  <w:vAlign w:val="center"/>
                </w:tcPr>
                <w:p>
                  <w:pPr>
                    <w:adjustRightInd w:val="0"/>
                    <w:snapToGrid w:val="0"/>
                    <w:spacing w:line="240" w:lineRule="auto"/>
                    <w:ind w:firstLine="0" w:firstLineChars="0"/>
                    <w:textAlignment w:val="auto"/>
                    <w:rPr>
                      <w:color w:val="000000" w:themeColor="text1"/>
                      <w14:textFill>
                        <w14:solidFill>
                          <w14:schemeClr w14:val="tx1"/>
                        </w14:solidFill>
                      </w14:textFill>
                    </w:rPr>
                  </w:pPr>
                  <w:r>
                    <w:rPr>
                      <w:rFonts w:hint="eastAsia" w:cs="Times New Roman"/>
                      <w:sz w:val="21"/>
                      <w:szCs w:val="24"/>
                    </w:rPr>
                    <w:t>新疆维吾尔自治区环境保护条例</w:t>
                  </w: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第十七条环境保护规划和生态功能区划应当与主体功能区规划、土地利用总体规划和城乡规划等相衔接。各类开发和建设活动应当符合环境保护规划和生态功能区划的要求，严格遵守生态保护红线的规定。</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本项目不在生态保护红线范围内</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Merge w:val="continue"/>
                  <w:vAlign w:val="center"/>
                </w:tcPr>
                <w:p>
                  <w:pPr>
                    <w:pStyle w:val="32"/>
                    <w:rPr>
                      <w:color w:val="000000" w:themeColor="text1"/>
                      <w14:textFill>
                        <w14:solidFill>
                          <w14:schemeClr w14:val="tx1"/>
                        </w14:solidFill>
                      </w14:textFill>
                    </w:rPr>
                  </w:pP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第四十三条排放污染物的企业事业单位和其他生产经营者应当依法取得排污许可证。排放污染物应当符合国家或者自治区规定的污染物排放标准和重点污染物总量控制指标</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评价要求企业严格落实污染物总量控制和排污许可证制度，通过采取完善的污染治理措施，各项污染物均达标排放</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库尔勒市国民经济和社会发展第十四个五年规划和二〇三五年远景目标纲要</w:t>
                  </w:r>
                </w:p>
              </w:tc>
              <w:tc>
                <w:tcPr>
                  <w:tcW w:w="212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以高质量发展为中心，以供给侧结构性改革为主线，紧紧围绕中巴经济走廊核心区承载中心建设，打造炼化纺一体、烯烃、化工高端新材料、石油化工、天然气化工、工业废弃物循环加工等六大产业集群，建成中巴经济走廊石油石化产业聚集核心区、丝绸之路经济带创新驱动发展试验区，国家级油煤气盐清洁高效利用技术创新示范基地、化纤纺织原料基地和新材料基地，推动现代产业体系建设，为高质量发展提供产业支撑。</w:t>
                  </w:r>
                </w:p>
              </w:tc>
              <w:tc>
                <w:tcPr>
                  <w:tcW w:w="1716"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属于废塑料回收加工类项目，主要工艺包括破碎、清洗和分选。通过采购撕碎机、破碎机、空分机、甩干机等设备；本项目不对破碎清洗后的塑料进行热熔加工制造活动，项目产品外售至塑料制造企业用作原料，有利于向产业化方向发展</w:t>
                  </w:r>
                </w:p>
              </w:tc>
              <w:tc>
                <w:tcPr>
                  <w:tcW w:w="416"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25" w:hRule="atLeast"/>
              </w:trPr>
              <w:tc>
                <w:tcPr>
                  <w:tcW w:w="742" w:type="pct"/>
                  <w:vMerge w:val="restart"/>
                  <w:vAlign w:val="center"/>
                </w:tcPr>
                <w:p>
                  <w:pPr>
                    <w:pStyle w:val="32"/>
                    <w:rPr>
                      <w:rFonts w:cs="Times New Roman"/>
                      <w:szCs w:val="24"/>
                    </w:rPr>
                  </w:pPr>
                  <w:r>
                    <w:rPr>
                      <w:rFonts w:hint="eastAsia" w:cs="Times New Roman"/>
                      <w:szCs w:val="24"/>
                    </w:rPr>
                    <w:t>《新疆维吾尔自治区大气污染防治条例》</w:t>
                  </w:r>
                </w:p>
              </w:tc>
              <w:tc>
                <w:tcPr>
                  <w:tcW w:w="2125" w:type="pct"/>
                  <w:vAlign w:val="center"/>
                </w:tcPr>
                <w:p>
                  <w:pPr>
                    <w:pStyle w:val="32"/>
                    <w:jc w:val="both"/>
                    <w:rPr>
                      <w:rFonts w:cs="Times New Roman"/>
                      <w:szCs w:val="24"/>
                    </w:rPr>
                  </w:pPr>
                  <w:r>
                    <w:rPr>
                      <w:rFonts w:hint="eastAsia" w:cs="Times New Roman"/>
                      <w:szCs w:val="24"/>
                    </w:rPr>
                    <w:t>第二十七条禁止在自治区行政区域内引进能（水）耗不符合相关国家标准中准入值要求且污染物排放和环境风险防控不符合国家（地方）标准及有关产业准入条件的高污染（排放）、高能（水）耗、高环境风险的工业项目。</w:t>
                  </w:r>
                </w:p>
              </w:tc>
              <w:tc>
                <w:tcPr>
                  <w:tcW w:w="1716" w:type="pct"/>
                  <w:vAlign w:val="center"/>
                </w:tcPr>
                <w:p>
                  <w:pPr>
                    <w:pStyle w:val="32"/>
                    <w:jc w:val="both"/>
                    <w:rPr>
                      <w:rFonts w:cs="Times New Roman"/>
                      <w:szCs w:val="24"/>
                    </w:rPr>
                  </w:pPr>
                  <w:r>
                    <w:rPr>
                      <w:rFonts w:hint="eastAsia" w:cs="Times New Roman"/>
                      <w:szCs w:val="24"/>
                    </w:rPr>
                    <w:t>本项目不属于高污染（排放）、高能（水）耗、高环境风险的工业项目</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 w:hRule="atLeast"/>
              </w:trPr>
              <w:tc>
                <w:tcPr>
                  <w:tcW w:w="742" w:type="pct"/>
                  <w:vMerge w:val="continue"/>
                  <w:vAlign w:val="center"/>
                </w:tcPr>
                <w:p>
                  <w:pPr>
                    <w:pStyle w:val="32"/>
                    <w:rPr>
                      <w:rFonts w:hAnsi="宋体" w:cs="宋体"/>
                      <w:spacing w:val="-10"/>
                      <w:szCs w:val="21"/>
                    </w:rPr>
                  </w:pPr>
                </w:p>
              </w:tc>
              <w:tc>
                <w:tcPr>
                  <w:tcW w:w="2125" w:type="pct"/>
                  <w:vAlign w:val="center"/>
                </w:tcPr>
                <w:p>
                  <w:pPr>
                    <w:pStyle w:val="32"/>
                    <w:jc w:val="both"/>
                    <w:rPr>
                      <w:rFonts w:cs="Times New Roman"/>
                      <w:szCs w:val="24"/>
                    </w:rPr>
                  </w:pPr>
                  <w:r>
                    <w:rPr>
                      <w:rFonts w:hint="eastAsia" w:cs="Times New Roman"/>
                      <w:szCs w:val="24"/>
                    </w:rPr>
                    <w:t>第二十八条自治区人民政府工业和信息化、发展和改革、生态环境等部门制定产业结构调整目录时，应当将严重污染大气的工艺、设备、产品列入淘汰目录。州、市（地）、县（市、区）人民政府（行政公署）应当组织制定现有高污染工业项目标准改造或者关停计划，并组织实施。禁止新建、改建、扩建列入淘汰类目录的高污染工业项目。禁止使用列入淘汰类目录的工艺、设备、产品。</w:t>
                  </w:r>
                </w:p>
              </w:tc>
              <w:tc>
                <w:tcPr>
                  <w:tcW w:w="1716" w:type="pct"/>
                  <w:vAlign w:val="center"/>
                </w:tcPr>
                <w:p>
                  <w:pPr>
                    <w:pStyle w:val="32"/>
                    <w:rPr>
                      <w:rFonts w:cs="Times New Roman"/>
                      <w:szCs w:val="24"/>
                    </w:rPr>
                  </w:pPr>
                  <w:r>
                    <w:rPr>
                      <w:rFonts w:hint="eastAsia" w:cs="Times New Roman"/>
                      <w:szCs w:val="24"/>
                    </w:rPr>
                    <w:t>本项目不属于列入淘汰类目录的高污染工业项目</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9" w:hRule="atLeast"/>
              </w:trPr>
              <w:tc>
                <w:tcPr>
                  <w:tcW w:w="742" w:type="pct"/>
                  <w:vAlign w:val="center"/>
                </w:tcPr>
                <w:p>
                  <w:pPr>
                    <w:pStyle w:val="32"/>
                    <w:jc w:val="both"/>
                    <w:rPr>
                      <w:rFonts w:cs="Times New Roman"/>
                      <w:szCs w:val="24"/>
                    </w:rPr>
                  </w:pPr>
                  <w:r>
                    <w:rPr>
                      <w:rFonts w:hint="eastAsia" w:cs="Times New Roman"/>
                      <w:szCs w:val="24"/>
                    </w:rPr>
                    <w:t>《自治州大气污染防治三年攻坚行动方案（2023－2025年）》</w:t>
                  </w:r>
                </w:p>
              </w:tc>
              <w:tc>
                <w:tcPr>
                  <w:tcW w:w="2125" w:type="pct"/>
                  <w:vAlign w:val="center"/>
                </w:tcPr>
                <w:p>
                  <w:pPr>
                    <w:pStyle w:val="32"/>
                    <w:jc w:val="both"/>
                    <w:rPr>
                      <w:rFonts w:cs="Times New Roman"/>
                      <w:szCs w:val="24"/>
                    </w:rPr>
                  </w:pPr>
                  <w:r>
                    <w:rPr>
                      <w:rFonts w:hint="eastAsia" w:cs="Times New Roman"/>
                      <w:szCs w:val="24"/>
                    </w:rPr>
                    <w:t>严格落实施工工地扬尘管控责任，制定施工扬尘污染防治实施方案，在工地公示具体防治措施及负责人信息。全面推行绿色施工，严格执行“六个百分之百”，推进安装视频监控设施。重点区域道路、水务等线性工程实行分段施工。加强施工扬尘监管执法，对问题严重的依法依规实施联合惩戒</w:t>
                  </w:r>
                </w:p>
              </w:tc>
              <w:tc>
                <w:tcPr>
                  <w:tcW w:w="1716" w:type="pct"/>
                  <w:vAlign w:val="center"/>
                </w:tcPr>
                <w:p>
                  <w:pPr>
                    <w:pStyle w:val="32"/>
                    <w:jc w:val="both"/>
                    <w:rPr>
                      <w:rFonts w:cs="Times New Roman"/>
                      <w:szCs w:val="24"/>
                    </w:rPr>
                  </w:pPr>
                  <w:r>
                    <w:rPr>
                      <w:rFonts w:hint="eastAsia" w:cs="Times New Roman"/>
                      <w:szCs w:val="24"/>
                    </w:rPr>
                    <w:t>本项目在现有厂房内进行建设，并配套建设清洗池和沉淀池。由于工程量较小、施工周期短、作业范围有限，在严格落实各项环保措施（如禁止夜间高噪声作业、加强洒水抑尘等）的前提下，施工期间产生的噪声、扬尘等污染物对周边环境的影响可控。因此，项目建设期的环境影响较小</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Merge w:val="restart"/>
                  <w:vAlign w:val="center"/>
                </w:tcPr>
                <w:p>
                  <w:pPr>
                    <w:pStyle w:val="32"/>
                    <w:jc w:val="both"/>
                    <w:rPr>
                      <w:rFonts w:cs="Times New Roman"/>
                      <w:szCs w:val="24"/>
                    </w:rPr>
                  </w:pPr>
                  <w:r>
                    <w:rPr>
                      <w:rFonts w:hint="eastAsia" w:cs="Times New Roman"/>
                      <w:szCs w:val="24"/>
                    </w:rPr>
                    <w:t>《新疆维吾尔自治区2025年空气质量持续改善行动实施方案》（新政办发〔2024〕58号）</w:t>
                  </w:r>
                </w:p>
              </w:tc>
              <w:tc>
                <w:tcPr>
                  <w:tcW w:w="2125" w:type="pct"/>
                  <w:vAlign w:val="center"/>
                </w:tcPr>
                <w:p>
                  <w:pPr>
                    <w:pStyle w:val="32"/>
                    <w:rPr>
                      <w:rFonts w:cs="Times New Roman"/>
                      <w:szCs w:val="24"/>
                    </w:rPr>
                  </w:pPr>
                  <w:r>
                    <w:rPr>
                      <w:rFonts w:hint="eastAsia" w:cs="Times New Roman"/>
                      <w:szCs w:val="24"/>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严格执行《产业结构调整指导目录》，依法依规淘汰落后产能。联防联控区进一步提高落后产能能耗、环保、质量、安全、技术等要求，逐步退出限制类涉气行业工艺和装备。</w:t>
                  </w:r>
                </w:p>
              </w:tc>
              <w:tc>
                <w:tcPr>
                  <w:tcW w:w="1716" w:type="pct"/>
                  <w:vAlign w:val="center"/>
                </w:tcPr>
                <w:p>
                  <w:pPr>
                    <w:pStyle w:val="32"/>
                    <w:jc w:val="both"/>
                    <w:rPr>
                      <w:rFonts w:cs="Times New Roman"/>
                      <w:szCs w:val="24"/>
                    </w:rPr>
                  </w:pPr>
                  <w:r>
                    <w:rPr>
                      <w:rFonts w:hint="eastAsia" w:cs="Times New Roman"/>
                      <w:szCs w:val="24"/>
                    </w:rPr>
                    <w:t>1.本项目属于废塑料回收加工类项目，符合国家和自治区产业规划、产业政策、生态环境分区管控方案等相关要求，不属于高耗能、高排放、低水平项目。项目原辅材料、产品采用清洁运输方式</w:t>
                  </w:r>
                </w:p>
                <w:p>
                  <w:pPr>
                    <w:pStyle w:val="32"/>
                    <w:jc w:val="both"/>
                    <w:rPr>
                      <w:rFonts w:cs="Times New Roman"/>
                      <w:szCs w:val="24"/>
                    </w:rPr>
                  </w:pPr>
                  <w:r>
                    <w:rPr>
                      <w:rFonts w:hint="eastAsia" w:cs="Times New Roman"/>
                      <w:szCs w:val="24"/>
                    </w:rPr>
                    <w:t>2.根据《产业结构调整指导目录（2024年本）》的要求，本项目属于鼓励类。项目工艺和装备不属于限制类涉气行业工艺和装备</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9" w:hRule="atLeast"/>
              </w:trPr>
              <w:tc>
                <w:tcPr>
                  <w:tcW w:w="742" w:type="pct"/>
                  <w:vMerge w:val="continue"/>
                  <w:vAlign w:val="center"/>
                </w:tcPr>
                <w:p>
                  <w:pPr>
                    <w:pStyle w:val="32"/>
                    <w:rPr>
                      <w:rFonts w:hAnsi="宋体" w:cs="宋体"/>
                      <w:spacing w:val="-10"/>
                      <w:szCs w:val="21"/>
                    </w:rPr>
                  </w:pPr>
                </w:p>
              </w:tc>
              <w:tc>
                <w:tcPr>
                  <w:tcW w:w="2125" w:type="pct"/>
                  <w:vAlign w:val="center"/>
                </w:tcPr>
                <w:p>
                  <w:pPr>
                    <w:pStyle w:val="32"/>
                    <w:rPr>
                      <w:rFonts w:cs="Times New Roman"/>
                      <w:szCs w:val="24"/>
                    </w:rPr>
                  </w:pPr>
                  <w:r>
                    <w:rPr>
                      <w:rFonts w:hint="eastAsia" w:cs="Times New Roman"/>
                      <w:szCs w:val="24"/>
                    </w:rPr>
                    <w:t>严格合理控制煤炭消费总量。在保障能源安全供应前提下，联防联控区合理控制新改扩建用煤项目；不得将使用石油焦、焦炭、兰炭等高污染燃料作为煤炭减量替代措施</w:t>
                  </w:r>
                </w:p>
              </w:tc>
              <w:tc>
                <w:tcPr>
                  <w:tcW w:w="1716" w:type="pct"/>
                  <w:vAlign w:val="center"/>
                </w:tcPr>
                <w:p>
                  <w:pPr>
                    <w:pStyle w:val="32"/>
                    <w:rPr>
                      <w:rFonts w:cs="Times New Roman"/>
                      <w:szCs w:val="24"/>
                    </w:rPr>
                  </w:pPr>
                  <w:r>
                    <w:rPr>
                      <w:rFonts w:hint="eastAsia" w:cs="Times New Roman"/>
                      <w:szCs w:val="24"/>
                    </w:rPr>
                    <w:t>本项目能源消耗主要为电力，不涉及煤炭消耗</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2"/>
                    <w:jc w:val="both"/>
                    <w:rPr>
                      <w:rFonts w:cs="Times New Roman"/>
                      <w:szCs w:val="24"/>
                    </w:rPr>
                  </w:pPr>
                  <w:r>
                    <w:rPr>
                      <w:rFonts w:hint="eastAsia" w:cs="Times New Roman"/>
                      <w:szCs w:val="24"/>
                    </w:rPr>
                    <w:t>《库尔勒市国土空间总体规划（2021—2035年）》</w:t>
                  </w:r>
                </w:p>
              </w:tc>
              <w:tc>
                <w:tcPr>
                  <w:tcW w:w="2125" w:type="pct"/>
                  <w:vAlign w:val="center"/>
                </w:tcPr>
                <w:p>
                  <w:pPr>
                    <w:pStyle w:val="32"/>
                    <w:jc w:val="both"/>
                    <w:rPr>
                      <w:rFonts w:cs="Times New Roman"/>
                      <w:szCs w:val="24"/>
                    </w:rPr>
                  </w:pPr>
                  <w:r>
                    <w:rPr>
                      <w:rFonts w:hint="eastAsia" w:cs="Times New Roman"/>
                      <w:szCs w:val="24"/>
                    </w:rPr>
                    <w:t>规划范围：库尔勒市行政辖区内全部陆域国土面积，约6786.26平方公里。总体格局：打造“一心一带、两轴四区”国土空间总体格局。其中两轴指：库格发展轴、绿洲城镇发展轴。结合丝绸之路经济带综合运输大通道建设，打造库铁（库尔勒－铁门关）国家级综合交通枢纽。以南疆区域中心城市库尔勒为核心节点，涵盖尉犁、铁门关、焉耆、博糊等主要节点，加强兵地在国家物流枢纽建设领域合作。</w:t>
                  </w:r>
                </w:p>
              </w:tc>
              <w:tc>
                <w:tcPr>
                  <w:tcW w:w="1716" w:type="pct"/>
                  <w:vAlign w:val="center"/>
                </w:tcPr>
                <w:p>
                  <w:pPr>
                    <w:pStyle w:val="32"/>
                    <w:jc w:val="both"/>
                    <w:rPr>
                      <w:rFonts w:cs="Times New Roman"/>
                      <w:szCs w:val="24"/>
                    </w:rPr>
                  </w:pPr>
                  <w:r>
                    <w:rPr>
                      <w:rFonts w:hint="eastAsia" w:cs="Times New Roman"/>
                      <w:szCs w:val="24"/>
                    </w:rPr>
                    <w:t>本项目租赁</w:t>
                  </w:r>
                  <w:r>
                    <w:rPr>
                      <w:rFonts w:hint="eastAsia"/>
                    </w:rPr>
                    <w:t>库尔勒市哈拉玉宫镇废旧物资回收加工产业园</w:t>
                  </w:r>
                  <w:r>
                    <w:rPr>
                      <w:rFonts w:hint="eastAsia" w:cs="Times New Roman"/>
                      <w:szCs w:val="24"/>
                    </w:rPr>
                    <w:t>23号厂区，项目利用已建标准厂房进行建设，推动废物资源化利用，符合循环经济和绿色发展理念，符合国家产业政策和所在地相关规划</w:t>
                  </w:r>
                </w:p>
              </w:tc>
              <w:tc>
                <w:tcPr>
                  <w:tcW w:w="416" w:type="pct"/>
                  <w:vAlign w:val="center"/>
                </w:tcPr>
                <w:p>
                  <w:pPr>
                    <w:pStyle w:val="32"/>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2"/>
                    <w:rPr>
                      <w:rFonts w:cs="Times New Roman"/>
                      <w:szCs w:val="24"/>
                    </w:rPr>
                  </w:pPr>
                  <w:r>
                    <w:rPr>
                      <w:rFonts w:hint="eastAsia"/>
                      <w:color w:val="000000"/>
                    </w:rPr>
                    <w:t>巴音郭楞蒙古自治州生态环境“十四五”规划（修订版）</w:t>
                  </w:r>
                </w:p>
              </w:tc>
              <w:tc>
                <w:tcPr>
                  <w:tcW w:w="2125" w:type="pct"/>
                  <w:vAlign w:val="center"/>
                </w:tcPr>
                <w:p>
                  <w:pPr>
                    <w:pStyle w:val="32"/>
                    <w:jc w:val="both"/>
                    <w:rPr>
                      <w:rFonts w:cs="Times New Roman"/>
                      <w:szCs w:val="24"/>
                    </w:rPr>
                  </w:pPr>
                  <w:r>
                    <w:rPr>
                      <w:rFonts w:cs="Times New Roman"/>
                      <w:kern w:val="0"/>
                      <w:szCs w:val="20"/>
                    </w:rPr>
                    <w:t>到2025年，大气、水、土壤、生态环境质量持续改善。加强治沙、防尘、减污、降碳，做好轻、中度污染天气的应急处置工作，空气质量有所提升，碳排放强度得到有效控制</w:t>
                  </w:r>
                  <w:r>
                    <w:rPr>
                      <w:rFonts w:hint="eastAsia" w:cs="Times New Roman"/>
                      <w:kern w:val="0"/>
                      <w:szCs w:val="20"/>
                    </w:rPr>
                    <w:t>；</w:t>
                  </w:r>
                  <w:r>
                    <w:rPr>
                      <w:rFonts w:cs="Times New Roman"/>
                      <w:kern w:val="0"/>
                      <w:szCs w:val="20"/>
                    </w:rPr>
                    <w:t>以水生态保护为核心的水环境、水生态、水资源统筹推进格局初步形成</w:t>
                  </w:r>
                  <w:r>
                    <w:rPr>
                      <w:rFonts w:hint="eastAsia" w:cs="Times New Roman"/>
                      <w:kern w:val="0"/>
                      <w:szCs w:val="20"/>
                    </w:rPr>
                    <w:t>；</w:t>
                  </w:r>
                  <w:r>
                    <w:rPr>
                      <w:rFonts w:cs="Times New Roman"/>
                      <w:kern w:val="0"/>
                      <w:szCs w:val="20"/>
                    </w:rPr>
                    <w:t>土壤风险管控和安全利用水平逐步提高，固体废物与化学品环境风险防控能力明显增强，环境风险有效控制</w:t>
                  </w:r>
                  <w:r>
                    <w:rPr>
                      <w:rFonts w:hint="eastAsia" w:cs="Times New Roman"/>
                      <w:kern w:val="0"/>
                      <w:szCs w:val="20"/>
                    </w:rPr>
                    <w:t>；</w:t>
                  </w:r>
                  <w:r>
                    <w:rPr>
                      <w:rFonts w:cs="Times New Roman"/>
                      <w:kern w:val="0"/>
                      <w:szCs w:val="20"/>
                    </w:rPr>
                    <w:t>生态系统稳定性和生态状况稳步提升</w:t>
                  </w:r>
                  <w:r>
                    <w:rPr>
                      <w:rFonts w:hint="eastAsia" w:cs="Times New Roman"/>
                      <w:kern w:val="0"/>
                      <w:szCs w:val="20"/>
                    </w:rPr>
                    <w:t>；</w:t>
                  </w:r>
                  <w:r>
                    <w:rPr>
                      <w:rFonts w:cs="Times New Roman"/>
                      <w:kern w:val="0"/>
                      <w:szCs w:val="20"/>
                    </w:rPr>
                    <w:t>科学、独立、权威、高效的生态环境监测体系基本建成，监测预报预警、信息化能力、质量管理和保障水平进一步提升</w:t>
                  </w:r>
                  <w:r>
                    <w:rPr>
                      <w:rFonts w:hint="eastAsia" w:cs="Times New Roman"/>
                      <w:kern w:val="0"/>
                      <w:szCs w:val="20"/>
                    </w:rPr>
                    <w:t>；</w:t>
                  </w:r>
                  <w:r>
                    <w:rPr>
                      <w:rFonts w:cs="Times New Roman"/>
                      <w:kern w:val="0"/>
                      <w:szCs w:val="20"/>
                    </w:rPr>
                    <w:t>经济发展与生态环境保护进一步融合，生态环境治理能力稳步提升，美丽巴州建设取得积极成效</w:t>
                  </w:r>
                </w:p>
              </w:tc>
              <w:tc>
                <w:tcPr>
                  <w:tcW w:w="1716" w:type="pct"/>
                  <w:vAlign w:val="center"/>
                </w:tcPr>
                <w:p>
                  <w:pPr>
                    <w:pStyle w:val="32"/>
                    <w:jc w:val="both"/>
                    <w:rPr>
                      <w:rFonts w:cs="Times New Roman"/>
                      <w:szCs w:val="24"/>
                    </w:rPr>
                  </w:pPr>
                  <w:r>
                    <w:rPr>
                      <w:rFonts w:hint="eastAsia"/>
                      <w:color w:val="000000"/>
                    </w:rPr>
                    <w:t>本项目严格落实生态环境保护法律法规，符合《新疆维吾尔自治区环境保护条例》及“生态环境分区管控”要求。项目属于废塑料回收加工类项目，主要工艺包括破碎、清洗和分选。通过采购撕碎机、破碎机、空分机、甩干机等设备，实现自动化生产。其中，撕碎与破碎工序采用湿法作业，有效抑制粉尘产生；清洗用水经沉淀池处理后循环使用，不外排，符合节水及污染防治要求。推进资源综合利用，符合循环经济。废气、废水、固废等均采取有效污染防治措施，确保达标排放，环境影响可控。</w:t>
                  </w:r>
                </w:p>
              </w:tc>
              <w:tc>
                <w:tcPr>
                  <w:tcW w:w="416" w:type="pct"/>
                  <w:vAlign w:val="center"/>
                </w:tcPr>
                <w:p>
                  <w:pPr>
                    <w:pStyle w:val="32"/>
                    <w:rPr>
                      <w:rFonts w:cs="Times New Roman"/>
                      <w:szCs w:val="24"/>
                    </w:rPr>
                  </w:pPr>
                  <w:r>
                    <w:rPr>
                      <w:rFonts w:hint="eastAsia"/>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2"/>
                    <w:jc w:val="both"/>
                    <w:rPr>
                      <w:color w:val="000000"/>
                    </w:rPr>
                  </w:pPr>
                  <w:r>
                    <w:rPr>
                      <w:rFonts w:hint="eastAsia" w:cs="Times New Roman"/>
                      <w:szCs w:val="21"/>
                    </w:rPr>
                    <w:t>《国务院关于印发〈空气质量持续改善行动计划〉的通知》（国发〔2023〕24号）及自治区实施方案</w:t>
                  </w:r>
                </w:p>
              </w:tc>
              <w:tc>
                <w:tcPr>
                  <w:tcW w:w="2125" w:type="pct"/>
                  <w:vAlign w:val="center"/>
                </w:tcPr>
                <w:p>
                  <w:pPr>
                    <w:pStyle w:val="32"/>
                    <w:rPr>
                      <w:rFonts w:cs="Times New Roman"/>
                      <w:kern w:val="0"/>
                      <w:szCs w:val="20"/>
                    </w:rPr>
                  </w:pPr>
                  <w:r>
                    <w:rPr>
                      <w:rFonts w:hint="eastAsia" w:cs="Times New Roman"/>
                      <w:szCs w:val="24"/>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716" w:type="pct"/>
                  <w:vAlign w:val="center"/>
                </w:tcPr>
                <w:p>
                  <w:pPr>
                    <w:pStyle w:val="32"/>
                    <w:rPr>
                      <w:color w:val="000000"/>
                    </w:rPr>
                  </w:pPr>
                  <w:r>
                    <w:rPr>
                      <w:rFonts w:hint="eastAsia" w:cs="Times New Roman"/>
                      <w:szCs w:val="24"/>
                    </w:rPr>
                    <w:t>本项目为生活废塑料资源化利用项目，不属于《产业结构调整指导目录》中的限制或淘汰类，且项目的能耗与排放强度显著低于同规模原生塑料制造，符合国家产业政策和生态环境分区管控要求。项目通过回收再生替代石油基原料，从源头实现碳减排和污染物削减，能效水平先进，运输方案优先采用清洁方式，坚决杜绝盲目发展，完全符合国家关于遏制“两高一低”项目、推动绿色低碳高质量发展的政策导向</w:t>
                  </w:r>
                </w:p>
              </w:tc>
              <w:tc>
                <w:tcPr>
                  <w:tcW w:w="416" w:type="pct"/>
                  <w:vAlign w:val="center"/>
                </w:tcPr>
                <w:p>
                  <w:pPr>
                    <w:pStyle w:val="32"/>
                    <w:rPr>
                      <w:color w:val="000000" w:themeColor="text1"/>
                      <w14:textFill>
                        <w14:solidFill>
                          <w14:schemeClr w14:val="tx1"/>
                        </w14:solidFill>
                      </w14:textFill>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2"/>
                    <w:jc w:val="both"/>
                    <w:rPr>
                      <w:color w:val="000000"/>
                    </w:rPr>
                  </w:pPr>
                  <w:r>
                    <w:rPr>
                      <w:rFonts w:hint="eastAsia" w:cs="Times New Roman"/>
                      <w:szCs w:val="21"/>
                    </w:rPr>
                    <w:t>《2024—2025年节能降碳行动方案》</w:t>
                  </w:r>
                </w:p>
              </w:tc>
              <w:tc>
                <w:tcPr>
                  <w:tcW w:w="2125" w:type="pct"/>
                  <w:vAlign w:val="center"/>
                </w:tcPr>
                <w:p>
                  <w:pPr>
                    <w:pStyle w:val="32"/>
                    <w:jc w:val="both"/>
                    <w:rPr>
                      <w:rFonts w:cs="Times New Roman"/>
                      <w:kern w:val="0"/>
                      <w:szCs w:val="20"/>
                    </w:rPr>
                  </w:pPr>
                  <w:r>
                    <w:rPr>
                      <w:rFonts w:hint="eastAsia" w:cs="Times New Roman"/>
                      <w:szCs w:val="24"/>
                    </w:rPr>
                    <w:t>以习近平新时代中国特色社会主义思想为指导，深入贯彻党的二十大精神，全面贯彻习近平经济思想、习近平生态文明思想，坚持稳中求进工作总基调，完整、准确、全面贯彻新发展理念，一以贯之坚持节约优先方针，完善能源消耗总量和强度调控，重点控制化石能源消费，强化碳排放强度管理，分领域分行业实施节能降碳专项行动，更高水平更高质量做好节能降碳工作，更好发挥节能降碳的经济效益、社会效益和生态效益，为实现碳达峰碳中和目标奠定坚实基础</w:t>
                  </w:r>
                </w:p>
              </w:tc>
              <w:tc>
                <w:tcPr>
                  <w:tcW w:w="1716" w:type="pct"/>
                  <w:vAlign w:val="center"/>
                </w:tcPr>
                <w:p>
                  <w:pPr>
                    <w:pStyle w:val="32"/>
                    <w:rPr>
                      <w:color w:val="000000"/>
                    </w:rPr>
                  </w:pPr>
                  <w:r>
                    <w:rPr>
                      <w:rFonts w:hint="eastAsia" w:cs="Times New Roman"/>
                      <w:szCs w:val="24"/>
                    </w:rPr>
                    <w:t>本项目以废塑料分拣、破碎为核心环节，通过高效回收再生废弃塑料资源，直接践行节约优先方针和绿色发展理念，有效减少化石能源消耗与碳排放，完全符合国家关于推动节能降碳、发展循环经济的总体战略要求，并为实现碳达峰碳中和目标提供具体的产业支撑</w:t>
                  </w:r>
                </w:p>
              </w:tc>
              <w:tc>
                <w:tcPr>
                  <w:tcW w:w="416" w:type="pct"/>
                  <w:vAlign w:val="center"/>
                </w:tcPr>
                <w:p>
                  <w:pPr>
                    <w:pStyle w:val="32"/>
                    <w:rPr>
                      <w:color w:val="000000" w:themeColor="text1"/>
                      <w14:textFill>
                        <w14:solidFill>
                          <w14:schemeClr w14:val="tx1"/>
                        </w14:solidFill>
                      </w14:textFill>
                    </w:rPr>
                  </w:pPr>
                  <w:r>
                    <w:rPr>
                      <w:rFonts w:hint="eastAsia" w:cs="Times New Roman"/>
                      <w:szCs w:val="24"/>
                    </w:rPr>
                    <w:t>符合</w:t>
                  </w:r>
                </w:p>
              </w:tc>
            </w:tr>
            <w:bookmarkEnd w:id="8"/>
            <w:bookmarkEnd w:id="9"/>
          </w:tbl>
          <w:p>
            <w:pPr>
              <w:ind w:firstLine="0" w:firstLineChars="0"/>
            </w:pPr>
          </w:p>
        </w:tc>
      </w:tr>
    </w:tbl>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二、建设项目工程分析</w:t>
      </w:r>
    </w:p>
    <w:tbl>
      <w:tblPr>
        <w:tblStyle w:val="24"/>
        <w:tblW w:w="9060" w:type="dxa"/>
        <w:tblInd w:w="1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5"/>
        <w:gridCol w:w="8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 w:hRule="atLeast"/>
        </w:trPr>
        <w:tc>
          <w:tcPr>
            <w:tcW w:w="457" w:type="dxa"/>
            <w:vAlign w:val="center"/>
          </w:tcPr>
          <w:p>
            <w:pPr>
              <w:widowControl/>
              <w:adjustRightInd w:val="0"/>
              <w:snapToGrid w:val="0"/>
              <w:spacing w:line="240" w:lineRule="auto"/>
              <w:ind w:firstLine="0" w:firstLineChars="0"/>
              <w:jc w:val="center"/>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建设内容</w:t>
            </w:r>
          </w:p>
        </w:tc>
        <w:tc>
          <w:tcPr>
            <w:tcW w:w="8603"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项目由来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新疆锦瑞驰云再生资源回收有限公司成立于2024年3月11日，主要从事再生资源回收与销售业务。公司租赁位于库尔勒市哈拉玉宫镇的废旧物资回收加工产业园23号厂区，在现有标准厂房基础上进行改造，安装撕碎机、空分机、甩干机等设备，建设2条废旧塑料加工生产线。项目建成后，可实现年处理能力3万吨废塑料，有效推动废弃物资源化利用，符合循环经济和绿色发展理念</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根据《国民经济行业分类》（GB/T4754-2017），本项目所属行业代码及类别为C422，即“非金属废料和碎屑加工处理”。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本项目原料来源于本地废品回收站的日用塑料用品、塑料玩具等，不回收沾染废矿物油、废有机溶剂、废涂料、重金属等物质的废旧塑料，也不回收含有病原微生物或重金属的医疗废物类废旧塑料。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根据《中华人民共和国环境影响评价法》和《建设项目环境保护管理条例》的有关规定，建设项目应依法履行环境影响评价手续。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据《建设项目环境影响评价分类管理名录》（2021年版）的相关规定，本项目主要从事废旧塑料的回收与加工，包括分拣、破碎、清洗、脱水等工序，最终产品为洁净塑料碎片，外售用于下游再生利用。由于生产过程中涉及清洗工艺，按照名录要求，本项目应编制环境影响评价报告表。判定依据如下：</w:t>
            </w:r>
          </w:p>
          <w:p>
            <w:pPr>
              <w:spacing w:line="240" w:lineRule="auto"/>
              <w:ind w:firstLine="422"/>
              <w:jc w:val="center"/>
              <w:rPr>
                <w:rFonts w:cs="Times New Roman"/>
                <w:b/>
                <w:bCs/>
                <w:color w:val="000000"/>
                <w:sz w:val="21"/>
                <w:szCs w:val="21"/>
              </w:rPr>
            </w:pPr>
            <w:r>
              <w:rPr>
                <w:rFonts w:cs="Times New Roman"/>
                <w:b/>
                <w:bCs/>
                <w:color w:val="000000"/>
                <w:sz w:val="21"/>
                <w:szCs w:val="21"/>
              </w:rPr>
              <w:t>表2-1  《建设项目环境影响评价分类管理名录》（2021版）（节选）</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50"/>
              <w:gridCol w:w="917"/>
              <w:gridCol w:w="3257"/>
              <w:gridCol w:w="696"/>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455" w:type="pct"/>
                  <w:gridSpan w:val="2"/>
                  <w:vAlign w:val="center"/>
                </w:tcPr>
                <w:p>
                  <w:pPr>
                    <w:spacing w:line="240" w:lineRule="auto"/>
                    <w:ind w:firstLine="632" w:firstLineChars="300"/>
                    <w:jc w:val="center"/>
                    <w:rPr>
                      <w:rFonts w:cs="Times New Roman"/>
                      <w:color w:val="000000" w:themeColor="text1"/>
                      <w:sz w:val="21"/>
                      <w:szCs w:val="21"/>
                      <w14:textFill>
                        <w14:solidFill>
                          <w14:schemeClr w14:val="tx1"/>
                        </w14:solidFill>
                      </w14:textFill>
                    </w:rPr>
                  </w:pPr>
                  <w:r>
                    <w:rPr>
                      <w:rFonts w:cs="Times New Roman"/>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15875</wp:posOffset>
                            </wp:positionV>
                            <wp:extent cx="1530350" cy="556895"/>
                            <wp:effectExtent l="1905" t="4445" r="6985" b="17780"/>
                            <wp:wrapNone/>
                            <wp:docPr id="2" name="直接连接符 2"/>
                            <wp:cNvGraphicFramePr/>
                            <a:graphic xmlns:a="http://schemas.openxmlformats.org/drawingml/2006/main">
                              <a:graphicData uri="http://schemas.microsoft.com/office/word/2010/wordprocessingShape">
                                <wps:wsp>
                                  <wps:cNvCnPr/>
                                  <wps:spPr>
                                    <a:xfrm>
                                      <a:off x="0" y="0"/>
                                      <a:ext cx="1530350" cy="556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pt;margin-top:1.25pt;height:43.85pt;width:120.5pt;z-index:251659264;mso-width-relative:page;mso-height-relative:page;" filled="f" stroked="t" coordsize="21600,21600" o:gfxdata="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tSgGtUAAAAH&#10;AQAADwAAAAAAAAABACAAAAAiAAAAZHJzL2Rvd25yZXYueG1sUEsBAhQAFAAAAAgAh07iQPsyph/m&#10;AQAAtgMAAA4AAAAAAAAAAQAgAAAAJAEAAGRycy9lMm9Eb2MueG1sUEsFBgAAAAAGAAYAWQEAAHwF&#10;AAAAAA==&#10;">
                            <v:fill on="f" focussize="0,0"/>
                            <v:stroke weight="0.5pt" color="#000000 [3200]" miterlimit="8" joinstyle="miter"/>
                            <v:imagedata o:title=""/>
                            <o:lock v:ext="edit" aspectratio="f"/>
                          </v:line>
                        </w:pict>
                      </mc:Fallback>
                    </mc:AlternateContent>
                  </w:r>
                  <w:r>
                    <w:rPr>
                      <w:rFonts w:hint="eastAsia" w:cs="Times New Roman"/>
                      <w:color w:val="000000" w:themeColor="text1"/>
                      <w:sz w:val="21"/>
                      <w:szCs w:val="21"/>
                      <w14:textFill>
                        <w14:solidFill>
                          <w14:schemeClr w14:val="tx1"/>
                        </w14:solidFill>
                      </w14:textFill>
                    </w:rPr>
                    <w:t>环评类别</w:t>
                  </w:r>
                </w:p>
                <w:p>
                  <w:pPr>
                    <w:spacing w:line="240" w:lineRule="auto"/>
                    <w:ind w:firstLine="0" w:firstLineChars="0"/>
                    <w:rPr>
                      <w:rFonts w:cs="Times New Roman"/>
                      <w:color w:val="000000" w:themeColor="text1"/>
                      <w:sz w:val="21"/>
                      <w:szCs w:val="21"/>
                      <w14:textFill>
                        <w14:solidFill>
                          <w14:schemeClr w14:val="tx1"/>
                        </w14:solidFill>
                      </w14:textFill>
                    </w:rPr>
                  </w:pPr>
                </w:p>
                <w:p>
                  <w:pPr>
                    <w:spacing w:line="240" w:lineRule="auto"/>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项目类别</w:t>
                  </w:r>
                </w:p>
              </w:tc>
              <w:tc>
                <w:tcPr>
                  <w:tcW w:w="54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报告书</w:t>
                  </w:r>
                </w:p>
              </w:tc>
              <w:tc>
                <w:tcPr>
                  <w:tcW w:w="1918" w:type="pct"/>
                  <w:shd w:val="clear" w:color="auto" w:fill="E7E6E6" w:themeFill="background2"/>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报告表</w:t>
                  </w:r>
                </w:p>
              </w:tc>
              <w:tc>
                <w:tcPr>
                  <w:tcW w:w="41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登记表</w:t>
                  </w:r>
                </w:p>
              </w:tc>
              <w:tc>
                <w:tcPr>
                  <w:tcW w:w="674"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本栏目环境敏感区含义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000" w:type="pct"/>
                  <w:gridSpan w:val="6"/>
                  <w:shd w:val="clear" w:color="auto" w:fill="E7E6E6" w:themeFill="background2"/>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三十九、废弃资源综合利用业42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307"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85</w:t>
                  </w:r>
                </w:p>
              </w:tc>
              <w:tc>
                <w:tcPr>
                  <w:tcW w:w="1148" w:type="pct"/>
                  <w:vAlign w:val="center"/>
                </w:tcPr>
                <w:p>
                  <w:pPr>
                    <w:spacing w:line="240" w:lineRule="auto"/>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金属废料和碎屑加工处理421；非金属废料和碎屑加工处理422（421和422均不含原料为危险废物的，均不含仅分拣、破碎的）</w:t>
                  </w:r>
                </w:p>
              </w:tc>
              <w:tc>
                <w:tcPr>
                  <w:tcW w:w="54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废电池、废油加工处理</w:t>
                  </w:r>
                </w:p>
              </w:tc>
              <w:tc>
                <w:tcPr>
                  <w:tcW w:w="1918" w:type="pct"/>
                  <w:shd w:val="clear" w:color="auto" w:fill="E7E6E6" w:themeFill="background2"/>
                  <w:vAlign w:val="center"/>
                </w:tcPr>
                <w:p>
                  <w:pPr>
                    <w:spacing w:line="240" w:lineRule="auto"/>
                    <w:ind w:firstLine="0" w:firstLineChars="0"/>
                    <w:rPr>
                      <w:rFonts w:cs="Times New Roman"/>
                      <w:color w:val="000000" w:themeColor="text1"/>
                      <w:sz w:val="21"/>
                      <w:szCs w:val="21"/>
                      <w14:textFill>
                        <w14:solidFill>
                          <w14:schemeClr w14:val="tx1"/>
                        </w14:solidFill>
                      </w14:textFill>
                    </w:rPr>
                  </w:pPr>
                  <w:r>
                    <w:rPr>
                      <w:rFonts w:hint="eastAsia"/>
                      <w:color w:val="000000"/>
                      <w:sz w:val="21"/>
                      <w:szCs w:val="21"/>
                    </w:rPr>
                    <w:t>废弃电器电子产品、废机动车、废电机、废电线电缆、废钢、废铁、金属和金属化合物矿灰及残渣、有色金属废料与碎屑、</w:t>
                  </w:r>
                  <w:r>
                    <w:rPr>
                      <w:rFonts w:hint="eastAsia"/>
                      <w:b/>
                      <w:bCs/>
                      <w:color w:val="000000"/>
                      <w:sz w:val="21"/>
                      <w:szCs w:val="21"/>
                    </w:rPr>
                    <w:t>废塑料</w:t>
                  </w:r>
                  <w:r>
                    <w:rPr>
                      <w:rFonts w:hint="eastAsia"/>
                      <w:color w:val="000000"/>
                      <w:sz w:val="21"/>
                      <w:szCs w:val="21"/>
                    </w:rPr>
                    <w:t>、废轮胎、废船、含水洗工艺的其他废料和碎屑加工处理（农业生产产生的废旧秧盘、薄膜破碎和清洗工艺的除外）</w:t>
                  </w:r>
                </w:p>
              </w:tc>
              <w:tc>
                <w:tcPr>
                  <w:tcW w:w="41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674"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bl>
          <w:p>
            <w:pPr>
              <w:pStyle w:val="3"/>
              <w:rPr>
                <w:b w:val="0"/>
                <w:bCs w:val="0"/>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2.2</w:t>
            </w:r>
            <w:r>
              <w:rPr>
                <w:rFonts w:hint="eastAsia"/>
                <w:color w:val="000000" w:themeColor="text1"/>
                <w14:textFill>
                  <w14:solidFill>
                    <w14:schemeClr w14:val="tx1"/>
                  </w14:solidFill>
                </w14:textFill>
              </w:rPr>
              <w:t>项目概况</w:t>
            </w:r>
          </w:p>
          <w:p>
            <w:pPr>
              <w:ind w:firstLine="480"/>
            </w:pPr>
            <w:r>
              <w:t>项目名称：</w:t>
            </w:r>
            <w:r>
              <w:rPr>
                <w:rFonts w:hint="eastAsia"/>
                <w:color w:val="000000"/>
              </w:rPr>
              <w:t>新疆锦瑞驰云再生资源回收有限公司再生资源加工处置建设项目；</w:t>
            </w:r>
          </w:p>
          <w:p>
            <w:pPr>
              <w:ind w:firstLine="480"/>
            </w:pPr>
            <w:r>
              <w:t>建设单位：</w:t>
            </w:r>
            <w:r>
              <w:rPr>
                <w:rFonts w:hint="eastAsia"/>
                <w:color w:val="000000"/>
              </w:rPr>
              <w:t>新疆锦瑞驰云再生资源回收有限公司</w:t>
            </w:r>
            <w:r>
              <w:rPr>
                <w:rFonts w:hint="eastAsia"/>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：新建；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项目总投资：项目总投资156.2万元，项目资金全部由企业自筹，本项目环保</w:t>
            </w:r>
            <w:r>
              <w:rPr>
                <w:rFonts w:hint="eastAsia"/>
                <w:color w:val="000000" w:themeColor="text1"/>
                <w14:textFill>
                  <w14:solidFill>
                    <w14:schemeClr w14:val="tx1"/>
                  </w14:solidFill>
                </w14:textFill>
              </w:rPr>
              <w:t>投资23.5</w:t>
            </w:r>
            <w:r>
              <w:rPr>
                <w:color w:val="000000" w:themeColor="text1"/>
                <w14:textFill>
                  <w14:solidFill>
                    <w14:schemeClr w14:val="tx1"/>
                  </w14:solidFill>
                </w14:textFill>
              </w:rPr>
              <w:t>万元，</w:t>
            </w:r>
            <w:r>
              <w:rPr>
                <w:rFonts w:hint="eastAsia"/>
                <w:color w:val="000000" w:themeColor="text1"/>
                <w14:textFill>
                  <w14:solidFill>
                    <w14:schemeClr w14:val="tx1"/>
                  </w14:solidFill>
                </w14:textFill>
              </w:rPr>
              <w:t>占总投资的</w:t>
            </w:r>
            <w:r>
              <w:rPr>
                <w:rFonts w:hint="eastAsia" w:cs="Times New Roman"/>
                <w:color w:val="000000" w:themeColor="text1"/>
                <w:szCs w:val="24"/>
                <w14:textFill>
                  <w14:solidFill>
                    <w14:schemeClr w14:val="tx1"/>
                  </w14:solidFill>
                </w14:textFill>
              </w:rPr>
              <w:t>15.04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ind w:firstLine="480"/>
              <w:rPr>
                <w:color w:val="000000"/>
              </w:rPr>
            </w:pPr>
            <w:r>
              <w:rPr>
                <w:rFonts w:cs="Times New Roman"/>
              </w:rPr>
              <w:t>建设地点：</w:t>
            </w:r>
            <w:r>
              <w:rPr>
                <w:rFonts w:hint="eastAsia"/>
              </w:rPr>
              <w:t>库尔勒市哈拉玉宫镇废旧物资回收加工产业园2</w:t>
            </w:r>
            <w:r>
              <w:t>3</w:t>
            </w:r>
            <w:r>
              <w:rPr>
                <w:rFonts w:hint="eastAsia"/>
              </w:rPr>
              <w:t>号厂区；</w:t>
            </w:r>
          </w:p>
          <w:p>
            <w:pPr>
              <w:ind w:firstLine="480"/>
              <w:rPr>
                <w:rFonts w:cs="Times New Roman"/>
              </w:rPr>
            </w:pPr>
            <w:r>
              <w:rPr>
                <w:rFonts w:cs="Times New Roman"/>
              </w:rPr>
              <w:t>周边环境：项目区北、西</w:t>
            </w:r>
            <w:r>
              <w:rPr>
                <w:rFonts w:hint="eastAsia" w:cs="Times New Roman"/>
              </w:rPr>
              <w:t>侧为道路</w:t>
            </w:r>
            <w:r>
              <w:rPr>
                <w:rFonts w:cs="Times New Roman"/>
              </w:rPr>
              <w:t>、东侧为</w:t>
            </w:r>
            <w:r>
              <w:rPr>
                <w:rFonts w:hint="eastAsia" w:cs="Times New Roman"/>
              </w:rPr>
              <w:t>Y</w:t>
            </w:r>
            <w:r>
              <w:rPr>
                <w:rFonts w:cs="Times New Roman"/>
              </w:rPr>
              <w:t>039</w:t>
            </w:r>
            <w:r>
              <w:rPr>
                <w:rFonts w:hint="eastAsia" w:cs="Times New Roman"/>
              </w:rPr>
              <w:t>乡道、</w:t>
            </w:r>
            <w:r>
              <w:rPr>
                <w:rFonts w:cs="Times New Roman"/>
              </w:rPr>
              <w:t>南侧为中化肥料厂。具体地理位置详见附图1《建设项目地理位置图》，项目周边环境详见附图3《建设项目周边关系图》；</w:t>
            </w:r>
          </w:p>
          <w:p>
            <w:pPr>
              <w:ind w:firstLine="480"/>
              <w:rPr>
                <w:color w:val="C00000"/>
              </w:rPr>
            </w:pPr>
            <w:r>
              <w:t>生产规模：</w:t>
            </w:r>
            <w:r>
              <w:rPr>
                <w:rFonts w:hint="eastAsia" w:cs="Times New Roman"/>
                <w:color w:val="000000" w:themeColor="text1"/>
                <w:szCs w:val="24"/>
                <w14:textFill>
                  <w14:solidFill>
                    <w14:schemeClr w14:val="tx1"/>
                  </w14:solidFill>
                </w14:textFill>
              </w:rPr>
              <w:t>年生产</w:t>
            </w:r>
            <w:r>
              <w:rPr>
                <w:rFonts w:cs="Times New Roman"/>
                <w:color w:val="000000" w:themeColor="text1"/>
                <w:szCs w:val="24"/>
                <w14:textFill>
                  <w14:solidFill>
                    <w14:schemeClr w14:val="tx1"/>
                  </w14:solidFill>
                </w14:textFill>
              </w:rPr>
              <w:t>29657.295</w:t>
            </w:r>
            <w:r>
              <w:rPr>
                <w:rFonts w:hint="eastAsia" w:cs="Times New Roman"/>
                <w:bCs/>
                <w:color w:val="000000" w:themeColor="text1"/>
                <w:kern w:val="0"/>
                <w:szCs w:val="21"/>
                <w14:textFill>
                  <w14:solidFill>
                    <w14:schemeClr w14:val="tx1"/>
                  </w14:solidFill>
                </w14:textFill>
              </w:rPr>
              <w:t>吨塑料片料</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t>生产制度：</w:t>
            </w:r>
            <w:r>
              <w:rPr>
                <w:color w:val="000000"/>
              </w:rPr>
              <w:t>本项目年工作240天</w:t>
            </w:r>
            <w:r>
              <w:rPr>
                <w:rFonts w:hint="eastAsia"/>
                <w:color w:val="000000"/>
              </w:rPr>
              <w:t>，每天</w:t>
            </w:r>
            <w:r>
              <w:rPr>
                <w:color w:val="000000"/>
              </w:rPr>
              <w:t>10</w:t>
            </w:r>
            <w:r>
              <w:rPr>
                <w:rFonts w:hint="eastAsia"/>
                <w:color w:val="000000"/>
              </w:rPr>
              <w:t>小时工作制</w:t>
            </w:r>
            <w:r>
              <w:rPr>
                <w:rFonts w:hint="eastAsia"/>
                <w:color w:val="000000" w:themeColor="text1"/>
                <w14:textFill>
                  <w14:solidFill>
                    <w14:schemeClr w14:val="tx1"/>
                  </w14:solidFill>
                </w14:textFill>
              </w:rPr>
              <w:t>，</w:t>
            </w:r>
            <w:r>
              <w:t>劳动定员3人</w:t>
            </w:r>
            <w:r>
              <w:rPr>
                <w:rFonts w:hint="eastAsia"/>
                <w:color w:val="000000" w:themeColor="text1"/>
                <w14:textFill>
                  <w14:solidFill>
                    <w14:schemeClr w14:val="tx1"/>
                  </w14:solidFill>
                </w14:textFill>
              </w:rPr>
              <w:t>。</w:t>
            </w:r>
          </w:p>
          <w:p>
            <w:pPr>
              <w:ind w:firstLine="0" w:firstLineChars="0"/>
              <w:rPr>
                <w:b/>
                <w:bCs/>
              </w:rPr>
            </w:pPr>
            <w:r>
              <w:rPr>
                <w:rFonts w:hint="eastAsia"/>
                <w:b/>
                <w:bCs/>
              </w:rPr>
              <w:t>2</w:t>
            </w:r>
            <w:r>
              <w:rPr>
                <w:b/>
                <w:bCs/>
              </w:rPr>
              <w:t>.3</w:t>
            </w:r>
            <w:r>
              <w:rPr>
                <w:rFonts w:hint="eastAsia"/>
                <w:b/>
                <w:bCs/>
              </w:rPr>
              <w:t>建设内容</w:t>
            </w:r>
          </w:p>
          <w:p>
            <w:pPr>
              <w:ind w:firstLine="482"/>
              <w:rPr>
                <w:b/>
                <w:bCs/>
              </w:rPr>
            </w:pPr>
            <w:r>
              <w:rPr>
                <w:rFonts w:hint="eastAsia"/>
                <w:b/>
                <w:bCs/>
              </w:rPr>
              <w:t>1.建设规模</w:t>
            </w:r>
          </w:p>
          <w:p>
            <w:pPr>
              <w:ind w:firstLine="480"/>
              <w:rPr>
                <w:rFonts w:cs="Times New Roman"/>
              </w:rPr>
            </w:pPr>
            <w:r>
              <w:rPr>
                <w:rFonts w:hint="eastAsia" w:cs="Times New Roman"/>
                <w:szCs w:val="32"/>
              </w:rPr>
              <w:t>本项目租赁库尔勒市哈拉玉宫镇废旧物资回收加工产业园</w:t>
            </w:r>
            <w:r>
              <w:rPr>
                <w:rFonts w:cs="Times New Roman"/>
                <w:szCs w:val="32"/>
              </w:rPr>
              <w:t>23</w:t>
            </w:r>
            <w:r>
              <w:rPr>
                <w:rFonts w:hint="eastAsia" w:cs="Times New Roman"/>
                <w:szCs w:val="32"/>
              </w:rPr>
              <w:t>号厂区</w:t>
            </w:r>
            <w:r>
              <w:rPr>
                <w:rFonts w:hint="eastAsia" w:cs="Times New Roman"/>
              </w:rPr>
              <w:t>，厂区内设有标准厂房、办公用房。厂区占地面积</w:t>
            </w:r>
            <w:r>
              <w:rPr>
                <w:rFonts w:cs="Times New Roman"/>
              </w:rPr>
              <w:t>6500 m²</w:t>
            </w:r>
            <w:r>
              <w:rPr>
                <w:rFonts w:hint="eastAsia" w:cs="Times New Roman"/>
              </w:rPr>
              <w:t>，厂房建筑面积约</w:t>
            </w:r>
            <w:r>
              <w:rPr>
                <w:rFonts w:cs="Times New Roman"/>
              </w:rPr>
              <w:t>500 m²</w:t>
            </w:r>
            <w:r>
              <w:rPr>
                <w:rFonts w:hint="eastAsia" w:cs="Times New Roman"/>
              </w:rPr>
              <w:t>。厂房内安装撕碎机、破碎机、空分机、甩干机等设备，建成2条废旧塑料加工生产线，年产塑料片料</w:t>
            </w:r>
            <w:r>
              <w:rPr>
                <w:rFonts w:cs="Times New Roman"/>
                <w:color w:val="000000" w:themeColor="text1"/>
                <w:szCs w:val="24"/>
                <w14:textFill>
                  <w14:solidFill>
                    <w14:schemeClr w14:val="tx1"/>
                  </w14:solidFill>
                </w14:textFill>
              </w:rPr>
              <w:t>29657.295</w:t>
            </w:r>
            <w:r>
              <w:rPr>
                <w:rFonts w:hint="eastAsia" w:cs="Times New Roman"/>
              </w:rPr>
              <w:t>吨。本项目不涉及热熔造粒等塑料再生制造工序，所产塑料片料作为原料外售至下游塑料制品企业</w:t>
            </w:r>
            <w:r>
              <w:rPr>
                <w:rFonts w:hint="eastAsia" w:cs="Times New Roman"/>
                <w:szCs w:val="32"/>
              </w:rPr>
              <w:t>。</w:t>
            </w:r>
          </w:p>
          <w:p>
            <w:pPr>
              <w:ind w:firstLine="480"/>
              <w:rPr>
                <w:rFonts w:cs="Times New Roman"/>
                <w:bCs/>
                <w:szCs w:val="24"/>
              </w:rPr>
            </w:pPr>
            <w:r>
              <w:rPr>
                <w:rFonts w:hint="eastAsia" w:cs="Times New Roman"/>
                <w:szCs w:val="24"/>
              </w:rPr>
              <w:t>建设内容包括主体工程（生产车间）、辅助工程（办公区、</w:t>
            </w:r>
            <w:r>
              <w:rPr>
                <w:rFonts w:hint="eastAsia" w:cs="Times New Roman"/>
                <w:bCs/>
                <w:szCs w:val="24"/>
              </w:rPr>
              <w:t>沉淀池、清洗池</w:t>
            </w:r>
            <w:r>
              <w:rPr>
                <w:rFonts w:hint="eastAsia" w:cs="Times New Roman"/>
                <w:szCs w:val="24"/>
              </w:rPr>
              <w:t>）、储运工程（</w:t>
            </w:r>
            <w:r>
              <w:rPr>
                <w:rFonts w:hint="eastAsia" w:cs="Times New Roman"/>
                <w:bCs/>
                <w:szCs w:val="24"/>
              </w:rPr>
              <w:t>原料堆场、成品堆场、晾晒场地等</w:t>
            </w:r>
            <w:r>
              <w:rPr>
                <w:rFonts w:hint="eastAsia" w:cs="Times New Roman"/>
                <w:szCs w:val="24"/>
              </w:rPr>
              <w:t>）、公用工程（供水、供电、供暖等）及环保工程（废气、废水、噪声及固体废物治理设施等）。</w:t>
            </w:r>
            <w:r>
              <w:rPr>
                <w:rFonts w:hint="eastAsia" w:cs="Times New Roman"/>
                <w:bCs/>
                <w:szCs w:val="24"/>
              </w:rPr>
              <w:t>具体情况详见表2-2。</w:t>
            </w:r>
          </w:p>
          <w:p>
            <w:pPr>
              <w:keepNext/>
              <w:adjustRightInd w:val="0"/>
              <w:snapToGrid w:val="0"/>
              <w:spacing w:before="163" w:beforeLines="50" w:line="240" w:lineRule="auto"/>
              <w:ind w:firstLine="422"/>
              <w:jc w:val="center"/>
              <w:rPr>
                <w:rFonts w:cs="Times New Roman"/>
                <w:b/>
                <w:sz w:val="21"/>
              </w:rPr>
            </w:pPr>
            <w:r>
              <w:rPr>
                <w:rFonts w:hint="eastAsia" w:cs="Times New Roman"/>
                <w:b/>
                <w:sz w:val="21"/>
              </w:rPr>
              <w:t>表2</w:t>
            </w:r>
            <w:r>
              <w:rPr>
                <w:rFonts w:cs="Times New Roman"/>
                <w:b/>
                <w:sz w:val="21"/>
              </w:rPr>
              <w:t xml:space="preserve">-2  </w:t>
            </w:r>
            <w:r>
              <w:rPr>
                <w:rFonts w:hint="eastAsia" w:cs="Times New Roman"/>
                <w:b/>
                <w:sz w:val="21"/>
              </w:rPr>
              <w:t>项目组成情况一览表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3"/>
              <w:gridCol w:w="1401"/>
              <w:gridCol w:w="5000"/>
              <w:gridCol w:w="1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bookmarkStart w:id="10" w:name="_Hlk97569549"/>
                  <w:r>
                    <w:rPr>
                      <w:rFonts w:cs="Times New Roman"/>
                      <w:color w:val="000000"/>
                      <w:sz w:val="21"/>
                      <w:szCs w:val="21"/>
                    </w:rPr>
                    <w:t>类别</w:t>
                  </w: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项目名称</w:t>
                  </w:r>
                </w:p>
              </w:tc>
              <w:tc>
                <w:tcPr>
                  <w:tcW w:w="2944"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建设内容</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58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主体工程</w:t>
                  </w: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生产车间</w:t>
                  </w:r>
                </w:p>
              </w:tc>
              <w:tc>
                <w:tcPr>
                  <w:tcW w:w="2944"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已建标准厂房，长约</w:t>
                  </w:r>
                  <w:r>
                    <w:rPr>
                      <w:rFonts w:cs="Times New Roman"/>
                      <w:sz w:val="21"/>
                      <w:szCs w:val="21"/>
                    </w:rPr>
                    <w:t>36.5m</w:t>
                  </w:r>
                  <w:r>
                    <w:rPr>
                      <w:rFonts w:hint="eastAsia" w:cs="Times New Roman"/>
                      <w:sz w:val="21"/>
                      <w:szCs w:val="21"/>
                    </w:rPr>
                    <w:t>，宽约</w:t>
                  </w:r>
                  <w:r>
                    <w:rPr>
                      <w:rFonts w:cs="Times New Roman"/>
                      <w:sz w:val="21"/>
                      <w:szCs w:val="21"/>
                    </w:rPr>
                    <w:t>12m</w:t>
                  </w:r>
                  <w:r>
                    <w:rPr>
                      <w:rFonts w:hint="eastAsia" w:cs="Times New Roman"/>
                      <w:sz w:val="21"/>
                      <w:szCs w:val="21"/>
                    </w:rPr>
                    <w:t>，占地面积5</w:t>
                  </w:r>
                  <w:r>
                    <w:rPr>
                      <w:rFonts w:cs="Times New Roman"/>
                      <w:sz w:val="21"/>
                      <w:szCs w:val="21"/>
                    </w:rPr>
                    <w:t>00</w:t>
                  </w:r>
                  <w:r>
                    <w:rPr>
                      <w:rFonts w:hint="eastAsia" w:cs="Times New Roman"/>
                      <w:sz w:val="21"/>
                      <w:szCs w:val="21"/>
                    </w:rPr>
                    <w:t>m</w:t>
                  </w:r>
                  <w:r>
                    <w:rPr>
                      <w:rFonts w:hint="eastAsia" w:cs="Times New Roman"/>
                      <w:sz w:val="21"/>
                      <w:szCs w:val="21"/>
                      <w:vertAlign w:val="superscript"/>
                    </w:rPr>
                    <w:t>2</w:t>
                  </w:r>
                  <w:r>
                    <w:rPr>
                      <w:rFonts w:hint="eastAsia" w:cs="Times New Roman"/>
                      <w:sz w:val="21"/>
                      <w:szCs w:val="21"/>
                    </w:rPr>
                    <w:t>，厂房内设有2条废旧塑料加工生产线，生产线均包含撕碎机、空分机、甩干机、破碎机</w:t>
                  </w:r>
                  <w:r>
                    <w:rPr>
                      <w:rFonts w:hint="eastAsia"/>
                      <w:color w:val="000000"/>
                      <w:sz w:val="21"/>
                      <w:szCs w:val="21"/>
                    </w:rPr>
                    <w:t>等设备，</w:t>
                  </w:r>
                  <w:r>
                    <w:rPr>
                      <w:rFonts w:hint="eastAsia" w:cs="Times New Roman"/>
                      <w:sz w:val="21"/>
                      <w:szCs w:val="21"/>
                    </w:rPr>
                    <w:t>车间地面做防渗处理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olor w:val="000000"/>
                      <w:sz w:val="21"/>
                      <w:szCs w:val="21"/>
                    </w:rPr>
                    <w:t>租赁现有厂房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9"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辅助工程</w:t>
                  </w: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办公室</w:t>
                  </w:r>
                </w:p>
              </w:tc>
              <w:tc>
                <w:tcPr>
                  <w:tcW w:w="2944"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占地面积</w:t>
                  </w:r>
                  <w:r>
                    <w:rPr>
                      <w:rFonts w:cs="Times New Roman"/>
                      <w:sz w:val="21"/>
                      <w:szCs w:val="21"/>
                    </w:rPr>
                    <w:t>88m</w:t>
                  </w:r>
                  <w:r>
                    <w:rPr>
                      <w:rFonts w:cs="Times New Roman"/>
                      <w:sz w:val="21"/>
                      <w:szCs w:val="21"/>
                      <w:vertAlign w:val="superscript"/>
                    </w:rPr>
                    <w:t>2</w:t>
                  </w:r>
                  <w:r>
                    <w:rPr>
                      <w:rFonts w:hint="eastAsia" w:cs="Times New Roman"/>
                      <w:sz w:val="21"/>
                      <w:szCs w:val="21"/>
                    </w:rPr>
                    <w:t>，作为办公用房</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租赁现有</w:t>
                  </w:r>
                  <w:r>
                    <w:rPr>
                      <w:rFonts w:hint="eastAsia" w:cs="Times New Roman"/>
                      <w:color w:val="000000"/>
                      <w:kern w:val="0"/>
                      <w:sz w:val="21"/>
                      <w:szCs w:val="21"/>
                    </w:rPr>
                    <w:t>办公室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cs="Times New Roman"/>
                      <w:color w:val="000000"/>
                      <w:sz w:val="21"/>
                      <w:szCs w:val="21"/>
                    </w:rPr>
                    <w:t>沉淀池</w:t>
                  </w:r>
                </w:p>
              </w:tc>
              <w:tc>
                <w:tcPr>
                  <w:tcW w:w="2944" w:type="pct"/>
                  <w:vAlign w:val="center"/>
                </w:tcPr>
                <w:p>
                  <w:pPr>
                    <w:adjustRightInd w:val="0"/>
                    <w:snapToGrid w:val="0"/>
                    <w:spacing w:line="240" w:lineRule="auto"/>
                    <w:ind w:firstLine="0" w:firstLineChars="0"/>
                    <w:contextualSpacing/>
                    <w:textAlignment w:val="auto"/>
                    <w:rPr>
                      <w:rFonts w:cs="Times New Roman"/>
                      <w:sz w:val="21"/>
                      <w:szCs w:val="21"/>
                    </w:rPr>
                  </w:pPr>
                  <w:r>
                    <w:rPr>
                      <w:rFonts w:cs="Times New Roman"/>
                      <w:sz w:val="21"/>
                      <w:szCs w:val="21"/>
                    </w:rPr>
                    <w:t>地下式三级沉淀池1座，有效容积30m³，池体采用钢筋混凝土结构，池底及池壁均作防渗处理。整体防渗性能满足等效黏土防渗层Mb≥1.5m，渗透系数K≤1×10⁻⁷cm/s的要求</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cs="Times New Roman"/>
                      <w:color w:val="000000"/>
                      <w:sz w:val="21"/>
                      <w:szCs w:val="21"/>
                    </w:rPr>
                    <w:t>清洗池</w:t>
                  </w:r>
                </w:p>
              </w:tc>
              <w:tc>
                <w:tcPr>
                  <w:tcW w:w="2944"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sz w:val="21"/>
                      <w:szCs w:val="21"/>
                    </w:rPr>
                    <w:t>设一座容积为26m³的清洗池，用于清洗破碎后的废塑料</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储运工程</w:t>
                  </w: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原料堆场</w:t>
                  </w: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位于生产车间西侧，用于原料堆场，</w:t>
                  </w:r>
                  <w:r>
                    <w:rPr>
                      <w:rFonts w:hint="eastAsia"/>
                      <w:color w:val="000000" w:themeColor="text1"/>
                      <w:sz w:val="21"/>
                      <w:szCs w:val="21"/>
                      <w14:textFill>
                        <w14:solidFill>
                          <w14:schemeClr w14:val="tx1"/>
                        </w14:solidFill>
                      </w14:textFill>
                    </w:rPr>
                    <w:t>使用篷布对堆放物料进行全面遮盖，防止风力扬尘，</w:t>
                  </w:r>
                  <w:r>
                    <w:rPr>
                      <w:rFonts w:hint="eastAsia" w:cs="Times New Roman"/>
                      <w:color w:val="000000" w:themeColor="text1"/>
                      <w:kern w:val="0"/>
                      <w:sz w:val="21"/>
                      <w:szCs w:val="21"/>
                      <w14:textFill>
                        <w14:solidFill>
                          <w14:schemeClr w14:val="tx1"/>
                        </w14:solidFill>
                      </w14:textFill>
                    </w:rPr>
                    <w:t>占地面积3</w:t>
                  </w:r>
                  <w:r>
                    <w:rPr>
                      <w:rFonts w:cs="Times New Roman"/>
                      <w:color w:val="000000" w:themeColor="text1"/>
                      <w:kern w:val="0"/>
                      <w:sz w:val="21"/>
                      <w:szCs w:val="21"/>
                      <w14:textFill>
                        <w14:solidFill>
                          <w14:schemeClr w14:val="tx1"/>
                        </w14:solidFill>
                      </w14:textFill>
                    </w:rPr>
                    <w:t>00m</w:t>
                  </w:r>
                  <w:r>
                    <w:rPr>
                      <w:rFonts w:cs="Times New Roman"/>
                      <w:color w:val="000000" w:themeColor="text1"/>
                      <w:kern w:val="0"/>
                      <w:sz w:val="21"/>
                      <w:szCs w:val="21"/>
                      <w:vertAlign w:val="superscript"/>
                      <w14:textFill>
                        <w14:solidFill>
                          <w14:schemeClr w14:val="tx1"/>
                        </w14:solidFill>
                      </w14:textFill>
                    </w:rPr>
                    <w:t>2</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成品堆场</w:t>
                  </w: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设置成品堆场区，位于生产车间西北侧，用于产品堆场，占地面积1</w:t>
                  </w:r>
                  <w:r>
                    <w:rPr>
                      <w:rFonts w:cs="Times New Roman"/>
                      <w:color w:val="000000" w:themeColor="text1"/>
                      <w:kern w:val="0"/>
                      <w:sz w:val="21"/>
                      <w:szCs w:val="21"/>
                      <w14:textFill>
                        <w14:solidFill>
                          <w14:schemeClr w14:val="tx1"/>
                        </w14:solidFill>
                      </w14:textFill>
                    </w:rPr>
                    <w:t>00</w:t>
                  </w:r>
                  <w:r>
                    <w:rPr>
                      <w:rFonts w:hint="eastAsia" w:cs="Times New Roman"/>
                      <w:color w:val="000000" w:themeColor="text1"/>
                      <w:kern w:val="0"/>
                      <w:sz w:val="21"/>
                      <w:szCs w:val="21"/>
                      <w14:textFill>
                        <w14:solidFill>
                          <w14:schemeClr w14:val="tx1"/>
                        </w14:solidFill>
                      </w14:textFill>
                    </w:rPr>
                    <w:t>m</w:t>
                  </w:r>
                  <w:r>
                    <w:rPr>
                      <w:rFonts w:hint="eastAsia" w:cs="Times New Roman"/>
                      <w:color w:val="000000" w:themeColor="text1"/>
                      <w:kern w:val="0"/>
                      <w:sz w:val="21"/>
                      <w:szCs w:val="21"/>
                      <w:vertAlign w:val="superscript"/>
                      <w14:textFill>
                        <w14:solidFill>
                          <w14:schemeClr w14:val="tx1"/>
                        </w14:solidFill>
                      </w14:textFill>
                    </w:rPr>
                    <w:t>2</w:t>
                  </w:r>
                </w:p>
              </w:tc>
              <w:tc>
                <w:tcPr>
                  <w:tcW w:w="646" w:type="pct"/>
                  <w:vAlign w:val="center"/>
                </w:tcPr>
                <w:p>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晾晒场地</w:t>
                  </w: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晾晒场位于成品堆场区西侧，专门用于</w:t>
                  </w:r>
                  <w:r>
                    <w:rPr>
                      <w:rFonts w:cs="Times New Roman"/>
                      <w:sz w:val="21"/>
                      <w:szCs w:val="21"/>
                    </w:rPr>
                    <w:t>沉淀池</w:t>
                  </w:r>
                  <w:r>
                    <w:rPr>
                      <w:rFonts w:hint="eastAsia" w:cs="Times New Roman"/>
                      <w:sz w:val="21"/>
                      <w:szCs w:val="21"/>
                    </w:rPr>
                    <w:t>沉渣</w:t>
                  </w:r>
                  <w:r>
                    <w:rPr>
                      <w:rFonts w:hint="eastAsia" w:cs="Times New Roman"/>
                      <w:color w:val="000000" w:themeColor="text1"/>
                      <w:kern w:val="0"/>
                      <w:sz w:val="21"/>
                      <w:szCs w:val="21"/>
                      <w14:textFill>
                        <w14:solidFill>
                          <w14:schemeClr w14:val="tx1"/>
                        </w14:solidFill>
                      </w14:textFill>
                    </w:rPr>
                    <w:t>的晾晒干化，占地面积为100m²</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一般固体废物暂存间</w:t>
                  </w:r>
                </w:p>
              </w:tc>
              <w:tc>
                <w:tcPr>
                  <w:tcW w:w="2944" w:type="pct"/>
                  <w:vAlign w:val="center"/>
                </w:tcPr>
                <w:p>
                  <w:pPr>
                    <w:adjustRightInd w:val="0"/>
                    <w:snapToGrid w:val="0"/>
                    <w:spacing w:line="240" w:lineRule="auto"/>
                    <w:ind w:firstLine="0" w:firstLineChars="0"/>
                    <w:contextualSpacing/>
                    <w:rPr>
                      <w:sz w:val="21"/>
                      <w:szCs w:val="21"/>
                    </w:rPr>
                  </w:pPr>
                  <w:r>
                    <w:rPr>
                      <w:rFonts w:hint="eastAsia"/>
                      <w:sz w:val="21"/>
                      <w:szCs w:val="21"/>
                    </w:rPr>
                    <w:t>占地面积50m</w:t>
                  </w:r>
                  <w:r>
                    <w:rPr>
                      <w:rFonts w:hint="eastAsia"/>
                      <w:sz w:val="21"/>
                      <w:szCs w:val="21"/>
                      <w:vertAlign w:val="superscript"/>
                    </w:rPr>
                    <w:t>2</w:t>
                  </w:r>
                  <w:r>
                    <w:rPr>
                      <w:rFonts w:hint="eastAsia"/>
                      <w:sz w:val="21"/>
                      <w:szCs w:val="21"/>
                    </w:rPr>
                    <w:t>，位于生产车间内，</w:t>
                  </w:r>
                  <w:r>
                    <w:rPr>
                      <w:rFonts w:hint="eastAsia" w:cs="Times New Roman"/>
                      <w:color w:val="000000"/>
                      <w:sz w:val="21"/>
                      <w:szCs w:val="21"/>
                    </w:rPr>
                    <w:t>用于存放一般固体废物</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危险废物贮存点</w:t>
                  </w:r>
                </w:p>
              </w:tc>
              <w:tc>
                <w:tcPr>
                  <w:tcW w:w="2944" w:type="pct"/>
                  <w:vAlign w:val="center"/>
                </w:tcPr>
                <w:p>
                  <w:pPr>
                    <w:adjustRightInd w:val="0"/>
                    <w:snapToGrid w:val="0"/>
                    <w:spacing w:line="240" w:lineRule="auto"/>
                    <w:ind w:firstLine="0" w:firstLineChars="0"/>
                    <w:contextualSpacing/>
                    <w:rPr>
                      <w:sz w:val="21"/>
                      <w:szCs w:val="21"/>
                    </w:rPr>
                  </w:pPr>
                  <w:r>
                    <w:rPr>
                      <w:rFonts w:cs="Times New Roman"/>
                      <w:sz w:val="21"/>
                      <w:szCs w:val="21"/>
                    </w:rPr>
                    <w:t>在</w:t>
                  </w:r>
                  <w:r>
                    <w:rPr>
                      <w:rFonts w:hint="eastAsia" w:cs="Times New Roman"/>
                      <w:color w:val="000000"/>
                      <w:kern w:val="0"/>
                      <w:sz w:val="21"/>
                      <w:szCs w:val="21"/>
                    </w:rPr>
                    <w:t>生产车间南侧</w:t>
                  </w:r>
                  <w:r>
                    <w:rPr>
                      <w:rFonts w:cs="Times New Roman"/>
                      <w:sz w:val="21"/>
                      <w:szCs w:val="21"/>
                    </w:rPr>
                    <w:t>设置一处面积约5</w:t>
                  </w:r>
                  <w:r>
                    <w:rPr>
                      <w:rFonts w:hint="eastAsia" w:cs="Times New Roman"/>
                      <w:sz w:val="21"/>
                      <w:szCs w:val="21"/>
                    </w:rPr>
                    <w:t>m</w:t>
                  </w:r>
                  <w:r>
                    <w:rPr>
                      <w:rFonts w:hint="eastAsia" w:cs="Times New Roman"/>
                      <w:sz w:val="21"/>
                      <w:szCs w:val="21"/>
                      <w:vertAlign w:val="superscript"/>
                    </w:rPr>
                    <w:t>2</w:t>
                  </w:r>
                  <w:r>
                    <w:rPr>
                      <w:rFonts w:cs="Times New Roman"/>
                      <w:sz w:val="21"/>
                      <w:szCs w:val="21"/>
                    </w:rPr>
                    <w:t>的危险废物贮存点，用于</w:t>
                  </w:r>
                  <w:r>
                    <w:rPr>
                      <w:rFonts w:hint="eastAsia" w:cs="Times New Roman"/>
                      <w:sz w:val="21"/>
                      <w:szCs w:val="21"/>
                    </w:rPr>
                    <w:t>贮存危险废物</w:t>
                  </w:r>
                </w:p>
              </w:tc>
              <w:tc>
                <w:tcPr>
                  <w:tcW w:w="646" w:type="pct"/>
                  <w:vAlign w:val="center"/>
                </w:tcPr>
                <w:p>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公用工程</w:t>
                  </w: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供水</w:t>
                  </w:r>
                </w:p>
              </w:tc>
              <w:tc>
                <w:tcPr>
                  <w:tcW w:w="2944"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由库尔勒市哈拉玉宫镇废旧物资回收加工产业园供水系统供给</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1"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供电</w:t>
                  </w:r>
                </w:p>
              </w:tc>
              <w:tc>
                <w:tcPr>
                  <w:tcW w:w="2944"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由库尔勒市哈拉玉宫镇废旧物资回收加工产业园电力系统供给</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w:t>
                  </w:r>
                  <w:r>
                    <w:rPr>
                      <w:rFonts w:hint="eastAsia" w:cs="Times New Roman"/>
                      <w:color w:val="000000"/>
                      <w:sz w:val="21"/>
                      <w:szCs w:val="21"/>
                    </w:rPr>
                    <w:t>暖</w:t>
                  </w:r>
                </w:p>
              </w:tc>
              <w:tc>
                <w:tcPr>
                  <w:tcW w:w="2944"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olor w:val="000000"/>
                      <w:sz w:val="21"/>
                      <w:szCs w:val="21"/>
                    </w:rPr>
                    <w:t>生产线无需供热，生活区采用电取暖</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排水</w:t>
                  </w:r>
                </w:p>
              </w:tc>
              <w:tc>
                <w:tcPr>
                  <w:tcW w:w="2944"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本项目产生的生产废水经沉淀池处理后全部循环利用，不外排。生活污水进入库尔勒市哈拉玉宫镇废旧物资回收加工产业园配套建设的化粪池（总容积2</w:t>
                  </w:r>
                  <w:r>
                    <w:rPr>
                      <w:rFonts w:cs="Times New Roman"/>
                      <w:color w:val="000000" w:themeColor="text1"/>
                      <w:sz w:val="21"/>
                      <w:szCs w:val="21"/>
                      <w14:textFill>
                        <w14:solidFill>
                          <w14:schemeClr w14:val="tx1"/>
                        </w14:solidFill>
                      </w14:textFill>
                    </w:rPr>
                    <w:t>00</w:t>
                  </w:r>
                  <w:r>
                    <w:rPr>
                      <w:rFonts w:hint="eastAsia" w:cs="Times New Roman"/>
                      <w:color w:val="000000" w:themeColor="text1"/>
                      <w:sz w:val="21"/>
                      <w:szCs w:val="21"/>
                      <w14:textFill>
                        <w14:solidFill>
                          <w14:schemeClr w14:val="tx1"/>
                        </w14:solidFill>
                      </w14:textFill>
                    </w:rPr>
                    <w:t>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）进行预处理后，定期由吸污车抽运至库尔勒市南市区污水处理厂处理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废气治理</w:t>
                  </w:r>
                </w:p>
              </w:tc>
              <w:tc>
                <w:tcPr>
                  <w:tcW w:w="2944" w:type="pct"/>
                  <w:vAlign w:val="center"/>
                </w:tcPr>
                <w:p>
                  <w:pPr>
                    <w:adjustRightInd w:val="0"/>
                    <w:snapToGrid w:val="0"/>
                    <w:spacing w:line="240" w:lineRule="auto"/>
                    <w:ind w:firstLine="0" w:firstLineChars="0"/>
                    <w:contextualSpacing/>
                    <w:textAlignment w:val="auto"/>
                  </w:pPr>
                  <w:r>
                    <w:rPr>
                      <w:rFonts w:hint="eastAsia" w:cs="Times New Roman"/>
                      <w:color w:val="000000" w:themeColor="text1"/>
                      <w:sz w:val="21"/>
                      <w:szCs w:val="21"/>
                      <w14:textFill>
                        <w14:solidFill>
                          <w14:schemeClr w14:val="tx1"/>
                        </w14:solidFill>
                      </w14:textFill>
                    </w:rPr>
                    <w:t>本项目破碎工序采用湿法破碎工艺，并在密闭厂房内进行，防止粉尘逸散</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废水治理</w:t>
                  </w:r>
                </w:p>
              </w:tc>
              <w:tc>
                <w:tcPr>
                  <w:tcW w:w="2944" w:type="pct"/>
                  <w:vAlign w:val="center"/>
                </w:tcPr>
                <w:p>
                  <w:pPr>
                    <w:adjustRightInd w:val="0"/>
                    <w:snapToGrid w:val="0"/>
                    <w:spacing w:line="240" w:lineRule="auto"/>
                    <w:ind w:firstLine="0" w:firstLineChars="0"/>
                    <w:contextualSpacing/>
                    <w:textAlignment w:val="auto"/>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本项目产生的生产废水经沉淀池处理后全部循环利用，不外排。生活污水进入库尔勒市哈拉玉宫镇废旧物资回收加工产业园配套建设的化粪池（总容积2</w:t>
                  </w:r>
                  <w:r>
                    <w:rPr>
                      <w:rFonts w:cs="Times New Roman"/>
                      <w:color w:val="000000" w:themeColor="text1"/>
                      <w:sz w:val="21"/>
                      <w:szCs w:val="21"/>
                      <w14:textFill>
                        <w14:solidFill>
                          <w14:schemeClr w14:val="tx1"/>
                        </w14:solidFill>
                      </w14:textFill>
                    </w:rPr>
                    <w:t>00</w:t>
                  </w:r>
                  <w:r>
                    <w:rPr>
                      <w:rFonts w:hint="eastAsia" w:cs="Times New Roman"/>
                      <w:color w:val="000000" w:themeColor="text1"/>
                      <w:sz w:val="21"/>
                      <w:szCs w:val="21"/>
                      <w14:textFill>
                        <w14:solidFill>
                          <w14:schemeClr w14:val="tx1"/>
                        </w14:solidFill>
                      </w14:textFill>
                    </w:rPr>
                    <w:t>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）进行预处理后，定期由吸污车抽运至库尔勒市南市区污水处理厂处理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kern w:val="0"/>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噪声治理</w:t>
                  </w: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65"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restar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固体废物治理</w:t>
                  </w: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cs="Times New Roman"/>
                      <w:sz w:val="21"/>
                      <w:szCs w:val="21"/>
                    </w:rPr>
                    <w:t>沉淀池</w:t>
                  </w:r>
                  <w:r>
                    <w:rPr>
                      <w:rFonts w:hint="eastAsia" w:cs="Times New Roman"/>
                      <w:sz w:val="21"/>
                      <w:szCs w:val="21"/>
                    </w:rPr>
                    <w:t>沉渣</w:t>
                  </w:r>
                  <w:r>
                    <w:rPr>
                      <w:rFonts w:hint="eastAsia" w:cs="Times New Roman"/>
                      <w:color w:val="000000" w:themeColor="text1"/>
                      <w:sz w:val="21"/>
                      <w:szCs w:val="21"/>
                      <w14:textFill>
                        <w14:solidFill>
                          <w14:schemeClr w14:val="tx1"/>
                        </w14:solidFill>
                      </w14:textFill>
                    </w:rPr>
                    <w:t>定期清掏晾晒干后送往一般工业固废填埋场</w:t>
                  </w:r>
                </w:p>
              </w:tc>
              <w:tc>
                <w:tcPr>
                  <w:tcW w:w="646" w:type="pct"/>
                  <w:vMerge w:val="restart"/>
                  <w:vAlign w:val="center"/>
                </w:tcPr>
                <w:p>
                  <w:pPr>
                    <w:adjustRightInd w:val="0"/>
                    <w:snapToGrid w:val="0"/>
                    <w:spacing w:line="240" w:lineRule="auto"/>
                    <w:ind w:firstLine="0" w:firstLineChars="0"/>
                    <w:contextualSpacing/>
                    <w:jc w:val="center"/>
                    <w:textAlignment w:val="auto"/>
                    <w:rPr>
                      <w:rFonts w:cs="Times New Roman"/>
                      <w:color w:val="FF0000"/>
                      <w:sz w:val="21"/>
                      <w:szCs w:val="21"/>
                    </w:rPr>
                  </w:pPr>
                  <w:r>
                    <w:rPr>
                      <w:rFonts w:hint="eastAsia" w:cs="Times New Roman"/>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7"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分拣废料集中收集后定期外售至废品回收站</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生活垃圾集中收集至垃圾箱后由环卫部门统一清运</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危险废物集中收集后，分区存放于危险废物贮存点，定期交由有危险废物处理资质的单位回收处理</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bookmarkEnd w:id="10"/>
          </w:tbl>
          <w:p>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2.产品方案</w:t>
            </w:r>
          </w:p>
          <w:p>
            <w:pPr>
              <w:ind w:firstLine="480"/>
              <w:rPr>
                <w:rFonts w:cs="Times New Roman"/>
                <w:bCs/>
                <w:szCs w:val="24"/>
              </w:rPr>
            </w:pPr>
            <w:r>
              <w:rPr>
                <w:rFonts w:hint="eastAsia"/>
                <w:bCs/>
              </w:rPr>
              <w:t>本项目产品及生产规模详见下表</w:t>
            </w:r>
            <w:r>
              <w:rPr>
                <w:rFonts w:hint="eastAsia" w:cs="Times New Roman"/>
                <w:bCs/>
                <w:szCs w:val="24"/>
              </w:rPr>
              <w:t>2</w:t>
            </w:r>
            <w:r>
              <w:rPr>
                <w:rFonts w:cs="Times New Roman"/>
                <w:bCs/>
                <w:szCs w:val="24"/>
              </w:rPr>
              <w:t>-3。</w:t>
            </w:r>
          </w:p>
          <w:p>
            <w:pPr>
              <w:pStyle w:val="37"/>
              <w:spacing w:before="163"/>
            </w:pPr>
            <w:r>
              <w:rPr>
                <w:rFonts w:hint="eastAsia"/>
              </w:rPr>
              <w:t>表</w:t>
            </w:r>
            <w:r>
              <w:t xml:space="preserve">2-3  </w:t>
            </w:r>
            <w:r>
              <w:rPr>
                <w:rFonts w:hint="eastAsia"/>
              </w:rPr>
              <w:t>产品方案一览表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45"/>
              <w:gridCol w:w="1344"/>
              <w:gridCol w:w="967"/>
              <w:gridCol w:w="1577"/>
              <w:gridCol w:w="2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2" w:hRule="atLeast"/>
              </w:trPr>
              <w:tc>
                <w:tcPr>
                  <w:tcW w:w="402"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序号</w:t>
                  </w:r>
                </w:p>
              </w:tc>
              <w:tc>
                <w:tcPr>
                  <w:tcW w:w="682" w:type="pct"/>
                  <w:vAlign w:val="center"/>
                </w:tcPr>
                <w:p>
                  <w:pPr>
                    <w:spacing w:line="240" w:lineRule="auto"/>
                    <w:ind w:firstLine="0" w:firstLineChars="0"/>
                    <w:contextualSpacing/>
                    <w:jc w:val="center"/>
                    <w:textAlignment w:val="auto"/>
                    <w:rPr>
                      <w:rFonts w:cs="Times New Roman"/>
                      <w:sz w:val="21"/>
                    </w:rPr>
                  </w:pPr>
                  <w:r>
                    <w:rPr>
                      <w:rFonts w:cs="Times New Roman"/>
                      <w:sz w:val="21"/>
                    </w:rPr>
                    <w:t>产品类型</w:t>
                  </w:r>
                </w:p>
              </w:tc>
              <w:tc>
                <w:tcPr>
                  <w:tcW w:w="799"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产能t</w:t>
                  </w:r>
                  <w:r>
                    <w:rPr>
                      <w:rFonts w:cs="Times New Roman"/>
                      <w:sz w:val="21"/>
                    </w:rPr>
                    <w:t>/a</w:t>
                  </w:r>
                </w:p>
              </w:tc>
              <w:tc>
                <w:tcPr>
                  <w:tcW w:w="577"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规格</w:t>
                  </w:r>
                </w:p>
              </w:tc>
              <w:tc>
                <w:tcPr>
                  <w:tcW w:w="936"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用途</w:t>
                  </w:r>
                </w:p>
              </w:tc>
              <w:tc>
                <w:tcPr>
                  <w:tcW w:w="1600" w:type="pct"/>
                  <w:vMerge w:val="restart"/>
                  <w:vAlign w:val="center"/>
                </w:tcPr>
                <w:p>
                  <w:pPr>
                    <w:spacing w:line="240" w:lineRule="auto"/>
                    <w:ind w:firstLine="0" w:firstLineChars="0"/>
                    <w:contextualSpacing/>
                    <w:jc w:val="left"/>
                    <w:textAlignment w:val="auto"/>
                    <w:rPr>
                      <w:rFonts w:cs="Times New Roman"/>
                      <w:sz w:val="21"/>
                    </w:rPr>
                  </w:pPr>
                  <w:r>
                    <w:rPr>
                      <w:rFonts w:hint="eastAsia" w:cs="Times New Roman"/>
                      <w:sz w:val="21"/>
                    </w:rPr>
                    <w:drawing>
                      <wp:inline distT="0" distB="0" distL="114300" distR="114300">
                        <wp:extent cx="1625600" cy="1353185"/>
                        <wp:effectExtent l="0" t="0" r="5080" b="3175"/>
                        <wp:docPr id="9" name="图片 9" descr="4800ded20ff1c05dd03f83533a4b9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800ded20ff1c05dd03f83533a4b983e"/>
                                <pic:cNvPicPr>
                                  <a:picLocks noChangeAspect="1"/>
                                </pic:cNvPicPr>
                              </pic:nvPicPr>
                              <pic:blipFill>
                                <a:blip r:embed="rId12"/>
                                <a:stretch>
                                  <a:fillRect/>
                                </a:stretch>
                              </pic:blipFill>
                              <pic:spPr>
                                <a:xfrm>
                                  <a:off x="0" y="0"/>
                                  <a:ext cx="1625600" cy="135318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402"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1</w:t>
                  </w:r>
                </w:p>
              </w:tc>
              <w:tc>
                <w:tcPr>
                  <w:tcW w:w="682"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塑料碎片</w:t>
                  </w:r>
                </w:p>
              </w:tc>
              <w:tc>
                <w:tcPr>
                  <w:tcW w:w="799" w:type="pct"/>
                  <w:vAlign w:val="center"/>
                </w:tcPr>
                <w:p>
                  <w:pPr>
                    <w:spacing w:line="240" w:lineRule="auto"/>
                    <w:ind w:firstLine="0" w:firstLineChars="0"/>
                    <w:contextualSpacing/>
                    <w:jc w:val="center"/>
                    <w:textAlignment w:val="auto"/>
                    <w:rPr>
                      <w:rFonts w:cs="Times New Roman"/>
                      <w:sz w:val="21"/>
                    </w:rPr>
                  </w:pPr>
                  <w:r>
                    <w:rPr>
                      <w:rFonts w:cs="Times New Roman"/>
                      <w:color w:val="000000" w:themeColor="text1"/>
                      <w:sz w:val="21"/>
                      <w:szCs w:val="21"/>
                      <w14:textFill>
                        <w14:solidFill>
                          <w14:schemeClr w14:val="tx1"/>
                        </w14:solidFill>
                      </w14:textFill>
                    </w:rPr>
                    <w:t>29657.295</w:t>
                  </w:r>
                </w:p>
              </w:tc>
              <w:tc>
                <w:tcPr>
                  <w:tcW w:w="577" w:type="pct"/>
                  <w:vAlign w:val="center"/>
                </w:tcPr>
                <w:p>
                  <w:pPr>
                    <w:spacing w:line="240" w:lineRule="auto"/>
                    <w:ind w:firstLine="0" w:firstLineChars="0"/>
                    <w:contextualSpacing/>
                    <w:textAlignment w:val="auto"/>
                    <w:rPr>
                      <w:rFonts w:cs="Times New Roman"/>
                      <w:sz w:val="21"/>
                    </w:rPr>
                  </w:pPr>
                  <w:r>
                    <w:rPr>
                      <w:rFonts w:hint="eastAsia" w:cs="Times New Roman"/>
                      <w:sz w:val="21"/>
                    </w:rPr>
                    <w:t>粒径为1-3cm；吨装（集装袋）</w:t>
                  </w:r>
                </w:p>
              </w:tc>
              <w:tc>
                <w:tcPr>
                  <w:tcW w:w="936"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外售至塑料厂作为塑料颗粒生产原料</w:t>
                  </w:r>
                </w:p>
              </w:tc>
              <w:tc>
                <w:tcPr>
                  <w:tcW w:w="1600" w:type="pct"/>
                  <w:vMerge w:val="continue"/>
                  <w:vAlign w:val="center"/>
                </w:tcPr>
                <w:p>
                  <w:pPr>
                    <w:spacing w:line="240" w:lineRule="auto"/>
                    <w:ind w:firstLine="0" w:firstLineChars="0"/>
                    <w:contextualSpacing/>
                    <w:jc w:val="center"/>
                    <w:textAlignment w:val="auto"/>
                    <w:rPr>
                      <w:rFonts w:cs="Times New Roman"/>
                      <w:sz w:val="21"/>
                    </w:rPr>
                  </w:pPr>
                </w:p>
              </w:tc>
            </w:tr>
          </w:tbl>
          <w:p>
            <w:pPr>
              <w:pStyle w:val="3"/>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3.主要设备</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项目主要生产设备见下表：</w:t>
            </w:r>
          </w:p>
          <w:p>
            <w:pPr>
              <w:spacing w:line="240" w:lineRule="auto"/>
              <w:ind w:firstLine="0" w:firstLineChars="0"/>
              <w:jc w:val="center"/>
              <w:textAlignment w:val="auto"/>
              <w:rPr>
                <w:rFonts w:cs="Times New Roman"/>
                <w:b/>
                <w:bCs/>
                <w:color w:val="000000"/>
                <w:sz w:val="21"/>
                <w:szCs w:val="21"/>
              </w:rPr>
            </w:pPr>
            <w:r>
              <w:rPr>
                <w:rFonts w:cs="Times New Roman"/>
                <w:b/>
                <w:bCs/>
                <w:color w:val="000000"/>
                <w:sz w:val="21"/>
                <w:szCs w:val="21"/>
              </w:rPr>
              <w:t xml:space="preserve">表2-4  </w:t>
            </w:r>
            <w:r>
              <w:rPr>
                <w:rFonts w:hint="eastAsia" w:cs="Times New Roman"/>
                <w:b/>
                <w:bCs/>
                <w:color w:val="000000"/>
                <w:sz w:val="21"/>
                <w:szCs w:val="21"/>
              </w:rPr>
              <w:t>主要设备一览表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452"/>
              <w:gridCol w:w="1404"/>
              <w:gridCol w:w="1252"/>
              <w:gridCol w:w="24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6"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序号</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名称</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单位</w:t>
                  </w:r>
                </w:p>
              </w:tc>
              <w:tc>
                <w:tcPr>
                  <w:tcW w:w="73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数量</w:t>
                  </w:r>
                </w:p>
              </w:tc>
              <w:tc>
                <w:tcPr>
                  <w:tcW w:w="1435"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撕碎机</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3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435"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800型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4"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空分机</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3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2</w:t>
                  </w:r>
                </w:p>
              </w:tc>
              <w:tc>
                <w:tcPr>
                  <w:tcW w:w="1435"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3</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甩干机</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3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2</w:t>
                  </w:r>
                </w:p>
              </w:tc>
              <w:tc>
                <w:tcPr>
                  <w:tcW w:w="1435"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3"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4</w:t>
                  </w:r>
                </w:p>
              </w:tc>
              <w:tc>
                <w:tcPr>
                  <w:tcW w:w="1444"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破碎机</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37"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435"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1000型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5</w:t>
                  </w:r>
                </w:p>
              </w:tc>
              <w:tc>
                <w:tcPr>
                  <w:tcW w:w="1444"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输送带</w:t>
                  </w:r>
                </w:p>
              </w:tc>
              <w:tc>
                <w:tcPr>
                  <w:tcW w:w="82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个</w:t>
                  </w:r>
                </w:p>
              </w:tc>
              <w:tc>
                <w:tcPr>
                  <w:tcW w:w="737"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3</w:t>
                  </w:r>
                </w:p>
              </w:tc>
              <w:tc>
                <w:tcPr>
                  <w:tcW w:w="1435" w:type="pct"/>
                  <w:vAlign w:val="center"/>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46m×1个，5m×2个</w:t>
                  </w:r>
                </w:p>
              </w:tc>
            </w:tr>
          </w:tbl>
          <w:p>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4.项目主要原辅材料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（1）主要原辅材料及能源消耗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项目主要原辅材料及能源消耗见下表。</w:t>
            </w:r>
          </w:p>
          <w:p>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表2-5  项目主要原辅材料及能源消耗量一览表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589"/>
              <w:gridCol w:w="1977"/>
              <w:gridCol w:w="1683"/>
              <w:gridCol w:w="1010"/>
              <w:gridCol w:w="323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原料名称</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单位</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年用量</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来源</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4"/>
                    </w:rPr>
                    <w:t>废塑料</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t</w:t>
                  </w:r>
                  <w:r>
                    <w:rPr>
                      <w:rFonts w:cs="Times New Roman"/>
                      <w:sz w:val="21"/>
                      <w:szCs w:val="21"/>
                    </w:rPr>
                    <w:t>/</w:t>
                  </w:r>
                  <w:r>
                    <w:rPr>
                      <w:rFonts w:hint="eastAsia" w:cs="Times New Roman"/>
                      <w:sz w:val="21"/>
                      <w:szCs w:val="21"/>
                    </w:rPr>
                    <w:t>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30000</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生活源废塑料；回收时就按</w:t>
                  </w:r>
                  <w:r>
                    <w:rPr>
                      <w:rFonts w:cs="Times New Roman"/>
                      <w:sz w:val="21"/>
                      <w:szCs w:val="21"/>
                    </w:rPr>
                    <w:t>PP</w:t>
                  </w:r>
                  <w:r>
                    <w:rPr>
                      <w:rFonts w:hint="eastAsia" w:cs="Times New Roman"/>
                      <w:sz w:val="21"/>
                      <w:szCs w:val="21"/>
                    </w:rPr>
                    <w:t>和</w:t>
                  </w:r>
                  <w:r>
                    <w:rPr>
                      <w:rFonts w:cs="Times New Roman"/>
                      <w:sz w:val="21"/>
                      <w:szCs w:val="21"/>
                    </w:rPr>
                    <w:t>PE</w:t>
                  </w:r>
                  <w:r>
                    <w:rPr>
                      <w:rFonts w:hint="eastAsia" w:cs="Times New Roman"/>
                      <w:sz w:val="21"/>
                      <w:szCs w:val="21"/>
                    </w:rPr>
                    <w:t>分开收集</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31"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水</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w:t>
                  </w:r>
                  <w:r>
                    <w:rPr>
                      <w:rFonts w:cs="Times New Roman"/>
                      <w:sz w:val="21"/>
                      <w:szCs w:val="21"/>
                      <w:vertAlign w:val="superscript"/>
                    </w:rPr>
                    <w:t>3</w:t>
                  </w:r>
                  <w:r>
                    <w:rPr>
                      <w:rFonts w:cs="Times New Roman"/>
                      <w:sz w:val="21"/>
                      <w:szCs w:val="21"/>
                    </w:rPr>
                    <w:t>/a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3358.56</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由库尔勒市哈拉玉宫镇废旧物资回收加工产业园供水系统供给</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21"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3</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电</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kWh/a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sz w:val="21"/>
                      <w:szCs w:val="21"/>
                    </w:rPr>
                    <w:t>10万</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由库尔勒市哈拉玉宫镇废旧物资回收加工产业园电力系统供给</w:t>
                  </w:r>
                </w:p>
              </w:tc>
            </w:tr>
          </w:tbl>
          <w:p>
            <w:pPr>
              <w:adjustRightInd w:val="0"/>
              <w:snapToGrid w:val="0"/>
              <w:spacing w:line="240" w:lineRule="auto"/>
              <w:ind w:firstLine="0" w:firstLineChars="0"/>
              <w:jc w:val="center"/>
              <w:textAlignment w:val="auto"/>
              <w:rPr>
                <w:rFonts w:cs="Times New Roman"/>
                <w:b/>
                <w:sz w:val="21"/>
                <w:szCs w:val="21"/>
              </w:rPr>
            </w:pPr>
            <w:bookmarkStart w:id="11" w:name="_Hlk76403418"/>
            <w:bookmarkStart w:id="12" w:name="_Hlk97245573"/>
            <w:r>
              <w:rPr>
                <w:rFonts w:cs="Times New Roman"/>
                <w:b/>
                <w:sz w:val="21"/>
                <w:szCs w:val="21"/>
              </w:rPr>
              <w:t>表2-6  项目主要原辅材料</w:t>
            </w:r>
            <w:r>
              <w:rPr>
                <w:rFonts w:hint="eastAsia" w:cs="Times New Roman"/>
                <w:b/>
                <w:sz w:val="21"/>
                <w:szCs w:val="21"/>
              </w:rPr>
              <w:t>理化性质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911"/>
              <w:gridCol w:w="75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07"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物料名称</w:t>
                  </w:r>
                </w:p>
              </w:tc>
              <w:tc>
                <w:tcPr>
                  <w:tcW w:w="4462"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理化性质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PE（聚乙烯塑料）</w:t>
                  </w:r>
                </w:p>
              </w:tc>
              <w:tc>
                <w:tcPr>
                  <w:tcW w:w="4462" w:type="pct"/>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4"/>
                    </w:rPr>
                    <w:t>PE学名聚乙烯，由乙烯聚合而成的高分子化合物。工业上也包括乙烯与少量a</w:t>
                  </w:r>
                  <w:r>
                    <w:rPr>
                      <w:rFonts w:hint="eastAsia" w:cs="Times New Roman"/>
                      <w:sz w:val="21"/>
                      <w:szCs w:val="24"/>
                    </w:rPr>
                    <w:t>－</w:t>
                  </w:r>
                  <w:r>
                    <w:rPr>
                      <w:rFonts w:cs="Times New Roman"/>
                      <w:sz w:val="21"/>
                      <w:szCs w:val="24"/>
                    </w:rPr>
                    <w:t>烯烃的共聚物。有低分子量、高分子量两种。低分子量的一般是无色、无味、无臭、无毒的液体密度约0.92。不溶于水，微溶于松节油、石油醚、甲苯等。耐水和大多数化学品。可用作高级润滑油和涂料等。高分子量的纯品是乳白色蜡状固体粉末，经加入稳定剂后可加工成粒状。</w:t>
                  </w:r>
                  <w:r>
                    <w:rPr>
                      <w:rFonts w:hint="eastAsia" w:cs="Times New Roman"/>
                      <w:sz w:val="21"/>
                      <w:szCs w:val="24"/>
                    </w:rPr>
                    <w:t>具有</w:t>
                  </w:r>
                  <w:r>
                    <w:rPr>
                      <w:rFonts w:cs="Times New Roman"/>
                      <w:sz w:val="21"/>
                      <w:szCs w:val="24"/>
                    </w:rPr>
                    <w:t>热塑性。在常温下不溶于有机溶剂中，但在脂肪烃、芳香烃和卤代烃中长时间接触时能溶胀。在70℃以上时可稍溶于甲苯、醋酸戊酯等中。在空气中加热和受日光影响，发生氧化作用。能耐大多数酸碱的侵蚀，吸水性小。在低温时仍能保持柔软性。电绝缘性高。由不同制法可得不同密度</w:t>
                  </w:r>
                  <w:r>
                    <w:rPr>
                      <w:rFonts w:hint="eastAsia" w:cs="Times New Roman"/>
                      <w:sz w:val="21"/>
                      <w:szCs w:val="24"/>
                    </w:rPr>
                    <w:t>（</w:t>
                  </w:r>
                  <w:r>
                    <w:rPr>
                      <w:rFonts w:cs="Times New Roman"/>
                      <w:sz w:val="21"/>
                      <w:szCs w:val="24"/>
                    </w:rPr>
                    <w:t>0.86-0.96</w:t>
                  </w:r>
                  <w:r>
                    <w:rPr>
                      <w:rFonts w:hint="eastAsia" w:cs="Times New Roman"/>
                      <w:sz w:val="21"/>
                      <w:szCs w:val="24"/>
                    </w:rPr>
                    <w:t>）</w:t>
                  </w:r>
                  <w:r>
                    <w:rPr>
                      <w:rFonts w:cs="Times New Roman"/>
                      <w:sz w:val="21"/>
                      <w:szCs w:val="24"/>
                    </w:rPr>
                    <w:t>和不同物理机械性能的产品。比重高的机械强度、熔点和硬度等，都较比重低的高。可用一般热塑性塑料的成型方法加工。主要用以制造塑料制品。如包装薄膜、容器、管道、日用品、电视和雷达的高频电绝缘材料，也用于抽丝成纤维，以及用作金属、木材和织物的涂层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PP（聚丙烯塑料）</w:t>
                  </w:r>
                </w:p>
              </w:tc>
              <w:tc>
                <w:tcPr>
                  <w:tcW w:w="4462" w:type="pct"/>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1"/>
                    </w:rPr>
                    <w:t>PP学名聚丙烯，比重：0.9-0.91，成型收缩率：</w:t>
                  </w:r>
                  <w:r>
                    <w:rPr>
                      <w:rFonts w:hint="eastAsia" w:cs="Times New Roman"/>
                      <w:sz w:val="21"/>
                      <w:szCs w:val="21"/>
                    </w:rPr>
                    <w:t>1.0%—2.5%</w:t>
                  </w:r>
                  <w:r>
                    <w:rPr>
                      <w:rFonts w:cs="Times New Roman"/>
                      <w:sz w:val="21"/>
                      <w:szCs w:val="21"/>
                    </w:rPr>
                    <w:t>，成型温度：160-220℃。化学和物理特性：PP是一种半</w:t>
                  </w:r>
                  <w:r>
                    <w:rPr>
                      <w:rFonts w:hint="eastAsia" w:cs="Times New Roman"/>
                      <w:sz w:val="21"/>
                      <w:szCs w:val="21"/>
                    </w:rPr>
                    <w:t>结晶性</w:t>
                  </w:r>
                  <w:r>
                    <w:rPr>
                      <w:rFonts w:cs="Times New Roman"/>
                      <w:sz w:val="21"/>
                      <w:szCs w:val="21"/>
                    </w:rPr>
                    <w:t>材料。它比PE要更坚硬并且有更高的熔点。由于均聚物型的PP温度高于0℃以上时非常脆，因此许多商业的PP材料是加入</w:t>
                  </w:r>
                  <w:r>
                    <w:rPr>
                      <w:rFonts w:hint="eastAsia" w:cs="Times New Roman"/>
                      <w:sz w:val="21"/>
                      <w:szCs w:val="21"/>
                    </w:rPr>
                    <w:t>1%～4%</w:t>
                  </w:r>
                  <w:r>
                    <w:rPr>
                      <w:rFonts w:cs="Times New Roman"/>
                      <w:sz w:val="21"/>
                      <w:szCs w:val="21"/>
                    </w:rPr>
                    <w:t>乙烯的无规则共聚物或更高比率乙烯含量的共聚物。共聚物型的PP材料有较低的热扭曲温度（100℃</w:t>
                  </w:r>
                  <w:r>
                    <w:rPr>
                      <w:rFonts w:hint="eastAsia" w:cs="Times New Roman"/>
                      <w:sz w:val="21"/>
                      <w:szCs w:val="21"/>
                    </w:rPr>
                    <w:t>）</w:t>
                  </w:r>
                  <w:r>
                    <w:rPr>
                      <w:rFonts w:cs="Times New Roman"/>
                      <w:sz w:val="21"/>
                      <w:szCs w:val="21"/>
                    </w:rPr>
                    <w:t>低透明度、低光泽度、低刚性，但是有更强的抗冲击强度。PP的强度随着乙烯含量的增加而增大。PP的维卡软化温度为150℃。由于结晶度较高，这种材料的表面刚度和抗划痕特性很好。PP不存在环境应力开裂问题。通常，采用加入玻璃纤维、金属添加剂或热塑橡胶的方法对PP进行改性。PP的流动率MFR范围在1~40。低MFR的PP材料抗冲击特性较好但延展强度较低。对于相同MFR的材料，共聚物型的强度比均聚物型的要高。由于</w:t>
                  </w:r>
                  <w:r>
                    <w:rPr>
                      <w:rFonts w:hint="eastAsia" w:cs="Times New Roman"/>
                      <w:sz w:val="21"/>
                      <w:szCs w:val="21"/>
                    </w:rPr>
                    <w:t>结晶</w:t>
                  </w:r>
                  <w:r>
                    <w:rPr>
                      <w:rFonts w:cs="Times New Roman"/>
                      <w:sz w:val="21"/>
                      <w:szCs w:val="21"/>
                    </w:rPr>
                    <w:t>，PP的收缩率相当高，一般为</w:t>
                  </w:r>
                  <w:r>
                    <w:rPr>
                      <w:rFonts w:hint="eastAsia" w:cs="Times New Roman"/>
                      <w:sz w:val="21"/>
                      <w:szCs w:val="21"/>
                    </w:rPr>
                    <w:t>1.8%～2.5%</w:t>
                  </w:r>
                  <w:r>
                    <w:rPr>
                      <w:rFonts w:cs="Times New Roman"/>
                      <w:sz w:val="21"/>
                      <w:szCs w:val="21"/>
                    </w:rPr>
                    <w:t>。并且收缩率的方向均匀性比PE-HD等材料要好得多。加入30%的玻璃添加剂可以使收缩率降到0.7%。均聚物型和共聚物型的PP材料都具有优良的抗吸湿性、抗酸碱腐蚀性、抗溶解性。然而，它对芳香烃（如苯）溶剂、氯化烃（四氯化碳）溶剂等没有抵抗力</w:t>
                  </w:r>
                </w:p>
              </w:tc>
            </w:tr>
          </w:tbl>
          <w:p>
            <w:pPr>
              <w:widowControl/>
              <w:ind w:firstLine="480"/>
            </w:pPr>
            <w:r>
              <w:rPr>
                <w:rFonts w:hint="eastAsia" w:cs="Times New Roman"/>
              </w:rPr>
              <w:t>（2）</w:t>
            </w:r>
            <w:r>
              <w:rPr>
                <w:rFonts w:cs="Times New Roman"/>
              </w:rPr>
              <w:t>物料平衡见下表2-7。</w:t>
            </w:r>
          </w:p>
          <w:p>
            <w:pPr>
              <w:spacing w:line="240" w:lineRule="auto"/>
              <w:ind w:firstLine="422"/>
              <w:jc w:val="center"/>
              <w:rPr>
                <w:b/>
              </w:rPr>
            </w:pPr>
            <w:r>
              <w:rPr>
                <w:rFonts w:cs="Times New Roman"/>
                <w:b/>
                <w:sz w:val="21"/>
                <w:szCs w:val="21"/>
              </w:rPr>
              <w:t>表2-7  物料平衡表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695"/>
              <w:gridCol w:w="2377"/>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452" w:type="pct"/>
                  <w:vAlign w:val="center"/>
                </w:tcPr>
                <w:p>
                  <w:pPr>
                    <w:pStyle w:val="83"/>
                    <w:rPr>
                      <w:sz w:val="21"/>
                      <w:szCs w:val="21"/>
                    </w:rPr>
                  </w:pPr>
                  <w:r>
                    <w:rPr>
                      <w:sz w:val="21"/>
                      <w:szCs w:val="21"/>
                    </w:rPr>
                    <w:t>原料</w:t>
                  </w:r>
                </w:p>
              </w:tc>
              <w:tc>
                <w:tcPr>
                  <w:tcW w:w="998" w:type="pct"/>
                  <w:vAlign w:val="center"/>
                </w:tcPr>
                <w:p>
                  <w:pPr>
                    <w:pStyle w:val="83"/>
                    <w:rPr>
                      <w:sz w:val="21"/>
                      <w:szCs w:val="21"/>
                    </w:rPr>
                  </w:pPr>
                  <w:r>
                    <w:rPr>
                      <w:sz w:val="21"/>
                      <w:szCs w:val="21"/>
                    </w:rPr>
                    <w:t>进料量（t/a）</w:t>
                  </w:r>
                </w:p>
              </w:tc>
              <w:tc>
                <w:tcPr>
                  <w:tcW w:w="1399" w:type="pct"/>
                  <w:vAlign w:val="center"/>
                </w:tcPr>
                <w:p>
                  <w:pPr>
                    <w:pStyle w:val="83"/>
                    <w:rPr>
                      <w:sz w:val="21"/>
                      <w:szCs w:val="21"/>
                    </w:rPr>
                  </w:pPr>
                  <w:r>
                    <w:rPr>
                      <w:sz w:val="21"/>
                      <w:szCs w:val="21"/>
                    </w:rPr>
                    <w:t>产品等</w:t>
                  </w:r>
                </w:p>
              </w:tc>
              <w:tc>
                <w:tcPr>
                  <w:tcW w:w="1149" w:type="pct"/>
                  <w:vAlign w:val="center"/>
                </w:tcPr>
                <w:p>
                  <w:pPr>
                    <w:pStyle w:val="83"/>
                    <w:rPr>
                      <w:sz w:val="21"/>
                      <w:szCs w:val="21"/>
                    </w:rPr>
                  </w:pPr>
                  <w:r>
                    <w:rPr>
                      <w:sz w:val="21"/>
                      <w:szCs w:val="21"/>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452" w:type="pct"/>
                  <w:vAlign w:val="center"/>
                </w:tcPr>
                <w:p>
                  <w:pPr>
                    <w:widowControl/>
                    <w:spacing w:line="240" w:lineRule="auto"/>
                    <w:ind w:firstLine="0" w:firstLineChars="0"/>
                    <w:jc w:val="center"/>
                    <w:rPr>
                      <w:rFonts w:cs="Times New Roman"/>
                      <w:sz w:val="21"/>
                      <w:szCs w:val="21"/>
                    </w:rPr>
                  </w:pPr>
                  <w:r>
                    <w:rPr>
                      <w:rFonts w:cs="Times New Roman"/>
                      <w:sz w:val="21"/>
                      <w:szCs w:val="21"/>
                    </w:rPr>
                    <w:t>废</w:t>
                  </w:r>
                  <w:r>
                    <w:rPr>
                      <w:rFonts w:hint="eastAsia" w:cs="Times New Roman"/>
                      <w:sz w:val="21"/>
                      <w:szCs w:val="21"/>
                    </w:rPr>
                    <w:t>塑料</w:t>
                  </w:r>
                </w:p>
              </w:tc>
              <w:tc>
                <w:tcPr>
                  <w:tcW w:w="998" w:type="pct"/>
                  <w:vAlign w:val="center"/>
                </w:tcPr>
                <w:p>
                  <w:pPr>
                    <w:pStyle w:val="83"/>
                    <w:rPr>
                      <w:sz w:val="21"/>
                      <w:szCs w:val="21"/>
                    </w:rPr>
                  </w:pPr>
                  <w:r>
                    <w:rPr>
                      <w:sz w:val="21"/>
                      <w:szCs w:val="21"/>
                    </w:rPr>
                    <w:t>30000</w:t>
                  </w:r>
                </w:p>
              </w:tc>
              <w:tc>
                <w:tcPr>
                  <w:tcW w:w="1399" w:type="pct"/>
                  <w:vAlign w:val="center"/>
                </w:tcPr>
                <w:p>
                  <w:pPr>
                    <w:pStyle w:val="83"/>
                    <w:rPr>
                      <w:sz w:val="21"/>
                      <w:szCs w:val="21"/>
                    </w:rPr>
                  </w:pPr>
                  <w:r>
                    <w:rPr>
                      <w:rFonts w:hint="eastAsia"/>
                      <w:sz w:val="21"/>
                      <w:szCs w:val="21"/>
                    </w:rPr>
                    <w:t>塑料碎片</w:t>
                  </w:r>
                </w:p>
              </w:tc>
              <w:tc>
                <w:tcPr>
                  <w:tcW w:w="1149" w:type="pct"/>
                  <w:vAlign w:val="center"/>
                </w:tcPr>
                <w:p>
                  <w:pPr>
                    <w:pStyle w:val="83"/>
                    <w:rPr>
                      <w:sz w:val="21"/>
                      <w:szCs w:val="21"/>
                    </w:rPr>
                  </w:pPr>
                  <w:r>
                    <w:rPr>
                      <w:sz w:val="21"/>
                      <w:szCs w:val="21"/>
                    </w:rPr>
                    <w:t>29657.295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452" w:type="pct"/>
                  <w:vAlign w:val="center"/>
                </w:tcPr>
                <w:p>
                  <w:pPr>
                    <w:pStyle w:val="83"/>
                    <w:rPr>
                      <w:sz w:val="21"/>
                      <w:szCs w:val="21"/>
                    </w:rPr>
                  </w:pPr>
                  <w:r>
                    <w:rPr>
                      <w:rFonts w:hint="eastAsia"/>
                      <w:sz w:val="21"/>
                      <w:szCs w:val="21"/>
                    </w:rPr>
                    <w:t>/</w:t>
                  </w:r>
                </w:p>
              </w:tc>
              <w:tc>
                <w:tcPr>
                  <w:tcW w:w="998" w:type="pct"/>
                  <w:vAlign w:val="center"/>
                </w:tcPr>
                <w:p>
                  <w:pPr>
                    <w:pStyle w:val="83"/>
                    <w:rPr>
                      <w:sz w:val="21"/>
                      <w:szCs w:val="21"/>
                    </w:rPr>
                  </w:pPr>
                  <w:r>
                    <w:rPr>
                      <w:rFonts w:hint="eastAsia"/>
                      <w:sz w:val="21"/>
                      <w:szCs w:val="21"/>
                    </w:rPr>
                    <w:t>/</w:t>
                  </w:r>
                </w:p>
              </w:tc>
              <w:tc>
                <w:tcPr>
                  <w:tcW w:w="1399" w:type="pct"/>
                  <w:vAlign w:val="center"/>
                </w:tcPr>
                <w:p>
                  <w:pPr>
                    <w:pStyle w:val="83"/>
                    <w:rPr>
                      <w:sz w:val="21"/>
                      <w:szCs w:val="21"/>
                    </w:rPr>
                  </w:pPr>
                  <w:r>
                    <w:rPr>
                      <w:rFonts w:hint="eastAsia"/>
                      <w:color w:val="000000" w:themeColor="text1"/>
                      <w:sz w:val="21"/>
                      <w:szCs w:val="21"/>
                      <w14:textFill>
                        <w14:solidFill>
                          <w14:schemeClr w14:val="tx1"/>
                        </w14:solidFill>
                      </w14:textFill>
                    </w:rPr>
                    <w:t>分拣废料</w:t>
                  </w:r>
                </w:p>
              </w:tc>
              <w:tc>
                <w:tcPr>
                  <w:tcW w:w="1149" w:type="pct"/>
                  <w:vAlign w:val="center"/>
                </w:tcPr>
                <w:p>
                  <w:pPr>
                    <w:pStyle w:val="83"/>
                    <w:rPr>
                      <w:sz w:val="21"/>
                      <w:szCs w:val="21"/>
                    </w:rPr>
                  </w:pPr>
                  <w:r>
                    <w:rPr>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15" w:hRule="atLeast"/>
                <w:jc w:val="center"/>
              </w:trPr>
              <w:tc>
                <w:tcPr>
                  <w:tcW w:w="1452" w:type="pct"/>
                  <w:vAlign w:val="center"/>
                </w:tcPr>
                <w:p>
                  <w:pPr>
                    <w:pStyle w:val="83"/>
                    <w:rPr>
                      <w:sz w:val="21"/>
                      <w:szCs w:val="21"/>
                    </w:rPr>
                  </w:pPr>
                  <w:r>
                    <w:rPr>
                      <w:sz w:val="21"/>
                      <w:szCs w:val="21"/>
                    </w:rPr>
                    <w:t>/</w:t>
                  </w:r>
                </w:p>
              </w:tc>
              <w:tc>
                <w:tcPr>
                  <w:tcW w:w="998" w:type="pct"/>
                  <w:vAlign w:val="center"/>
                </w:tcPr>
                <w:p>
                  <w:pPr>
                    <w:pStyle w:val="83"/>
                    <w:rPr>
                      <w:sz w:val="21"/>
                      <w:szCs w:val="21"/>
                    </w:rPr>
                  </w:pPr>
                  <w:r>
                    <w:rPr>
                      <w:sz w:val="21"/>
                      <w:szCs w:val="21"/>
                    </w:rPr>
                    <w:t>/</w:t>
                  </w:r>
                </w:p>
              </w:tc>
              <w:tc>
                <w:tcPr>
                  <w:tcW w:w="1399" w:type="pct"/>
                  <w:vAlign w:val="center"/>
                </w:tcPr>
                <w:p>
                  <w:pPr>
                    <w:pStyle w:val="83"/>
                    <w:rPr>
                      <w:sz w:val="21"/>
                      <w:szCs w:val="21"/>
                    </w:rPr>
                  </w:pPr>
                  <w:r>
                    <w:rPr>
                      <w:sz w:val="21"/>
                      <w:szCs w:val="21"/>
                    </w:rPr>
                    <w:t>沉淀池</w:t>
                  </w:r>
                  <w:r>
                    <w:rPr>
                      <w:rFonts w:hint="eastAsia"/>
                      <w:sz w:val="21"/>
                      <w:szCs w:val="21"/>
                    </w:rPr>
                    <w:t>沉渣</w:t>
                  </w:r>
                </w:p>
              </w:tc>
              <w:tc>
                <w:tcPr>
                  <w:tcW w:w="1149" w:type="pct"/>
                  <w:vAlign w:val="center"/>
                </w:tcPr>
                <w:p>
                  <w:pPr>
                    <w:pStyle w:val="83"/>
                    <w:rPr>
                      <w:sz w:val="21"/>
                      <w:szCs w:val="21"/>
                    </w:rPr>
                  </w:pPr>
                  <w:r>
                    <w:rPr>
                      <w:sz w:val="21"/>
                      <w:szCs w:val="21"/>
                    </w:rPr>
                    <w:t>41.58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1" w:hRule="atLeast"/>
                <w:jc w:val="center"/>
              </w:trPr>
              <w:tc>
                <w:tcPr>
                  <w:tcW w:w="1452" w:type="pct"/>
                  <w:vAlign w:val="center"/>
                </w:tcPr>
                <w:p>
                  <w:pPr>
                    <w:pStyle w:val="83"/>
                    <w:rPr>
                      <w:sz w:val="21"/>
                      <w:szCs w:val="21"/>
                    </w:rPr>
                  </w:pPr>
                  <w:r>
                    <w:rPr>
                      <w:sz w:val="21"/>
                      <w:szCs w:val="21"/>
                    </w:rPr>
                    <w:t>/</w:t>
                  </w:r>
                </w:p>
              </w:tc>
              <w:tc>
                <w:tcPr>
                  <w:tcW w:w="998" w:type="pct"/>
                  <w:vAlign w:val="center"/>
                </w:tcPr>
                <w:p>
                  <w:pPr>
                    <w:pStyle w:val="83"/>
                    <w:rPr>
                      <w:sz w:val="21"/>
                      <w:szCs w:val="21"/>
                    </w:rPr>
                  </w:pPr>
                  <w:r>
                    <w:rPr>
                      <w:sz w:val="21"/>
                      <w:szCs w:val="21"/>
                    </w:rPr>
                    <w:t>/</w:t>
                  </w:r>
                </w:p>
              </w:tc>
              <w:tc>
                <w:tcPr>
                  <w:tcW w:w="1399" w:type="pct"/>
                  <w:vAlign w:val="center"/>
                </w:tcPr>
                <w:p>
                  <w:pPr>
                    <w:pStyle w:val="83"/>
                    <w:rPr>
                      <w:sz w:val="21"/>
                      <w:szCs w:val="21"/>
                    </w:rPr>
                  </w:pPr>
                  <w:r>
                    <w:rPr>
                      <w:rFonts w:hint="eastAsia"/>
                      <w:sz w:val="21"/>
                      <w:szCs w:val="21"/>
                    </w:rPr>
                    <w:t>颗粒物</w:t>
                  </w:r>
                </w:p>
              </w:tc>
              <w:tc>
                <w:tcPr>
                  <w:tcW w:w="1149" w:type="pct"/>
                  <w:vAlign w:val="center"/>
                </w:tcPr>
                <w:p>
                  <w:pPr>
                    <w:pStyle w:val="83"/>
                    <w:rPr>
                      <w:sz w:val="21"/>
                      <w:szCs w:val="21"/>
                    </w:rPr>
                  </w:pPr>
                  <w:r>
                    <w:rPr>
                      <w:sz w:val="21"/>
                      <w:szCs w:val="21"/>
                    </w:rPr>
                    <w:t>1.125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52" w:type="pct"/>
                  <w:vAlign w:val="center"/>
                </w:tcPr>
                <w:p>
                  <w:pPr>
                    <w:pStyle w:val="83"/>
                    <w:rPr>
                      <w:sz w:val="21"/>
                      <w:szCs w:val="21"/>
                    </w:rPr>
                  </w:pPr>
                  <w:r>
                    <w:rPr>
                      <w:sz w:val="21"/>
                      <w:szCs w:val="21"/>
                    </w:rPr>
                    <w:t>总计</w:t>
                  </w:r>
                </w:p>
              </w:tc>
              <w:tc>
                <w:tcPr>
                  <w:tcW w:w="998" w:type="pct"/>
                  <w:vAlign w:val="center"/>
                </w:tcPr>
                <w:p>
                  <w:pPr>
                    <w:pStyle w:val="83"/>
                    <w:rPr>
                      <w:sz w:val="21"/>
                      <w:szCs w:val="21"/>
                    </w:rPr>
                  </w:pPr>
                  <w:r>
                    <w:rPr>
                      <w:sz w:val="21"/>
                      <w:szCs w:val="21"/>
                    </w:rPr>
                    <w:t>30000</w:t>
                  </w:r>
                </w:p>
              </w:tc>
              <w:tc>
                <w:tcPr>
                  <w:tcW w:w="1399" w:type="pct"/>
                  <w:vAlign w:val="center"/>
                </w:tcPr>
                <w:p>
                  <w:pPr>
                    <w:pStyle w:val="83"/>
                    <w:rPr>
                      <w:sz w:val="21"/>
                      <w:szCs w:val="21"/>
                    </w:rPr>
                  </w:pPr>
                  <w:r>
                    <w:rPr>
                      <w:sz w:val="21"/>
                      <w:szCs w:val="21"/>
                    </w:rPr>
                    <w:t>总计</w:t>
                  </w:r>
                </w:p>
              </w:tc>
              <w:tc>
                <w:tcPr>
                  <w:tcW w:w="1149" w:type="pct"/>
                  <w:vAlign w:val="center"/>
                </w:tcPr>
                <w:p>
                  <w:pPr>
                    <w:pStyle w:val="83"/>
                    <w:rPr>
                      <w:sz w:val="21"/>
                      <w:szCs w:val="21"/>
                    </w:rPr>
                  </w:pPr>
                  <w:r>
                    <w:rPr>
                      <w:sz w:val="21"/>
                      <w:szCs w:val="21"/>
                    </w:rPr>
                    <w:t>30000</w:t>
                  </w:r>
                </w:p>
              </w:tc>
            </w:tr>
          </w:tbl>
          <w:p>
            <w:pPr>
              <w:pStyle w:val="3"/>
            </w:pPr>
            <w:r>
              <w:t>2.4</w:t>
            </w:r>
            <w:r>
              <w:rPr>
                <w:rFonts w:hint="eastAsia"/>
              </w:rPr>
              <w:t>劳动定员及工作制度</w:t>
            </w:r>
          </w:p>
          <w:bookmarkEnd w:id="11"/>
          <w:p>
            <w:pPr>
              <w:pStyle w:val="3"/>
              <w:ind w:firstLine="480" w:firstLineChars="200"/>
              <w:rPr>
                <w:rFonts w:cs="Times New Roman"/>
                <w:b w:val="0"/>
                <w:bCs w:val="0"/>
                <w:color w:val="000000" w:themeColor="text1"/>
                <w:szCs w:val="22"/>
                <w14:textFill>
                  <w14:solidFill>
                    <w14:schemeClr w14:val="tx1"/>
                  </w14:solidFill>
                </w14:textFill>
              </w:rPr>
            </w:pPr>
            <w:r>
              <w:rPr>
                <w:rFonts w:hint="eastAsia" w:cs="Times New Roman"/>
                <w:b w:val="0"/>
                <w:bCs w:val="0"/>
                <w:color w:val="000000" w:themeColor="text1"/>
                <w:szCs w:val="22"/>
                <w14:textFill>
                  <w14:solidFill>
                    <w14:schemeClr w14:val="tx1"/>
                  </w14:solidFill>
                </w14:textFill>
              </w:rPr>
              <w:t>本项目年工作240天，每天10小时工作制，劳动定员3人。</w:t>
            </w:r>
          </w:p>
          <w:p>
            <w:pPr>
              <w:pStyle w:val="3"/>
              <w:rPr>
                <w:color w:val="000000" w:themeColor="text1"/>
                <w14:textFill>
                  <w14:solidFill>
                    <w14:schemeClr w14:val="tx1"/>
                  </w14:solidFill>
                </w14:textFill>
              </w:rPr>
            </w:pPr>
            <w:r>
              <w:rPr>
                <w:color w:val="000000" w:themeColor="text1"/>
                <w14:textFill>
                  <w14:solidFill>
                    <w14:schemeClr w14:val="tx1"/>
                  </w14:solidFill>
                </w14:textFill>
              </w:rPr>
              <w:t>2.5</w:t>
            </w:r>
            <w:r>
              <w:rPr>
                <w:rFonts w:hint="eastAsia"/>
                <w:color w:val="000000" w:themeColor="text1"/>
                <w14:textFill>
                  <w14:solidFill>
                    <w14:schemeClr w14:val="tx1"/>
                  </w14:solidFill>
                </w14:textFill>
              </w:rPr>
              <w:t>选址及总平面布置</w:t>
            </w:r>
            <w:bookmarkEnd w:id="12"/>
          </w:p>
          <w:p>
            <w:pPr>
              <w:ind w:firstLine="480"/>
            </w:pPr>
            <w:r>
              <w:rPr>
                <w:rFonts w:hint="eastAsia"/>
              </w:rPr>
              <w:t>根据项目功能要求及场地地形条件，生产车间采用矩形布局，为单层（1F）彩钢结构，内部设生产区。原料堆场位于生产车间西侧，成品堆场设于西北侧，并配套主出入口，便于原料输入与产品输出。两者均紧邻生产区，有利于物料高效转运，缩短运输距离。危险废物贮存点位于车间南侧，独立设置，满足安全防护要求。</w:t>
            </w:r>
          </w:p>
          <w:p>
            <w:pPr>
              <w:ind w:firstLine="480"/>
            </w:pPr>
            <w:r>
              <w:rPr>
                <w:rFonts w:hint="eastAsia"/>
              </w:rPr>
              <w:t>本项目结合工艺要求及所租用原厂房的布局情况，充分利旧，优化空间利用，大幅减少施工期土建工程，降低施工期对环境的影响。该布置经济合理，满足工艺流程需求，加工组装便捷，物流运输顺畅。</w:t>
            </w:r>
          </w:p>
          <w:p>
            <w:pPr>
              <w:ind w:firstLine="480"/>
            </w:pPr>
            <w:r>
              <w:rPr>
                <w:rFonts w:hint="eastAsia"/>
              </w:rPr>
              <w:t>综上所述，本项目总平面布置功能分区明确，各项配套设施均在整体布局中统筹考虑，且兼顾环保要求。从环境保护角度分析，厂区总平面布置是合理的。厂区平面图见附图2。</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公用工程</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给水</w:t>
            </w:r>
          </w:p>
          <w:p>
            <w:pPr>
              <w:ind w:firstLine="480"/>
            </w:pPr>
            <w:r>
              <w:rPr>
                <w:rFonts w:hint="eastAsia"/>
              </w:rPr>
              <w:t>本项目用水主要包括</w:t>
            </w:r>
            <w:r>
              <w:t>原料清洗与破碎工序的生产用水</w:t>
            </w:r>
            <w:r>
              <w:rPr>
                <w:rFonts w:hint="eastAsia"/>
              </w:rPr>
              <w:t>、车间地面清洗用水及生活用水，由库尔勒市哈拉玉宫镇废旧物资回收加工产业园供水系统供给</w:t>
            </w:r>
            <w:r>
              <w:t>。</w:t>
            </w:r>
          </w:p>
          <w:p>
            <w:pPr>
              <w:ind w:firstLine="480"/>
              <w:rPr>
                <w:rFonts w:cs="Times New Roman"/>
                <w:color w:val="000000"/>
              </w:rPr>
            </w:pPr>
            <w:r>
              <w:rPr>
                <w:rFonts w:hint="eastAsia" w:ascii="宋体" w:hAnsi="宋体" w:cs="宋体"/>
                <w:color w:val="000000"/>
              </w:rPr>
              <w:t>①</w:t>
            </w:r>
            <w:r>
              <w:rPr>
                <w:rFonts w:cs="Times New Roman"/>
                <w:color w:val="000000"/>
              </w:rPr>
              <w:t>清洗用水</w:t>
            </w:r>
          </w:p>
          <w:p>
            <w:pPr>
              <w:ind w:firstLine="480"/>
              <w:rPr>
                <w:rFonts w:cs="Times New Roman"/>
                <w:color w:val="000000"/>
              </w:rPr>
            </w:pPr>
            <w:r>
              <w:rPr>
                <w:rFonts w:cs="Times New Roman"/>
                <w:color w:val="000000"/>
              </w:rPr>
              <w:t>参考《排放源统计调查产排污核算方法和系数手册-42废弃资源综合利用行业系数手册》“4220非金属废料和碎屑加工处理行业”中清洗或湿法破碎+清洗废水量（废PE/PP：1.0t/t-原料）。</w:t>
            </w:r>
          </w:p>
          <w:p>
            <w:pPr>
              <w:ind w:firstLine="480"/>
              <w:rPr>
                <w:rFonts w:cs="Times New Roman"/>
                <w:color w:val="000000"/>
              </w:rPr>
            </w:pPr>
            <w:r>
              <w:rPr>
                <w:rFonts w:cs="Times New Roman"/>
                <w:color w:val="000000"/>
              </w:rPr>
              <w:t>根据本项目物料平衡，经人工分拣后，实际进入湿法破碎与清洗工序的塑料原料量为29700t/a，核算清洗废水产生量为123.75m³/d（即29700m³/a）。</w:t>
            </w:r>
          </w:p>
          <w:p>
            <w:pPr>
              <w:ind w:firstLine="480"/>
              <w:rPr>
                <w:rFonts w:cs="Times New Roman"/>
                <w:color w:val="000000"/>
              </w:rPr>
            </w:pPr>
            <w:r>
              <w:rPr>
                <w:rFonts w:cs="Times New Roman"/>
                <w:color w:val="000000"/>
              </w:rPr>
              <w:t>为维持系统水平衡，综合考虑清洗与破碎过程中的水分蒸发损失（按总用水量的10%计），本项目生产总用水量核定为137.5m³/d（即33000m³/a）。其中：123.75m³/d的废水排入废水处理系统。13.75m³/d因蒸发损失，需由新鲜水补充。</w:t>
            </w:r>
          </w:p>
          <w:p>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车间地面清洗用水</w:t>
            </w:r>
          </w:p>
          <w:p>
            <w:pPr>
              <w:ind w:firstLine="480"/>
            </w:pPr>
            <w:r>
              <w:rPr>
                <w:rFonts w:hint="eastAsia"/>
              </w:rPr>
              <w:t>地面清洗区域主要为撕碎机、破碎机、甩干机等产生排水的生产设施所在区域，面积约</w:t>
            </w:r>
            <w:r>
              <w:t>200 m²</w:t>
            </w:r>
            <w:r>
              <w:rPr>
                <w:rFonts w:hint="eastAsia"/>
              </w:rPr>
              <w:t>。参照同类项目经验，地面清洗用水定额约为</w:t>
            </w:r>
            <w:r>
              <w:t>1.5</w:t>
            </w:r>
            <w:r>
              <w:rPr>
                <w:rFonts w:hint="eastAsia"/>
              </w:rPr>
              <w:t>～</w:t>
            </w:r>
            <w:r>
              <w:t>3.0 L/</w:t>
            </w:r>
            <w:r>
              <w:rPr>
                <w:rFonts w:hint="eastAsia"/>
              </w:rPr>
              <w:t>（</w:t>
            </w:r>
            <w:r>
              <w:t>m²·</w:t>
            </w:r>
            <w:r>
              <w:rPr>
                <w:rFonts w:hint="eastAsia"/>
              </w:rPr>
              <w:t>次），本项目取</w:t>
            </w:r>
            <w:r>
              <w:t>3 L/m²·</w:t>
            </w:r>
            <w:r>
              <w:rPr>
                <w:rFonts w:hint="eastAsia"/>
              </w:rPr>
              <w:t>次，每</w:t>
            </w:r>
            <w:r>
              <w:t>15</w:t>
            </w:r>
            <w:r>
              <w:rPr>
                <w:rFonts w:hint="eastAsia"/>
              </w:rPr>
              <w:t>天清洗一次，年工作</w:t>
            </w:r>
            <w:r>
              <w:t>240</w:t>
            </w:r>
            <w:r>
              <w:rPr>
                <w:rFonts w:hint="eastAsia"/>
              </w:rPr>
              <w:t>天。则每次地面清洗用水量为</w:t>
            </w:r>
            <w:r>
              <w:t>0.6 </w:t>
            </w:r>
            <w:r>
              <w:rPr>
                <w:rFonts w:cs="Times New Roman"/>
              </w:rPr>
              <w:t>m³</w:t>
            </w:r>
            <w:r>
              <w:t>/</w:t>
            </w:r>
            <w:r>
              <w:rPr>
                <w:rFonts w:hint="eastAsia"/>
              </w:rPr>
              <w:t>次，</w:t>
            </w:r>
            <w:r>
              <w:rPr>
                <w:rFonts w:hint="eastAsia" w:cs="Times New Roman"/>
                <w:color w:val="000000" w:themeColor="text1"/>
                <w14:textFill>
                  <w14:solidFill>
                    <w14:schemeClr w14:val="tx1"/>
                  </w14:solidFill>
                </w14:textFill>
              </w:rPr>
              <w:t>即0</w:t>
            </w:r>
            <w:r>
              <w:rPr>
                <w:rFonts w:cs="Times New Roman"/>
                <w:color w:val="000000" w:themeColor="text1"/>
                <w14:textFill>
                  <w14:solidFill>
                    <w14:schemeClr w14:val="tx1"/>
                  </w14:solidFill>
                </w14:textFill>
              </w:rPr>
              <w:t>.04</w:t>
            </w:r>
            <w:r>
              <w:rPr>
                <w:rFonts w:cs="Times New Roman"/>
              </w:rPr>
              <w:t>m³</w:t>
            </w:r>
            <w:r>
              <w:rPr>
                <w:rFonts w:cs="Times New Roman"/>
                <w:color w:val="000000" w:themeColor="text1"/>
                <w14:textFill>
                  <w14:solidFill>
                    <w14:schemeClr w14:val="tx1"/>
                  </w14:solidFill>
                </w14:textFill>
              </w:rPr>
              <w:t>/d</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9.6</w:t>
            </w:r>
            <w:r>
              <w:rPr>
                <w:rFonts w:cs="Times New Roman"/>
              </w:rPr>
              <w:t>m³</w:t>
            </w:r>
            <w:r>
              <w:rPr>
                <w:rFonts w:cs="Times New Roman"/>
                <w:color w:val="000000" w:themeColor="text1"/>
                <w14:textFill>
                  <w14:solidFill>
                    <w14:schemeClr w14:val="tx1"/>
                  </w14:solidFill>
                </w14:textFill>
              </w:rPr>
              <w:t>/a</w:t>
            </w:r>
            <w:r>
              <w:rPr>
                <w:rFonts w:hint="eastAsia" w:cs="Times New Roman"/>
                <w:color w:val="000000" w:themeColor="text1"/>
                <w14:textFill>
                  <w14:solidFill>
                    <w14:schemeClr w14:val="tx1"/>
                  </w14:solidFill>
                </w14:textFill>
              </w:rPr>
              <w:t>）。</w:t>
            </w:r>
          </w:p>
          <w:p>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生活</w:t>
            </w:r>
            <w:r>
              <w:t>用水</w:t>
            </w:r>
          </w:p>
          <w:p>
            <w:pPr>
              <w:ind w:firstLine="480"/>
            </w:pPr>
            <w:r>
              <w:rPr>
                <w:rFonts w:hint="eastAsia"/>
              </w:rPr>
              <w:t>生活用水参照《新疆维吾尔自治区生活用水定额标准》，本项目劳动定员为3人，年工作时间为240天，人员用水量按</w:t>
            </w:r>
            <w:r>
              <w:t>80</w:t>
            </w:r>
            <w:r>
              <w:rPr>
                <w:rFonts w:hint="eastAsia"/>
              </w:rPr>
              <w:t>L/人·d计，生活用水量为</w:t>
            </w:r>
            <w:r>
              <w:t>0.24</w:t>
            </w:r>
            <w:r>
              <w:rPr>
                <w:rFonts w:hint="eastAsia"/>
              </w:rPr>
              <w:t>m</w:t>
            </w:r>
            <w:r>
              <w:rPr>
                <w:rFonts w:hint="eastAsia"/>
                <w:vertAlign w:val="superscript"/>
              </w:rPr>
              <w:t>3</w:t>
            </w:r>
            <w:r>
              <w:rPr>
                <w:rFonts w:hint="eastAsia"/>
              </w:rPr>
              <w:t>/d，</w:t>
            </w:r>
            <w:r>
              <w:t>57.6</w:t>
            </w:r>
            <w:r>
              <w:rPr>
                <w:rFonts w:hint="eastAsia"/>
              </w:rPr>
              <w:t>m</w:t>
            </w:r>
            <w:r>
              <w:rPr>
                <w:rFonts w:hint="eastAsia"/>
                <w:vertAlign w:val="superscript"/>
              </w:rPr>
              <w:t>3</w:t>
            </w:r>
            <w:r>
              <w:rPr>
                <w:rFonts w:hint="eastAsia"/>
              </w:rPr>
              <w:t>/a。</w:t>
            </w:r>
          </w:p>
          <w:p>
            <w:pPr>
              <w:ind w:firstLine="480"/>
              <w:rPr>
                <w:rFonts w:cs="Times New Roman"/>
              </w:rPr>
            </w:pPr>
            <w:r>
              <w:rPr>
                <w:rFonts w:cs="Times New Roman"/>
              </w:rPr>
              <w:t>综上，项目总用新鲜水量为生产新鲜水（</w:t>
            </w:r>
            <w:r>
              <w:rPr>
                <w:rFonts w:cs="Times New Roman"/>
                <w:color w:val="000000"/>
              </w:rPr>
              <w:t>13.75</w:t>
            </w:r>
            <w:r>
              <w:rPr>
                <w:rFonts w:cs="Times New Roman"/>
              </w:rPr>
              <w:t>m³/d）+生活新鲜水（0.24m³/d）</w:t>
            </w:r>
            <w:r>
              <w:rPr>
                <w:rFonts w:hint="eastAsia" w:cs="Times New Roman"/>
              </w:rPr>
              <w:t>+</w:t>
            </w:r>
            <w:r>
              <w:rPr>
                <w:rFonts w:hint="eastAsia"/>
              </w:rPr>
              <w:t>车间地面清洗用水（</w:t>
            </w:r>
            <w:r>
              <w:rPr>
                <w:rFonts w:hint="eastAsia" w:cs="Times New Roman"/>
                <w:color w:val="000000" w:themeColor="text1"/>
                <w14:textFill>
                  <w14:solidFill>
                    <w14:schemeClr w14:val="tx1"/>
                  </w14:solidFill>
                </w14:textFill>
              </w:rPr>
              <w:t>0</w:t>
            </w:r>
            <w:r>
              <w:rPr>
                <w:rFonts w:cs="Times New Roman"/>
                <w:color w:val="000000" w:themeColor="text1"/>
                <w14:textFill>
                  <w14:solidFill>
                    <w14:schemeClr w14:val="tx1"/>
                  </w14:solidFill>
                </w14:textFill>
              </w:rPr>
              <w:t>.004</w:t>
            </w:r>
            <w:r>
              <w:rPr>
                <w:rFonts w:cs="Times New Roman"/>
              </w:rPr>
              <w:t>m³</w:t>
            </w:r>
            <w:r>
              <w:rPr>
                <w:rFonts w:cs="Times New Roman"/>
                <w:color w:val="000000" w:themeColor="text1"/>
                <w14:textFill>
                  <w14:solidFill>
                    <w14:schemeClr w14:val="tx1"/>
                  </w14:solidFill>
                </w14:textFill>
              </w:rPr>
              <w:t>/d</w:t>
            </w:r>
            <w:r>
              <w:rPr>
                <w:rFonts w:hint="eastAsia"/>
              </w:rPr>
              <w:t>）</w:t>
            </w:r>
            <w:r>
              <w:rPr>
                <w:rFonts w:cs="Times New Roman"/>
              </w:rPr>
              <w:t>=13.994m³/d（即3358.56m³/a）。</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排水</w:t>
            </w:r>
          </w:p>
          <w:p>
            <w:pPr>
              <w:ind w:firstLine="480"/>
              <w:rPr>
                <w:rFonts w:cs="Times New Roman"/>
              </w:rPr>
            </w:pPr>
            <w:r>
              <w:rPr>
                <w:rFonts w:hint="eastAsia" w:cs="Times New Roman"/>
              </w:rPr>
              <w:t>本项目产生的废水主要包括原料清洗废水、车间地面冲洗废水以及生活污水</w:t>
            </w:r>
            <w:r>
              <w:rPr>
                <w:rFonts w:cs="Times New Roman"/>
              </w:rPr>
              <w:t>。</w:t>
            </w:r>
          </w:p>
          <w:p>
            <w:pPr>
              <w:ind w:firstLine="480"/>
              <w:rPr>
                <w:rFonts w:cs="Times New Roman"/>
              </w:rPr>
            </w:pPr>
            <w:r>
              <w:rPr>
                <w:rFonts w:hint="eastAsia" w:ascii="宋体" w:hAnsi="宋体" w:cs="宋体"/>
                <w:color w:val="000000"/>
              </w:rPr>
              <w:t>①</w:t>
            </w:r>
            <w:r>
              <w:rPr>
                <w:rFonts w:cs="Times New Roman"/>
                <w:color w:val="000000"/>
              </w:rPr>
              <w:t>清洗废水</w:t>
            </w:r>
          </w:p>
          <w:p>
            <w:pPr>
              <w:ind w:firstLine="480"/>
              <w:rPr>
                <w:rFonts w:cs="Times New Roman"/>
                <w:color w:val="000000"/>
              </w:rPr>
            </w:pPr>
            <w:r>
              <w:rPr>
                <w:rFonts w:cs="Times New Roman"/>
                <w:color w:val="000000"/>
              </w:rPr>
              <w:t>参考《排放源统计调查产排污核算方法和系数手册-42废弃资源综合利用行业系数手册》“</w:t>
            </w:r>
            <w:r>
              <w:rPr>
                <w:rFonts w:eastAsia="TimesNewRomanPSMT" w:cs="Times New Roman"/>
                <w:color w:val="000000"/>
              </w:rPr>
              <w:t>4220</w:t>
            </w:r>
            <w:r>
              <w:rPr>
                <w:rFonts w:cs="Times New Roman"/>
                <w:color w:val="000000"/>
              </w:rPr>
              <w:t>非金属废料和碎屑加工处理行业”中</w:t>
            </w:r>
            <w:r>
              <w:rPr>
                <w:rFonts w:cs="Times New Roman"/>
                <w:szCs w:val="24"/>
              </w:rPr>
              <w:t>清洗或湿法破碎+清洗</w:t>
            </w:r>
            <w:r>
              <w:rPr>
                <w:rFonts w:cs="Times New Roman"/>
                <w:color w:val="000000"/>
              </w:rPr>
              <w:t>废水量（废</w:t>
            </w:r>
            <w:r>
              <w:rPr>
                <w:rFonts w:eastAsia="TimesNewRomanPSMT" w:cs="Times New Roman"/>
                <w:color w:val="000000"/>
              </w:rPr>
              <w:t>PE/PP</w:t>
            </w:r>
            <w:r>
              <w:rPr>
                <w:rFonts w:cs="Times New Roman"/>
                <w:color w:val="000000"/>
              </w:rPr>
              <w:t>：</w:t>
            </w:r>
            <w:r>
              <w:rPr>
                <w:rFonts w:eastAsia="TimesNewRomanPSMT" w:cs="Times New Roman"/>
                <w:color w:val="000000"/>
              </w:rPr>
              <w:t>1.0t/t-</w:t>
            </w:r>
            <w:r>
              <w:rPr>
                <w:rFonts w:cs="Times New Roman"/>
                <w:color w:val="000000"/>
              </w:rPr>
              <w:t>原料）</w:t>
            </w:r>
            <w:r>
              <w:rPr>
                <w:rFonts w:hint="eastAsia" w:cs="Times New Roman"/>
                <w:color w:val="000000"/>
              </w:rPr>
              <w:t>。</w:t>
            </w:r>
          </w:p>
          <w:p>
            <w:pPr>
              <w:ind w:firstLine="480"/>
              <w:rPr>
                <w:rFonts w:cs="Times New Roman"/>
                <w:color w:val="000000"/>
              </w:rPr>
            </w:pPr>
            <w:r>
              <w:rPr>
                <w:rFonts w:hint="eastAsia" w:cs="Times New Roman"/>
                <w:color w:val="000000"/>
              </w:rPr>
              <w:t>本项目实际进入湿法破碎与清洗工序的塑料原料量为29700t/a，核算清洗及破碎工序废水产生量为123.75m³/d（即29700m³/a）。</w:t>
            </w:r>
          </w:p>
          <w:p>
            <w:pPr>
              <w:ind w:firstLine="480"/>
              <w:rPr>
                <w:rFonts w:cs="Times New Roman"/>
              </w:rPr>
            </w:pPr>
            <w:r>
              <w:rPr>
                <w:rFonts w:hint="eastAsia" w:cs="Times New Roman"/>
              </w:rPr>
              <w:t>②</w:t>
            </w:r>
            <w:r>
              <w:rPr>
                <w:rFonts w:hint="eastAsia"/>
              </w:rPr>
              <w:t>车间地面清洗废水</w:t>
            </w:r>
          </w:p>
          <w:p>
            <w:pPr>
              <w:ind w:firstLine="480"/>
              <w:rPr>
                <w:rFonts w:cs="Times New Roman"/>
              </w:rPr>
            </w:pPr>
            <w:r>
              <w:rPr>
                <w:rFonts w:hint="eastAsia" w:cs="Times New Roman"/>
              </w:rPr>
              <w:t>车间地面清洗废水产生量按用水量的</w:t>
            </w:r>
            <w:r>
              <w:rPr>
                <w:rFonts w:cs="Times New Roman"/>
              </w:rPr>
              <w:t>90%</w:t>
            </w:r>
            <w:r>
              <w:rPr>
                <w:rFonts w:hint="eastAsia" w:cs="Times New Roman"/>
              </w:rPr>
              <w:t>计，则日均废水排放量为</w:t>
            </w:r>
            <w:r>
              <w:rPr>
                <w:rFonts w:cs="Times New Roman"/>
              </w:rPr>
              <w:t>0.036 m³/d</w:t>
            </w:r>
            <w:r>
              <w:rPr>
                <w:rFonts w:hint="eastAsia" w:cs="Times New Roman"/>
              </w:rPr>
              <w:t>，年排放量为</w:t>
            </w:r>
            <w:r>
              <w:rPr>
                <w:rFonts w:cs="Times New Roman"/>
              </w:rPr>
              <w:t>8.64 m³/a</w:t>
            </w:r>
            <w:r>
              <w:rPr>
                <w:rFonts w:hint="eastAsia" w:cs="Times New Roman"/>
              </w:rPr>
              <w:t>。</w:t>
            </w:r>
          </w:p>
          <w:p>
            <w:pPr>
              <w:pStyle w:val="7"/>
              <w:ind w:firstLine="480"/>
              <w:jc w:val="both"/>
              <w:rPr>
                <w:rFonts w:cs="Times New Roman"/>
              </w:rPr>
            </w:pPr>
            <w:r>
              <w:rPr>
                <w:rFonts w:hint="eastAsia" w:cs="Times New Roman"/>
              </w:rPr>
              <w:t>项目生产废水全部经沉淀后进入清水池回用于破碎、清洗工序，循环使用，无生产废水外排。</w:t>
            </w:r>
          </w:p>
          <w:p>
            <w:pPr>
              <w:ind w:firstLine="480"/>
              <w:rPr>
                <w:color w:val="000000" w:themeColor="text1"/>
                <w14:textFill>
                  <w14:solidFill>
                    <w14:schemeClr w14:val="tx1"/>
                  </w14:solidFill>
                </w14:textFill>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color w:val="000000" w:themeColor="text1"/>
                <w14:textFill>
                  <w14:solidFill>
                    <w14:schemeClr w14:val="tx1"/>
                  </w14:solidFill>
                </w14:textFill>
              </w:rPr>
              <w:t>生活污水</w:t>
            </w:r>
          </w:p>
          <w:p>
            <w:pPr>
              <w:ind w:firstLine="480"/>
              <w:rPr>
                <w:color w:val="000000" w:themeColor="text1"/>
                <w14:textFill>
                  <w14:solidFill>
                    <w14:schemeClr w14:val="tx1"/>
                  </w14:solidFill>
                </w14:textFill>
              </w:rPr>
            </w:pPr>
            <w:r>
              <w:rPr>
                <w:rFonts w:hint="eastAsia"/>
              </w:rPr>
              <w:t>污水产生量按照产生系数0.8计，则生活污水排放量为</w:t>
            </w:r>
            <w:r>
              <w:t>0.192</w:t>
            </w:r>
            <w:r>
              <w:rPr>
                <w:rFonts w:hint="eastAsia"/>
              </w:rPr>
              <w:t>m</w:t>
            </w:r>
            <w:r>
              <w:rPr>
                <w:rFonts w:hint="eastAsia"/>
                <w:vertAlign w:val="superscript"/>
              </w:rPr>
              <w:t>3</w:t>
            </w:r>
            <w:r>
              <w:rPr>
                <w:rFonts w:hint="eastAsia"/>
              </w:rPr>
              <w:t>/d，</w:t>
            </w:r>
            <w:r>
              <w:t>46.08</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p>
          <w:p>
            <w:pPr>
              <w:ind w:firstLine="480"/>
            </w:pPr>
            <w:r>
              <w:rPr>
                <w:rFonts w:hint="eastAsia"/>
              </w:rPr>
              <w:t>生活污水进入库尔勒市哈拉玉宫镇废旧物资回收加工产业园配套建设的化粪池进行预处理后，定期由吸污车抽运至库尔勒市南市区污水处理厂处理。</w:t>
            </w:r>
          </w:p>
          <w:p>
            <w:pPr>
              <w:ind w:firstLine="480"/>
            </w:pPr>
            <w:r>
              <w:rPr>
                <w:rFonts w:hint="eastAsia"/>
              </w:rPr>
              <w:t>项目给排水平衡情况见表</w:t>
            </w:r>
            <w:r>
              <w:t>2-8</w:t>
            </w:r>
            <w:r>
              <w:rPr>
                <w:rFonts w:hint="eastAsia"/>
              </w:rPr>
              <w:t>，水平衡图见图</w:t>
            </w:r>
            <w:r>
              <w:t>2-1</w:t>
            </w:r>
            <w:r>
              <w:rPr>
                <w:rFonts w:hint="eastAsia"/>
              </w:rPr>
              <w:t>。</w:t>
            </w:r>
          </w:p>
          <w:p>
            <w:pPr>
              <w:spacing w:line="240" w:lineRule="auto"/>
              <w:ind w:firstLine="482" w:firstLineChars="0"/>
              <w:jc w:val="center"/>
              <w:textAlignment w:val="auto"/>
              <w:rPr>
                <w:rFonts w:cs="Times New Roman"/>
                <w:b/>
                <w:bCs/>
                <w:color w:val="000000"/>
                <w:sz w:val="21"/>
                <w:szCs w:val="21"/>
              </w:rPr>
            </w:pPr>
            <w:r>
              <w:rPr>
                <w:rFonts w:hint="eastAsia" w:cs="Times New Roman"/>
                <w:b/>
                <w:bCs/>
                <w:color w:val="000000"/>
                <w:sz w:val="21"/>
                <w:szCs w:val="21"/>
              </w:rPr>
              <w:t>表</w:t>
            </w:r>
            <w:r>
              <w:rPr>
                <w:rFonts w:cs="Times New Roman"/>
                <w:b/>
                <w:bCs/>
                <w:color w:val="000000"/>
                <w:sz w:val="21"/>
                <w:szCs w:val="21"/>
              </w:rPr>
              <w:t xml:space="preserve">2-8  </w:t>
            </w:r>
            <w:r>
              <w:rPr>
                <w:rFonts w:hint="eastAsia" w:cs="Times New Roman"/>
                <w:b/>
                <w:bCs/>
                <w:color w:val="000000"/>
                <w:sz w:val="21"/>
                <w:szCs w:val="21"/>
              </w:rPr>
              <w:t>项目新鲜水给排水情况（单位：</w:t>
            </w:r>
            <w:r>
              <w:rPr>
                <w:rFonts w:cs="Times New Roman"/>
                <w:b/>
                <w:bCs/>
                <w:color w:val="000000"/>
                <w:sz w:val="21"/>
                <w:szCs w:val="21"/>
              </w:rPr>
              <w:t>m</w:t>
            </w:r>
            <w:r>
              <w:rPr>
                <w:rFonts w:cs="Times New Roman"/>
                <w:b/>
                <w:bCs/>
                <w:color w:val="000000"/>
                <w:sz w:val="21"/>
                <w:szCs w:val="21"/>
                <w:vertAlign w:val="superscript"/>
              </w:rPr>
              <w:t>3</w:t>
            </w:r>
            <w:r>
              <w:rPr>
                <w:rFonts w:cs="Times New Roman"/>
                <w:b/>
                <w:bCs/>
                <w:color w:val="000000"/>
                <w:sz w:val="21"/>
                <w:szCs w:val="21"/>
              </w:rPr>
              <w:t>/d</w:t>
            </w:r>
            <w:r>
              <w:rPr>
                <w:rFonts w:hint="eastAsia" w:cs="Times New Roman"/>
                <w:b/>
                <w:bCs/>
                <w:color w:val="000000"/>
                <w:sz w:val="21"/>
                <w:szCs w:val="21"/>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48"/>
              <w:gridCol w:w="902"/>
              <w:gridCol w:w="1095"/>
              <w:gridCol w:w="897"/>
              <w:gridCol w:w="1097"/>
              <w:gridCol w:w="2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用水</w:t>
                  </w:r>
                </w:p>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单元</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总用水量</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ascii="Segoe UI" w:hAnsi="Segoe UI" w:cs="Segoe UI"/>
                      <w:color w:val="0F1115"/>
                      <w:sz w:val="21"/>
                      <w:szCs w:val="21"/>
                      <w:shd w:val="clear" w:color="auto" w:fill="FFFFFF"/>
                    </w:rPr>
                    <w:t>新鲜水补充量</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回用</w:t>
                  </w:r>
                </w:p>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水量</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蒸发损失</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废水产生量</w:t>
                  </w:r>
                </w:p>
              </w:tc>
              <w:tc>
                <w:tcPr>
                  <w:tcW w:w="1507"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清洗用水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123.75</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123.75</w:t>
                  </w:r>
                </w:p>
              </w:tc>
              <w:tc>
                <w:tcPr>
                  <w:tcW w:w="1507" w:type="pct"/>
                  <w:vMerge w:val="restart"/>
                  <w:shd w:val="clear" w:color="auto" w:fill="auto"/>
                  <w:vAlign w:val="center"/>
                </w:tcPr>
                <w:p>
                  <w:pPr>
                    <w:spacing w:line="240" w:lineRule="auto"/>
                    <w:ind w:firstLine="0" w:firstLineChars="0"/>
                    <w:textAlignment w:val="auto"/>
                    <w:rPr>
                      <w:rFonts w:cs="Times New Roman"/>
                      <w:color w:val="000000"/>
                      <w:sz w:val="21"/>
                      <w:szCs w:val="21"/>
                    </w:rPr>
                  </w:pPr>
                  <w:r>
                    <w:rPr>
                      <w:rFonts w:hint="eastAsia" w:cs="Times New Roman"/>
                      <w:color w:val="000000"/>
                      <w:sz w:val="21"/>
                      <w:szCs w:val="21"/>
                    </w:rPr>
                    <w:t>生产废水全部经沉淀后回用于生产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车间地面清洗用水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0.04</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.004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0.036</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.004</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0.036</w:t>
                  </w:r>
                </w:p>
              </w:tc>
              <w:tc>
                <w:tcPr>
                  <w:tcW w:w="1507" w:type="pct"/>
                  <w:vMerge w:val="continue"/>
                  <w:shd w:val="clear" w:color="auto" w:fill="auto"/>
                  <w:vAlign w:val="center"/>
                </w:tcPr>
                <w:p>
                  <w:pPr>
                    <w:spacing w:line="240" w:lineRule="auto"/>
                    <w:ind w:firstLine="0" w:firstLineChars="0"/>
                    <w:textAlignment w:val="auto"/>
                    <w:rPr>
                      <w:rFonts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生活用水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.24</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0.24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.048</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0.192</w:t>
                  </w:r>
                </w:p>
              </w:tc>
              <w:tc>
                <w:tcPr>
                  <w:tcW w:w="1507" w:type="pct"/>
                  <w:shd w:val="clear" w:color="auto" w:fill="auto"/>
                  <w:vAlign w:val="center"/>
                </w:tcPr>
                <w:p>
                  <w:pPr>
                    <w:spacing w:line="240" w:lineRule="auto"/>
                    <w:ind w:firstLine="0" w:firstLineChars="0"/>
                    <w:textAlignment w:val="auto"/>
                    <w:rPr>
                      <w:rFonts w:cs="Times New Roman"/>
                      <w:color w:val="000000"/>
                      <w:sz w:val="21"/>
                      <w:szCs w:val="21"/>
                    </w:rPr>
                  </w:pPr>
                  <w:r>
                    <w:rPr>
                      <w:rFonts w:hint="eastAsia" w:cs="Times New Roman"/>
                      <w:color w:val="000000"/>
                      <w:sz w:val="21"/>
                      <w:szCs w:val="21"/>
                    </w:rPr>
                    <w:t>生活污水经化粪池处理后，</w:t>
                  </w:r>
                  <w:r>
                    <w:rPr>
                      <w:rFonts w:hint="eastAsia" w:hAnsi="宋体" w:cs="Times New Roman"/>
                      <w:spacing w:val="-11"/>
                      <w:sz w:val="21"/>
                      <w:szCs w:val="21"/>
                    </w:rPr>
                    <w:t>定期由吸污车抽运至库尔勒市南市区污水处理厂处理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合计</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37.78</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3.994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23.786</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3.802</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23.978</w:t>
                  </w:r>
                </w:p>
              </w:tc>
              <w:tc>
                <w:tcPr>
                  <w:tcW w:w="1507"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w:t>
                  </w:r>
                </w:p>
              </w:tc>
            </w:tr>
          </w:tbl>
          <w:p>
            <w:pPr>
              <w:pStyle w:val="4"/>
              <w:jc w:val="center"/>
              <w:rPr>
                <w:color w:val="FF0000"/>
              </w:rPr>
            </w:pPr>
            <w:r>
              <w:drawing>
                <wp:inline distT="0" distB="0" distL="0" distR="0">
                  <wp:extent cx="5665470" cy="3435985"/>
                  <wp:effectExtent l="19050" t="19050" r="1143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667079" cy="3437111"/>
                          </a:xfrm>
                          <a:prstGeom prst="rect">
                            <a:avLst/>
                          </a:prstGeom>
                          <a:ln>
                            <a:solidFill>
                              <a:schemeClr val="tx1"/>
                            </a:solidFill>
                          </a:ln>
                        </pic:spPr>
                      </pic:pic>
                    </a:graphicData>
                  </a:graphic>
                </wp:inline>
              </w:drawing>
            </w:r>
          </w:p>
          <w:p>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项目水平衡图（单位：m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供暖</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生产线无需供热，生活区采用电取暖。</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.6.4</w:t>
            </w:r>
            <w:r>
              <w:rPr>
                <w:rFonts w:hint="eastAsia"/>
                <w:color w:val="000000" w:themeColor="text1"/>
                <w14:textFill>
                  <w14:solidFill>
                    <w14:schemeClr w14:val="tx1"/>
                  </w14:solidFill>
                </w14:textFill>
              </w:rPr>
              <w:t>供电</w:t>
            </w:r>
          </w:p>
          <w:p>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由库尔勒市哈拉玉宫镇废旧物资回收加工产业园电力系统供给。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7" w:type="dxa"/>
            <w:vAlign w:val="center"/>
          </w:tcPr>
          <w:p>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工艺流程和产排污环节</w:t>
            </w:r>
          </w:p>
        </w:tc>
        <w:tc>
          <w:tcPr>
            <w:tcW w:w="8603"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工艺流程与产污环节分析</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.7.1施工期工艺流程和产排污环节</w:t>
            </w:r>
          </w:p>
          <w:p>
            <w:pPr>
              <w:ind w:firstLine="480"/>
              <w:textAlignment w:val="auto"/>
            </w:pPr>
            <w:r>
              <w:rPr>
                <w:rFonts w:hint="eastAsia"/>
              </w:rPr>
              <w:t>本项目建设依托现有厂房，同步配套建设清洗池、沉淀池、原料堆场和成品堆场等辅助设施。施工过程中产生的污染物主要包括噪声、废气、废水以及固体废物，其主要产污环节与施工流程详见下图。</w:t>
            </w:r>
          </w:p>
          <w:p>
            <w:pPr>
              <w:ind w:firstLine="0" w:firstLineChars="0"/>
              <w:jc w:val="center"/>
              <w:textAlignment w:val="auto"/>
            </w:pPr>
            <w:r>
              <w:rPr>
                <w:rFonts w:ascii="Calibri" w:hAnsi="Calibri" w:cs="Times New Roman"/>
                <w:sz w:val="21"/>
                <w:szCs w:val="24"/>
              </w:rPr>
              <w:drawing>
                <wp:inline distT="0" distB="0" distL="0" distR="0">
                  <wp:extent cx="5285105" cy="1604010"/>
                  <wp:effectExtent l="9525" t="9525" r="2413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85105" cy="1604010"/>
                          </a:xfrm>
                          <a:prstGeom prst="rect">
                            <a:avLst/>
                          </a:prstGeom>
                          <a:noFill/>
                          <a:ln>
                            <a:solidFill>
                              <a:schemeClr val="tx1"/>
                            </a:solidFill>
                          </a:ln>
                        </pic:spPr>
                      </pic:pic>
                    </a:graphicData>
                  </a:graphic>
                </wp:inline>
              </w:drawing>
            </w:r>
          </w:p>
          <w:p>
            <w:pPr>
              <w:widowControl/>
              <w:ind w:firstLine="0" w:firstLineChars="0"/>
              <w:jc w:val="center"/>
              <w:textAlignment w:val="auto"/>
              <w:rPr>
                <w:rFonts w:cs="Times New Roman"/>
                <w:b/>
                <w:kern w:val="0"/>
                <w:sz w:val="21"/>
                <w:szCs w:val="21"/>
              </w:rPr>
            </w:pPr>
            <w:r>
              <w:rPr>
                <w:rFonts w:cs="Times New Roman"/>
                <w:b/>
                <w:kern w:val="0"/>
                <w:sz w:val="21"/>
                <w:szCs w:val="21"/>
              </w:rPr>
              <w:t>图</w:t>
            </w:r>
            <w:r>
              <w:rPr>
                <w:rFonts w:hint="eastAsia" w:cs="Times New Roman"/>
                <w:b/>
                <w:kern w:val="0"/>
                <w:sz w:val="21"/>
                <w:szCs w:val="21"/>
              </w:rPr>
              <w:t>2</w:t>
            </w:r>
            <w:r>
              <w:rPr>
                <w:rFonts w:cs="Times New Roman"/>
                <w:b/>
                <w:kern w:val="0"/>
                <w:sz w:val="21"/>
                <w:szCs w:val="21"/>
              </w:rPr>
              <w:t>-</w:t>
            </w:r>
            <w:r>
              <w:rPr>
                <w:rFonts w:hint="eastAsia" w:cs="Times New Roman"/>
                <w:b/>
                <w:kern w:val="0"/>
                <w:sz w:val="21"/>
                <w:szCs w:val="21"/>
              </w:rPr>
              <w:t>2</w:t>
            </w:r>
            <w:r>
              <w:rPr>
                <w:rFonts w:cs="Times New Roman"/>
                <w:b/>
                <w:kern w:val="0"/>
                <w:sz w:val="21"/>
                <w:szCs w:val="21"/>
              </w:rPr>
              <w:t xml:space="preserve">  </w:t>
            </w:r>
            <w:r>
              <w:rPr>
                <w:rFonts w:hint="eastAsia" w:cs="Times New Roman"/>
                <w:b/>
                <w:kern w:val="0"/>
                <w:sz w:val="21"/>
                <w:szCs w:val="21"/>
              </w:rPr>
              <w:t>施工工期</w:t>
            </w:r>
            <w:r>
              <w:rPr>
                <w:rFonts w:cs="Times New Roman"/>
                <w:b/>
                <w:kern w:val="0"/>
                <w:sz w:val="21"/>
                <w:szCs w:val="21"/>
              </w:rPr>
              <w:t>工艺流程及产污环节图</w:t>
            </w:r>
          </w:p>
          <w:p>
            <w:pPr>
              <w:ind w:firstLine="480"/>
            </w:pPr>
            <w:r>
              <w:rPr>
                <w:rFonts w:hint="eastAsia"/>
              </w:rPr>
              <w:t>废水：施工人员生活污水、施工作业废水。</w:t>
            </w:r>
          </w:p>
          <w:p>
            <w:pPr>
              <w:ind w:firstLine="480"/>
            </w:pPr>
            <w:r>
              <w:rPr>
                <w:rFonts w:hint="eastAsia"/>
              </w:rPr>
              <w:t>废气：施工扬尘、施工机械废气、车辆尾气。</w:t>
            </w:r>
          </w:p>
          <w:p>
            <w:pPr>
              <w:ind w:firstLine="480"/>
            </w:pPr>
            <w:r>
              <w:rPr>
                <w:rFonts w:hint="eastAsia"/>
              </w:rPr>
              <w:t>噪声：机械噪声、施工作业噪声、施工车辆噪声。</w:t>
            </w:r>
          </w:p>
          <w:p>
            <w:pPr>
              <w:ind w:firstLine="480"/>
            </w:pPr>
            <w:r>
              <w:rPr>
                <w:rFonts w:hint="eastAsia"/>
              </w:rPr>
              <w:t>固废：施工人员生活垃圾、建筑垃圾等。</w:t>
            </w:r>
          </w:p>
          <w:p>
            <w:pPr>
              <w:ind w:firstLine="480"/>
            </w:pPr>
            <w:r>
              <w:rPr>
                <w:rFonts w:hint="eastAsia"/>
              </w:rPr>
              <w:t>以上污染源和污染物均会对周围产生一定的环境影响，随着施工工期的结束，影响也将结束。</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.7.2</w:t>
            </w:r>
            <w:r>
              <w:t>运营期生产工艺流程及产污环节</w:t>
            </w:r>
          </w:p>
          <w:p>
            <w:pPr>
              <w:ind w:firstLine="0" w:firstLineChars="0"/>
              <w:jc w:val="center"/>
            </w:pPr>
            <w:r>
              <w:drawing>
                <wp:inline distT="0" distB="0" distL="0" distR="0">
                  <wp:extent cx="5365750" cy="5278120"/>
                  <wp:effectExtent l="9525" t="9525" r="1968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365750" cy="5278120"/>
                          </a:xfrm>
                          <a:prstGeom prst="rect">
                            <a:avLst/>
                          </a:prstGeom>
                          <a:ln>
                            <a:solidFill>
                              <a:schemeClr val="tx1"/>
                            </a:solidFill>
                          </a:ln>
                        </pic:spPr>
                      </pic:pic>
                    </a:graphicData>
                  </a:graphic>
                </wp:inline>
              </w:drawing>
            </w:r>
          </w:p>
          <w:p>
            <w:pPr>
              <w:ind w:firstLine="422"/>
              <w:jc w:val="center"/>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图2-3  工艺流程及排污环节图</w:t>
            </w:r>
          </w:p>
          <w:p>
            <w:pPr>
              <w:ind w:firstLine="480"/>
              <w:rPr>
                <w:rFonts w:cs="Times New Roman"/>
                <w:szCs w:val="24"/>
              </w:rPr>
            </w:pPr>
            <w:r>
              <w:rPr>
                <w:rFonts w:cs="Times New Roman"/>
                <w:szCs w:val="24"/>
              </w:rPr>
              <w:t>工艺流程简述：</w:t>
            </w:r>
          </w:p>
          <w:p>
            <w:pPr>
              <w:ind w:firstLine="482"/>
              <w:rPr>
                <w:rFonts w:cs="Times New Roman"/>
                <w:b/>
                <w:bCs/>
                <w:szCs w:val="24"/>
              </w:rPr>
            </w:pPr>
            <w:r>
              <w:rPr>
                <w:rFonts w:hint="eastAsia" w:cs="Times New Roman"/>
                <w:b/>
                <w:bCs/>
                <w:szCs w:val="24"/>
              </w:rPr>
              <w:t>本项目所用原料不涉及受到危险化学品、农药等污染的废弃塑料包装物、废弃一次性医疗用塑料制品等塑料类危险废物，以及氟塑料等特种工程塑料，沾染油类的废旧塑料等，废塑料由本地废品回收站运输车辆运至厂区，暂存于原料堆场。</w:t>
            </w:r>
          </w:p>
          <w:p>
            <w:pPr>
              <w:ind w:firstLine="482"/>
            </w:pPr>
            <w:r>
              <w:rPr>
                <w:rFonts w:hint="eastAsia"/>
                <w:b/>
                <w:bCs/>
              </w:rPr>
              <w:t>人工分拣：</w:t>
            </w:r>
            <w:r>
              <w:rPr>
                <w:rFonts w:hint="eastAsia"/>
              </w:rPr>
              <w:t>通过人工分拣，筛除原料中的大块杂质，如纸张、石子等，并将分拣出的废料分类收集。该工序产生的主要污染物为固体废物；</w:t>
            </w:r>
          </w:p>
          <w:p>
            <w:pPr>
              <w:ind w:firstLine="482"/>
            </w:pPr>
            <w:r>
              <w:rPr>
                <w:rFonts w:hint="eastAsia"/>
                <w:b/>
                <w:bCs/>
              </w:rPr>
              <w:t>初次湿法撕碎：</w:t>
            </w:r>
            <w:r>
              <w:rPr>
                <w:rFonts w:hint="eastAsia"/>
              </w:rPr>
              <w:t>人工分拣后的物料通过输送带送入撕碎机，撕碎成大块，为二次破碎做准备。本项目采用湿法撕碎工艺，即在撕碎过程中喷入定量水流。此举既可保护刀片、防止过热，又能有效抑制粉尘产生。破碎用水循环使用，定期补充。撕碎后的物料经输送带送往二次湿式破碎工序。此工序主要污染物为少量粉尘和废水；</w:t>
            </w:r>
          </w:p>
          <w:p>
            <w:pPr>
              <w:ind w:firstLine="482"/>
            </w:pPr>
            <w:r>
              <w:rPr>
                <w:rFonts w:hint="eastAsia"/>
                <w:b/>
                <w:bCs/>
              </w:rPr>
              <w:t>二次湿法破碎：</w:t>
            </w:r>
            <w:r>
              <w:rPr>
                <w:rFonts w:hint="eastAsia"/>
              </w:rPr>
              <w:t>经初次撕碎的大块物料被送入破碎机，进一步破碎成细小的碎片。此工序产生的主要污染物为</w:t>
            </w:r>
            <w:r>
              <w:t>废水</w:t>
            </w:r>
            <w:r>
              <w:rPr>
                <w:rFonts w:hint="eastAsia"/>
              </w:rPr>
              <w:t>和恶臭；</w:t>
            </w:r>
          </w:p>
          <w:p>
            <w:pPr>
              <w:ind w:firstLine="482"/>
            </w:pPr>
            <w:r>
              <w:rPr>
                <w:rFonts w:hint="eastAsia" w:cs="Times New Roman"/>
                <w:b/>
                <w:bCs/>
                <w:szCs w:val="24"/>
              </w:rPr>
              <w:t>清洗：</w:t>
            </w:r>
            <w:r>
              <w:rPr>
                <w:rFonts w:hint="eastAsia"/>
              </w:rPr>
              <w:t>破碎后的塑料碎片进入清洗池，以去除表面附着的泥沙等杂质。本项目使用自来水进行清洗，不添加任何化学药剂。清洗废水经沉淀池处理后即可回用于清洗工序，实现循环使用。该工序产生的主要污染物为清洗废水；</w:t>
            </w:r>
          </w:p>
          <w:p>
            <w:pPr>
              <w:ind w:firstLine="482"/>
            </w:pPr>
            <w:r>
              <w:rPr>
                <w:rFonts w:hint="eastAsia"/>
                <w:b/>
                <w:bCs/>
              </w:rPr>
              <w:t>甩干：</w:t>
            </w:r>
            <w:r>
              <w:rPr>
                <w:rFonts w:hint="eastAsia"/>
              </w:rPr>
              <w:t>清洗后的湿塑料碎片进入甩干机。在电机驱动下，旋转筒高速转动，利用离心力将碎片表面的附着水分离脱除；</w:t>
            </w:r>
          </w:p>
          <w:p>
            <w:pPr>
              <w:ind w:firstLine="482"/>
              <w:rPr>
                <w:b/>
                <w:bCs/>
              </w:rPr>
            </w:pPr>
            <w:r>
              <w:rPr>
                <w:rFonts w:hint="eastAsia"/>
                <w:b/>
                <w:bCs/>
              </w:rPr>
              <w:t>空分机：</w:t>
            </w:r>
            <w:r>
              <w:rPr>
                <w:rFonts w:hint="eastAsia"/>
              </w:rPr>
              <w:t>经甩干后的塑料碎片通过</w:t>
            </w:r>
            <w:r>
              <w:rPr>
                <w:rFonts w:hint="eastAsia" w:ascii="宋体" w:hAnsi="宋体" w:cs="宋体"/>
                <w:szCs w:val="24"/>
              </w:rPr>
              <w:t>空分机</w:t>
            </w:r>
            <w:r>
              <w:rPr>
                <w:rFonts w:hint="eastAsia"/>
              </w:rPr>
              <w:t>进行处理。利用可控气流将密度不同的碎片分离开，主要目的是去除残留的轻质杂质；</w:t>
            </w:r>
          </w:p>
          <w:p>
            <w:pPr>
              <w:ind w:firstLine="482"/>
            </w:pPr>
            <w:r>
              <w:rPr>
                <w:rFonts w:hint="eastAsia" w:cs="Times New Roman"/>
                <w:b/>
                <w:bCs/>
                <w:szCs w:val="24"/>
              </w:rPr>
              <w:t>打包外售：</w:t>
            </w:r>
            <w:r>
              <w:rPr>
                <w:rFonts w:hint="eastAsia"/>
              </w:rPr>
              <w:t>采用人工打包方式，使用编织袋对废旧塑料碎片进行袋装，并做好标识，存放于成品库区。袋装后的废旧塑料碎片重量无固定规格，外售时根据需求统一称重。</w:t>
            </w:r>
          </w:p>
          <w:p>
            <w:pPr>
              <w:pStyle w:val="4"/>
            </w:pPr>
            <w:r>
              <w:rPr>
                <w:rFonts w:hint="eastAsia"/>
              </w:rPr>
              <w:t>2</w:t>
            </w:r>
            <w:r>
              <w:t>.7.3</w:t>
            </w:r>
            <w:r>
              <w:rPr>
                <w:rFonts w:hint="eastAsia"/>
              </w:rPr>
              <w:t>产污环节</w:t>
            </w:r>
          </w:p>
          <w:p>
            <w:pPr>
              <w:ind w:firstLine="480"/>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本项目主要污染工序见表</w:t>
            </w:r>
            <w:r>
              <w:rPr>
                <w:bCs/>
                <w:color w:val="000000" w:themeColor="text1"/>
                <w:kern w:val="0"/>
                <w14:textFill>
                  <w14:solidFill>
                    <w14:schemeClr w14:val="tx1"/>
                  </w14:solidFill>
                </w14:textFill>
              </w:rPr>
              <w:t>2-9</w:t>
            </w:r>
            <w:r>
              <w:rPr>
                <w:rFonts w:hint="eastAsia"/>
                <w:bCs/>
                <w:color w:val="000000" w:themeColor="text1"/>
                <w:kern w:val="0"/>
                <w14:textFill>
                  <w14:solidFill>
                    <w14:schemeClr w14:val="tx1"/>
                  </w14:solidFill>
                </w14:textFill>
              </w:rPr>
              <w:t>：</w:t>
            </w:r>
          </w:p>
          <w:p>
            <w:pPr>
              <w:pStyle w:val="4"/>
              <w:spacing w:after="0"/>
              <w:jc w:val="center"/>
              <w:rPr>
                <w:rFonts w:cs="Times New Roman"/>
                <w:sz w:val="21"/>
                <w:szCs w:val="21"/>
              </w:rPr>
            </w:pPr>
            <w:r>
              <w:rPr>
                <w:rFonts w:cs="Times New Roman"/>
                <w:sz w:val="21"/>
                <w:szCs w:val="21"/>
              </w:rPr>
              <w:t>表2-9  主要污染工序汇总</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4"/>
              <w:gridCol w:w="1673"/>
              <w:gridCol w:w="2423"/>
              <w:gridCol w:w="3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768"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污染物类别</w:t>
                  </w: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产污工序</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污染源</w:t>
                  </w:r>
                </w:p>
              </w:tc>
              <w:tc>
                <w:tcPr>
                  <w:tcW w:w="1820" w:type="pct"/>
                  <w:vAlign w:val="center"/>
                </w:tcPr>
                <w:p>
                  <w:pPr>
                    <w:spacing w:line="240" w:lineRule="auto"/>
                    <w:ind w:firstLine="0" w:firstLineChars="0"/>
                    <w:contextualSpacing/>
                    <w:jc w:val="center"/>
                    <w:rPr>
                      <w:color w:val="000000"/>
                      <w:sz w:val="21"/>
                      <w:szCs w:val="21"/>
                    </w:rPr>
                  </w:pPr>
                  <w:r>
                    <w:rPr>
                      <w:rFonts w:hint="eastAsia"/>
                      <w:color w:val="000000"/>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废气</w:t>
                  </w: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湿法破碎</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粉尘、恶臭</w:t>
                  </w:r>
                </w:p>
              </w:tc>
              <w:tc>
                <w:tcPr>
                  <w:tcW w:w="1820" w:type="pct"/>
                  <w:vAlign w:val="center"/>
                </w:tcPr>
                <w:p>
                  <w:pPr>
                    <w:spacing w:line="240" w:lineRule="auto"/>
                    <w:ind w:firstLine="0" w:firstLineChars="0"/>
                    <w:contextualSpacing/>
                    <w:jc w:val="center"/>
                    <w:rPr>
                      <w:color w:val="000000"/>
                      <w:sz w:val="21"/>
                      <w:szCs w:val="21"/>
                    </w:rPr>
                  </w:pPr>
                  <w:r>
                    <w:rPr>
                      <w:rFonts w:hint="eastAsia"/>
                      <w:color w:val="000000"/>
                      <w:sz w:val="21"/>
                      <w:szCs w:val="21"/>
                    </w:rPr>
                    <w:t>颗粒物、臭气浓度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废水</w:t>
                  </w: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生活污水</w:t>
                  </w:r>
                </w:p>
              </w:tc>
              <w:tc>
                <w:tcPr>
                  <w:tcW w:w="1820" w:type="pct"/>
                  <w:vAlign w:val="center"/>
                </w:tcPr>
                <w:p>
                  <w:pPr>
                    <w:spacing w:line="240" w:lineRule="auto"/>
                    <w:ind w:firstLine="0" w:firstLineChars="0"/>
                    <w:contextualSpacing/>
                    <w:jc w:val="center"/>
                    <w:rPr>
                      <w:rFonts w:cs="Times New Roman"/>
                      <w:color w:val="000000"/>
                      <w:sz w:val="21"/>
                      <w:szCs w:val="21"/>
                    </w:rPr>
                  </w:pPr>
                  <w:r>
                    <w:rPr>
                      <w:rFonts w:hint="eastAsia" w:eastAsia="TimesNewRomanPSMT" w:cs="Times New Roman"/>
                      <w:color w:val="000000"/>
                      <w:sz w:val="21"/>
                      <w:szCs w:val="21"/>
                    </w:rPr>
                    <w:t>pH</w:t>
                  </w:r>
                  <w:r>
                    <w:rPr>
                      <w:rFonts w:hint="eastAsia" w:ascii="宋体" w:hAnsi="宋体" w:cs="宋体"/>
                      <w:color w:val="000000"/>
                      <w:sz w:val="21"/>
                      <w:szCs w:val="21"/>
                    </w:rPr>
                    <w:t>、</w:t>
                  </w:r>
                  <w:r>
                    <w:rPr>
                      <w:rFonts w:eastAsia="TimesNewRomanPSMT" w:cs="Times New Roman"/>
                      <w:color w:val="000000"/>
                      <w:sz w:val="21"/>
                      <w:szCs w:val="21"/>
                    </w:rPr>
                    <w:t>COD</w:t>
                  </w:r>
                  <w:r>
                    <w:rPr>
                      <w:rFonts w:cs="Times New Roman"/>
                      <w:color w:val="000000"/>
                      <w:sz w:val="21"/>
                      <w:szCs w:val="21"/>
                    </w:rPr>
                    <w:t>、</w:t>
                  </w:r>
                  <w:r>
                    <w:rPr>
                      <w:rFonts w:eastAsia="TimesNewRomanPSMT" w:cs="Times New Roman"/>
                      <w:color w:val="000000"/>
                      <w:sz w:val="21"/>
                      <w:szCs w:val="21"/>
                    </w:rPr>
                    <w:t>BOD</w:t>
                  </w:r>
                  <w:r>
                    <w:rPr>
                      <w:rFonts w:eastAsia="TimesNewRomanPSMT" w:cs="Times New Roman"/>
                      <w:color w:val="000000"/>
                      <w:sz w:val="21"/>
                      <w:szCs w:val="21"/>
                      <w:vertAlign w:val="subscript"/>
                    </w:rPr>
                    <w:t>5</w:t>
                  </w:r>
                  <w:r>
                    <w:rPr>
                      <w:rFonts w:cs="Times New Roman"/>
                      <w:color w:val="000000"/>
                      <w:sz w:val="21"/>
                      <w:szCs w:val="21"/>
                    </w:rPr>
                    <w:t>、</w:t>
                  </w:r>
                  <w:r>
                    <w:rPr>
                      <w:rFonts w:eastAsia="TimesNewRomanPSMT" w:cs="Times New Roman"/>
                      <w:color w:val="000000"/>
                      <w:sz w:val="21"/>
                      <w:szCs w:val="21"/>
                    </w:rPr>
                    <w:t>NH</w:t>
                  </w:r>
                  <w:r>
                    <w:rPr>
                      <w:rFonts w:hint="eastAsia" w:cs="Times New Roman"/>
                      <w:color w:val="000000"/>
                      <w:sz w:val="21"/>
                      <w:szCs w:val="21"/>
                      <w:vertAlign w:val="subscript"/>
                    </w:rPr>
                    <w:t>3</w:t>
                  </w:r>
                  <w:r>
                    <w:rPr>
                      <w:rFonts w:eastAsia="TimesNewRomanPSMT" w:cs="Times New Roman"/>
                      <w:color w:val="000000"/>
                      <w:sz w:val="21"/>
                      <w:szCs w:val="21"/>
                    </w:rPr>
                    <w:t>-N</w:t>
                  </w:r>
                  <w:r>
                    <w:rPr>
                      <w:rFonts w:cs="Times New Roman"/>
                      <w:color w:val="000000"/>
                      <w:sz w:val="21"/>
                      <w:szCs w:val="21"/>
                    </w:rPr>
                    <w:t>、</w:t>
                  </w:r>
                  <w:r>
                    <w:rPr>
                      <w:rFonts w:eastAsia="TimesNewRomanPSMT" w:cs="Times New Roman"/>
                      <w:color w:val="000000"/>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清洗</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生产废水</w:t>
                  </w:r>
                </w:p>
              </w:tc>
              <w:tc>
                <w:tcPr>
                  <w:tcW w:w="1820" w:type="pct"/>
                  <w:vAlign w:val="center"/>
                </w:tcPr>
                <w:p>
                  <w:pPr>
                    <w:spacing w:line="240" w:lineRule="auto"/>
                    <w:ind w:firstLine="0" w:firstLineChars="0"/>
                    <w:contextualSpacing/>
                    <w:jc w:val="center"/>
                    <w:rPr>
                      <w:color w:val="000000"/>
                      <w:sz w:val="21"/>
                      <w:szCs w:val="21"/>
                    </w:rPr>
                  </w:pPr>
                  <w:r>
                    <w:rPr>
                      <w:rFonts w:hint="eastAsia" w:cs="Times New Roman"/>
                      <w:color w:val="000000" w:themeColor="text1"/>
                      <w:sz w:val="21"/>
                      <w:szCs w:val="21"/>
                      <w14:textFill>
                        <w14:solidFill>
                          <w14:schemeClr w14:val="tx1"/>
                        </w14:solidFill>
                      </w14:textFill>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固体废物</w:t>
                  </w: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生活垃圾</w:t>
                  </w:r>
                </w:p>
              </w:tc>
              <w:tc>
                <w:tcPr>
                  <w:tcW w:w="1820"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生活垃圾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2"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生产过程</w:t>
                  </w:r>
                </w:p>
              </w:tc>
              <w:tc>
                <w:tcPr>
                  <w:tcW w:w="1427" w:type="pct"/>
                  <w:vAlign w:val="center"/>
                </w:tcPr>
                <w:p>
                  <w:pPr>
                    <w:spacing w:line="240" w:lineRule="auto"/>
                    <w:ind w:firstLine="0" w:firstLineChars="0"/>
                    <w:contextualSpacing/>
                    <w:rPr>
                      <w:color w:val="000000"/>
                      <w:sz w:val="21"/>
                      <w:szCs w:val="21"/>
                    </w:rPr>
                  </w:pPr>
                  <w:r>
                    <w:rPr>
                      <w:rFonts w:cs="Times New Roman"/>
                      <w:sz w:val="21"/>
                      <w:szCs w:val="21"/>
                    </w:rPr>
                    <w:t>沉淀池</w:t>
                  </w:r>
                  <w:r>
                    <w:rPr>
                      <w:rFonts w:hint="eastAsia" w:cs="Times New Roman"/>
                      <w:sz w:val="21"/>
                      <w:szCs w:val="21"/>
                    </w:rPr>
                    <w:t>沉渣、分拣废料</w:t>
                  </w:r>
                </w:p>
              </w:tc>
              <w:tc>
                <w:tcPr>
                  <w:tcW w:w="1820" w:type="pct"/>
                  <w:vAlign w:val="center"/>
                </w:tcPr>
                <w:p>
                  <w:pPr>
                    <w:spacing w:line="240" w:lineRule="auto"/>
                    <w:ind w:firstLine="0" w:firstLineChars="0"/>
                    <w:contextualSpacing/>
                    <w:jc w:val="center"/>
                    <w:rPr>
                      <w:color w:val="000000"/>
                      <w:sz w:val="21"/>
                      <w:szCs w:val="21"/>
                    </w:rPr>
                  </w:pPr>
                  <w:r>
                    <w:rPr>
                      <w:rFonts w:hint="eastAsia"/>
                      <w:sz w:val="21"/>
                      <w:szCs w:val="21"/>
                    </w:rPr>
                    <w:t>一般固体废物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5"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985" w:type="pct"/>
                  <w:vAlign w:val="center"/>
                </w:tcPr>
                <w:p>
                  <w:pPr>
                    <w:spacing w:line="240" w:lineRule="auto"/>
                    <w:ind w:firstLine="0" w:firstLineChars="0"/>
                    <w:contextualSpacing/>
                    <w:jc w:val="center"/>
                    <w:rPr>
                      <w:color w:val="000000"/>
                      <w:sz w:val="21"/>
                      <w:szCs w:val="21"/>
                    </w:rPr>
                  </w:pPr>
                  <w:r>
                    <w:rPr>
                      <w:rFonts w:hint="eastAsia"/>
                      <w:color w:val="000000"/>
                      <w:sz w:val="21"/>
                      <w:szCs w:val="21"/>
                    </w:rPr>
                    <w:t>设备维修</w:t>
                  </w:r>
                </w:p>
              </w:tc>
              <w:tc>
                <w:tcPr>
                  <w:tcW w:w="1427"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废机油、沾有废机油的废抹布和废手套、废机油桶</w:t>
                  </w:r>
                </w:p>
              </w:tc>
              <w:tc>
                <w:tcPr>
                  <w:tcW w:w="1820"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危险废物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68"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噪声</w:t>
                  </w:r>
                </w:p>
              </w:tc>
              <w:tc>
                <w:tcPr>
                  <w:tcW w:w="4232" w:type="pct"/>
                  <w:gridSpan w:val="3"/>
                  <w:vAlign w:val="center"/>
                </w:tcPr>
                <w:p>
                  <w:pPr>
                    <w:spacing w:line="240" w:lineRule="auto"/>
                    <w:ind w:firstLine="0" w:firstLineChars="0"/>
                    <w:contextualSpacing/>
                    <w:rPr>
                      <w:color w:val="000000"/>
                      <w:sz w:val="21"/>
                      <w:szCs w:val="21"/>
                    </w:rPr>
                  </w:pPr>
                  <w:r>
                    <w:rPr>
                      <w:rFonts w:hint="eastAsia"/>
                      <w:color w:val="000000"/>
                      <w:sz w:val="21"/>
                      <w:szCs w:val="21"/>
                    </w:rPr>
                    <w:t>本项目运营期噪声污染源主要是来自生产设备的噪声</w:t>
                  </w:r>
                </w:p>
              </w:tc>
            </w:tr>
          </w:tbl>
          <w:p>
            <w:pPr>
              <w:ind w:firstLine="48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57" w:type="dxa"/>
            <w:vAlign w:val="center"/>
          </w:tcPr>
          <w:p>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与项目有关的原有环境污染问题</w:t>
            </w:r>
          </w:p>
        </w:tc>
        <w:tc>
          <w:tcPr>
            <w:tcW w:w="8603" w:type="dxa"/>
            <w:vAlign w:val="center"/>
          </w:tcPr>
          <w:p>
            <w:pPr>
              <w:pStyle w:val="68"/>
              <w:ind w:firstLine="520"/>
              <w:jc w:val="center"/>
            </w:pPr>
            <w:r>
              <w:rPr>
                <w:rFonts w:hint="eastAsia"/>
              </w:rPr>
              <w:t>无</w:t>
            </w:r>
          </w:p>
        </w:tc>
      </w:tr>
    </w:tbl>
    <w:p>
      <w:pPr>
        <w:ind w:firstLine="480"/>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start="1"/>
          <w:cols w:space="425" w:num="1"/>
          <w:docGrid w:type="lines" w:linePitch="326" w:charSpace="0"/>
        </w:sect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三、区域环境质量现状、环境保护目标及评价标准</w:t>
      </w:r>
    </w:p>
    <w:tbl>
      <w:tblPr>
        <w:tblStyle w:val="24"/>
        <w:tblW w:w="48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6"/>
        <w:gridCol w:w="8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6" w:hRule="atLeast"/>
          <w:jc w:val="center"/>
        </w:trPr>
        <w:tc>
          <w:tcPr>
            <w:tcW w:w="312"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区域</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质量</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现状</w:t>
            </w:r>
          </w:p>
        </w:tc>
        <w:tc>
          <w:tcPr>
            <w:tcW w:w="4688" w:type="pct"/>
            <w:vAlign w:val="center"/>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3.环境空气质量评价</w:t>
            </w:r>
          </w:p>
          <w:p>
            <w:pPr>
              <w:keepNext/>
              <w:keepLines/>
              <w:spacing w:before="120" w:after="60" w:line="240" w:lineRule="auto"/>
              <w:ind w:firstLine="0" w:firstLineChars="0"/>
              <w:textAlignment w:val="auto"/>
              <w:outlineLvl w:val="1"/>
              <w:rPr>
                <w:rFonts w:cs="Times New Roman"/>
                <w:b/>
                <w:bCs/>
                <w:color w:val="000000" w:themeColor="text1"/>
                <w:szCs w:val="32"/>
                <w14:textFill>
                  <w14:solidFill>
                    <w14:schemeClr w14:val="tx1"/>
                  </w14:solidFill>
                </w14:textFill>
              </w:rPr>
            </w:pPr>
            <w:r>
              <w:rPr>
                <w:rFonts w:hint="eastAsia" w:cs="Times New Roman"/>
                <w:b/>
                <w:bCs/>
                <w:color w:val="000000" w:themeColor="text1"/>
                <w:szCs w:val="32"/>
                <w14:textFill>
                  <w14:solidFill>
                    <w14:schemeClr w14:val="tx1"/>
                  </w14:solidFill>
                </w14:textFill>
              </w:rPr>
              <w:t>3.1基本污染物环境质量现状评价</w:t>
            </w:r>
          </w:p>
          <w:p>
            <w:pPr>
              <w:ind w:firstLine="480"/>
              <w:rPr>
                <w:rFonts w:cs="Times New Roman"/>
                <w:szCs w:val="24"/>
              </w:rPr>
            </w:pPr>
            <w:r>
              <w:rPr>
                <w:rFonts w:cs="Times New Roman"/>
              </w:rPr>
              <w:t>根据《</w:t>
            </w:r>
            <w:r>
              <w:rPr>
                <w:rFonts w:hint="eastAsia" w:cs="Times New Roman"/>
              </w:rPr>
              <w:t>巴音郭楞蒙古自治州2024年生态环境状况公报</w:t>
            </w:r>
            <w:r>
              <w:rPr>
                <w:rFonts w:cs="Times New Roman"/>
              </w:rPr>
              <w:t>》，</w:t>
            </w:r>
            <w:r>
              <w:rPr>
                <w:rFonts w:hint="eastAsia" w:cs="Times New Roman"/>
              </w:rPr>
              <w:t>2024年，全州空气质量综合指数为5.22，同比下降7.9%，空气质量明显好于2023年。全州平均优良天数比例为62%，同比增加15.7%，PM</w:t>
            </w:r>
            <w:r>
              <w:rPr>
                <w:rFonts w:hint="eastAsia" w:cs="Times New Roman"/>
                <w:vertAlign w:val="subscript"/>
              </w:rPr>
              <w:t>10</w:t>
            </w:r>
            <w:r>
              <w:rPr>
                <w:rFonts w:hint="eastAsia" w:cs="Times New Roman"/>
              </w:rPr>
              <w:t>为首要污染物，未出现PM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w:t>
            </w:r>
            <w:r>
              <w:rPr>
                <w:rFonts w:cs="Times New Roman"/>
              </w:rPr>
              <w:t>h</w:t>
            </w:r>
            <w:r>
              <w:rPr>
                <w:rFonts w:hint="eastAsia" w:cs="Times New Roman"/>
              </w:rPr>
              <w:t>、SO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、CO为首要污染物的超标天</w:t>
            </w:r>
            <w:r>
              <w:rPr>
                <w:rFonts w:cs="Times New Roman"/>
              </w:rPr>
              <w:t>。</w:t>
            </w:r>
            <w:r>
              <w:rPr>
                <w:rFonts w:hint="eastAsia"/>
              </w:rPr>
              <w:t>库尔勒市降水pH值范围为7.5~8.4，未监测到酸雨。全州八县一市年均降尘量为22.63t/km</w:t>
            </w:r>
            <w:r>
              <w:rPr>
                <w:rFonts w:hint="eastAsia"/>
                <w:vertAlign w:val="superscript"/>
              </w:rPr>
              <w:t>2</w:t>
            </w:r>
            <w:r>
              <w:rPr>
                <w:rFonts w:hint="eastAsia"/>
              </w:rPr>
              <w:t>·月。</w:t>
            </w:r>
          </w:p>
          <w:p>
            <w:pPr>
              <w:ind w:firstLine="480"/>
              <w:rPr>
                <w:rFonts w:cs="Times New Roman"/>
                <w:szCs w:val="24"/>
              </w:rPr>
            </w:pPr>
            <w:r>
              <w:rPr>
                <w:rFonts w:cs="Times New Roman"/>
              </w:rPr>
              <w:t>根据《</w:t>
            </w:r>
            <w:r>
              <w:rPr>
                <w:rFonts w:hint="eastAsia" w:cs="Times New Roman"/>
              </w:rPr>
              <w:t>巴音郭楞蒙古自治州2024年生态环境状况公报</w:t>
            </w:r>
            <w:r>
              <w:rPr>
                <w:rFonts w:cs="Times New Roman"/>
              </w:rPr>
              <w:t>》结论，项目所在区域</w:t>
            </w:r>
            <w:r>
              <w:rPr>
                <w:rFonts w:hint="eastAsia" w:cs="Times New Roman"/>
              </w:rPr>
              <w:t>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-8H、SO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、CO平</w:t>
            </w:r>
            <w:r>
              <w:rPr>
                <w:rFonts w:cs="Times New Roman"/>
              </w:rPr>
              <w:t>均浓度均满足《环境空气质量标准》（GB3095-2012）的二级标准要求；</w:t>
            </w:r>
            <w:r>
              <w:rPr>
                <w:rFonts w:cs="Times New Roman"/>
                <w:kern w:val="0"/>
              </w:rPr>
              <w:t>受沙尘天气影响PM</w:t>
            </w:r>
            <w:r>
              <w:rPr>
                <w:rFonts w:cs="Times New Roman"/>
                <w:kern w:val="0"/>
                <w:vertAlign w:val="subscript"/>
              </w:rPr>
              <w:t>10</w:t>
            </w:r>
            <w:r>
              <w:rPr>
                <w:rFonts w:cs="Times New Roman"/>
                <w:kern w:val="0"/>
              </w:rPr>
              <w:t>年均值浓度超过《环</w:t>
            </w:r>
            <w:r>
              <w:rPr>
                <w:rFonts w:cs="Times New Roman"/>
                <w:color w:val="000000" w:themeColor="text1"/>
                <w14:textFill>
                  <w14:solidFill>
                    <w14:schemeClr w14:val="tx1"/>
                  </w14:solidFill>
                </w14:textFill>
              </w:rPr>
              <w:t>境空气质量标准》（GB3095-2012）的二级标准要求，本项目所在区域为非达标区域</w:t>
            </w:r>
            <w:r>
              <w:rPr>
                <w:rFonts w:hint="eastAsia" w:cs="Times New Roman"/>
                <w:color w:val="000000" w:themeColor="text1"/>
                <w14:textFill>
                  <w14:solidFill>
                    <w14:schemeClr w14:val="tx1"/>
                  </w14:solidFill>
                </w14:textFill>
              </w:rPr>
              <w:t>。</w:t>
            </w:r>
          </w:p>
          <w:p>
            <w:pPr>
              <w:ind w:firstLine="480"/>
              <w:rPr>
                <w:rFonts w:cs="Times New Roman"/>
                <w:szCs w:val="24"/>
              </w:rPr>
            </w:pPr>
            <w:r>
              <w:rPr>
                <w:rFonts w:hint="eastAsia" w:cs="Times New Roman"/>
                <w:color w:val="000000" w:themeColor="text1"/>
                <w14:textFill>
                  <w14:solidFill>
                    <w14:schemeClr w14:val="tx1"/>
                  </w14:solidFill>
                </w14:textFill>
              </w:rPr>
              <w:t>对于环境空气质量不达标区域需提交《大气环境不达标区域削减方案》，根据关于</w:t>
            </w:r>
            <w:r>
              <w:rPr>
                <w:rFonts w:hint="eastAsia"/>
                <w:kern w:val="0"/>
              </w:rPr>
              <w:t>将巴音郭楞蒙古自治州吐鲁番市哈密市纳入执行《环境影响评价技术导则大气环境（HJ2.2-2018）》差别化政策范围的复函（环办环评函〔2020〕341号），本地区新建项目可不提供颗粒物区域削减方案。</w:t>
            </w:r>
          </w:p>
          <w:p>
            <w:pPr>
              <w:pStyle w:val="3"/>
              <w:rPr>
                <w:color w:val="000000" w:themeColor="text1"/>
                <w14:textFill>
                  <w14:solidFill>
                    <w14:schemeClr w14:val="tx1"/>
                  </w14:solidFill>
                </w14:textFill>
              </w:rPr>
            </w:pPr>
            <w:r>
              <w:rPr>
                <w:color w:val="000000" w:themeColor="text1"/>
                <w14:textFill>
                  <w14:solidFill>
                    <w14:schemeClr w14:val="tx1"/>
                  </w14:solidFill>
                </w14:textFill>
              </w:rPr>
              <w:t>3.1.1</w:t>
            </w:r>
            <w:r>
              <w:rPr>
                <w:rFonts w:hint="eastAsia"/>
                <w:color w:val="000000" w:themeColor="text1"/>
                <w14:textFill>
                  <w14:solidFill>
                    <w14:schemeClr w14:val="tx1"/>
                  </w14:solidFill>
                </w14:textFill>
              </w:rPr>
              <w:t>其他污染物质量现状评价</w:t>
            </w:r>
          </w:p>
          <w:p>
            <w:pPr>
              <w:numPr>
                <w:ilvl w:val="0"/>
                <w:numId w:val="1"/>
              </w:num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监测布点</w:t>
            </w:r>
          </w:p>
          <w:p>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大气环境现状监测依据《建设项目环境影响报告表编制技术指南（污染影响类）（试行）》中监测点设置要求，本次评价选择《库尔勒经济技术开发区国土空间总体规划（2021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2035年）》环境影响评价现状监测报告中的监测数据，作为本项目环境空气现状评价基本污染物的数据来源。监测点位于本项目东</w:t>
            </w:r>
            <w:r>
              <w:rPr>
                <w:rFonts w:hint="eastAsia" w:cs="Times New Roman"/>
                <w:color w:val="000000" w:themeColor="text1"/>
                <w14:textFill>
                  <w14:solidFill>
                    <w14:schemeClr w14:val="tx1"/>
                  </w14:solidFill>
                </w14:textFill>
              </w:rPr>
              <w:t>南</w:t>
            </w:r>
            <w:r>
              <w:rPr>
                <w:rFonts w:cs="Times New Roman"/>
                <w:color w:val="000000" w:themeColor="text1"/>
                <w14:textFill>
                  <w14:solidFill>
                    <w14:schemeClr w14:val="tx1"/>
                  </w14:solidFill>
                </w14:textFill>
              </w:rPr>
              <w:t>侧，距离约为4.8公里，坐标：经度86.124743°、纬度41.586413°。</w:t>
            </w:r>
          </w:p>
          <w:p>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 xml:space="preserve">3-1  </w:t>
            </w:r>
            <w:r>
              <w:rPr>
                <w:rFonts w:hint="eastAsia"/>
                <w:b/>
                <w:color w:val="000000" w:themeColor="text1"/>
                <w:sz w:val="21"/>
                <w14:textFill>
                  <w14:solidFill>
                    <w14:schemeClr w14:val="tx1"/>
                  </w14:solidFill>
                </w14:textFill>
              </w:rPr>
              <w:t>特征污染物监测点位基本信息</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4"/>
              <w:gridCol w:w="1106"/>
              <w:gridCol w:w="1734"/>
              <w:gridCol w:w="1351"/>
              <w:gridCol w:w="1372"/>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3" w:hRule="atLeast"/>
              </w:trPr>
              <w:tc>
                <w:tcPr>
                  <w:tcW w:w="81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监测点名称</w:t>
                  </w:r>
                </w:p>
              </w:tc>
              <w:tc>
                <w:tcPr>
                  <w:tcW w:w="66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监测因子</w:t>
                  </w:r>
                </w:p>
              </w:tc>
              <w:tc>
                <w:tcPr>
                  <w:tcW w:w="104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监测时段</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相对方位</w:t>
                  </w:r>
                </w:p>
              </w:tc>
              <w:tc>
                <w:tcPr>
                  <w:tcW w:w="830"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相对距离</w:t>
                  </w:r>
                  <w:r>
                    <w:rPr>
                      <w:color w:val="000000" w:themeColor="text1"/>
                      <w:sz w:val="21"/>
                      <w14:textFill>
                        <w14:solidFill>
                          <w14:schemeClr w14:val="tx1"/>
                        </w14:solidFill>
                      </w14:textFill>
                    </w:rPr>
                    <w:t>/m</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数据来源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1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项目区东南侧</w:t>
                  </w:r>
                  <w:r>
                    <w:rPr>
                      <w:color w:val="000000" w:themeColor="text1"/>
                      <w:sz w:val="21"/>
                      <w14:textFill>
                        <w14:solidFill>
                          <w14:schemeClr w14:val="tx1"/>
                        </w14:solidFill>
                      </w14:textFill>
                    </w:rPr>
                    <w:t>4800m</w:t>
                  </w:r>
                </w:p>
              </w:tc>
              <w:tc>
                <w:tcPr>
                  <w:tcW w:w="66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104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24小时均值</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东南</w:t>
                  </w:r>
                </w:p>
              </w:tc>
              <w:tc>
                <w:tcPr>
                  <w:tcW w:w="830"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4800</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引用数据</w:t>
                  </w:r>
                </w:p>
              </w:tc>
            </w:tr>
          </w:tbl>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）监测时间及频率</w:t>
            </w:r>
          </w:p>
          <w:p>
            <w:pPr>
              <w:ind w:firstLine="480"/>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监测时间：</w:t>
            </w:r>
            <w:r>
              <w:rPr>
                <w:rFonts w:cs="Times New Roman"/>
                <w:color w:val="000000" w:themeColor="text1"/>
                <w14:textFill>
                  <w14:solidFill>
                    <w14:schemeClr w14:val="tx1"/>
                  </w14:solidFill>
                </w14:textFill>
              </w:rPr>
              <w:t>2025</w:t>
            </w:r>
            <w:r>
              <w:rPr>
                <w:rFonts w:hint="eastAsia" w:cs="Times New Roman"/>
                <w:color w:val="000000" w:themeColor="text1"/>
                <w14:textFill>
                  <w14:solidFill>
                    <w14:schemeClr w14:val="tx1"/>
                  </w14:solidFill>
                </w14:textFill>
              </w:rPr>
              <w:t>年</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日至</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10</w:t>
            </w:r>
            <w:r>
              <w:rPr>
                <w:rFonts w:hint="eastAsia" w:cs="Times New Roman"/>
                <w:color w:val="000000" w:themeColor="text1"/>
                <w14:textFill>
                  <w14:solidFill>
                    <w14:schemeClr w14:val="tx1"/>
                  </w14:solidFill>
                </w14:textFill>
              </w:rPr>
              <w:t>日，</w:t>
            </w:r>
            <w:r>
              <w:rPr>
                <w:rFonts w:hint="eastAsia"/>
                <w:color w:val="000000" w:themeColor="text1"/>
                <w14:textFill>
                  <w14:solidFill>
                    <w14:schemeClr w14:val="tx1"/>
                  </w14:solidFill>
                </w14:textFill>
              </w:rPr>
              <w:t>连续采样监测7天，由新疆中测测试有限责任公司完成。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TSP</w:t>
            </w:r>
            <w:r>
              <w:rPr>
                <w:rFonts w:hint="eastAsia"/>
                <w:color w:val="000000" w:themeColor="text1"/>
                <w14:textFill>
                  <w14:solidFill>
                    <w14:schemeClr w14:val="tx1"/>
                  </w14:solidFill>
                </w14:textFill>
              </w:rPr>
              <w:t>每日监测</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次日均值。</w:t>
            </w:r>
          </w:p>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）监测结果及评价</w:t>
            </w:r>
          </w:p>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特征污染物环境质量现状监测结果见表</w:t>
            </w:r>
            <w:r>
              <w:rPr>
                <w:rFonts w:cs="Times New Roman"/>
                <w:color w:val="000000" w:themeColor="text1"/>
                <w14:textFill>
                  <w14:solidFill>
                    <w14:schemeClr w14:val="tx1"/>
                  </w14:solidFill>
                </w14:textFill>
              </w:rPr>
              <w:t>3-2</w:t>
            </w:r>
            <w:r>
              <w:rPr>
                <w:rFonts w:hint="eastAsia" w:cs="Times New Roman"/>
                <w:color w:val="000000" w:themeColor="text1"/>
                <w14:textFill>
                  <w14:solidFill>
                    <w14:schemeClr w14:val="tx1"/>
                  </w14:solidFill>
                </w14:textFill>
              </w:rPr>
              <w:t>。</w:t>
            </w:r>
          </w:p>
          <w:p>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3-2</w:t>
            </w:r>
            <w:r>
              <w:rPr>
                <w:rFonts w:hint="eastAsia"/>
                <w:b/>
                <w:color w:val="000000" w:themeColor="text1"/>
                <w:sz w:val="21"/>
                <w14:textFill>
                  <w14:solidFill>
                    <w14:schemeClr w14:val="tx1"/>
                  </w14:solidFill>
                </w14:textFill>
              </w:rPr>
              <w:t xml:space="preserve">  特征污染物环境质量现状监测结果</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1"/>
              <w:gridCol w:w="789"/>
              <w:gridCol w:w="1027"/>
              <w:gridCol w:w="1238"/>
              <w:gridCol w:w="1609"/>
              <w:gridCol w:w="1146"/>
              <w:gridCol w:w="835"/>
              <w:gridCol w:w="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w:t>
                  </w:r>
                </w:p>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点位</w:t>
                  </w:r>
                </w:p>
              </w:tc>
              <w:tc>
                <w:tcPr>
                  <w:tcW w:w="477"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污染物</w:t>
                  </w:r>
                </w:p>
              </w:tc>
              <w:tc>
                <w:tcPr>
                  <w:tcW w:w="621"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平均</w:t>
                  </w:r>
                </w:p>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时间</w:t>
                  </w:r>
                </w:p>
              </w:tc>
              <w:tc>
                <w:tcPr>
                  <w:tcW w:w="7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评价标准</w:t>
                  </w:r>
                  <w:r>
                    <w:rPr>
                      <w:rFonts w:cs="Times New Roman"/>
                      <w:color w:val="000000" w:themeColor="text1"/>
                      <w:sz w:val="21"/>
                      <w14:textFill>
                        <w14:solidFill>
                          <w14:schemeClr w14:val="tx1"/>
                        </w14:solidFill>
                      </w14:textFill>
                    </w:rPr>
                    <w:t>（mg/m</w:t>
                  </w:r>
                  <w:r>
                    <w:rPr>
                      <w:rFonts w:cs="Times New Roman"/>
                      <w:color w:val="000000" w:themeColor="text1"/>
                      <w:sz w:val="21"/>
                      <w:vertAlign w:val="superscript"/>
                      <w14:textFill>
                        <w14:solidFill>
                          <w14:schemeClr w14:val="tx1"/>
                        </w14:solidFill>
                      </w14:textFill>
                    </w:rPr>
                    <w:t>3</w:t>
                  </w:r>
                  <w:r>
                    <w:rPr>
                      <w:rFonts w:cs="Times New Roman"/>
                      <w:color w:val="000000" w:themeColor="text1"/>
                      <w:sz w:val="21"/>
                      <w14:textFill>
                        <w14:solidFill>
                          <w14:schemeClr w14:val="tx1"/>
                        </w14:solidFill>
                      </w14:textFill>
                    </w:rPr>
                    <w:t>）</w:t>
                  </w:r>
                </w:p>
              </w:tc>
              <w:tc>
                <w:tcPr>
                  <w:tcW w:w="97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监测浓度范围（mg/m</w:t>
                  </w:r>
                  <w:r>
                    <w:rPr>
                      <w:color w:val="000000" w:themeColor="text1"/>
                      <w:sz w:val="21"/>
                      <w:vertAlign w:val="superscript"/>
                      <w14:textFill>
                        <w14:solidFill>
                          <w14:schemeClr w14:val="tx1"/>
                        </w14:solidFill>
                      </w14:textFill>
                    </w:rPr>
                    <w:t>3</w:t>
                  </w:r>
                  <w:r>
                    <w:rPr>
                      <w:color w:val="000000" w:themeColor="text1"/>
                      <w:sz w:val="21"/>
                      <w14:textFill>
                        <w14:solidFill>
                          <w14:schemeClr w14:val="tx1"/>
                        </w14:solidFill>
                      </w14:textFill>
                    </w:rPr>
                    <w:t>）</w:t>
                  </w:r>
                </w:p>
              </w:tc>
              <w:tc>
                <w:tcPr>
                  <w:tcW w:w="69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最大浓度占标率%</w:t>
                  </w:r>
                </w:p>
              </w:tc>
              <w:tc>
                <w:tcPr>
                  <w:tcW w:w="505"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超标率%</w:t>
                  </w:r>
                </w:p>
              </w:tc>
              <w:tc>
                <w:tcPr>
                  <w:tcW w:w="53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4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01</w:t>
                  </w:r>
                </w:p>
              </w:tc>
              <w:tc>
                <w:tcPr>
                  <w:tcW w:w="477"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621"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24小时</w:t>
                  </w:r>
                </w:p>
              </w:tc>
              <w:tc>
                <w:tcPr>
                  <w:tcW w:w="7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0.3</w:t>
                  </w:r>
                </w:p>
              </w:tc>
              <w:tc>
                <w:tcPr>
                  <w:tcW w:w="97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0.217</w:t>
                  </w: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0.701</w:t>
                  </w:r>
                </w:p>
              </w:tc>
              <w:tc>
                <w:tcPr>
                  <w:tcW w:w="69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233.7</w:t>
                  </w:r>
                </w:p>
              </w:tc>
              <w:tc>
                <w:tcPr>
                  <w:tcW w:w="505"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42.9</w:t>
                  </w:r>
                </w:p>
              </w:tc>
              <w:tc>
                <w:tcPr>
                  <w:tcW w:w="533"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w:t>
                  </w:r>
                  <w:r>
                    <w:rPr>
                      <w:color w:val="000000" w:themeColor="text1"/>
                      <w:sz w:val="21"/>
                      <w14:textFill>
                        <w14:solidFill>
                          <w14:schemeClr w14:val="tx1"/>
                        </w14:solidFill>
                      </w14:textFill>
                    </w:rPr>
                    <w:t>达标</w:t>
                  </w:r>
                </w:p>
              </w:tc>
            </w:tr>
          </w:tbl>
          <w:p>
            <w:pPr>
              <w:ind w:firstLine="480"/>
              <w:rPr>
                <w:b/>
                <w:color w:val="000000" w:themeColor="text1"/>
                <w14:textFill>
                  <w14:solidFill>
                    <w14:schemeClr w14:val="tx1"/>
                  </w14:solidFill>
                </w14:textFill>
              </w:rPr>
            </w:pPr>
            <w:r>
              <w:rPr>
                <w:rFonts w:hint="eastAsia" w:cs="Times New Roman"/>
                <w:color w:val="000000" w:themeColor="text1"/>
                <w:kern w:val="0"/>
                <w14:textFill>
                  <w14:solidFill>
                    <w14:schemeClr w14:val="tx1"/>
                  </w14:solidFill>
                </w14:textFill>
              </w:rPr>
              <w:t>从监测结果可知，</w:t>
            </w:r>
            <w:r>
              <w:rPr>
                <w:rFonts w:cs="Times New Roman"/>
                <w:color w:val="000000" w:themeColor="text1"/>
                <w14:textFill>
                  <w14:solidFill>
                    <w14:schemeClr w14:val="tx1"/>
                  </w14:solidFill>
                </w14:textFill>
              </w:rPr>
              <w:t>TSP</w:t>
            </w:r>
            <w:r>
              <w:rPr>
                <w:rFonts w:hint="eastAsia" w:cs="Times New Roman"/>
                <w:color w:val="000000" w:themeColor="text1"/>
                <w14:textFill>
                  <w14:solidFill>
                    <w14:schemeClr w14:val="tx1"/>
                  </w14:solidFill>
                </w14:textFill>
              </w:rPr>
              <w:t>超过《环境空气质量标准》（</w:t>
            </w:r>
            <w:r>
              <w:rPr>
                <w:rFonts w:cs="Times New Roman"/>
                <w:color w:val="000000" w:themeColor="text1"/>
                <w14:textFill>
                  <w14:solidFill>
                    <w14:schemeClr w14:val="tx1"/>
                  </w14:solidFill>
                </w14:textFill>
              </w:rPr>
              <w:t>GB3095</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2012</w:t>
            </w:r>
            <w:r>
              <w:rPr>
                <w:rFonts w:hint="eastAsia" w:cs="Times New Roman"/>
                <w:color w:val="000000" w:themeColor="text1"/>
                <w14:textFill>
                  <w14:solidFill>
                    <w14:schemeClr w14:val="tx1"/>
                  </w14:solidFill>
                </w14:textFill>
              </w:rPr>
              <w:t>）中的二级标准限值要求，最大浓度占标率为</w:t>
            </w:r>
            <w:r>
              <w:rPr>
                <w:rFonts w:cs="Times New Roman"/>
                <w:color w:val="000000" w:themeColor="text1"/>
                <w14:textFill>
                  <w14:solidFill>
                    <w14:schemeClr w14:val="tx1"/>
                  </w14:solidFill>
                </w14:textFill>
              </w:rPr>
              <w:t>233.7%</w:t>
            </w:r>
            <w:r>
              <w:rPr>
                <w:rFonts w:hint="eastAsia" w:cs="Times New Roman"/>
                <w:color w:val="000000" w:themeColor="text1"/>
                <w14:textFill>
                  <w14:solidFill>
                    <w14:schemeClr w14:val="tx1"/>
                  </w14:solidFill>
                </w14:textFill>
              </w:rPr>
              <w:t>，最大超标率为</w:t>
            </w:r>
            <w:r>
              <w:rPr>
                <w:rFonts w:cs="Times New Roman"/>
                <w:color w:val="000000" w:themeColor="text1"/>
                <w14:textFill>
                  <w14:solidFill>
                    <w14:schemeClr w14:val="tx1"/>
                  </w14:solidFill>
                </w14:textFill>
              </w:rPr>
              <w:t>42.9%</w:t>
            </w:r>
            <w:r>
              <w:rPr>
                <w:rFonts w:hint="eastAsia" w:cs="Times New Roman"/>
                <w:color w:val="000000" w:themeColor="text1"/>
                <w14:textFill>
                  <w14:solidFill>
                    <w14:schemeClr w14:val="tx1"/>
                  </w14:solidFill>
                </w14:textFill>
              </w:rPr>
              <w:t>，</w:t>
            </w:r>
            <w:r>
              <w:rPr>
                <w:rFonts w:hint="eastAsia" w:cs="Times New Roman"/>
                <w:color w:val="000000" w:themeColor="text1"/>
                <w:kern w:val="0"/>
                <w:szCs w:val="24"/>
                <w14:textFill>
                  <w14:solidFill>
                    <w14:schemeClr w14:val="tx1"/>
                  </w14:solidFill>
                </w14:textFill>
              </w:rPr>
              <w:t>季节性沙尘天气对环境空气质量影响很大，是造成</w:t>
            </w:r>
            <w:r>
              <w:rPr>
                <w:rFonts w:cs="Times New Roman"/>
                <w:color w:val="000000" w:themeColor="text1"/>
                <w:kern w:val="0"/>
                <w:szCs w:val="24"/>
                <w14:textFill>
                  <w14:solidFill>
                    <w14:schemeClr w14:val="tx1"/>
                  </w14:solidFill>
                </w14:textFill>
              </w:rPr>
              <w:t>TSP</w:t>
            </w:r>
            <w:r>
              <w:rPr>
                <w:rFonts w:hint="eastAsia" w:cs="Times New Roman"/>
                <w:color w:val="000000" w:themeColor="text1"/>
                <w:kern w:val="0"/>
                <w:szCs w:val="24"/>
                <w14:textFill>
                  <w14:solidFill>
                    <w14:schemeClr w14:val="tx1"/>
                  </w14:solidFill>
                </w14:textFill>
              </w:rPr>
              <w:t>空气质量不达标的主要因素。</w:t>
            </w:r>
          </w:p>
          <w:p>
            <w:pPr>
              <w:ind w:firstLine="0"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3.2地表水环境质量现状</w:t>
            </w:r>
          </w:p>
          <w:p>
            <w:pPr>
              <w:ind w:firstLine="480"/>
              <w:rPr>
                <w:szCs w:val="24"/>
              </w:rPr>
            </w:pPr>
            <w:bookmarkStart w:id="13" w:name="_Hlk97245670"/>
            <w:r>
              <w:rPr>
                <w:rFonts w:cs="Times New Roman"/>
                <w:color w:val="000000"/>
              </w:rPr>
              <w:t>根据《巴音郭楞蒙古自治州2024年生态环境状况公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r>
              <w:rPr>
                <w:szCs w:val="24"/>
              </w:rPr>
              <w:t>。</w:t>
            </w:r>
          </w:p>
          <w:p>
            <w:pPr>
              <w:ind w:firstLine="480"/>
              <w:rPr>
                <w:rFonts w:cs="Times New Roman"/>
                <w:bCs/>
              </w:rPr>
            </w:pPr>
            <w:r>
              <w:rPr>
                <w:rFonts w:hint="eastAsia"/>
              </w:rPr>
              <w:t>本项目北距孔雀河13.1km</w:t>
            </w:r>
            <w:r>
              <w:rPr>
                <w:rFonts w:cs="Times New Roman"/>
                <w:bCs/>
              </w:rPr>
              <w:t>，</w:t>
            </w:r>
            <w:r>
              <w:rPr>
                <w:rFonts w:cs="Times New Roman"/>
                <w:color w:val="000000"/>
              </w:rPr>
              <w:t>根据《巴音郭楞蒙古自治州2024年生态环境状况公报》，6条主要河流19个监测断面中Ⅰ~Ⅲ类优良水质断面占100%，水质状况良好</w:t>
            </w:r>
            <w:r>
              <w:rPr>
                <w:rFonts w:hint="eastAsia" w:cs="Times New Roman"/>
                <w:color w:val="000000"/>
              </w:rPr>
              <w:t>，</w:t>
            </w:r>
            <w:r>
              <w:rPr>
                <w:rFonts w:cs="Times New Roman"/>
                <w:color w:val="000000"/>
              </w:rPr>
              <w:t>孔雀河水环境质量可达到《地表水环境质量标准》（GB3838-2002）Ⅲ类水质标准。</w:t>
            </w:r>
          </w:p>
          <w:bookmarkEnd w:id="13"/>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3.3声环境质量现状</w:t>
            </w:r>
          </w:p>
          <w:p>
            <w:pPr>
              <w:ind w:firstLine="480"/>
              <w:rPr>
                <w:rFonts w:cs="Times New Roman"/>
                <w:color w:val="000000"/>
              </w:rPr>
            </w:pPr>
            <w:r>
              <w:rPr>
                <w:rFonts w:hint="eastAsia" w:cs="Times New Roman"/>
                <w:color w:val="000000"/>
              </w:rPr>
              <w:t>根据</w:t>
            </w:r>
            <w:r>
              <w:rPr>
                <w:rFonts w:hint="eastAsia" w:cs="Times New Roman"/>
                <w:color w:val="000000"/>
                <w:lang w:val="zh-CN"/>
              </w:rPr>
              <w:t>《建设项目环境影响报告表编制技术指南（污染影响类）（试行）》</w:t>
            </w:r>
            <w:r>
              <w:rPr>
                <w:rFonts w:hint="eastAsia" w:cs="Times New Roman"/>
                <w:color w:val="000000"/>
              </w:rPr>
              <w:t>要求，本项目厂界外50m范围内无声环境敏感目标，以废旧物资回收企业为主，无需开展保护目标声环境质量现状监测。</w:t>
            </w:r>
          </w:p>
          <w:p>
            <w:pPr>
              <w:pStyle w:val="4"/>
            </w:pPr>
            <w:r>
              <w:rPr>
                <w:rFonts w:hint="eastAsia"/>
              </w:rPr>
              <w:t>3.4地下水、土壤环境</w:t>
            </w:r>
          </w:p>
          <w:p>
            <w:pPr>
              <w:ind w:firstLine="480"/>
              <w:textAlignment w:val="auto"/>
              <w:rPr>
                <w:rFonts w:cs="Times New Roman"/>
                <w:color w:val="000000" w:themeColor="text1"/>
                <w14:textFill>
                  <w14:solidFill>
                    <w14:schemeClr w14:val="tx1"/>
                  </w14:solidFill>
                </w14:textFill>
              </w:rPr>
            </w:pPr>
            <w:r>
              <w:rPr>
                <w:rFonts w:hint="eastAsia" w:cs="Times New Roman"/>
              </w:rPr>
              <w:t>根据《建设项目环境影响报告表编制技术指南（污染影响类）（试行）》的相关要求：报告表原则上不开展地下水环境和土壤环境质量现状评价，建设项目存在地下水环境污染途径的，应结合污染源、保护目标分布情况开展现</w:t>
            </w:r>
            <w:r>
              <w:rPr>
                <w:rFonts w:cs="Times New Roman"/>
              </w:rPr>
              <w:t>状调查以留作背景值。</w:t>
            </w:r>
            <w:r>
              <w:rPr>
                <w:rFonts w:hint="eastAsia" w:cs="Times New Roman"/>
              </w:rPr>
              <w:t>本项目生产废水经沉淀池处理后回用，沉淀池满足一般防渗区的防渗要求，危险废物贮存点满足《危险废物贮存污染控制标准》（GB18597-2023）中关于防渗防腐的相关规定。在正常工况下，无地下水环境污染途径，因此无需开展地下水环境现状调查，亦不进行土壤和地下水环境质量现状评价</w:t>
            </w:r>
            <w:r>
              <w:rPr>
                <w:rFonts w:hint="eastAsia" w:cs="Times New Roman"/>
                <w:color w:val="000000" w:themeColor="text1"/>
                <w14:textFill>
                  <w14:solidFill>
                    <w14:schemeClr w14:val="tx1"/>
                  </w14:solidFill>
                </w14:textFill>
              </w:rPr>
              <w:t>。</w:t>
            </w:r>
          </w:p>
          <w:p>
            <w:pPr>
              <w:pStyle w:val="4"/>
            </w:pPr>
            <w:r>
              <w:rPr>
                <w:rFonts w:hint="eastAsia"/>
              </w:rPr>
              <w:t>3.5生态环境</w:t>
            </w:r>
          </w:p>
          <w:p>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本项目位于库尔勒市哈拉玉宫镇废旧物资回收加工产业园</w:t>
            </w:r>
            <w:r>
              <w:rPr>
                <w:rFonts w:hint="eastAsia" w:cs="Times New Roman"/>
                <w:color w:val="000000" w:themeColor="text1"/>
                <w14:textFill>
                  <w14:solidFill>
                    <w14:schemeClr w14:val="tx1"/>
                  </w14:solidFill>
                </w14:textFill>
              </w:rPr>
              <w:t>内</w:t>
            </w:r>
            <w:r>
              <w:rPr>
                <w:rFonts w:hint="eastAsia"/>
                <w:color w:val="000000" w:themeColor="text1"/>
                <w14:textFill>
                  <w14:solidFill>
                    <w14:schemeClr w14:val="tx1"/>
                  </w14:solidFill>
                </w14:textFill>
              </w:rPr>
              <w:t>，占地范围内不涉及生态保护红线、饮用水水源保护区、风景名胜区、文物古迹等生态敏感区，区域内无珍稀濒危野生动植物存在，无生态环境保护目标存在。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312"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保护</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目标</w:t>
            </w:r>
          </w:p>
        </w:tc>
        <w:tc>
          <w:tcPr>
            <w:tcW w:w="4688" w:type="pct"/>
          </w:tcPr>
          <w:p>
            <w:pPr>
              <w:ind w:firstLine="0" w:firstLineChars="0"/>
              <w:rPr>
                <w:b/>
                <w:bCs/>
              </w:rPr>
            </w:pPr>
            <w:r>
              <w:rPr>
                <w:rFonts w:hint="eastAsia"/>
                <w:b/>
                <w:bCs/>
              </w:rPr>
              <w:t>1.大气环境</w:t>
            </w:r>
          </w:p>
          <w:p>
            <w:pPr>
              <w:ind w:firstLine="480"/>
            </w:pPr>
            <w:r>
              <w:rPr>
                <w:rFonts w:hint="eastAsia"/>
              </w:rPr>
              <w:t>本项目场界外</w:t>
            </w:r>
            <w:r>
              <w:t>500m</w:t>
            </w:r>
            <w:r>
              <w:rPr>
                <w:rFonts w:hint="eastAsia"/>
              </w:rPr>
              <w:t>范围内无自然保护区、风景名胜区、居住区、文化区和农村地区中人群较集中的区域等大气环境保护目标；</w:t>
            </w:r>
          </w:p>
          <w:p>
            <w:pPr>
              <w:ind w:firstLine="0" w:firstLineChars="0"/>
              <w:rPr>
                <w:b/>
                <w:bCs/>
              </w:rPr>
            </w:pPr>
            <w:r>
              <w:rPr>
                <w:rFonts w:hint="eastAsia"/>
                <w:b/>
                <w:bCs/>
              </w:rPr>
              <w:t>2.声环境</w:t>
            </w:r>
          </w:p>
          <w:p>
            <w:pPr>
              <w:ind w:firstLine="480"/>
            </w:pPr>
            <w:r>
              <w:rPr>
                <w:rFonts w:hint="eastAsia"/>
              </w:rPr>
              <w:t>根据《环境影响评价技术导则 声环境》（HJ2.4-2021），声环境敏感目标指医院、学校、机关、科研单位、住宅、自然保护区等对噪声敏感的建筑物或区域。本项目场界外50m范围内无声环境保护目标；</w:t>
            </w:r>
          </w:p>
          <w:p>
            <w:pPr>
              <w:ind w:firstLine="0" w:firstLineChars="0"/>
              <w:rPr>
                <w:b/>
                <w:bCs/>
              </w:rPr>
            </w:pPr>
            <w:r>
              <w:rPr>
                <w:rFonts w:hint="eastAsia"/>
                <w:b/>
                <w:bCs/>
              </w:rPr>
              <w:t>3.地下水环境</w:t>
            </w:r>
          </w:p>
          <w:p>
            <w:pPr>
              <w:ind w:firstLine="480"/>
            </w:pPr>
            <w:r>
              <w:rPr>
                <w:rFonts w:hint="eastAsia"/>
              </w:rPr>
              <w:t>本项目厂界外500m范围内无地下水集中式饮用水水源和热水、矿泉水、温泉等特殊地下水资源；</w:t>
            </w:r>
          </w:p>
          <w:p>
            <w:pPr>
              <w:ind w:firstLine="0" w:firstLineChars="0"/>
              <w:rPr>
                <w:b/>
                <w:bCs/>
              </w:rPr>
            </w:pPr>
            <w:r>
              <w:rPr>
                <w:rFonts w:hint="eastAsia"/>
                <w:b/>
                <w:bCs/>
              </w:rPr>
              <w:t>4.生态环境</w:t>
            </w:r>
          </w:p>
          <w:p>
            <w:pPr>
              <w:ind w:firstLine="480"/>
              <w:rPr>
                <w:color w:val="000000" w:themeColor="text1"/>
                <w14:textFill>
                  <w14:solidFill>
                    <w14:schemeClr w14:val="tx1"/>
                  </w14:solidFill>
                </w14:textFill>
              </w:rPr>
            </w:pPr>
            <w:r>
              <w:rPr>
                <w:rFonts w:hint="eastAsia"/>
              </w:rPr>
              <w:t>本项目位于</w:t>
            </w:r>
            <w:r>
              <w:rPr>
                <w:rFonts w:hint="eastAsia" w:hAnsi="宋体" w:cs="宋体"/>
                <w:szCs w:val="21"/>
              </w:rPr>
              <w:t>库尔勒市哈拉玉宫镇废旧物资回收加工产业园</w:t>
            </w:r>
            <w:r>
              <w:rPr>
                <w:rFonts w:hint="eastAsia"/>
              </w:rPr>
              <w:t>内，用地范围内及周边不涉及生态环境保护目标。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312" w:type="pct"/>
            <w:tcMar>
              <w:left w:w="28" w:type="dxa"/>
              <w:right w:w="28" w:type="dxa"/>
            </w:tcMar>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污染</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物排</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放控</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制标</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准</w:t>
            </w:r>
          </w:p>
        </w:tc>
        <w:tc>
          <w:tcPr>
            <w:tcW w:w="4688" w:type="pct"/>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1.大气污染物排放标准</w:t>
            </w:r>
          </w:p>
          <w:p>
            <w:pPr>
              <w:ind w:firstLine="480"/>
              <w:rPr>
                <w:rFonts w:cs="Times New Roman"/>
                <w:kern w:val="0"/>
              </w:rPr>
            </w:pPr>
            <w:r>
              <w:rPr>
                <w:rFonts w:hint="eastAsia"/>
                <w:color w:val="000000" w:themeColor="text1"/>
                <w14:textFill>
                  <w14:solidFill>
                    <w14:schemeClr w14:val="tx1"/>
                  </w14:solidFill>
                </w14:textFill>
              </w:rPr>
              <w:t>本项目颗粒物无组织废气执行《大气污染物综合排放标准》（GB16297-1996）表2中的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要求。臭气浓度执行《恶臭污染物排放标准》（GB14554-93）表1恶臭污染物厂界标准值新扩改建项目二级标准。</w:t>
            </w:r>
          </w:p>
          <w:p>
            <w:pPr>
              <w:pStyle w:val="37"/>
              <w:spacing w:before="163"/>
            </w:pPr>
            <w:r>
              <w:rPr>
                <w:rFonts w:hint="eastAsia"/>
              </w:rPr>
              <w:t>表3</w:t>
            </w:r>
            <w:r>
              <w:t>-3  大气污染物无组织排放限值</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2070"/>
              <w:gridCol w:w="1787"/>
              <w:gridCol w:w="3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4" w:type="pct"/>
                  <w:vAlign w:val="center"/>
                </w:tcPr>
                <w:p>
                  <w:pPr>
                    <w:pStyle w:val="32"/>
                  </w:pPr>
                  <w:r>
                    <w:rPr>
                      <w:rFonts w:hint="eastAsia"/>
                    </w:rPr>
                    <w:t>污染物</w:t>
                  </w:r>
                </w:p>
              </w:tc>
              <w:tc>
                <w:tcPr>
                  <w:tcW w:w="2333" w:type="pct"/>
                  <w:gridSpan w:val="2"/>
                  <w:vAlign w:val="center"/>
                </w:tcPr>
                <w:p>
                  <w:pPr>
                    <w:pStyle w:val="32"/>
                  </w:pPr>
                  <w:r>
                    <w:rPr>
                      <w:rFonts w:hint="eastAsia"/>
                    </w:rPr>
                    <w:t>无组织排放监控浓度</w:t>
                  </w:r>
                </w:p>
              </w:tc>
              <w:tc>
                <w:tcPr>
                  <w:tcW w:w="1933" w:type="pct"/>
                  <w:vAlign w:val="center"/>
                </w:tcPr>
                <w:p>
                  <w:pPr>
                    <w:pStyle w:val="32"/>
                  </w:pPr>
                  <w:r>
                    <w:rPr>
                      <w:rFonts w:hint="eastAsi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7" w:hRule="atLeast"/>
              </w:trPr>
              <w:tc>
                <w:tcPr>
                  <w:tcW w:w="734" w:type="pct"/>
                  <w:vMerge w:val="restart"/>
                  <w:vAlign w:val="center"/>
                </w:tcPr>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252" w:type="pct"/>
                  <w:vAlign w:val="center"/>
                </w:tcPr>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监控点</w:t>
                  </w:r>
                </w:p>
              </w:tc>
              <w:tc>
                <w:tcPr>
                  <w:tcW w:w="1081" w:type="pct"/>
                  <w:vAlign w:val="center"/>
                </w:tcPr>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c>
                <w:tcPr>
                  <w:tcW w:w="1933" w:type="pct"/>
                  <w:vMerge w:val="restart"/>
                  <w:vAlign w:val="center"/>
                </w:tcPr>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4" w:hRule="atLeast"/>
              </w:trPr>
              <w:tc>
                <w:tcPr>
                  <w:tcW w:w="734" w:type="pct"/>
                  <w:vMerge w:val="continue"/>
                  <w:vAlign w:val="center"/>
                </w:tcPr>
                <w:p>
                  <w:pPr>
                    <w:pStyle w:val="32"/>
                  </w:pPr>
                </w:p>
              </w:tc>
              <w:tc>
                <w:tcPr>
                  <w:tcW w:w="1252" w:type="pct"/>
                  <w:vAlign w:val="center"/>
                </w:tcPr>
                <w:p>
                  <w:pPr>
                    <w:pStyle w:val="32"/>
                  </w:pPr>
                  <w:r>
                    <w:rPr>
                      <w:rFonts w:hint="eastAsia"/>
                    </w:rPr>
                    <w:t>周界外浓度最高点</w:t>
                  </w:r>
                </w:p>
              </w:tc>
              <w:tc>
                <w:tcPr>
                  <w:tcW w:w="1081" w:type="pct"/>
                  <w:vAlign w:val="center"/>
                </w:tcPr>
                <w:p>
                  <w:pPr>
                    <w:pStyle w:val="32"/>
                  </w:pPr>
                  <w:r>
                    <w:rPr>
                      <w:rFonts w:hint="eastAsia"/>
                    </w:rPr>
                    <w:t>1.0</w:t>
                  </w:r>
                </w:p>
              </w:tc>
              <w:tc>
                <w:tcPr>
                  <w:tcW w:w="1933" w:type="pct"/>
                  <w:vMerge w:val="continue"/>
                  <w:vAlign w:val="center"/>
                </w:tcPr>
                <w:p>
                  <w:pPr>
                    <w:pStyle w:val="32"/>
                  </w:pPr>
                </w:p>
              </w:tc>
            </w:tr>
          </w:tbl>
          <w:p>
            <w:pPr>
              <w:pStyle w:val="37"/>
              <w:spacing w:before="163"/>
              <w:ind w:firstLine="480"/>
            </w:pPr>
            <w:r>
              <w:rPr>
                <w:rFonts w:hint="eastAsia"/>
              </w:rPr>
              <w:t>表3-</w:t>
            </w:r>
            <w:r>
              <w:t>4</w:t>
            </w:r>
            <w:r>
              <w:rPr>
                <w:rFonts w:hint="eastAsia"/>
              </w:rPr>
              <w:t xml:space="preserve">  恶臭污染物排放标准</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249"/>
              <w:gridCol w:w="2406"/>
              <w:gridCol w:w="30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 w:hRule="atLeast"/>
                <w:jc w:val="center"/>
              </w:trPr>
              <w:tc>
                <w:tcPr>
                  <w:tcW w:w="915" w:type="pct"/>
                  <w:tcBorders>
                    <w:tl2br w:val="nil"/>
                    <w:tr2bl w:val="nil"/>
                  </w:tcBorders>
                  <w:vAlign w:val="center"/>
                </w:tcPr>
                <w:p>
                  <w:pPr>
                    <w:pStyle w:val="32"/>
                    <w:rPr>
                      <w:rFonts w:cs="Times New Roman"/>
                    </w:rPr>
                  </w:pPr>
                  <w:r>
                    <w:rPr>
                      <w:rFonts w:cs="Times New Roman"/>
                    </w:rPr>
                    <w:t>污染物</w:t>
                  </w:r>
                  <w:r>
                    <w:rPr>
                      <w:rFonts w:hint="eastAsia" w:cs="Times New Roman"/>
                    </w:rPr>
                    <w:t>工序</w:t>
                  </w:r>
                </w:p>
              </w:tc>
              <w:tc>
                <w:tcPr>
                  <w:tcW w:w="756" w:type="pct"/>
                  <w:tcBorders>
                    <w:tl2br w:val="nil"/>
                    <w:tr2bl w:val="nil"/>
                  </w:tcBorders>
                  <w:vAlign w:val="center"/>
                </w:tcPr>
                <w:p>
                  <w:pPr>
                    <w:pStyle w:val="32"/>
                    <w:rPr>
                      <w:rFonts w:cs="Times New Roman"/>
                    </w:rPr>
                  </w:pPr>
                  <w:r>
                    <w:rPr>
                      <w:rFonts w:hint="eastAsia" w:cs="Times New Roman"/>
                    </w:rPr>
                    <w:t>污染物</w:t>
                  </w:r>
                </w:p>
              </w:tc>
              <w:tc>
                <w:tcPr>
                  <w:tcW w:w="1456" w:type="pct"/>
                  <w:tcBorders>
                    <w:tl2br w:val="nil"/>
                    <w:tr2bl w:val="nil"/>
                  </w:tcBorders>
                  <w:vAlign w:val="center"/>
                </w:tcPr>
                <w:p>
                  <w:pPr>
                    <w:pStyle w:val="32"/>
                    <w:rPr>
                      <w:rFonts w:cs="Times New Roman"/>
                    </w:rPr>
                  </w:pPr>
                  <w:r>
                    <w:rPr>
                      <w:rFonts w:hint="eastAsia" w:cs="Times New Roman"/>
                    </w:rPr>
                    <w:t>厂界无组织排放标准</w:t>
                  </w:r>
                </w:p>
              </w:tc>
              <w:tc>
                <w:tcPr>
                  <w:tcW w:w="1873" w:type="pct"/>
                  <w:tcBorders>
                    <w:tl2br w:val="nil"/>
                    <w:tr2bl w:val="nil"/>
                  </w:tcBorders>
                  <w:vAlign w:val="center"/>
                </w:tcPr>
                <w:p>
                  <w:pPr>
                    <w:pStyle w:val="32"/>
                    <w:rPr>
                      <w:rFonts w:cs="Times New Roman"/>
                    </w:rPr>
                  </w:pPr>
                  <w:r>
                    <w:rPr>
                      <w:rFonts w:hint="eastAsi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5" w:type="pct"/>
                  <w:tcBorders>
                    <w:tl2br w:val="nil"/>
                    <w:tr2bl w:val="nil"/>
                  </w:tcBorders>
                  <w:vAlign w:val="center"/>
                </w:tcPr>
                <w:p>
                  <w:pPr>
                    <w:pStyle w:val="32"/>
                    <w:rPr>
                      <w:rFonts w:cs="Times New Roman"/>
                    </w:rPr>
                  </w:pPr>
                  <w:r>
                    <w:rPr>
                      <w:rFonts w:hint="eastAsia" w:cs="Times New Roman"/>
                    </w:rPr>
                    <w:t>预处理</w:t>
                  </w:r>
                </w:p>
              </w:tc>
              <w:tc>
                <w:tcPr>
                  <w:tcW w:w="756" w:type="pct"/>
                  <w:tcBorders>
                    <w:tl2br w:val="nil"/>
                    <w:tr2bl w:val="nil"/>
                  </w:tcBorders>
                  <w:vAlign w:val="center"/>
                </w:tcPr>
                <w:p>
                  <w:pPr>
                    <w:pStyle w:val="32"/>
                    <w:rPr>
                      <w:rFonts w:cs="Times New Roman"/>
                    </w:rPr>
                  </w:pPr>
                  <w:r>
                    <w:rPr>
                      <w:rFonts w:hint="eastAsia" w:cs="Times New Roman"/>
                    </w:rPr>
                    <w:t>臭气浓度</w:t>
                  </w:r>
                </w:p>
              </w:tc>
              <w:tc>
                <w:tcPr>
                  <w:tcW w:w="1456" w:type="pct"/>
                  <w:tcBorders>
                    <w:tl2br w:val="nil"/>
                    <w:tr2bl w:val="nil"/>
                  </w:tcBorders>
                  <w:vAlign w:val="center"/>
                </w:tcPr>
                <w:p>
                  <w:pPr>
                    <w:pStyle w:val="32"/>
                    <w:ind w:firstLine="480"/>
                    <w:rPr>
                      <w:rFonts w:cs="Times New Roman"/>
                    </w:rPr>
                  </w:pPr>
                  <w:r>
                    <w:rPr>
                      <w:rFonts w:hint="eastAsia" w:cs="Times New Roman"/>
                    </w:rPr>
                    <w:t>20（无量纲）</w:t>
                  </w:r>
                </w:p>
              </w:tc>
              <w:tc>
                <w:tcPr>
                  <w:tcW w:w="1873" w:type="pct"/>
                  <w:tcBorders>
                    <w:tl2br w:val="nil"/>
                    <w:tr2bl w:val="nil"/>
                  </w:tcBorders>
                  <w:vAlign w:val="center"/>
                </w:tcPr>
                <w:p>
                  <w:pPr>
                    <w:pStyle w:val="32"/>
                    <w:rPr>
                      <w:rFonts w:cs="Times New Roman"/>
                    </w:rPr>
                  </w:pPr>
                  <w:r>
                    <w:rPr>
                      <w:rFonts w:hint="eastAsia"/>
                    </w:rPr>
                    <w:t>《</w:t>
                  </w:r>
                  <w:bookmarkStart w:id="14" w:name="OLE_LINK3"/>
                  <w:r>
                    <w:rPr>
                      <w:rFonts w:hint="eastAsia"/>
                    </w:rPr>
                    <w:t>恶臭污染物排放标准</w:t>
                  </w:r>
                  <w:bookmarkEnd w:id="14"/>
                  <w:r>
                    <w:rPr>
                      <w:rFonts w:hint="eastAsia"/>
                    </w:rPr>
                    <w:t>》（GB14554-93）</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2.废水</w:t>
            </w:r>
          </w:p>
          <w:p>
            <w:pPr>
              <w:ind w:firstLine="480"/>
            </w:pPr>
            <w:r>
              <w:rPr>
                <w:rFonts w:hint="eastAsia"/>
                <w:color w:val="000000" w:themeColor="text1"/>
                <w14:textFill>
                  <w14:solidFill>
                    <w14:schemeClr w14:val="tx1"/>
                  </w14:solidFill>
                </w14:textFill>
              </w:rPr>
              <w:t>本项目产生的生产废水经沉淀处理后全部循环利用，不外排。生活污水进入</w:t>
            </w:r>
            <w:r>
              <w:rPr>
                <w:rFonts w:hint="eastAsia"/>
              </w:rPr>
              <w:t>库尔勒市</w:t>
            </w:r>
            <w:r>
              <w:rPr>
                <w:rFonts w:hint="eastAsia"/>
                <w:color w:val="000000" w:themeColor="text1"/>
                <w14:textFill>
                  <w14:solidFill>
                    <w14:schemeClr w14:val="tx1"/>
                  </w14:solidFill>
                </w14:textFill>
              </w:rPr>
              <w:t>哈拉玉宫镇废旧物资回收加工产业园配套建设的化粪池进行预处理后，定期由吸污车抽运至库尔勒市南市区污水处理厂处理</w:t>
            </w:r>
            <w:r>
              <w:rPr>
                <w:rFonts w:hint="eastAsia"/>
              </w:rPr>
              <w:t>。</w:t>
            </w:r>
          </w:p>
          <w:p>
            <w:pPr>
              <w:ind w:firstLine="480"/>
              <w:textAlignment w:val="auto"/>
            </w:pPr>
            <w:r>
              <w:t>化粪池处理后废水排放指标需满足《污水综合排放标准》（GB8978-1996）表4三级标准要求，详见表</w:t>
            </w:r>
            <w:r>
              <w:rPr>
                <w:rFonts w:hint="eastAsia"/>
              </w:rPr>
              <w:t>3</w:t>
            </w:r>
            <w:r>
              <w:t>-5</w:t>
            </w:r>
            <w:r>
              <w:rPr>
                <w:rFonts w:hint="eastAsia"/>
              </w:rPr>
              <w:t>。</w:t>
            </w:r>
          </w:p>
          <w:p>
            <w:pPr>
              <w:pStyle w:val="79"/>
              <w:spacing w:before="240"/>
              <w:ind w:firstLine="480"/>
              <w:rPr>
                <w:rFonts w:ascii="Times New Roman" w:hAnsi="Times New Roman" w:cs="Times New Roman"/>
                <w:sz w:val="21"/>
                <w:szCs w:val="21"/>
              </w:rPr>
            </w:pPr>
            <w:r>
              <w:rPr>
                <w:rFonts w:ascii="Times New Roman" w:hAnsi="Times New Roman" w:cs="Times New Roman"/>
                <w:sz w:val="21"/>
                <w:szCs w:val="21"/>
              </w:rPr>
              <w:t>表</w:t>
            </w:r>
            <w:r>
              <w:rPr>
                <w:rFonts w:hint="eastAsia" w:ascii="Times New Roman" w:hAnsi="Times New Roman" w:cs="Times New Roman"/>
                <w:sz w:val="21"/>
                <w:szCs w:val="21"/>
              </w:rPr>
              <w:t>3</w:t>
            </w:r>
            <w:r>
              <w:rPr>
                <w:rFonts w:ascii="Times New Roman" w:hAnsi="Times New Roman" w:cs="Times New Roman"/>
                <w:sz w:val="21"/>
                <w:szCs w:val="21"/>
              </w:rPr>
              <w:t>-5  《污水综合排放标准》（GB8978-1996）  单位：mg/L</w:t>
            </w:r>
          </w:p>
          <w:tbl>
            <w:tblPr>
              <w:tblStyle w:val="24"/>
              <w:tblW w:w="49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41"/>
              <w:gridCol w:w="1559"/>
              <w:gridCol w:w="1646"/>
              <w:gridCol w:w="1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5" w:hRule="atLeast"/>
                <w:jc w:val="center"/>
              </w:trPr>
              <w:tc>
                <w:tcPr>
                  <w:tcW w:w="1545" w:type="dxa"/>
                  <w:vAlign w:val="center"/>
                </w:tcPr>
                <w:p>
                  <w:pPr>
                    <w:pStyle w:val="80"/>
                    <w:rPr>
                      <w:rFonts w:cs="Times New Roman"/>
                      <w:color w:val="000000"/>
                    </w:rPr>
                  </w:pPr>
                  <w:r>
                    <w:rPr>
                      <w:rFonts w:cs="Times New Roman"/>
                      <w:color w:val="000000"/>
                    </w:rPr>
                    <w:t>污染物</w:t>
                  </w:r>
                </w:p>
              </w:tc>
              <w:tc>
                <w:tcPr>
                  <w:tcW w:w="1567" w:type="dxa"/>
                  <w:vAlign w:val="center"/>
                </w:tcPr>
                <w:p>
                  <w:pPr>
                    <w:pStyle w:val="80"/>
                    <w:rPr>
                      <w:rFonts w:cs="Times New Roman"/>
                      <w:color w:val="000000"/>
                    </w:rPr>
                  </w:pPr>
                  <w:r>
                    <w:rPr>
                      <w:rFonts w:cs="Times New Roman"/>
                      <w:color w:val="000000"/>
                    </w:rPr>
                    <w:t>COD</w:t>
                  </w:r>
                </w:p>
              </w:tc>
              <w:tc>
                <w:tcPr>
                  <w:tcW w:w="1489" w:type="dxa"/>
                  <w:vAlign w:val="center"/>
                </w:tcPr>
                <w:p>
                  <w:pPr>
                    <w:pStyle w:val="80"/>
                    <w:rPr>
                      <w:rFonts w:cs="Times New Roman"/>
                      <w:color w:val="000000"/>
                    </w:rPr>
                  </w:pPr>
                  <w:r>
                    <w:rPr>
                      <w:rFonts w:hint="eastAsia" w:cs="Times New Roman"/>
                      <w:color w:val="000000"/>
                    </w:rPr>
                    <w:t>B</w:t>
                  </w:r>
                  <w:r>
                    <w:rPr>
                      <w:rFonts w:cs="Times New Roman"/>
                      <w:color w:val="000000"/>
                    </w:rPr>
                    <w:t>OD</w:t>
                  </w:r>
                  <w:r>
                    <w:rPr>
                      <w:rFonts w:cs="Times New Roman"/>
                      <w:color w:val="000000"/>
                      <w:vertAlign w:val="subscript"/>
                    </w:rPr>
                    <w:t>5</w:t>
                  </w:r>
                </w:p>
              </w:tc>
              <w:tc>
                <w:tcPr>
                  <w:tcW w:w="1572" w:type="dxa"/>
                  <w:vAlign w:val="center"/>
                </w:tcPr>
                <w:p>
                  <w:pPr>
                    <w:pStyle w:val="80"/>
                    <w:rPr>
                      <w:rFonts w:cs="Times New Roman"/>
                      <w:color w:val="000000"/>
                    </w:rPr>
                  </w:pPr>
                  <w:r>
                    <w:rPr>
                      <w:rFonts w:cs="Times New Roman"/>
                      <w:color w:val="000000"/>
                    </w:rPr>
                    <w:t>SS</w:t>
                  </w:r>
                </w:p>
              </w:tc>
              <w:tc>
                <w:tcPr>
                  <w:tcW w:w="1618" w:type="dxa"/>
                  <w:vAlign w:val="center"/>
                </w:tcPr>
                <w:p>
                  <w:pPr>
                    <w:pStyle w:val="80"/>
                    <w:rPr>
                      <w:rFonts w:cs="Times New Roman"/>
                      <w:color w:val="000000"/>
                    </w:rPr>
                  </w:pPr>
                  <w:r>
                    <w:rPr>
                      <w:rFonts w:cs="Times New Roman"/>
                      <w:color w:val="000000"/>
                    </w:rPr>
                    <w:t>NH</w:t>
                  </w:r>
                  <w:r>
                    <w:rPr>
                      <w:rFonts w:cs="Times New Roman"/>
                      <w:color w:val="000000"/>
                      <w:vertAlign w:val="subscript"/>
                    </w:rPr>
                    <w:t>3</w:t>
                  </w:r>
                  <w:r>
                    <w:rPr>
                      <w:rFonts w:cs="Times New Roman"/>
                      <w:color w:val="000000"/>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545" w:type="dxa"/>
                  <w:vAlign w:val="center"/>
                </w:tcPr>
                <w:p>
                  <w:pPr>
                    <w:pStyle w:val="80"/>
                    <w:rPr>
                      <w:rFonts w:cs="Times New Roman"/>
                      <w:color w:val="000000"/>
                    </w:rPr>
                  </w:pPr>
                  <w:r>
                    <w:rPr>
                      <w:rFonts w:cs="Times New Roman"/>
                      <w:color w:val="000000"/>
                    </w:rPr>
                    <w:t>标准值</w:t>
                  </w:r>
                </w:p>
              </w:tc>
              <w:tc>
                <w:tcPr>
                  <w:tcW w:w="1567" w:type="dxa"/>
                  <w:vAlign w:val="center"/>
                </w:tcPr>
                <w:p>
                  <w:pPr>
                    <w:pStyle w:val="80"/>
                    <w:rPr>
                      <w:rFonts w:cs="Times New Roman"/>
                      <w:color w:val="000000"/>
                    </w:rPr>
                  </w:pPr>
                  <w:r>
                    <w:rPr>
                      <w:rFonts w:cs="Times New Roman"/>
                      <w:color w:val="000000"/>
                    </w:rPr>
                    <w:t>500</w:t>
                  </w:r>
                </w:p>
              </w:tc>
              <w:tc>
                <w:tcPr>
                  <w:tcW w:w="1489" w:type="dxa"/>
                  <w:vAlign w:val="center"/>
                </w:tcPr>
                <w:p>
                  <w:pPr>
                    <w:pStyle w:val="80"/>
                    <w:rPr>
                      <w:rFonts w:cs="Times New Roman"/>
                      <w:color w:val="000000"/>
                    </w:rPr>
                  </w:pPr>
                  <w:r>
                    <w:rPr>
                      <w:rFonts w:hint="eastAsia" w:cs="Times New Roman"/>
                      <w:color w:val="000000"/>
                    </w:rPr>
                    <w:t>3</w:t>
                  </w:r>
                  <w:r>
                    <w:rPr>
                      <w:rFonts w:cs="Times New Roman"/>
                      <w:color w:val="000000"/>
                    </w:rPr>
                    <w:t>00</w:t>
                  </w:r>
                </w:p>
              </w:tc>
              <w:tc>
                <w:tcPr>
                  <w:tcW w:w="1572" w:type="dxa"/>
                  <w:vAlign w:val="center"/>
                </w:tcPr>
                <w:p>
                  <w:pPr>
                    <w:pStyle w:val="80"/>
                    <w:rPr>
                      <w:rFonts w:cs="Times New Roman"/>
                      <w:color w:val="000000"/>
                    </w:rPr>
                  </w:pPr>
                  <w:r>
                    <w:rPr>
                      <w:rFonts w:cs="Times New Roman"/>
                      <w:color w:val="000000"/>
                    </w:rPr>
                    <w:t>400</w:t>
                  </w:r>
                </w:p>
              </w:tc>
              <w:tc>
                <w:tcPr>
                  <w:tcW w:w="1618" w:type="dxa"/>
                  <w:vAlign w:val="center"/>
                </w:tcPr>
                <w:p>
                  <w:pPr>
                    <w:pStyle w:val="80"/>
                    <w:rPr>
                      <w:rFonts w:cs="Times New Roman"/>
                      <w:color w:val="000000"/>
                    </w:rPr>
                  </w:pPr>
                  <w:r>
                    <w:rPr>
                      <w:rFonts w:cs="Times New Roman"/>
                      <w:color w:val="000000"/>
                    </w:rPr>
                    <w:t>—</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3.噪声排放标准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项目施工期噪声执行《</w:t>
            </w:r>
            <w:r>
              <w:rPr>
                <w:rFonts w:hint="eastAsia"/>
                <w:color w:val="000000" w:themeColor="text1"/>
                <w14:textFill>
                  <w14:solidFill>
                    <w14:schemeClr w14:val="tx1"/>
                  </w14:solidFill>
                </w14:textFill>
              </w:rPr>
              <w:t>建筑施工噪声排放标准</w:t>
            </w:r>
            <w:r>
              <w:rPr>
                <w:color w:val="000000" w:themeColor="text1"/>
                <w14:textFill>
                  <w14:solidFill>
                    <w14:schemeClr w14:val="tx1"/>
                  </w14:solidFill>
                </w14:textFill>
              </w:rPr>
              <w:t>》（GB12523-20</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），详见表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运营期噪声执行《工业企业厂界环境噪声排放标准》（GB12348-2008）中2类标准，标准值见表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-6。</w:t>
            </w:r>
          </w:p>
          <w:p>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建筑施工场界噪声排放限值   单位：dB（A</w:t>
            </w:r>
            <w:r>
              <w:rPr>
                <w:color w:val="000000" w:themeColor="text1"/>
                <w14:textFill>
                  <w14:solidFill>
                    <w14:schemeClr w14:val="tx1"/>
                  </w14:solidFill>
                </w14:textFill>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88"/>
              <w:gridCol w:w="35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2164"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70</w:t>
                  </w:r>
                </w:p>
              </w:tc>
              <w:tc>
                <w:tcPr>
                  <w:tcW w:w="2164"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55</w:t>
                  </w:r>
                </w:p>
              </w:tc>
            </w:tr>
          </w:tbl>
          <w:p>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  工业企业厂界环境噪声排放标准 等效声级dB（A</w:t>
            </w:r>
            <w:r>
              <w:rPr>
                <w:color w:val="000000" w:themeColor="text1"/>
                <w14:textFill>
                  <w14:solidFill>
                    <w14:schemeClr w14:val="tx1"/>
                  </w14:solidFill>
                </w14:textFill>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96"/>
              <w:gridCol w:w="3614"/>
              <w:gridCol w:w="2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 w:hRule="atLeast"/>
              </w:trPr>
              <w:tc>
                <w:tcPr>
                  <w:tcW w:w="114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类别</w:t>
                  </w:r>
                </w:p>
              </w:tc>
              <w:tc>
                <w:tcPr>
                  <w:tcW w:w="218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166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 w:hRule="atLeast"/>
              </w:trPr>
              <w:tc>
                <w:tcPr>
                  <w:tcW w:w="114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2类</w:t>
                  </w:r>
                </w:p>
              </w:tc>
              <w:tc>
                <w:tcPr>
                  <w:tcW w:w="218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60</w:t>
                  </w:r>
                </w:p>
              </w:tc>
              <w:tc>
                <w:tcPr>
                  <w:tcW w:w="166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50</w:t>
                  </w:r>
                </w:p>
              </w:tc>
            </w:tr>
          </w:tbl>
          <w:p>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4.固体废物</w:t>
            </w:r>
          </w:p>
          <w:p>
            <w:pPr>
              <w:ind w:firstLine="480"/>
              <w:rPr>
                <w:color w:val="000000" w:themeColor="text1"/>
                <w14:textFill>
                  <w14:solidFill>
                    <w14:schemeClr w14:val="tx1"/>
                  </w14:solidFill>
                </w14:textFill>
              </w:rPr>
            </w:pPr>
            <w:r>
              <w:rPr>
                <w:rFonts w:hint="eastAsia"/>
              </w:rPr>
              <w:t>一般工业固体废物暂存参照执行《一般工业固体废物贮存和填埋污染控制标准》（GB18599-2020）中的“其贮存过程应满足相应防渗漏、防雨淋、防扬尘等环境保护要求”；危险废物执行《危险废物贮存污染控制标准》（GB18597-2023）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30" w:hRule="atLeast"/>
          <w:jc w:val="center"/>
        </w:trPr>
        <w:tc>
          <w:tcPr>
            <w:tcW w:w="312"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总量</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控制</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指标</w:t>
            </w:r>
          </w:p>
        </w:tc>
        <w:tc>
          <w:tcPr>
            <w:tcW w:w="4688" w:type="pct"/>
          </w:tcPr>
          <w:p>
            <w:pPr>
              <w:widowControl/>
              <w:ind w:firstLine="480"/>
              <w:rPr>
                <w:rFonts w:cs="Times New Roman"/>
                <w:color w:val="000000" w:themeColor="text1"/>
                <w:sz w:val="25"/>
                <w:szCs w:val="25"/>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根据《“十四五”污染减排综合工作方案编制技术指南》，国家实施总量控制的污染物指标有大气污染物：</w:t>
            </w:r>
            <w:r>
              <w:rPr>
                <w:color w:val="000000" w:themeColor="text1"/>
                <w:kern w:val="0"/>
                <w:lang w:bidi="ar"/>
                <w14:textFill>
                  <w14:solidFill>
                    <w14:schemeClr w14:val="tx1"/>
                  </w14:solidFill>
                </w14:textFill>
              </w:rPr>
              <w:t>NOx</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VOCs</w:t>
            </w:r>
            <w:r>
              <w:rPr>
                <w:rFonts w:hint="eastAsia" w:ascii="宋体" w:hAnsi="宋体" w:cs="宋体"/>
                <w:color w:val="000000" w:themeColor="text1"/>
                <w:kern w:val="0"/>
                <w:lang w:bidi="ar"/>
                <w14:textFill>
                  <w14:solidFill>
                    <w14:schemeClr w14:val="tx1"/>
                  </w14:solidFill>
                </w14:textFill>
              </w:rPr>
              <w:t>；水污染物：</w:t>
            </w:r>
            <w:r>
              <w:rPr>
                <w:color w:val="000000" w:themeColor="text1"/>
                <w:kern w:val="0"/>
                <w:lang w:bidi="ar"/>
                <w14:textFill>
                  <w14:solidFill>
                    <w14:schemeClr w14:val="tx1"/>
                  </w14:solidFill>
                </w14:textFill>
              </w:rPr>
              <w:t>COD</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NH</w:t>
            </w:r>
            <w:r>
              <w:rPr>
                <w:rFonts w:hint="eastAsia"/>
                <w:color w:val="000000" w:themeColor="text1"/>
                <w:kern w:val="0"/>
                <w:vertAlign w:val="subscript"/>
                <w:lang w:bidi="ar"/>
                <w14:textFill>
                  <w14:solidFill>
                    <w14:schemeClr w14:val="tx1"/>
                  </w14:solidFill>
                </w14:textFill>
              </w:rPr>
              <w:t>3</w:t>
            </w:r>
            <w:r>
              <w:rPr>
                <w:color w:val="000000" w:themeColor="text1"/>
                <w:kern w:val="0"/>
                <w:lang w:bidi="ar"/>
                <w14:textFill>
                  <w14:solidFill>
                    <w14:schemeClr w14:val="tx1"/>
                  </w14:solidFill>
                </w14:textFill>
              </w:rPr>
              <w:t>-N</w:t>
            </w:r>
            <w:r>
              <w:rPr>
                <w:rFonts w:cs="Times New Roman"/>
                <w:color w:val="000000" w:themeColor="text1"/>
                <w:sz w:val="25"/>
                <w:szCs w:val="25"/>
                <w14:textFill>
                  <w14:solidFill>
                    <w14:schemeClr w14:val="tx1"/>
                  </w14:solidFill>
                </w14:textFill>
              </w:rPr>
              <w:t>。</w:t>
            </w:r>
          </w:p>
          <w:p>
            <w:pPr>
              <w:ind w:firstLine="480"/>
              <w:textAlignment w:val="auto"/>
              <w:rPr>
                <w:rFonts w:cs="Times New Roman"/>
                <w:szCs w:val="24"/>
              </w:rPr>
            </w:pPr>
            <w:r>
              <w:rPr>
                <w:rFonts w:cs="Times New Roman"/>
                <w:color w:val="000000" w:themeColor="text1"/>
                <w:szCs w:val="24"/>
                <w14:textFill>
                  <w14:solidFill>
                    <w14:schemeClr w14:val="tx1"/>
                  </w14:solidFill>
                </w14:textFill>
              </w:rPr>
              <w:t>根据</w:t>
            </w:r>
            <w:r>
              <w:rPr>
                <w:rFonts w:hint="eastAsia" w:cs="Times New Roman"/>
                <w:color w:val="000000" w:themeColor="text1"/>
                <w:szCs w:val="24"/>
                <w14:textFill>
                  <w14:solidFill>
                    <w14:schemeClr w14:val="tx1"/>
                  </w14:solidFill>
                </w14:textFill>
              </w:rPr>
              <w:t>项目</w:t>
            </w:r>
            <w:r>
              <w:rPr>
                <w:rFonts w:cs="Times New Roman"/>
                <w:color w:val="000000" w:themeColor="text1"/>
                <w:szCs w:val="24"/>
                <w14:textFill>
                  <w14:solidFill>
                    <w14:schemeClr w14:val="tx1"/>
                  </w14:solidFill>
                </w14:textFill>
              </w:rPr>
              <w:t>分析，营运期不涉及大气总量控制指标。</w:t>
            </w:r>
            <w:r>
              <w:rPr>
                <w:rFonts w:hint="eastAsia"/>
                <w:color w:val="000000" w:themeColor="text1"/>
                <w:szCs w:val="24"/>
                <w14:textFill>
                  <w14:solidFill>
                    <w14:schemeClr w14:val="tx1"/>
                  </w14:solidFill>
                </w14:textFill>
              </w:rPr>
              <w:t>项目产生的生产废水经沉淀处理后全部循环利用，不外排。生活污水经化粪池处理后，定期由吸污车抽运至库尔勒市南市区污水处理厂处理。</w:t>
            </w:r>
            <w:r>
              <w:t>故不设总量控制指标。</w:t>
            </w:r>
          </w:p>
          <w:p>
            <w:pPr>
              <w:adjustRightInd w:val="0"/>
              <w:snapToGrid w:val="0"/>
              <w:spacing w:line="500" w:lineRule="exact"/>
              <w:ind w:firstLine="500"/>
              <w:rPr>
                <w:rFonts w:cs="Times New Roman"/>
                <w:color w:val="000000" w:themeColor="text1"/>
                <w:sz w:val="25"/>
                <w:szCs w:val="25"/>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pStyle w:val="23"/>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tc>
      </w:tr>
    </w:tbl>
    <w:p>
      <w:pPr>
        <w:pStyle w:val="2"/>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主要环境影响和保护措施</w:t>
      </w:r>
    </w:p>
    <w:tbl>
      <w:tblPr>
        <w:tblStyle w:val="24"/>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
        <w:gridCol w:w="89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8" w:type="pct"/>
            <w:tcMar>
              <w:left w:w="28" w:type="dxa"/>
              <w:right w:w="28" w:type="dxa"/>
            </w:tcMar>
            <w:vAlign w:val="center"/>
          </w:tcPr>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施工</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期环</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境保</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护措</w:t>
            </w:r>
          </w:p>
          <w:p>
            <w:pPr>
              <w:widowControl/>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szCs w:val="24"/>
              </w:rPr>
              <w:t>施</w:t>
            </w:r>
          </w:p>
        </w:tc>
        <w:tc>
          <w:tcPr>
            <w:tcW w:w="4841" w:type="pct"/>
          </w:tcPr>
          <w:p>
            <w:pPr>
              <w:adjustRightInd w:val="0"/>
              <w:snapToGrid w:val="0"/>
              <w:ind w:firstLine="0" w:firstLineChars="0"/>
              <w:textAlignment w:val="auto"/>
              <w:rPr>
                <w:rFonts w:cs="Times New Roman"/>
                <w:b/>
                <w:bCs/>
                <w:snapToGrid w:val="0"/>
                <w:color w:val="000000"/>
                <w:kern w:val="0"/>
                <w:szCs w:val="24"/>
                <w:lang w:bidi="ar"/>
              </w:rPr>
            </w:pPr>
            <w:bookmarkStart w:id="15" w:name="_Toc517195126"/>
            <w:r>
              <w:rPr>
                <w:rFonts w:cs="Times New Roman"/>
                <w:b/>
                <w:bCs/>
                <w:snapToGrid w:val="0"/>
                <w:color w:val="000000"/>
                <w:kern w:val="0"/>
                <w:szCs w:val="24"/>
                <w:lang w:bidi="ar"/>
              </w:rPr>
              <w:t>4.1施工期环境保护措施</w:t>
            </w:r>
          </w:p>
          <w:p>
            <w:pPr>
              <w:adjustRightInd w:val="0"/>
              <w:snapToGrid w:val="0"/>
              <w:ind w:firstLine="480"/>
              <w:textAlignment w:val="auto"/>
              <w:rPr>
                <w:rFonts w:cs="Times New Roman"/>
                <w:bCs/>
                <w:szCs w:val="24"/>
              </w:rPr>
            </w:pPr>
            <w:r>
              <w:rPr>
                <w:rFonts w:hint="eastAsia" w:ascii="宋体" w:hAnsi="宋体" w:cs="宋体"/>
                <w:snapToGrid w:val="0"/>
                <w:color w:val="000000"/>
                <w:kern w:val="0"/>
                <w:szCs w:val="24"/>
                <w:lang w:bidi="ar"/>
              </w:rPr>
              <w:t>本项目施工期主要活动包括在租赁的现有厂房内进行设备基础施工、设备就位安装、管线敷设、电气系统安装、环保设施建设（如清洗池、沉淀池）以及必要的室内外场地改造等。施工期的环境影响因素主要包括扬尘、噪声、固体废物、废水及少量焊接废气。</w:t>
            </w:r>
          </w:p>
          <w:p>
            <w:pPr>
              <w:adjustRightInd w:val="0"/>
              <w:snapToGrid w:val="0"/>
              <w:ind w:firstLine="0" w:firstLineChars="0"/>
              <w:textAlignment w:val="auto"/>
              <w:rPr>
                <w:rFonts w:cs="Times New Roman"/>
                <w:bCs/>
                <w:szCs w:val="24"/>
              </w:rPr>
            </w:pPr>
            <w:r>
              <w:rPr>
                <w:rFonts w:cs="Times New Roman"/>
                <w:b/>
                <w:szCs w:val="24"/>
              </w:rPr>
              <w:t>4.1.</w:t>
            </w:r>
            <w:r>
              <w:rPr>
                <w:rFonts w:hint="eastAsia" w:cs="Times New Roman"/>
                <w:b/>
                <w:szCs w:val="24"/>
              </w:rPr>
              <w:t>1施工工期</w:t>
            </w:r>
            <w:r>
              <w:rPr>
                <w:rFonts w:cs="Times New Roman"/>
                <w:b/>
                <w:szCs w:val="24"/>
              </w:rPr>
              <w:t>废</w:t>
            </w:r>
            <w:r>
              <w:rPr>
                <w:rFonts w:hint="eastAsia" w:cs="Times New Roman"/>
                <w:b/>
                <w:szCs w:val="24"/>
              </w:rPr>
              <w:t>气</w:t>
            </w:r>
            <w:r>
              <w:rPr>
                <w:rFonts w:cs="Times New Roman"/>
                <w:b/>
                <w:szCs w:val="24"/>
              </w:rPr>
              <w:t>污染防治措施</w:t>
            </w:r>
          </w:p>
          <w:p>
            <w:pPr>
              <w:adjustRightInd w:val="0"/>
              <w:snapToGrid w:val="0"/>
              <w:ind w:firstLine="480"/>
              <w:textAlignment w:val="auto"/>
              <w:rPr>
                <w:rFonts w:cs="Times New Roman"/>
                <w:bCs/>
                <w:szCs w:val="24"/>
              </w:rPr>
            </w:pPr>
            <w:r>
              <w:rPr>
                <w:rFonts w:hint="eastAsia"/>
              </w:rPr>
              <w:t>施工期大气污染源主要包括施工扬尘、运输车辆尾气、施工机械燃油废气等。应采取以下防治措施：</w:t>
            </w:r>
          </w:p>
          <w:p>
            <w:pPr>
              <w:adjustRightInd w:val="0"/>
              <w:snapToGrid w:val="0"/>
              <w:ind w:firstLine="480"/>
              <w:textAlignment w:val="auto"/>
            </w:pPr>
            <w:r>
              <w:rPr>
                <w:rFonts w:hint="eastAsia"/>
              </w:rPr>
              <w:t>（1）施工机械及运输车辆尾气</w:t>
            </w:r>
          </w:p>
          <w:p>
            <w:pPr>
              <w:adjustRightInd w:val="0"/>
              <w:snapToGrid w:val="0"/>
              <w:ind w:firstLine="480"/>
              <w:textAlignment w:val="auto"/>
            </w:pPr>
            <w:r>
              <w:rPr>
                <w:rFonts w:hint="eastAsia"/>
              </w:rPr>
              <w:t>施工机械（如挖掘机、起重机、自卸汽车等）和运输车辆以柴油为燃料，在运行过程中会排放少量</w:t>
            </w:r>
            <w:r>
              <w:t>CO</w:t>
            </w:r>
            <w:r>
              <w:rPr>
                <w:rFonts w:hint="eastAsia"/>
              </w:rPr>
              <w:t>、</w:t>
            </w:r>
            <w:r>
              <w:t>NO</w:t>
            </w:r>
            <w:r>
              <w:rPr>
                <w:vertAlign w:val="subscript"/>
              </w:rPr>
              <w:t>x</w:t>
            </w:r>
            <w:r>
              <w:rPr>
                <w:rFonts w:hint="eastAsia"/>
              </w:rPr>
              <w:t>、</w:t>
            </w:r>
            <w:r>
              <w:t>HC</w:t>
            </w:r>
            <w:r>
              <w:rPr>
                <w:rFonts w:hint="eastAsia"/>
              </w:rPr>
              <w:t>、</w:t>
            </w:r>
            <w:r>
              <w:t>SO</w:t>
            </w:r>
            <w:r>
              <w:rPr>
                <w:vertAlign w:val="subscript"/>
              </w:rPr>
              <w:t>2</w:t>
            </w:r>
            <w:r>
              <w:rPr>
                <w:rFonts w:hint="eastAsia"/>
              </w:rPr>
              <w:t>、烟尘等污染物，属间断性无组织排放。由于项目所在区域地势平坦、开阔，空气流通条件良好，废气易于扩散，对周边环境空气质量影响较小。但仍需合理控制施工车辆进出频次，避免集中作业，最大限度降低尾气累积影响。</w:t>
            </w:r>
          </w:p>
          <w:p>
            <w:pPr>
              <w:adjustRightInd w:val="0"/>
              <w:snapToGrid w:val="0"/>
              <w:ind w:firstLine="480"/>
              <w:textAlignment w:val="auto"/>
            </w:pPr>
            <w:r>
              <w:rPr>
                <w:rFonts w:hint="eastAsia"/>
              </w:rPr>
              <w:t>（2）扬尘污染防控</w:t>
            </w:r>
          </w:p>
          <w:p>
            <w:pPr>
              <w:adjustRightInd w:val="0"/>
              <w:snapToGrid w:val="0"/>
              <w:ind w:firstLine="480"/>
              <w:textAlignment w:val="auto"/>
            </w:pPr>
            <w:r>
              <w:rPr>
                <w:rFonts w:hint="eastAsia"/>
              </w:rPr>
              <w:t>施工过程中产生的扬尘主要来源于土方开挖与回填、物料搬运、道路运输及露天堆放等环节。施工单位须严格落实以下防尘降尘措施：</w:t>
            </w:r>
          </w:p>
          <w:p>
            <w:pPr>
              <w:adjustRightInd w:val="0"/>
              <w:snapToGrid w:val="0"/>
              <w:ind w:firstLine="480"/>
              <w:textAlignment w:val="auto"/>
            </w:pPr>
            <w:r>
              <w:rPr>
                <w:rFonts w:hint="eastAsia"/>
              </w:rPr>
              <w:t>①落实扬尘管控责任：施工单位应制定《施工扬尘污染防治实施方案》，明确责任人，落实施工全过程扬尘管控要求，确保文明施工、绿色施工。</w:t>
            </w:r>
          </w:p>
          <w:p>
            <w:pPr>
              <w:adjustRightInd w:val="0"/>
              <w:snapToGrid w:val="0"/>
              <w:ind w:firstLine="480"/>
              <w:textAlignment w:val="auto"/>
            </w:pPr>
            <w:r>
              <w:rPr>
                <w:rFonts w:hint="eastAsia"/>
              </w:rPr>
              <w:t>②加强物料管理：施工现场建筑材料、构件、料具应按总平面布置分类码放整齐；水泥及其他易产生扬尘的细颗粒物必须密闭存放或采用防尘布覆盖，防止风力扬散。</w:t>
            </w:r>
          </w:p>
          <w:p>
            <w:pPr>
              <w:adjustRightInd w:val="0"/>
              <w:snapToGrid w:val="0"/>
              <w:ind w:firstLine="480"/>
              <w:textAlignment w:val="auto"/>
            </w:pPr>
            <w:r>
              <w:rPr>
                <w:rFonts w:hint="eastAsia"/>
              </w:rPr>
              <w:t>③实施湿法作业：土方作业时应采取洒水抑尘措施；主要施工道路应定期清扫并洒水保湿，保持路面湿润；施工现场出入口设置车辆冲洗装置，严禁带泥上路；对撒落渣土及时清理，减少二次扬尘。</w:t>
            </w:r>
          </w:p>
          <w:p>
            <w:pPr>
              <w:adjustRightInd w:val="0"/>
              <w:snapToGrid w:val="0"/>
              <w:ind w:firstLine="480"/>
              <w:textAlignment w:val="auto"/>
            </w:pPr>
            <w:r>
              <w:rPr>
                <w:rFonts w:hint="eastAsia"/>
              </w:rPr>
              <w:t>④实行封闭施工：施工现场应设置高度不低于2.5m的硬质围挡，实行全封闭管理。围挡应坚固、稳定、整洁、美观。脚手架外侧应采用符合标准的密目式安全网进行封闭，且封闭高度应高于作业面，并同步搭设。安全网应定期清洗维护，保持清洁完好，防止建筑垃圾和粉尘外溢。</w:t>
            </w:r>
          </w:p>
          <w:p>
            <w:pPr>
              <w:adjustRightInd w:val="0"/>
              <w:snapToGrid w:val="0"/>
              <w:ind w:firstLine="480"/>
              <w:textAlignment w:val="auto"/>
            </w:pPr>
            <w:r>
              <w:rPr>
                <w:rFonts w:hint="eastAsia"/>
              </w:rPr>
              <w:t>⑤硬化场地与车辆管理：施工现场主要道路及材料加工区地面应进行硬化处理；裸露地面及临时堆土区应采取覆盖、固化或绿化等防尘措施；运输车辆限速行驶，禁止鸣笛，减少扰民。</w:t>
            </w:r>
          </w:p>
          <w:p>
            <w:pPr>
              <w:adjustRightInd w:val="0"/>
              <w:snapToGrid w:val="0"/>
              <w:ind w:firstLine="0" w:firstLineChars="0"/>
              <w:textAlignment w:val="auto"/>
              <w:rPr>
                <w:rFonts w:cs="Times New Roman"/>
                <w:bCs/>
                <w:szCs w:val="24"/>
              </w:rPr>
            </w:pPr>
            <w:r>
              <w:rPr>
                <w:rFonts w:cs="Times New Roman"/>
                <w:b/>
                <w:szCs w:val="24"/>
              </w:rPr>
              <w:t>4.1.2</w:t>
            </w:r>
            <w:r>
              <w:rPr>
                <w:rFonts w:hint="eastAsia" w:cs="Times New Roman"/>
                <w:b/>
                <w:szCs w:val="24"/>
              </w:rPr>
              <w:t>施工工期</w:t>
            </w:r>
            <w:r>
              <w:rPr>
                <w:rFonts w:cs="Times New Roman"/>
                <w:b/>
                <w:szCs w:val="24"/>
              </w:rPr>
              <w:t>废水污染防治措施</w:t>
            </w:r>
          </w:p>
          <w:p>
            <w:pPr>
              <w:adjustRightInd w:val="0"/>
              <w:snapToGrid w:val="0"/>
              <w:ind w:firstLine="480"/>
              <w:textAlignment w:val="auto"/>
              <w:rPr>
                <w:rFonts w:cs="Times New Roman"/>
                <w:bCs/>
                <w:szCs w:val="24"/>
              </w:rPr>
            </w:pPr>
            <w:r>
              <w:rPr>
                <w:rFonts w:cs="Times New Roman"/>
                <w:bCs/>
                <w:szCs w:val="24"/>
              </w:rPr>
              <w:t>（1）施工废水</w:t>
            </w:r>
          </w:p>
          <w:p>
            <w:pPr>
              <w:adjustRightInd w:val="0"/>
              <w:snapToGrid w:val="0"/>
              <w:ind w:firstLine="480"/>
              <w:textAlignment w:val="auto"/>
              <w:rPr>
                <w:rFonts w:cs="Times New Roman"/>
                <w:bCs/>
                <w:szCs w:val="24"/>
              </w:rPr>
            </w:pPr>
            <w:r>
              <w:rPr>
                <w:rFonts w:hint="eastAsia"/>
                <w:bCs/>
              </w:rPr>
              <w:t>施工废水主要为混凝土养护废水和设备、工具清洗废水，产生量较小，主要污染物为悬浮物。工地应设置临时沉淀池，少量施工废水不得直接排放，需集中收集，并经过沉淀池沉淀处理后，用于洒水抑尘。施工结束后，应及时拆除临时沉淀池。通过以上措施，可确保施工工期废水无乱排现象</w:t>
            </w:r>
            <w:r>
              <w:rPr>
                <w:rFonts w:cs="Times New Roman"/>
                <w:bCs/>
                <w:szCs w:val="24"/>
              </w:rPr>
              <w:t>。</w:t>
            </w:r>
          </w:p>
          <w:p>
            <w:pPr>
              <w:adjustRightInd w:val="0"/>
              <w:snapToGrid w:val="0"/>
              <w:ind w:firstLine="480"/>
              <w:textAlignment w:val="auto"/>
              <w:rPr>
                <w:rFonts w:cs="Times New Roman"/>
                <w:bCs/>
                <w:szCs w:val="24"/>
              </w:rPr>
            </w:pPr>
            <w:r>
              <w:rPr>
                <w:rFonts w:cs="Times New Roman"/>
                <w:bCs/>
                <w:szCs w:val="24"/>
              </w:rPr>
              <w:t>（2）</w:t>
            </w:r>
            <w:r>
              <w:rPr>
                <w:rFonts w:hint="eastAsia" w:cs="Times New Roman"/>
                <w:bCs/>
                <w:szCs w:val="24"/>
              </w:rPr>
              <w:t>生活污水</w:t>
            </w:r>
          </w:p>
          <w:p>
            <w:pPr>
              <w:adjustRightInd w:val="0"/>
              <w:snapToGrid w:val="0"/>
              <w:ind w:firstLine="480"/>
              <w:textAlignment w:val="auto"/>
              <w:rPr>
                <w:rFonts w:cs="Times New Roman"/>
                <w:szCs w:val="24"/>
              </w:rPr>
            </w:pPr>
            <w:r>
              <w:rPr>
                <w:rFonts w:cs="Times New Roman"/>
                <w:szCs w:val="24"/>
              </w:rPr>
              <w:t>项目施工人员不在项目区住宿，不设置施工生活区，无施工生活</w:t>
            </w:r>
            <w:r>
              <w:rPr>
                <w:rFonts w:hint="eastAsia" w:cs="Times New Roman"/>
                <w:szCs w:val="24"/>
              </w:rPr>
              <w:t>污水</w:t>
            </w:r>
            <w:r>
              <w:rPr>
                <w:rFonts w:cs="Times New Roman"/>
                <w:szCs w:val="24"/>
              </w:rPr>
              <w:t>产生。</w:t>
            </w:r>
          </w:p>
          <w:p>
            <w:pPr>
              <w:adjustRightInd w:val="0"/>
              <w:snapToGrid w:val="0"/>
              <w:ind w:firstLine="0" w:firstLineChars="0"/>
              <w:textAlignment w:val="auto"/>
              <w:rPr>
                <w:rFonts w:cs="Times New Roman"/>
                <w:b/>
                <w:bCs/>
                <w:szCs w:val="24"/>
              </w:rPr>
            </w:pPr>
            <w:r>
              <w:rPr>
                <w:rFonts w:cs="Times New Roman"/>
                <w:b/>
                <w:bCs/>
                <w:szCs w:val="24"/>
              </w:rPr>
              <w:t>4.1.3</w:t>
            </w:r>
            <w:r>
              <w:rPr>
                <w:rFonts w:hint="eastAsia" w:cs="Times New Roman"/>
                <w:b/>
                <w:bCs/>
                <w:szCs w:val="24"/>
              </w:rPr>
              <w:t>施工工期</w:t>
            </w:r>
            <w:r>
              <w:rPr>
                <w:rFonts w:cs="Times New Roman"/>
                <w:b/>
                <w:bCs/>
                <w:szCs w:val="24"/>
              </w:rPr>
              <w:t>噪声防治措施</w:t>
            </w:r>
          </w:p>
          <w:p>
            <w:pPr>
              <w:adjustRightInd w:val="0"/>
              <w:snapToGrid w:val="0"/>
              <w:ind w:firstLine="480"/>
              <w:textAlignment w:val="auto"/>
              <w:rPr>
                <w:rFonts w:cs="Times New Roman"/>
                <w:bCs/>
                <w:szCs w:val="24"/>
              </w:rPr>
            </w:pPr>
            <w:r>
              <w:rPr>
                <w:rFonts w:hint="eastAsia" w:cs="Times New Roman"/>
                <w:bCs/>
                <w:szCs w:val="24"/>
              </w:rPr>
              <w:t>施工噪声主要来自机械设备运行及运输车辆进出。为减轻噪声影响，应采取以下措施：</w:t>
            </w:r>
          </w:p>
          <w:p>
            <w:pPr>
              <w:adjustRightInd w:val="0"/>
              <w:snapToGrid w:val="0"/>
              <w:ind w:firstLine="480"/>
              <w:textAlignment w:val="auto"/>
              <w:rPr>
                <w:rFonts w:cs="Times New Roman"/>
                <w:bCs/>
                <w:szCs w:val="24"/>
              </w:rPr>
            </w:pPr>
            <w:r>
              <w:rPr>
                <w:rFonts w:cs="Times New Roman"/>
                <w:bCs/>
                <w:szCs w:val="24"/>
              </w:rPr>
              <w:t>（1）合理安排施工时间，应尽可能避免大量高噪声设备同时施工，使用高噪声设备的施工阶段应尽量安排在白天，无特殊施工要求，夜间不施工；</w:t>
            </w:r>
          </w:p>
          <w:p>
            <w:pPr>
              <w:adjustRightInd w:val="0"/>
              <w:snapToGrid w:val="0"/>
              <w:ind w:firstLine="480"/>
              <w:textAlignment w:val="auto"/>
              <w:rPr>
                <w:rFonts w:cs="Times New Roman"/>
                <w:bCs/>
                <w:szCs w:val="24"/>
              </w:rPr>
            </w:pPr>
            <w:r>
              <w:rPr>
                <w:rFonts w:cs="Times New Roman"/>
                <w:bCs/>
                <w:szCs w:val="24"/>
              </w:rPr>
              <w:t>（2）合理布置施工现场，应避免在施工现场的同一地点安排大量的高噪声设备，造成局部声级过高。</w:t>
            </w:r>
          </w:p>
          <w:p>
            <w:pPr>
              <w:adjustRightInd w:val="0"/>
              <w:snapToGrid w:val="0"/>
              <w:ind w:firstLine="480"/>
              <w:textAlignment w:val="auto"/>
              <w:rPr>
                <w:rFonts w:cs="Times New Roman"/>
                <w:bCs/>
                <w:szCs w:val="24"/>
              </w:rPr>
            </w:pPr>
            <w:r>
              <w:rPr>
                <w:rFonts w:cs="Times New Roman"/>
                <w:bCs/>
                <w:szCs w:val="24"/>
              </w:rPr>
              <w:t>（3）施工设备选型时尽量采用低噪声设备，如振捣器采用高频振捣器等；</w:t>
            </w:r>
          </w:p>
          <w:p>
            <w:pPr>
              <w:adjustRightInd w:val="0"/>
              <w:snapToGrid w:val="0"/>
              <w:ind w:firstLine="480"/>
              <w:textAlignment w:val="auto"/>
              <w:rPr>
                <w:rFonts w:cs="Times New Roman"/>
                <w:bCs/>
                <w:szCs w:val="24"/>
              </w:rPr>
            </w:pPr>
            <w:r>
              <w:rPr>
                <w:rFonts w:cs="Times New Roman"/>
                <w:bCs/>
                <w:szCs w:val="24"/>
              </w:rPr>
              <w:t>（4）对动力机械设备定期进行维修和养护，避免因松动部件振动或消声器损坏而加大设备工作时的声级；</w:t>
            </w:r>
          </w:p>
          <w:p>
            <w:pPr>
              <w:adjustRightInd w:val="0"/>
              <w:snapToGrid w:val="0"/>
              <w:ind w:firstLine="480"/>
              <w:textAlignment w:val="auto"/>
              <w:rPr>
                <w:rFonts w:cs="Times New Roman"/>
                <w:bCs/>
                <w:szCs w:val="24"/>
              </w:rPr>
            </w:pPr>
            <w:r>
              <w:rPr>
                <w:rFonts w:cs="Times New Roman"/>
                <w:bCs/>
                <w:szCs w:val="24"/>
              </w:rPr>
              <w:t>（5）模板、支架拆卸过程中，遵守作业规定，减少碰撞</w:t>
            </w:r>
            <w:r>
              <w:rPr>
                <w:rFonts w:hint="eastAsia" w:cs="Times New Roman"/>
                <w:bCs/>
                <w:szCs w:val="24"/>
              </w:rPr>
              <w:t>噪声</w:t>
            </w:r>
            <w:r>
              <w:rPr>
                <w:rFonts w:cs="Times New Roman"/>
                <w:bCs/>
                <w:szCs w:val="24"/>
              </w:rPr>
              <w:t>；尽量少用哨子、喇叭、笛等指挥作业，减少人为噪声；</w:t>
            </w:r>
          </w:p>
          <w:p>
            <w:pPr>
              <w:ind w:firstLine="480"/>
              <w:rPr>
                <w:rFonts w:cs="Times New Roman"/>
                <w:bCs/>
                <w:kern w:val="0"/>
                <w:szCs w:val="24"/>
              </w:rPr>
            </w:pPr>
            <w:r>
              <w:rPr>
                <w:rFonts w:cs="Times New Roman"/>
                <w:bCs/>
                <w:szCs w:val="24"/>
              </w:rPr>
              <w:t>（6）尽量减少运输车辆夜间的运输量，运输车辆在进入施工区附近区域后，要适当降低车速，避免或杜绝鸣笛。</w:t>
            </w:r>
          </w:p>
          <w:p>
            <w:pPr>
              <w:ind w:firstLine="0" w:firstLineChars="0"/>
              <w:rPr>
                <w:rFonts w:cs="Times New Roman"/>
                <w:bCs/>
                <w:kern w:val="0"/>
                <w:szCs w:val="24"/>
              </w:rPr>
            </w:pPr>
            <w:r>
              <w:rPr>
                <w:rFonts w:cs="Times New Roman"/>
                <w:b/>
                <w:szCs w:val="24"/>
              </w:rPr>
              <w:t>4.1.4</w:t>
            </w:r>
            <w:r>
              <w:rPr>
                <w:rFonts w:hint="eastAsia" w:cs="Times New Roman"/>
                <w:b/>
                <w:szCs w:val="24"/>
              </w:rPr>
              <w:t>施工工期固体废物</w:t>
            </w:r>
            <w:r>
              <w:rPr>
                <w:rFonts w:cs="Times New Roman"/>
                <w:b/>
                <w:szCs w:val="24"/>
              </w:rPr>
              <w:t>污染防治措施</w:t>
            </w:r>
          </w:p>
          <w:p>
            <w:pPr>
              <w:ind w:firstLine="480"/>
              <w:textAlignment w:val="auto"/>
              <w:rPr>
                <w:rFonts w:cs="Times New Roman"/>
                <w:szCs w:val="24"/>
              </w:rPr>
            </w:pPr>
            <w:r>
              <w:rPr>
                <w:rFonts w:hint="eastAsia" w:cs="Times New Roman"/>
                <w:szCs w:val="24"/>
              </w:rPr>
              <w:t>施工期产生的固体废物主要包括建筑垃圾和施工人员生活垃圾。</w:t>
            </w:r>
          </w:p>
          <w:p>
            <w:pPr>
              <w:ind w:firstLine="480"/>
              <w:textAlignment w:val="auto"/>
              <w:rPr>
                <w:rFonts w:cs="Times New Roman"/>
                <w:szCs w:val="24"/>
              </w:rPr>
            </w:pPr>
            <w:r>
              <w:rPr>
                <w:rFonts w:hint="eastAsia" w:cs="Times New Roman"/>
                <w:szCs w:val="24"/>
              </w:rPr>
              <w:t>（1）建筑垃圾</w:t>
            </w:r>
          </w:p>
          <w:p>
            <w:pPr>
              <w:ind w:firstLine="480"/>
              <w:textAlignment w:val="auto"/>
              <w:rPr>
                <w:rFonts w:cs="Times New Roman"/>
                <w:szCs w:val="24"/>
              </w:rPr>
            </w:pPr>
            <w:r>
              <w:rPr>
                <w:rFonts w:hint="eastAsia" w:cs="Times New Roman"/>
                <w:szCs w:val="24"/>
              </w:rPr>
              <w:t>主要包括碎砖块、废混凝土、废弃包装材料、边角料等。各施工队伍应分类收集、及时清运至当地环卫部门指定场所处置。</w:t>
            </w:r>
          </w:p>
          <w:p>
            <w:pPr>
              <w:ind w:firstLine="480"/>
              <w:textAlignment w:val="auto"/>
              <w:rPr>
                <w:rFonts w:cs="Times New Roman"/>
                <w:szCs w:val="24"/>
              </w:rPr>
            </w:pPr>
            <w:r>
              <w:rPr>
                <w:rFonts w:hint="eastAsia" w:cs="Times New Roman"/>
                <w:szCs w:val="24"/>
              </w:rPr>
              <w:t>施工过程中产生的土方主要用于后期回填及场地平整，多余弃土应及时清运。在厂区北侧设置临时土方堆存区，堆存期间应使用防尘网全覆盖，并配合洒水降尘措施，防止扬尘和水土流失。</w:t>
            </w:r>
          </w:p>
          <w:p>
            <w:pPr>
              <w:ind w:firstLine="480"/>
              <w:textAlignment w:val="auto"/>
              <w:rPr>
                <w:rFonts w:cs="Times New Roman"/>
                <w:szCs w:val="24"/>
              </w:rPr>
            </w:pPr>
            <w:r>
              <w:rPr>
                <w:rFonts w:hint="eastAsia" w:cs="Times New Roman"/>
                <w:szCs w:val="24"/>
              </w:rPr>
              <w:t>（2）生活垃圾</w:t>
            </w:r>
          </w:p>
          <w:p>
            <w:pPr>
              <w:ind w:firstLine="480"/>
              <w:textAlignment w:val="auto"/>
              <w:rPr>
                <w:rFonts w:cs="Times New Roman"/>
                <w:szCs w:val="24"/>
              </w:rPr>
            </w:pPr>
            <w:r>
              <w:rPr>
                <w:rFonts w:hint="eastAsia" w:cs="Times New Roman"/>
                <w:szCs w:val="24"/>
              </w:rPr>
              <w:t>施工高峰期日均施工人数约10人，人均生活垃圾产生量按0.5kg/人·d计，则日产生量约为5kg（即0.005t），整个施工期（按1个月计，共30天）生活垃圾总产生量约为0.15t。</w:t>
            </w:r>
          </w:p>
          <w:p>
            <w:pPr>
              <w:ind w:firstLine="480"/>
              <w:rPr>
                <w:snapToGrid w:val="0"/>
              </w:rPr>
            </w:pPr>
            <w:r>
              <w:rPr>
                <w:rFonts w:hint="eastAsia" w:cs="Times New Roman"/>
                <w:szCs w:val="24"/>
              </w:rPr>
              <w:t>施工单位应在现场设置带盖生活垃圾收集箱，集中收集后委托当地环卫部门定期清运处理，做到日产日清，防止蚊蝇滋生和异味扩散</w:t>
            </w:r>
            <w:bookmarkEnd w:id="15"/>
            <w:r>
              <w:rPr>
                <w:rFonts w:hint="eastAsia"/>
                <w:snapToGrid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58" w:type="pct"/>
            <w:tcMar>
              <w:left w:w="28" w:type="dxa"/>
              <w:right w:w="28" w:type="dxa"/>
            </w:tcMar>
            <w:vAlign w:val="center"/>
          </w:tcPr>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运营</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期环</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境影</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响和</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保护</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bCs/>
                <w:szCs w:val="24"/>
              </w:rPr>
              <w:t>措施</w:t>
            </w:r>
          </w:p>
        </w:tc>
        <w:tc>
          <w:tcPr>
            <w:tcW w:w="4841" w:type="pct"/>
          </w:tcPr>
          <w:p>
            <w:pPr>
              <w:pStyle w:val="3"/>
            </w:pPr>
            <w:r>
              <w:rPr>
                <w:rFonts w:hint="eastAsia"/>
              </w:rPr>
              <w:t>4</w:t>
            </w:r>
            <w:r>
              <w:t>.2</w:t>
            </w:r>
            <w:r>
              <w:rPr>
                <w:rFonts w:hint="eastAsia"/>
              </w:rPr>
              <w:t>运营期环境影响和保护措施</w:t>
            </w:r>
          </w:p>
          <w:p>
            <w:pPr>
              <w:pStyle w:val="3"/>
            </w:pPr>
            <w:r>
              <w:t>4.2.1</w:t>
            </w:r>
            <w:r>
              <w:rPr>
                <w:rFonts w:hint="eastAsia"/>
              </w:rPr>
              <w:t>大气环境影响分析及保护措施</w:t>
            </w:r>
          </w:p>
          <w:p>
            <w:pPr>
              <w:ind w:firstLine="0" w:firstLineChars="0"/>
              <w:rPr>
                <w:b/>
                <w:bCs/>
              </w:rPr>
            </w:pPr>
            <w:r>
              <w:rPr>
                <w:rFonts w:hint="eastAsia"/>
                <w:b/>
                <w:bCs/>
              </w:rPr>
              <w:t>4</w:t>
            </w:r>
            <w:r>
              <w:rPr>
                <w:b/>
                <w:bCs/>
              </w:rPr>
              <w:t>.2.1.1</w:t>
            </w:r>
            <w:r>
              <w:rPr>
                <w:rFonts w:hint="eastAsia"/>
                <w:b/>
                <w:bCs/>
              </w:rPr>
              <w:t>废气源强分析</w:t>
            </w:r>
          </w:p>
          <w:p>
            <w:pPr>
              <w:ind w:firstLine="480"/>
              <w:rPr>
                <w:rFonts w:cs="Times New Roman"/>
              </w:rPr>
            </w:pPr>
            <w:r>
              <w:rPr>
                <w:rFonts w:hint="eastAsia" w:cs="Times New Roman"/>
              </w:rPr>
              <w:t>本项目主要废气产生环节为原料破碎过程中产生的粉尘和微量恶臭气体。</w:t>
            </w:r>
          </w:p>
          <w:p>
            <w:pPr>
              <w:ind w:firstLine="480"/>
              <w:rPr>
                <w:rFonts w:cs="Times New Roman"/>
              </w:rPr>
            </w:pPr>
            <w:r>
              <w:rPr>
                <w:rFonts w:hint="eastAsia" w:cs="Times New Roman"/>
              </w:rPr>
              <w:t>（1）湿法破碎</w:t>
            </w:r>
          </w:p>
          <w:p>
            <w:pPr>
              <w:ind w:firstLine="480"/>
              <w:rPr>
                <w:rFonts w:cs="Times New Roman"/>
              </w:rPr>
            </w:pPr>
            <w:r>
              <w:rPr>
                <w:rFonts w:hint="eastAsia" w:cs="Times New Roman"/>
              </w:rPr>
              <w:t>本项目废塑料破碎工序全程采用湿法工艺，有效抑制粉尘产生。但由于物料输送及设备运行过程中可能产生微量粉尘，在车间内部以无组织形式逸散，整体产尘量较低。</w:t>
            </w:r>
          </w:p>
          <w:p>
            <w:pPr>
              <w:ind w:firstLine="480"/>
              <w:rPr>
                <w:rFonts w:cs="Times New Roman"/>
              </w:rPr>
            </w:pPr>
            <w:r>
              <w:rPr>
                <w:rFonts w:hint="eastAsia" w:cs="Times New Roman"/>
              </w:rPr>
              <w:t>根据《排放源统计调查产排污核算方法和系数手册》（42废弃资源综合利用行业系数手册）中“4220非金属废料和碎屑加工处理”行业系数表，废PE/PP采用干法破碎工艺时，颗粒物的产污系数为375克/吨－原料。</w:t>
            </w:r>
          </w:p>
          <w:p>
            <w:pPr>
              <w:ind w:firstLine="480"/>
              <w:rPr>
                <w:rFonts w:cs="Times New Roman"/>
              </w:rPr>
            </w:pPr>
            <w:r>
              <w:rPr>
                <w:rFonts w:hint="eastAsia" w:cs="Times New Roman"/>
              </w:rPr>
              <w:t>本项目采用湿法破碎工艺，该工艺通过在产尘点喷水，通过润湿、增重等效应从源头抑制粉尘，被工程实践公认为最有效的粉尘控制方法之一。参考行业共识及相关工程经验，湿法破碎对粉尘的抑制效率通常可超过90%。为保守估算本项目排放量，本次评价取90%的抑制效率进行计算。</w:t>
            </w:r>
          </w:p>
          <w:p>
            <w:pPr>
              <w:ind w:firstLine="480"/>
              <w:rPr>
                <w:rFonts w:cs="Times New Roman"/>
              </w:rPr>
            </w:pPr>
            <w:r>
              <w:rPr>
                <w:rFonts w:hint="eastAsia" w:cs="Times New Roman"/>
              </w:rPr>
              <w:t>因此，本项目的颗粒物排放量按干法破碎产污系数的10%进行核算。本项目年处理废塑料共计</w:t>
            </w:r>
            <w:r>
              <w:rPr>
                <w:rFonts w:cs="Times New Roman"/>
              </w:rPr>
              <w:t>30</w:t>
            </w:r>
            <w:r>
              <w:rPr>
                <w:rFonts w:hint="eastAsia" w:cs="Times New Roman"/>
              </w:rPr>
              <w:t>000吨，则粉尘排放量为</w:t>
            </w:r>
            <w:r>
              <w:rPr>
                <w:rFonts w:cs="Times New Roman"/>
              </w:rPr>
              <w:t>1.125</w:t>
            </w:r>
            <w:r>
              <w:rPr>
                <w:rFonts w:hint="eastAsia" w:cs="Times New Roman"/>
              </w:rPr>
              <w:t>t/a。此部分粉尘在密闭车间内无组织排放，通过加强车间通风，其对环境的影响可控。</w:t>
            </w:r>
          </w:p>
          <w:p>
            <w:pPr>
              <w:ind w:firstLine="480"/>
              <w:rPr>
                <w:rFonts w:cs="Times New Roman"/>
              </w:rPr>
            </w:pPr>
            <w:r>
              <w:rPr>
                <w:rFonts w:cs="Times New Roman"/>
              </w:rPr>
              <w:t>（2）臭气浓度</w:t>
            </w:r>
          </w:p>
          <w:p>
            <w:pPr>
              <w:ind w:firstLine="500"/>
              <w:rPr>
                <w:rFonts w:cs="Times New Roman"/>
              </w:rPr>
            </w:pPr>
            <w:r>
              <w:rPr>
                <w:rFonts w:cs="Times New Roman"/>
                <w:sz w:val="25"/>
                <w:szCs w:val="25"/>
              </w:rPr>
              <w:t>本项目在废塑料预处理过程（如破碎、</w:t>
            </w:r>
            <w:r>
              <w:rPr>
                <w:rFonts w:hint="eastAsia" w:cs="Times New Roman"/>
                <w:sz w:val="25"/>
                <w:szCs w:val="25"/>
              </w:rPr>
              <w:t>清洗</w:t>
            </w:r>
            <w:r>
              <w:rPr>
                <w:rFonts w:cs="Times New Roman"/>
                <w:sz w:val="25"/>
                <w:szCs w:val="25"/>
              </w:rPr>
              <w:t>等）中会产生少量恶臭气体。根据同类项目竣工验收监测结果，厂界臭气浓度最高均值为12（无量纲）；另据《新疆淋闰沣吉再生资源有限公司瓶片加工利用基地建设项目》的预测结果，臭气浓度贡献值为1.1671（无量纲）。综合考虑，本项目以实测最大值12作为厂界臭气浓度预测值</w:t>
            </w:r>
            <w:r>
              <w:rPr>
                <w:rFonts w:hint="eastAsia" w:cs="Times New Roman"/>
                <w:sz w:val="25"/>
                <w:szCs w:val="25"/>
              </w:rPr>
              <w:t>，满足</w:t>
            </w:r>
            <w:r>
              <w:rPr>
                <w:rFonts w:cs="Times New Roman"/>
                <w:sz w:val="25"/>
                <w:szCs w:val="25"/>
              </w:rPr>
              <w:t>《恶臭污染物排放标准》（GB14554-93）表1规定的</w:t>
            </w:r>
            <w:r>
              <w:rPr>
                <w:rFonts w:hint="eastAsia" w:cs="Times New Roman"/>
                <w:sz w:val="25"/>
                <w:szCs w:val="25"/>
              </w:rPr>
              <w:t>“</w:t>
            </w:r>
            <w:r>
              <w:rPr>
                <w:rFonts w:cs="Times New Roman"/>
                <w:sz w:val="25"/>
                <w:szCs w:val="25"/>
              </w:rPr>
              <w:t>新扩改建项目二级标准限值</w:t>
            </w:r>
            <w:r>
              <w:rPr>
                <w:rFonts w:hint="eastAsia" w:cs="Times New Roman"/>
                <w:sz w:val="25"/>
                <w:szCs w:val="25"/>
              </w:rPr>
              <w:t>”</w:t>
            </w:r>
            <w:r>
              <w:rPr>
                <w:rFonts w:cs="Times New Roman"/>
                <w:sz w:val="25"/>
                <w:szCs w:val="25"/>
              </w:rPr>
              <w:t>（臭气浓度≤20）</w:t>
            </w:r>
            <w:r>
              <w:rPr>
                <w:rFonts w:cs="Times New Roman"/>
              </w:rPr>
              <w:t>。</w:t>
            </w:r>
          </w:p>
          <w:p>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表4-1  项目废气产生及排放情况表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22"/>
              <w:gridCol w:w="522"/>
              <w:gridCol w:w="916"/>
              <w:gridCol w:w="1368"/>
              <w:gridCol w:w="1009"/>
              <w:gridCol w:w="1011"/>
              <w:gridCol w:w="990"/>
              <w:gridCol w:w="791"/>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产污环节</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种类</w:t>
                  </w:r>
                </w:p>
              </w:tc>
              <w:tc>
                <w:tcPr>
                  <w:tcW w:w="7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产生量</w:t>
                  </w:r>
                </w:p>
              </w:tc>
              <w:tc>
                <w:tcPr>
                  <w:tcW w:w="582"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排放</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形式</w:t>
                  </w: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治理措施</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处理效率</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是否为可行技术</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污染物排放量、速率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6" w:hRule="atLeast"/>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破碎</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颗粒物</w:t>
                  </w:r>
                </w:p>
              </w:tc>
              <w:tc>
                <w:tcPr>
                  <w:tcW w:w="7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4.69</w:t>
                  </w:r>
                  <w:r>
                    <w:rPr>
                      <w:rFonts w:hint="eastAsia" w:cs="Times New Roman"/>
                      <w:sz w:val="21"/>
                      <w:szCs w:val="21"/>
                    </w:rPr>
                    <w:t>kg/h</w:t>
                  </w:r>
                </w:p>
              </w:tc>
              <w:tc>
                <w:tcPr>
                  <w:tcW w:w="582" w:type="pct"/>
                  <w:vMerge w:val="restar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无组织</w:t>
                  </w: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湿法破碎</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90</w:t>
                  </w:r>
                  <w:r>
                    <w:rPr>
                      <w:rFonts w:hint="eastAsia" w:cs="Times New Roman"/>
                      <w:sz w:val="21"/>
                      <w:szCs w:val="21"/>
                    </w:rPr>
                    <w:t>%</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w:t>
                  </w:r>
                  <w:r>
                    <w:rPr>
                      <w:rFonts w:cs="Times New Roman"/>
                      <w:sz w:val="21"/>
                      <w:szCs w:val="21"/>
                    </w:rPr>
                    <w:t>47</w:t>
                  </w:r>
                  <w:r>
                    <w:rPr>
                      <w:rFonts w:hint="eastAsia" w:cs="Times New Roman"/>
                      <w:sz w:val="21"/>
                      <w:szCs w:val="21"/>
                    </w:rP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2</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预处理</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臭气浓度</w:t>
                  </w:r>
                </w:p>
              </w:tc>
              <w:tc>
                <w:tcPr>
                  <w:tcW w:w="789" w:type="pct"/>
                  <w:vAlign w:val="center"/>
                </w:tcPr>
                <w:p>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582" w:type="pct"/>
                  <w:vMerge w:val="continue"/>
                  <w:vAlign w:val="center"/>
                </w:tcPr>
                <w:p>
                  <w:pPr>
                    <w:adjustRightInd w:val="0"/>
                    <w:snapToGrid w:val="0"/>
                    <w:spacing w:line="240" w:lineRule="auto"/>
                    <w:ind w:firstLine="0" w:firstLineChars="0"/>
                    <w:jc w:val="center"/>
                    <w:textAlignment w:val="auto"/>
                    <w:rPr>
                      <w:rFonts w:cs="Times New Roman"/>
                      <w:sz w:val="21"/>
                      <w:szCs w:val="21"/>
                    </w:rPr>
                  </w:pP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加强设备维护及管理</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r>
          </w:tbl>
          <w:p>
            <w:pPr>
              <w:ind w:firstLine="0" w:firstLineChars="0"/>
              <w:rPr>
                <w:b/>
                <w:bCs/>
              </w:rPr>
            </w:pPr>
            <w:r>
              <w:rPr>
                <w:rFonts w:hint="eastAsia"/>
                <w:b/>
                <w:bCs/>
              </w:rPr>
              <w:t>4</w:t>
            </w:r>
            <w:r>
              <w:rPr>
                <w:b/>
                <w:bCs/>
              </w:rPr>
              <w:t>.2.1.</w:t>
            </w:r>
            <w:r>
              <w:rPr>
                <w:rFonts w:hint="eastAsia"/>
                <w:b/>
                <w:bCs/>
              </w:rPr>
              <w:t>2达标分析</w:t>
            </w:r>
          </w:p>
          <w:p>
            <w:pPr>
              <w:ind w:firstLine="480"/>
              <w:rPr>
                <w:rFonts w:cs="Times New Roman"/>
              </w:rPr>
            </w:pPr>
            <w:r>
              <w:rPr>
                <w:rFonts w:cs="Times New Roman"/>
              </w:rPr>
              <w:t>本项目破碎工序采用湿法作业，该工艺属于源头抑尘措施，通过水雾对物料的润湿作用，能有效增加粉尘粒径和重量，从根本上抑制其产生与逸散。根据《排污许可证申请与核发技术规范 废弃资源加工工业》（HJ1034-2019），对于颗粒物，其可行的治理技术包括密闭作业与湿法抑尘等措施。本项目采用的湿法破碎工艺，其抑尘原理与效果同规范精神相符，技术可行。</w:t>
            </w:r>
          </w:p>
          <w:p>
            <w:pPr>
              <w:ind w:firstLine="480"/>
              <w:rPr>
                <w:rFonts w:cs="Times New Roman"/>
              </w:rPr>
            </w:pPr>
            <w:r>
              <w:rPr>
                <w:rFonts w:cs="Times New Roman"/>
              </w:rPr>
              <w:t>在上述湿法抑尘措施的基础上，辅以生产车间密闭管理，本项目破碎工序产生的粉尘无组织排放速率及浓度，颗粒物可满足《大气污染物综合排放标准》（GB16297-1996）表2中无组织排放监控浓度限值的要求，</w:t>
            </w:r>
            <w:r>
              <w:rPr>
                <w:rFonts w:cs="Times New Roman"/>
                <w:sz w:val="25"/>
                <w:szCs w:val="25"/>
              </w:rPr>
              <w:t>臭气浓度满足《恶臭污染物排放标准》（GB14554-93）表1恶臭污染物厂界标准值新扩改建项目二级标准（臭气浓度≤20）。</w:t>
            </w:r>
            <w:r>
              <w:rPr>
                <w:rFonts w:cs="Times New Roman"/>
              </w:rPr>
              <w:t>对周边大气环境影响较小。</w:t>
            </w:r>
          </w:p>
          <w:p>
            <w:pPr>
              <w:ind w:firstLine="0" w:firstLineChars="0"/>
              <w:rPr>
                <w:rFonts w:cs="Times New Roman"/>
              </w:rPr>
            </w:pPr>
            <w:r>
              <w:rPr>
                <w:rFonts w:hint="eastAsia"/>
                <w:b/>
                <w:bCs/>
              </w:rPr>
              <w:t>4</w:t>
            </w:r>
            <w:r>
              <w:rPr>
                <w:b/>
                <w:bCs/>
              </w:rPr>
              <w:t>.2.1.3</w:t>
            </w:r>
            <w:r>
              <w:rPr>
                <w:rFonts w:hint="eastAsia"/>
                <w:b/>
                <w:bCs/>
              </w:rPr>
              <w:t>非正常工况污染源强分析</w:t>
            </w:r>
          </w:p>
          <w:p>
            <w:pPr>
              <w:ind w:firstLine="480"/>
              <w:rPr>
                <w:color w:val="000000"/>
              </w:rPr>
            </w:pPr>
            <w:r>
              <w:rPr>
                <w:rFonts w:hint="eastAsia"/>
                <w:color w:val="000000"/>
              </w:rPr>
              <w:t>本项目营运期非正常工况主要为：湿法破碎系统故障（如供水管路或喷嘴堵塞/损坏），导致抑尘功能失效，致使破碎工序粉尘无组织排放量显著增加。</w:t>
            </w:r>
          </w:p>
          <w:p>
            <w:pPr>
              <w:ind w:firstLine="480"/>
              <w:rPr>
                <w:color w:val="000000"/>
              </w:rPr>
            </w:pPr>
            <w:r>
              <w:rPr>
                <w:rFonts w:hint="eastAsia"/>
                <w:color w:val="000000"/>
              </w:rPr>
              <w:t>建设方在运营期期间杜绝非正常情况的发生，防止非正常排放的废气对周围敏感目标产生影响，本次环评提出以下废气非正常排放的对策措施：</w:t>
            </w:r>
          </w:p>
          <w:p>
            <w:pPr>
              <w:ind w:firstLine="480"/>
              <w:rPr>
                <w:color w:val="000000"/>
              </w:rPr>
            </w:pPr>
            <w:r>
              <w:rPr>
                <w:rFonts w:hint="eastAsia"/>
                <w:color w:val="000000"/>
              </w:rPr>
              <w:t>①设备巡检与即时停产制度</w:t>
            </w:r>
          </w:p>
          <w:p>
            <w:pPr>
              <w:ind w:firstLine="480"/>
              <w:rPr>
                <w:color w:val="000000"/>
              </w:rPr>
            </w:pPr>
            <w:r>
              <w:rPr>
                <w:rFonts w:hint="eastAsia"/>
                <w:color w:val="000000"/>
              </w:rPr>
              <w:t>建立废气治理设施（特别是湿法喷淋系统）的定期巡检与维护制度；一旦发现喷淋系统破损、堵塞或密封不严，导致粉尘逸散量异常增大，必须立即停止相关生产作业，并及时组织检修与更换；待系统修复完毕，经确认抑尘功能恢复正常后，方可恢复生产。</w:t>
            </w:r>
          </w:p>
          <w:p>
            <w:pPr>
              <w:ind w:firstLine="480"/>
              <w:rPr>
                <w:color w:val="000000"/>
              </w:rPr>
            </w:pPr>
            <w:r>
              <w:rPr>
                <w:rFonts w:hint="eastAsia"/>
                <w:color w:val="000000"/>
              </w:rPr>
              <w:t>②规范操作与人员培训</w:t>
            </w:r>
          </w:p>
          <w:p>
            <w:pPr>
              <w:ind w:firstLine="480"/>
              <w:rPr>
                <w:color w:val="000000"/>
              </w:rPr>
            </w:pPr>
            <w:r>
              <w:rPr>
                <w:rFonts w:hint="eastAsia"/>
                <w:color w:val="000000"/>
              </w:rPr>
              <w:t>对废气治理设施及主要产污设备实行规范化、制度化管理；操作人员必须经过系统培训，熟悉湿法抑尘原理与故障识别，严格执行操作规程，从源头降低因操作失误导致事故性排放的概率。</w:t>
            </w:r>
          </w:p>
          <w:p>
            <w:pPr>
              <w:ind w:firstLine="480"/>
              <w:rPr>
                <w:color w:val="000000"/>
              </w:rPr>
            </w:pPr>
            <w:r>
              <w:rPr>
                <w:rFonts w:hint="eastAsia"/>
                <w:color w:val="000000"/>
              </w:rPr>
              <w:t>③制定事故及时处理计划</w:t>
            </w:r>
          </w:p>
          <w:p>
            <w:pPr>
              <w:ind w:firstLine="480"/>
              <w:rPr>
                <w:color w:val="000000"/>
              </w:rPr>
            </w:pPr>
            <w:r>
              <w:rPr>
                <w:rFonts w:hint="eastAsia"/>
                <w:color w:val="000000"/>
              </w:rPr>
              <w:t>制定事故处理应急计划，建立事故处理机构，落实各部门、各岗位、各操作管理人员的责任，一旦发生事故，及时采取处理措施并通知环保等管理部门在最短时间内排除故障。</w:t>
            </w:r>
          </w:p>
          <w:p>
            <w:pPr>
              <w:ind w:firstLine="480"/>
              <w:rPr>
                <w:color w:val="000000"/>
              </w:rPr>
            </w:pPr>
            <w:r>
              <w:rPr>
                <w:rFonts w:hint="eastAsia"/>
                <w:color w:val="000000"/>
              </w:rPr>
              <w:t>综上所述，项目运营期加强废气治理设施运行管理，定期维护加强对操作人员的岗位培训，确保废气稳定达标排放，杜绝事故性排放，建立健全环保管理机制和各项环保规章制度，落实岗位环保责任制，加强环境风险防范工作，防止事故排放导致环境问题。</w:t>
            </w:r>
          </w:p>
          <w:p>
            <w:pPr>
              <w:pStyle w:val="3"/>
            </w:pPr>
            <w:r>
              <w:t>4.2.2废水</w:t>
            </w:r>
            <w:r>
              <w:rPr>
                <w:rFonts w:hint="eastAsia"/>
              </w:rPr>
              <w:t>环境影响分析及保护措施</w:t>
            </w:r>
          </w:p>
          <w:p>
            <w:pPr>
              <w:ind w:firstLine="480"/>
            </w:pPr>
            <w:r>
              <w:rPr>
                <w:rFonts w:hint="eastAsia"/>
              </w:rPr>
              <w:t>本项目产生的废水主要包括原料清洗废水、车间地面冲洗废水以及生活污水</w:t>
            </w:r>
            <w:r>
              <w:t>。</w:t>
            </w:r>
          </w:p>
          <w:p>
            <w:pPr>
              <w:ind w:firstLine="480"/>
              <w:rPr>
                <w:rFonts w:cs="Times New Roman"/>
              </w:rPr>
            </w:pPr>
            <w:r>
              <w:rPr>
                <w:rFonts w:hint="eastAsia" w:ascii="宋体" w:hAnsi="宋体" w:cs="宋体"/>
                <w:color w:val="000000"/>
              </w:rPr>
              <w:t>①</w:t>
            </w:r>
            <w:r>
              <w:rPr>
                <w:rFonts w:cs="Times New Roman"/>
                <w:color w:val="000000"/>
              </w:rPr>
              <w:t>清洗废水</w:t>
            </w:r>
          </w:p>
          <w:p>
            <w:pPr>
              <w:ind w:firstLine="480"/>
              <w:rPr>
                <w:rFonts w:cs="Times New Roman"/>
                <w:color w:val="000000"/>
              </w:rPr>
            </w:pPr>
            <w:r>
              <w:rPr>
                <w:rFonts w:cs="Times New Roman"/>
                <w:color w:val="000000"/>
              </w:rPr>
              <w:t>参考《排放源统计调查产排污核算方法和系数手册-42废弃资源综合利用行业系数手册》“</w:t>
            </w:r>
            <w:r>
              <w:rPr>
                <w:rFonts w:eastAsia="TimesNewRomanPSMT" w:cs="Times New Roman"/>
                <w:color w:val="000000"/>
              </w:rPr>
              <w:t>4220</w:t>
            </w:r>
            <w:r>
              <w:rPr>
                <w:rFonts w:cs="Times New Roman"/>
                <w:color w:val="000000"/>
              </w:rPr>
              <w:t>非金属废料和碎屑加工处理行业”中</w:t>
            </w:r>
            <w:r>
              <w:rPr>
                <w:rFonts w:cs="Times New Roman"/>
                <w:szCs w:val="24"/>
              </w:rPr>
              <w:t>清洗或湿法破碎+清洗</w:t>
            </w:r>
            <w:r>
              <w:rPr>
                <w:rFonts w:cs="Times New Roman"/>
                <w:color w:val="000000"/>
              </w:rPr>
              <w:t>废水量（废</w:t>
            </w:r>
            <w:r>
              <w:rPr>
                <w:rFonts w:eastAsia="TimesNewRomanPSMT" w:cs="Times New Roman"/>
                <w:color w:val="000000"/>
              </w:rPr>
              <w:t>PE/PP</w:t>
            </w:r>
            <w:r>
              <w:rPr>
                <w:rFonts w:cs="Times New Roman"/>
                <w:color w:val="000000"/>
              </w:rPr>
              <w:t>：</w:t>
            </w:r>
            <w:r>
              <w:rPr>
                <w:rFonts w:eastAsia="TimesNewRomanPSMT" w:cs="Times New Roman"/>
                <w:color w:val="000000"/>
              </w:rPr>
              <w:t>1.0t/t-</w:t>
            </w:r>
            <w:r>
              <w:rPr>
                <w:rFonts w:cs="Times New Roman"/>
                <w:color w:val="000000"/>
              </w:rPr>
              <w:t>原料）</w:t>
            </w:r>
            <w:r>
              <w:rPr>
                <w:rFonts w:hint="eastAsia" w:cs="Times New Roman"/>
                <w:color w:val="000000"/>
              </w:rPr>
              <w:t>。</w:t>
            </w:r>
          </w:p>
          <w:p>
            <w:pPr>
              <w:ind w:firstLine="480"/>
              <w:rPr>
                <w:rFonts w:cs="Times New Roman"/>
                <w:color w:val="000000"/>
              </w:rPr>
            </w:pPr>
            <w:r>
              <w:rPr>
                <w:rFonts w:hint="eastAsia" w:cs="Times New Roman"/>
                <w:color w:val="000000"/>
              </w:rPr>
              <w:t>本项目实际进入湿法破碎与清洗工序的塑料原料量为29700t/a，核算清洗及破碎工序废水产生量为123.75m³/d（即29700m³/a）</w:t>
            </w:r>
            <w:r>
              <w:rPr>
                <w:rFonts w:cs="Times New Roman"/>
                <w:color w:val="000000"/>
              </w:rPr>
              <w:t>。</w:t>
            </w:r>
          </w:p>
          <w:p>
            <w:pPr>
              <w:ind w:firstLine="480"/>
              <w:rPr>
                <w:rFonts w:cs="Times New Roman"/>
              </w:rPr>
            </w:pPr>
            <w:r>
              <w:rPr>
                <w:rFonts w:hint="eastAsia" w:cs="Times New Roman"/>
              </w:rPr>
              <w:t>②</w:t>
            </w:r>
            <w:r>
              <w:rPr>
                <w:rFonts w:hint="eastAsia"/>
              </w:rPr>
              <w:t>车间地面清洗废水</w:t>
            </w:r>
          </w:p>
          <w:p>
            <w:pPr>
              <w:ind w:firstLine="480"/>
              <w:rPr>
                <w:rFonts w:cs="Times New Roman"/>
              </w:rPr>
            </w:pPr>
            <w:r>
              <w:rPr>
                <w:rFonts w:hint="eastAsia" w:cs="Times New Roman"/>
              </w:rPr>
              <w:t>车间地面清洗废水产生量按用水量的</w:t>
            </w:r>
            <w:r>
              <w:rPr>
                <w:rFonts w:cs="Times New Roman"/>
              </w:rPr>
              <w:t>90%</w:t>
            </w:r>
            <w:r>
              <w:rPr>
                <w:rFonts w:hint="eastAsia" w:cs="Times New Roman"/>
              </w:rPr>
              <w:t>计，则日均废水排放量为</w:t>
            </w:r>
            <w:r>
              <w:rPr>
                <w:rFonts w:cs="Times New Roman"/>
              </w:rPr>
              <w:t>0.036 m³/d</w:t>
            </w:r>
            <w:r>
              <w:rPr>
                <w:rFonts w:hint="eastAsia" w:cs="Times New Roman"/>
              </w:rPr>
              <w:t>，年排放量为</w:t>
            </w:r>
            <w:r>
              <w:rPr>
                <w:rFonts w:cs="Times New Roman"/>
              </w:rPr>
              <w:t>8.64 m³/a</w:t>
            </w:r>
            <w:r>
              <w:rPr>
                <w:rFonts w:hint="eastAsia" w:cs="Times New Roman"/>
              </w:rPr>
              <w:t>。</w:t>
            </w:r>
          </w:p>
          <w:p>
            <w:pPr>
              <w:ind w:firstLine="480"/>
              <w:rPr>
                <w:rFonts w:cs="Times New Roman"/>
                <w:color w:val="000000"/>
              </w:rPr>
            </w:pPr>
            <w:r>
              <w:rPr>
                <w:rFonts w:hint="eastAsia" w:cs="Times New Roman"/>
              </w:rPr>
              <w:t>项目生产废水全部经沉淀后进入清水池回用于破碎、清洗工序，循环使用，无生产废水外排。</w:t>
            </w:r>
          </w:p>
          <w:p>
            <w:pPr>
              <w:ind w:firstLine="480"/>
              <w:rPr>
                <w:rFonts w:cs="Times New Roman"/>
                <w:color w:val="000000" w:themeColor="text1"/>
                <w14:textFill>
                  <w14:solidFill>
                    <w14:schemeClr w14:val="tx1"/>
                  </w14:solidFill>
                </w14:textFill>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cs="Times New Roman"/>
                <w:color w:val="000000" w:themeColor="text1"/>
                <w14:textFill>
                  <w14:solidFill>
                    <w14:schemeClr w14:val="tx1"/>
                  </w14:solidFill>
                </w14:textFill>
              </w:rPr>
              <w:t>生活污水</w:t>
            </w:r>
          </w:p>
          <w:p>
            <w:pPr>
              <w:ind w:firstLine="480"/>
              <w:rPr>
                <w:color w:val="000000" w:themeColor="text1"/>
                <w14:textFill>
                  <w14:solidFill>
                    <w14:schemeClr w14:val="tx1"/>
                  </w14:solidFill>
                </w14:textFill>
              </w:rPr>
            </w:pPr>
            <w:r>
              <w:rPr>
                <w:rFonts w:hint="eastAsia"/>
              </w:rPr>
              <w:t>污水产生量按照产生系数0.8计，则生活污水排放量为</w:t>
            </w:r>
            <w:r>
              <w:t>0.192</w:t>
            </w:r>
            <w:r>
              <w:rPr>
                <w:rFonts w:hint="eastAsia"/>
              </w:rPr>
              <w:t>m</w:t>
            </w:r>
            <w:r>
              <w:rPr>
                <w:rFonts w:hint="eastAsia"/>
                <w:vertAlign w:val="superscript"/>
              </w:rPr>
              <w:t>3</w:t>
            </w:r>
            <w:r>
              <w:rPr>
                <w:rFonts w:hint="eastAsia"/>
              </w:rPr>
              <w:t>/d，</w:t>
            </w:r>
            <w:r>
              <w:t>46.08</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p>
          <w:p>
            <w:pPr>
              <w:ind w:firstLine="480"/>
            </w:pPr>
            <w:r>
              <w:rPr>
                <w:rFonts w:hint="eastAsia"/>
              </w:rPr>
              <w:t>生活污水进入库尔勒市哈拉玉宫镇废旧物资回收加工产业园配套建设的化粪池进行预处理后，定期由吸污车抽运至库尔勒市南市区污水处理厂处理。</w:t>
            </w:r>
          </w:p>
          <w:p>
            <w:pPr>
              <w:ind w:firstLine="480"/>
            </w:pPr>
            <w:r>
              <w:rPr>
                <w:rFonts w:hint="eastAsia"/>
              </w:rPr>
              <w:t>主要污染物为COD</w:t>
            </w:r>
            <w:r>
              <w:rPr>
                <w:color w:val="000000" w:themeColor="text1"/>
                <w:sz w:val="21"/>
                <w:szCs w:val="21"/>
                <w14:textFill>
                  <w14:solidFill>
                    <w14:schemeClr w14:val="tx1"/>
                  </w14:solidFill>
                </w14:textFill>
              </w:rPr>
              <w:t>cr</w:t>
            </w:r>
            <w:r>
              <w:rPr>
                <w:rFonts w:hint="eastAsia"/>
              </w:rPr>
              <w:t>、BOD</w:t>
            </w:r>
            <w:r>
              <w:rPr>
                <w:rFonts w:hint="eastAsia"/>
                <w:vertAlign w:val="subscript"/>
              </w:rPr>
              <w:t>5</w:t>
            </w:r>
            <w:r>
              <w:rPr>
                <w:rFonts w:hint="eastAsia"/>
              </w:rPr>
              <w:t>、氨氮、SS等。典型生活污水主要污染物产生浓度COD</w:t>
            </w:r>
            <w:r>
              <w:rPr>
                <w:color w:val="000000" w:themeColor="text1"/>
                <w:sz w:val="21"/>
                <w:szCs w:val="21"/>
                <w14:textFill>
                  <w14:solidFill>
                    <w14:schemeClr w14:val="tx1"/>
                  </w14:solidFill>
                </w14:textFill>
              </w:rPr>
              <w:t>cr</w:t>
            </w:r>
            <w:r>
              <w:rPr>
                <w:rFonts w:hint="eastAsia"/>
              </w:rPr>
              <w:t>400mg</w:t>
            </w:r>
            <w:r>
              <w:t>/</w:t>
            </w:r>
            <w:r>
              <w:rPr>
                <w:rFonts w:hint="eastAsia"/>
              </w:rPr>
              <w:t>L、BOD</w:t>
            </w:r>
            <w:r>
              <w:rPr>
                <w:vertAlign w:val="subscript"/>
              </w:rPr>
              <w:t>5</w:t>
            </w:r>
            <w:r>
              <w:rPr>
                <w:rFonts w:hint="eastAsia"/>
              </w:rPr>
              <w:t>200mg</w:t>
            </w:r>
            <w:r>
              <w:t>/</w:t>
            </w:r>
            <w:r>
              <w:rPr>
                <w:rFonts w:hint="eastAsia"/>
              </w:rPr>
              <w:t>L、SS220mg/L、NH</w:t>
            </w:r>
            <w:r>
              <w:rPr>
                <w:vertAlign w:val="subscript"/>
              </w:rPr>
              <w:t>3</w:t>
            </w:r>
            <w:r>
              <w:rPr>
                <w:rFonts w:hint="eastAsia"/>
              </w:rPr>
              <w:t>-N25mg</w:t>
            </w:r>
            <w:r>
              <w:t>/L</w:t>
            </w:r>
            <w:r>
              <w:rPr>
                <w:rFonts w:hint="eastAsia"/>
              </w:rPr>
              <w:t>。污染物的产生情况见下表。</w:t>
            </w:r>
          </w:p>
          <w:p>
            <w:pPr>
              <w:spacing w:before="163" w:beforeLines="50" w:line="240" w:lineRule="auto"/>
              <w:ind w:firstLine="0" w:firstLineChars="0"/>
              <w:jc w:val="center"/>
              <w:rPr>
                <w:b/>
                <w:sz w:val="21"/>
              </w:rPr>
            </w:pPr>
            <w:r>
              <w:rPr>
                <w:rFonts w:hint="eastAsia"/>
                <w:b/>
                <w:sz w:val="21"/>
              </w:rPr>
              <w:t>表</w:t>
            </w:r>
            <w:r>
              <w:rPr>
                <w:b/>
                <w:sz w:val="21"/>
              </w:rPr>
              <w:t xml:space="preserve">4-2  </w:t>
            </w:r>
            <w:r>
              <w:rPr>
                <w:rFonts w:hint="eastAsia"/>
                <w:b/>
                <w:sz w:val="21"/>
              </w:rPr>
              <w:t>项目生活污水排放量一览表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64"/>
              <w:gridCol w:w="968"/>
              <w:gridCol w:w="1122"/>
              <w:gridCol w:w="1070"/>
              <w:gridCol w:w="839"/>
              <w:gridCol w:w="1144"/>
              <w:gridCol w:w="1091"/>
              <w:gridCol w:w="1019"/>
              <w:gridCol w:w="86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污染源</w:t>
                  </w:r>
                </w:p>
              </w:tc>
              <w:tc>
                <w:tcPr>
                  <w:tcW w:w="567"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w:t>
                  </w:r>
                </w:p>
              </w:tc>
              <w:tc>
                <w:tcPr>
                  <w:tcW w:w="1281" w:type="pct"/>
                  <w:gridSpan w:val="2"/>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进水</w:t>
                  </w:r>
                </w:p>
              </w:tc>
              <w:tc>
                <w:tcPr>
                  <w:tcW w:w="492"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治理措施</w:t>
                  </w:r>
                </w:p>
              </w:tc>
              <w:tc>
                <w:tcPr>
                  <w:tcW w:w="668"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去除</w:t>
                  </w:r>
                </w:p>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效率（</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p>
              </w:tc>
              <w:tc>
                <w:tcPr>
                  <w:tcW w:w="1154" w:type="pct"/>
                  <w:gridSpan w:val="2"/>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出水</w:t>
                  </w:r>
                </w:p>
              </w:tc>
              <w:tc>
                <w:tcPr>
                  <w:tcW w:w="50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是否为可行技术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w:t>
                  </w:r>
                </w:p>
              </w:tc>
              <w:tc>
                <w:tcPr>
                  <w:tcW w:w="492"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668"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93" w:type="pct"/>
                  <w:vAlign w:val="center"/>
                </w:tcPr>
                <w:p>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560" w:type="pct"/>
                  <w:vAlign w:val="center"/>
                </w:tcPr>
                <w:p>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w:t>
                  </w:r>
                </w:p>
              </w:tc>
              <w:tc>
                <w:tcPr>
                  <w:tcW w:w="50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w:t>
                  </w: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492"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cs="Times New Roman"/>
                      <w:snapToGrid w:val="0"/>
                      <w:kern w:val="0"/>
                      <w:sz w:val="21"/>
                      <w:szCs w:val="24"/>
                    </w:rPr>
                    <w:t>化粪池</w:t>
                  </w: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50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CODcr</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0.018</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0.017</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00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0.009</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0.010</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165</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24.25</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504" w:type="pct"/>
                  <w:vMerge w:val="continue"/>
                  <w:vAlign w:val="center"/>
                </w:tcPr>
                <w:p>
                  <w:pPr>
                    <w:spacing w:line="240" w:lineRule="auto"/>
                    <w:ind w:firstLine="0" w:firstLineChars="0"/>
                    <w:contextualSpacing/>
                    <w:jc w:val="center"/>
                    <w:rPr>
                      <w:color w:val="FF0000"/>
                      <w:sz w:val="21"/>
                      <w:szCs w:val="21"/>
                    </w:rPr>
                  </w:pPr>
                </w:p>
              </w:tc>
            </w:tr>
          </w:tbl>
          <w:p>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表4-3</w:t>
            </w:r>
            <w:r>
              <w:rPr>
                <w:rFonts w:hint="eastAsia" w:cs="Times New Roman"/>
                <w:b/>
                <w:bCs/>
                <w:sz w:val="21"/>
                <w:szCs w:val="21"/>
              </w:rPr>
              <w:t xml:space="preserve">  </w:t>
            </w:r>
            <w:r>
              <w:rPr>
                <w:rFonts w:cs="Times New Roman"/>
                <w:b/>
                <w:bCs/>
                <w:sz w:val="21"/>
                <w:szCs w:val="21"/>
              </w:rPr>
              <w:t>废水间接排放基本情况表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019"/>
              <w:gridCol w:w="1371"/>
              <w:gridCol w:w="1585"/>
              <w:gridCol w:w="821"/>
              <w:gridCol w:w="1070"/>
              <w:gridCol w:w="839"/>
              <w:gridCol w:w="15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6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序号</w:t>
                  </w:r>
                </w:p>
              </w:tc>
              <w:tc>
                <w:tcPr>
                  <w:tcW w:w="563"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废水排放量/（</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cs="Times New Roman"/>
                      <w:sz w:val="21"/>
                      <w:szCs w:val="21"/>
                    </w:rPr>
                    <w:t>）</w:t>
                  </w:r>
                </w:p>
              </w:tc>
              <w:tc>
                <w:tcPr>
                  <w:tcW w:w="79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排放去向</w:t>
                  </w:r>
                </w:p>
              </w:tc>
              <w:tc>
                <w:tcPr>
                  <w:tcW w:w="91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排放规律</w:t>
                  </w:r>
                </w:p>
              </w:tc>
              <w:tc>
                <w:tcPr>
                  <w:tcW w:w="47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间歇排放时段</w:t>
                  </w:r>
                </w:p>
              </w:tc>
              <w:tc>
                <w:tcPr>
                  <w:tcW w:w="1985" w:type="pct"/>
                  <w:gridSpan w:val="3"/>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4" w:hRule="atLeast"/>
                <w:jc w:val="center"/>
              </w:trPr>
              <w:tc>
                <w:tcPr>
                  <w:tcW w:w="264"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563"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794"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917"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477"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620"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名称</w:t>
                  </w: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污染物种类</w:t>
                  </w:r>
                </w:p>
              </w:tc>
              <w:tc>
                <w:tcPr>
                  <w:tcW w:w="878"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国家或地方污染物排放标准浓度限值/（mg/L）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3" w:hRule="atLeast"/>
                <w:jc w:val="center"/>
              </w:trPr>
              <w:tc>
                <w:tcPr>
                  <w:tcW w:w="26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1</w:t>
                  </w:r>
                </w:p>
              </w:tc>
              <w:tc>
                <w:tcPr>
                  <w:tcW w:w="563"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46.08</w:t>
                  </w:r>
                </w:p>
              </w:tc>
              <w:tc>
                <w:tcPr>
                  <w:tcW w:w="794" w:type="pct"/>
                  <w:vMerge w:val="restart"/>
                  <w:tcBorders>
                    <w:tl2br w:val="nil"/>
                    <w:tr2bl w:val="nil"/>
                  </w:tcBorders>
                  <w:vAlign w:val="center"/>
                </w:tcPr>
                <w:p>
                  <w:pPr>
                    <w:spacing w:line="240" w:lineRule="auto"/>
                    <w:ind w:firstLine="0" w:firstLineChars="0"/>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91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间断排放，排放期间流量不稳定且无规律，但不属于冲击性排放</w:t>
                  </w:r>
                </w:p>
              </w:tc>
              <w:tc>
                <w:tcPr>
                  <w:tcW w:w="47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w:t>
                  </w:r>
                </w:p>
              </w:tc>
              <w:tc>
                <w:tcPr>
                  <w:tcW w:w="620"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COD</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0"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BOD</w:t>
                  </w:r>
                  <w:r>
                    <w:rPr>
                      <w:rFonts w:cs="Times New Roman"/>
                      <w:snapToGrid w:val="0"/>
                      <w:kern w:val="0"/>
                      <w:sz w:val="21"/>
                      <w:szCs w:val="21"/>
                      <w:vertAlign w:val="subscript"/>
                    </w:rPr>
                    <w:t>5</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3</w:t>
                  </w:r>
                  <w:r>
                    <w:rPr>
                      <w:rFonts w:cs="Times New Roman"/>
                      <w:snapToGrid w:val="0"/>
                      <w:kern w:val="0"/>
                      <w:sz w:val="21"/>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SS</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4</w:t>
                  </w:r>
                  <w:r>
                    <w:rPr>
                      <w:rFonts w:cs="Times New Roman"/>
                      <w:snapToGrid w:val="0"/>
                      <w:kern w:val="0"/>
                      <w:sz w:val="21"/>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5"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氨氮</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w:t>
                  </w:r>
                  <w:r>
                    <w:rPr>
                      <w:rFonts w:cs="Times New Roman"/>
                      <w:snapToGrid w:val="0"/>
                      <w:kern w:val="0"/>
                      <w:sz w:val="21"/>
                      <w:szCs w:val="21"/>
                    </w:rPr>
                    <w:t>--</w:t>
                  </w:r>
                </w:p>
              </w:tc>
            </w:tr>
          </w:tbl>
          <w:p>
            <w:pPr>
              <w:ind w:firstLine="0" w:firstLineChars="0"/>
              <w:rPr>
                <w:rFonts w:cs="Times New Roman"/>
                <w:b/>
                <w:bCs/>
              </w:rPr>
            </w:pPr>
            <w:r>
              <w:rPr>
                <w:rFonts w:cs="Times New Roman"/>
                <w:b/>
                <w:bCs/>
                <w:color w:val="000000" w:themeColor="text1"/>
                <w14:textFill>
                  <w14:solidFill>
                    <w14:schemeClr w14:val="tx1"/>
                  </w14:solidFill>
                </w14:textFill>
              </w:rPr>
              <w:t>4.2.2.1</w:t>
            </w:r>
            <w:r>
              <w:rPr>
                <w:rFonts w:hint="eastAsia" w:cs="Times New Roman"/>
                <w:b/>
                <w:bCs/>
                <w:color w:val="000000" w:themeColor="text1"/>
                <w14:textFill>
                  <w14:solidFill>
                    <w14:schemeClr w14:val="tx1"/>
                  </w14:solidFill>
                </w14:textFill>
              </w:rPr>
              <w:t>生活污水</w:t>
            </w:r>
            <w:r>
              <w:rPr>
                <w:rFonts w:hint="eastAsia" w:cs="Times New Roman"/>
                <w:b/>
                <w:bCs/>
                <w:snapToGrid w:val="0"/>
                <w:kern w:val="0"/>
                <w:szCs w:val="24"/>
              </w:rPr>
              <w:t>拉运可行性分析</w:t>
            </w:r>
          </w:p>
          <w:p>
            <w:pPr>
              <w:spacing w:line="336" w:lineRule="auto"/>
              <w:ind w:firstLine="480"/>
              <w:rPr>
                <w:rFonts w:hAnsi="宋体"/>
                <w:szCs w:val="21"/>
              </w:rPr>
            </w:pPr>
            <w:r>
              <w:rPr>
                <w:rFonts w:hint="eastAsia" w:hAnsi="宋体"/>
                <w:szCs w:val="21"/>
              </w:rPr>
              <w:t>本项目生活污水排放量为</w:t>
            </w:r>
            <w:r>
              <w:rPr>
                <w:rFonts w:hAnsi="宋体"/>
                <w:szCs w:val="21"/>
              </w:rPr>
              <w:t>0.192</w:t>
            </w:r>
            <w:r>
              <w:rPr>
                <w:rFonts w:cs="Times New Roman"/>
                <w:szCs w:val="21"/>
              </w:rPr>
              <w:t> </w:t>
            </w:r>
            <w:r>
              <w:rPr>
                <w:rFonts w:hAnsi="宋体"/>
                <w:szCs w:val="21"/>
              </w:rPr>
              <w:t>m³/d</w:t>
            </w:r>
            <w:r>
              <w:rPr>
                <w:rFonts w:hint="eastAsia" w:hAnsi="宋体"/>
                <w:szCs w:val="21"/>
              </w:rPr>
              <w:t>（</w:t>
            </w:r>
            <w:r>
              <w:rPr>
                <w:rFonts w:hAnsi="宋体"/>
                <w:szCs w:val="21"/>
              </w:rPr>
              <w:t>46.08</w:t>
            </w:r>
            <w:r>
              <w:rPr>
                <w:rFonts w:cs="Times New Roman"/>
                <w:szCs w:val="21"/>
              </w:rPr>
              <w:t> </w:t>
            </w:r>
            <w:r>
              <w:rPr>
                <w:rFonts w:hAnsi="宋体"/>
                <w:szCs w:val="21"/>
              </w:rPr>
              <w:t>m³/</w:t>
            </w:r>
            <w:r>
              <w:rPr>
                <w:rFonts w:hint="eastAsia" w:hAnsi="宋体"/>
                <w:szCs w:val="21"/>
              </w:rPr>
              <w:t>a），进入库尔勒市哈拉玉宫镇废旧物资回收加工产业园配套建设</w:t>
            </w:r>
            <w:r>
              <w:rPr>
                <w:rFonts w:cs="Times New Roman"/>
                <w:szCs w:val="21"/>
              </w:rPr>
              <w:t>的2座100m³化粪池进行预处理</w:t>
            </w:r>
            <w:r>
              <w:rPr>
                <w:rFonts w:hint="eastAsia" w:hAnsi="宋体"/>
                <w:szCs w:val="21"/>
              </w:rPr>
              <w:t>。化粪池总容积为</w:t>
            </w:r>
            <w:r>
              <w:rPr>
                <w:rFonts w:hAnsi="宋体"/>
                <w:szCs w:val="21"/>
              </w:rPr>
              <w:t>200</w:t>
            </w:r>
            <w:r>
              <w:rPr>
                <w:rFonts w:cs="Times New Roman"/>
                <w:szCs w:val="21"/>
              </w:rPr>
              <w:t> </w:t>
            </w:r>
            <w:r>
              <w:rPr>
                <w:rFonts w:hAnsi="宋体"/>
                <w:szCs w:val="21"/>
              </w:rPr>
              <w:t>m³</w:t>
            </w:r>
            <w:r>
              <w:rPr>
                <w:rFonts w:hint="eastAsia" w:hAnsi="宋体"/>
                <w:szCs w:val="21"/>
              </w:rPr>
              <w:t>，远大于本项目日排放量，具备充足的缓冲与暂存能力。经预处理后，废水水质满足《污水综合排放标准》（GB8978-1996）三级标准要求。由于污水产生量极小，清运频次可根据实际运行情况安排，定期由吸污车抽运至库尔勒市南市区污水处理厂进行集中处理。</w:t>
            </w:r>
          </w:p>
          <w:p>
            <w:pPr>
              <w:ind w:firstLine="480"/>
              <w:rPr>
                <w:rFonts w:hAnsi="宋体"/>
                <w:szCs w:val="21"/>
              </w:rPr>
            </w:pPr>
            <w:r>
              <w:rPr>
                <w:rFonts w:hAnsi="宋体"/>
                <w:szCs w:val="21"/>
              </w:rPr>
              <w:t>库尔勒</w:t>
            </w:r>
            <w:r>
              <w:rPr>
                <w:rFonts w:cs="Times New Roman"/>
                <w:szCs w:val="21"/>
              </w:rPr>
              <w:t>市南市区污水处理厂位于</w:t>
            </w:r>
            <w:r>
              <w:rPr>
                <w:rFonts w:hint="eastAsia"/>
              </w:rPr>
              <w:t>库尔勒市哈拉玉宫镇废旧物资回收加工产业园</w:t>
            </w:r>
            <w:r>
              <w:rPr>
                <w:rFonts w:cs="Times New Roman"/>
                <w:szCs w:val="21"/>
              </w:rPr>
              <w:t>东侧约5.81km处，中心坐标为：经度86°9′44.382″</w:t>
            </w:r>
            <w:r>
              <w:rPr>
                <w:rFonts w:hint="eastAsia" w:cs="Times New Roman"/>
                <w:szCs w:val="21"/>
              </w:rPr>
              <w:t>，</w:t>
            </w:r>
            <w:r>
              <w:rPr>
                <w:rFonts w:cs="Times New Roman"/>
                <w:szCs w:val="21"/>
              </w:rPr>
              <w:t>纬度41°38′39.205″</w:t>
            </w:r>
            <w:r>
              <w:rPr>
                <w:rFonts w:hint="eastAsia" w:cs="Times New Roman"/>
                <w:szCs w:val="21"/>
              </w:rPr>
              <w:t>。</w:t>
            </w:r>
            <w:r>
              <w:rPr>
                <w:rFonts w:cs="Times New Roman"/>
                <w:szCs w:val="21"/>
              </w:rPr>
              <w:t>污</w:t>
            </w:r>
            <w:r>
              <w:rPr>
                <w:rFonts w:hint="eastAsia" w:hAnsi="宋体"/>
                <w:szCs w:val="21"/>
              </w:rPr>
              <w:t>水处理规模为10万m</w:t>
            </w:r>
            <w:r>
              <w:rPr>
                <w:rFonts w:hint="eastAsia" w:hAnsi="宋体"/>
                <w:szCs w:val="21"/>
                <w:vertAlign w:val="superscript"/>
              </w:rPr>
              <w:t>3</w:t>
            </w:r>
            <w:r>
              <w:rPr>
                <w:rFonts w:hint="eastAsia" w:hAnsi="宋体"/>
                <w:szCs w:val="21"/>
              </w:rPr>
              <w:t>/d，采用“粗细格栅+曝气沉砂池+调节池+气浮池+初沉池+水解酸化池+中沉池+改良A</w:t>
            </w:r>
            <w:r>
              <w:rPr>
                <w:rFonts w:hint="eastAsia" w:hAnsi="宋体"/>
                <w:szCs w:val="21"/>
                <w:vertAlign w:val="superscript"/>
              </w:rPr>
              <w:t>2</w:t>
            </w:r>
            <w:r>
              <w:rPr>
                <w:rFonts w:hint="eastAsia" w:hAnsi="宋体"/>
                <w:szCs w:val="21"/>
              </w:rPr>
              <w:t>/O生物池+二沉池+深度处理车间（混凝、沉淀、过滤）+臭氧接触池+曝气生物滤池+次氯酸钠溶液消毒”处理工艺，出水执行《城镇污水处理厂污染物排放标准》（GB18918-2002）中的一级A标准。库尔勒市南市区污水处理厂排污许可证编号：91652801MA77CJFF18001W，有效期2022年6月13日至2027年6月12日，于2022年8月11日通过自主验收。库尔勒市南市区污水处理厂现状废水处理量约5.4万m</w:t>
            </w:r>
            <w:r>
              <w:rPr>
                <w:rFonts w:hint="eastAsia" w:hAnsi="宋体"/>
                <w:szCs w:val="21"/>
                <w:vertAlign w:val="superscript"/>
              </w:rPr>
              <w:t>3</w:t>
            </w:r>
            <w:r>
              <w:rPr>
                <w:rFonts w:hint="eastAsia" w:hAnsi="宋体"/>
                <w:szCs w:val="21"/>
              </w:rPr>
              <w:t>/d，可满足产业园生活污水处理需求。</w:t>
            </w:r>
          </w:p>
          <w:p>
            <w:pPr>
              <w:ind w:firstLine="480"/>
              <w:rPr>
                <w:rFonts w:hAnsi="宋体"/>
                <w:szCs w:val="21"/>
              </w:rPr>
            </w:pPr>
            <w:r>
              <w:rPr>
                <w:rFonts w:hint="eastAsia" w:hAnsi="宋体"/>
                <w:szCs w:val="21"/>
              </w:rPr>
              <w:t>运输路线主要依托</w:t>
            </w:r>
            <w:r>
              <w:rPr>
                <w:rFonts w:hint="eastAsia"/>
              </w:rPr>
              <w:t>产业园</w:t>
            </w:r>
            <w:r>
              <w:rPr>
                <w:rFonts w:hint="eastAsia" w:hAnsi="宋体"/>
                <w:szCs w:val="21"/>
              </w:rPr>
              <w:t>对外连接的市政道路和城市主干道，交通便利，路况良好，运输距离短，单程运输时间约15分钟，吸污车可便捷通行，运行效率高。</w:t>
            </w:r>
          </w:p>
          <w:p>
            <w:pPr>
              <w:ind w:firstLine="480"/>
              <w:rPr>
                <w:rFonts w:hAnsi="宋体"/>
                <w:szCs w:val="21"/>
              </w:rPr>
            </w:pPr>
            <w:r>
              <w:rPr>
                <w:rFonts w:hint="eastAsia" w:hAnsi="宋体"/>
                <w:szCs w:val="21"/>
              </w:rPr>
              <w:t>目前尚未签订清运协议，但鉴于污水量极小（仅0.192m³/d）、</w:t>
            </w:r>
            <w:r>
              <w:rPr>
                <w:rFonts w:hint="eastAsia"/>
              </w:rPr>
              <w:t>产业园</w:t>
            </w:r>
            <w:r>
              <w:rPr>
                <w:rFonts w:hint="eastAsia" w:hAnsi="宋体"/>
                <w:szCs w:val="21"/>
              </w:rPr>
              <w:t>交通便利，且库尔勒市南市区污水处理厂具备接收条件，后续可结合运营实际情况，由</w:t>
            </w:r>
            <w:r>
              <w:rPr>
                <w:rFonts w:hint="eastAsia"/>
              </w:rPr>
              <w:t>产业园</w:t>
            </w:r>
            <w:r>
              <w:rPr>
                <w:rFonts w:hint="eastAsia" w:hAnsi="宋体"/>
                <w:szCs w:val="21"/>
              </w:rPr>
              <w:t>统一协调或委托第三方单位开展定期清运工作，管理可行性强。</w:t>
            </w:r>
          </w:p>
          <w:p>
            <w:pPr>
              <w:ind w:firstLine="480"/>
              <w:rPr>
                <w:rFonts w:hAnsi="宋体"/>
                <w:szCs w:val="21"/>
              </w:rPr>
            </w:pPr>
            <w:r>
              <w:rPr>
                <w:rFonts w:hint="eastAsia" w:hAnsi="宋体"/>
                <w:szCs w:val="21"/>
              </w:rPr>
              <w:t>清运过程将建立基础台账，记录每次清运时间、水量和接收确认信息，实现全过程可追溯，符合城市排水管理基本要求。</w:t>
            </w:r>
          </w:p>
          <w:p>
            <w:pPr>
              <w:ind w:firstLine="480"/>
              <w:rPr>
                <w:rFonts w:hAnsi="宋体"/>
                <w:szCs w:val="21"/>
              </w:rPr>
            </w:pPr>
            <w:r>
              <w:rPr>
                <w:rFonts w:hint="eastAsia" w:hAnsi="宋体"/>
                <w:szCs w:val="21"/>
              </w:rPr>
              <w:t>综上所述，本项目生活污水量极小，化粪池容积充裕，运输距离短、路况良好、交通方便，依托库尔勒市南市区污水处理厂处理在技术、管理和空间条件上均具备可行性，方案合理、可靠。</w:t>
            </w:r>
          </w:p>
          <w:p>
            <w:pPr>
              <w:ind w:firstLine="480"/>
              <w:rPr>
                <w:rFonts w:hAnsi="宋体"/>
                <w:szCs w:val="21"/>
              </w:rPr>
            </w:pPr>
            <w:r>
              <w:rPr>
                <w:rFonts w:hint="eastAsia" w:hAnsi="宋体"/>
                <w:szCs w:val="21"/>
              </w:rPr>
              <w:t>综上分析，本项目</w:t>
            </w:r>
            <w:r>
              <w:rPr>
                <w:rFonts w:hint="eastAsia"/>
              </w:rPr>
              <w:t>生活污水</w:t>
            </w:r>
            <w:r>
              <w:rPr>
                <w:rFonts w:hint="eastAsia" w:hAnsi="宋体"/>
                <w:szCs w:val="21"/>
              </w:rPr>
              <w:t>依托库尔勒市南市区污水处理厂处理可行。</w:t>
            </w:r>
          </w:p>
          <w:p>
            <w:pPr>
              <w:spacing w:line="379" w:lineRule="auto"/>
              <w:ind w:firstLine="480"/>
              <w:rPr>
                <w:szCs w:val="21"/>
              </w:rPr>
            </w:pPr>
            <w:r>
              <w:rPr>
                <w:rFonts w:hint="eastAsia"/>
                <w:szCs w:val="21"/>
              </w:rPr>
              <w:t>评价要求吸污车运输过程中须采取以下措施：</w:t>
            </w:r>
          </w:p>
          <w:p>
            <w:pPr>
              <w:spacing w:line="379" w:lineRule="auto"/>
              <w:ind w:firstLine="480"/>
              <w:rPr>
                <w:color w:val="FF0000"/>
                <w:szCs w:val="21"/>
              </w:rPr>
            </w:pPr>
            <w:r>
              <w:rPr>
                <w:rFonts w:hint="eastAsia"/>
                <w:szCs w:val="21"/>
              </w:rPr>
              <w:t>①吸污过程中应防止</w:t>
            </w:r>
            <w:r>
              <w:rPr>
                <w:rFonts w:hint="eastAsia" w:hAnsi="宋体"/>
                <w:szCs w:val="21"/>
              </w:rPr>
              <w:t>生活污水</w:t>
            </w:r>
            <w:r>
              <w:rPr>
                <w:rFonts w:hint="eastAsia"/>
                <w:szCs w:val="21"/>
              </w:rPr>
              <w:t>“跑、冒、滴、漏”。</w:t>
            </w:r>
          </w:p>
          <w:p>
            <w:pPr>
              <w:spacing w:line="379" w:lineRule="auto"/>
              <w:ind w:firstLine="480"/>
              <w:rPr>
                <w:szCs w:val="21"/>
              </w:rPr>
            </w:pPr>
            <w:r>
              <w:rPr>
                <w:rFonts w:hint="eastAsia"/>
                <w:szCs w:val="21"/>
              </w:rPr>
              <w:t>②运输过程中应采用密闭、环保、高效的运输车辆，提高装备水平，采取全密闭箱体防止臭气外溢和渗滤液滴漏，减少运输过程中的二次污染；</w:t>
            </w:r>
          </w:p>
          <w:p>
            <w:pPr>
              <w:spacing w:line="379" w:lineRule="auto"/>
              <w:ind w:firstLine="480"/>
              <w:rPr>
                <w:szCs w:val="21"/>
              </w:rPr>
            </w:pPr>
            <w:r>
              <w:rPr>
                <w:rFonts w:hint="eastAsia"/>
                <w:szCs w:val="21"/>
              </w:rPr>
              <w:t>③认真执行罐车巡检、回检以及维护、修理管理办法，保持罐车完整性。</w:t>
            </w:r>
          </w:p>
          <w:p>
            <w:pPr>
              <w:spacing w:line="440" w:lineRule="exact"/>
              <w:ind w:firstLine="0" w:firstLineChars="0"/>
              <w:jc w:val="left"/>
              <w:rPr>
                <w:color w:val="000000" w:themeColor="text1"/>
                <w:kern w:val="0"/>
                <w14:textFill>
                  <w14:solidFill>
                    <w14:schemeClr w14:val="tx1"/>
                  </w14:solidFill>
                </w14:textFill>
              </w:rPr>
            </w:pPr>
            <w:r>
              <w:rPr>
                <w:rFonts w:hint="eastAsia"/>
                <w:b/>
                <w:bCs/>
              </w:rPr>
              <w:t>4</w:t>
            </w:r>
            <w:r>
              <w:rPr>
                <w:b/>
                <w:bCs/>
              </w:rPr>
              <w:t>.2.</w:t>
            </w:r>
            <w:r>
              <w:rPr>
                <w:rFonts w:hint="eastAsia"/>
                <w:b/>
                <w:bCs/>
              </w:rPr>
              <w:t>3噪声环境影响与评价</w:t>
            </w:r>
          </w:p>
          <w:p>
            <w:pPr>
              <w:pStyle w:val="4"/>
              <w:ind w:firstLine="480"/>
              <w:rPr>
                <w:b w:val="0"/>
                <w:bCs w:val="0"/>
                <w:szCs w:val="24"/>
                <w:lang w:bidi="ar"/>
              </w:rPr>
            </w:pPr>
            <w:r>
              <w:rPr>
                <w:b w:val="0"/>
                <w:bCs w:val="0"/>
                <w:szCs w:val="24"/>
                <w:lang w:bidi="ar"/>
              </w:rPr>
              <w:t>（1）噪声污染源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运行后，主要噪声源为撕碎机、破碎机、甩干机、空分机等设备运行产生的噪声。通过设置基础减振、加强设备检修与维护、合理布局以及厂区绿化等措施，可有效降低噪声影响。采用上述方法，能够确保厂界噪声达到相关标准要求。</w:t>
            </w:r>
            <w:r>
              <w:rPr>
                <w:lang w:bidi="ar"/>
              </w:rPr>
              <w:t>噪声源强为75~90</w:t>
            </w:r>
            <w:r>
              <w:rPr>
                <w:spacing w:val="-2"/>
              </w:rPr>
              <w:t>dB</w:t>
            </w:r>
            <w:r>
              <w:rPr>
                <w:rFonts w:hint="eastAsia"/>
                <w:spacing w:val="-2"/>
              </w:rPr>
              <w:t>（</w:t>
            </w:r>
            <w:r>
              <w:rPr>
                <w:spacing w:val="-2"/>
              </w:rPr>
              <w:t>A</w:t>
            </w:r>
            <w:r>
              <w:rPr>
                <w:rFonts w:hint="eastAsia"/>
                <w:spacing w:val="-2"/>
              </w:rPr>
              <w:t>）。</w:t>
            </w:r>
          </w:p>
          <w:p>
            <w:pPr>
              <w:spacing w:line="240" w:lineRule="auto"/>
              <w:ind w:firstLine="422"/>
              <w:jc w:val="center"/>
              <w:rPr>
                <w:rFonts w:hint="eastAsia"/>
              </w:rPr>
            </w:pPr>
            <w:r>
              <w:rPr>
                <w:rFonts w:cs="Times New Roman"/>
                <w:b/>
                <w:bCs/>
                <w:sz w:val="21"/>
                <w:szCs w:val="21"/>
              </w:rPr>
              <w:t>表4-4  工业企业噪声源强调查清单（室内声源）</w:t>
            </w:r>
          </w:p>
          <w:tbl>
            <w:tblPr>
              <w:tblStyle w:val="24"/>
              <w:tblW w:w="85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411"/>
              <w:gridCol w:w="577"/>
              <w:gridCol w:w="357"/>
              <w:gridCol w:w="357"/>
              <w:gridCol w:w="258"/>
              <w:gridCol w:w="355"/>
              <w:gridCol w:w="355"/>
              <w:gridCol w:w="355"/>
              <w:gridCol w:w="355"/>
              <w:gridCol w:w="355"/>
              <w:gridCol w:w="355"/>
              <w:gridCol w:w="355"/>
              <w:gridCol w:w="355"/>
              <w:gridCol w:w="411"/>
              <w:gridCol w:w="355"/>
              <w:gridCol w:w="355"/>
              <w:gridCol w:w="355"/>
              <w:gridCol w:w="355"/>
              <w:gridCol w:w="354"/>
              <w:gridCol w:w="354"/>
              <w:gridCol w:w="355"/>
              <w:gridCol w:w="355"/>
              <w:gridCol w:w="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83" w:hRule="exact"/>
              </w:trPr>
              <w:tc>
                <w:tcPr>
                  <w:tcW w:w="407" w:type="dxa"/>
                  <w:vMerge w:val="restart"/>
                  <w:vAlign w:val="center"/>
                </w:tcPr>
                <w:p>
                  <w:pPr>
                    <w:spacing w:line="240" w:lineRule="auto"/>
                    <w:ind w:firstLine="0" w:firstLineChars="0"/>
                    <w:jc w:val="center"/>
                    <w:rPr>
                      <w:rFonts w:hint="eastAsia" w:cs="Times New Roman"/>
                      <w:sz w:val="21"/>
                      <w:szCs w:val="21"/>
                    </w:rPr>
                  </w:pPr>
                  <w:r>
                    <w:rPr>
                      <w:rFonts w:hint="eastAsia" w:cs="Times New Roman"/>
                      <w:sz w:val="21"/>
                      <w:szCs w:val="21"/>
                    </w:rPr>
                    <w:t>序号</w:t>
                  </w:r>
                </w:p>
              </w:tc>
              <w:tc>
                <w:tcPr>
                  <w:tcW w:w="407" w:type="dxa"/>
                  <w:vMerge w:val="restart"/>
                  <w:vAlign w:val="center"/>
                </w:tcPr>
                <w:p>
                  <w:pPr>
                    <w:spacing w:line="240" w:lineRule="auto"/>
                    <w:ind w:firstLine="0" w:firstLineChars="0"/>
                    <w:jc w:val="center"/>
                    <w:rPr>
                      <w:rFonts w:cs="Times New Roman"/>
                      <w:sz w:val="21"/>
                      <w:szCs w:val="21"/>
                    </w:rPr>
                  </w:pPr>
                  <w:r>
                    <w:rPr>
                      <w:rFonts w:hint="eastAsia" w:cs="Times New Roman"/>
                      <w:sz w:val="21"/>
                      <w:szCs w:val="21"/>
                    </w:rPr>
                    <w:t>声源名称</w:t>
                  </w:r>
                </w:p>
              </w:tc>
              <w:tc>
                <w:tcPr>
                  <w:tcW w:w="569" w:type="dxa"/>
                  <w:vAlign w:val="center"/>
                </w:tcPr>
                <w:p>
                  <w:pPr>
                    <w:spacing w:line="240" w:lineRule="auto"/>
                    <w:ind w:firstLine="0" w:firstLineChars="0"/>
                    <w:jc w:val="center"/>
                    <w:rPr>
                      <w:rFonts w:cs="Times New Roman"/>
                      <w:sz w:val="21"/>
                      <w:szCs w:val="21"/>
                    </w:rPr>
                  </w:pPr>
                  <w:r>
                    <w:rPr>
                      <w:rFonts w:hint="eastAsia" w:cs="Times New Roman"/>
                      <w:sz w:val="21"/>
                      <w:szCs w:val="21"/>
                    </w:rPr>
                    <w:t>声源源强</w:t>
                  </w:r>
                </w:p>
              </w:tc>
              <w:tc>
                <w:tcPr>
                  <w:tcW w:w="954" w:type="dxa"/>
                  <w:gridSpan w:val="3"/>
                  <w:vAlign w:val="center"/>
                </w:tcPr>
                <w:p>
                  <w:pPr>
                    <w:spacing w:line="240" w:lineRule="auto"/>
                    <w:ind w:firstLine="0" w:firstLineChars="0"/>
                    <w:jc w:val="center"/>
                    <w:rPr>
                      <w:rFonts w:cs="Times New Roman"/>
                      <w:sz w:val="21"/>
                      <w:szCs w:val="21"/>
                    </w:rPr>
                  </w:pPr>
                  <w:r>
                    <w:rPr>
                      <w:rFonts w:hint="eastAsia" w:cs="Times New Roman"/>
                      <w:sz w:val="21"/>
                      <w:szCs w:val="21"/>
                    </w:rPr>
                    <w:t>空间相对位置</w:t>
                  </w:r>
                  <w:r>
                    <w:rPr>
                      <w:rFonts w:cs="Times New Roman"/>
                      <w:sz w:val="21"/>
                      <w:szCs w:val="21"/>
                    </w:rPr>
                    <w:t>/m</w:t>
                  </w:r>
                </w:p>
              </w:tc>
              <w:tc>
                <w:tcPr>
                  <w:tcW w:w="1392" w:type="dxa"/>
                  <w:gridSpan w:val="4"/>
                  <w:vAlign w:val="center"/>
                </w:tcPr>
                <w:p>
                  <w:pPr>
                    <w:spacing w:line="240" w:lineRule="auto"/>
                    <w:ind w:firstLine="0" w:firstLineChars="0"/>
                    <w:jc w:val="center"/>
                    <w:rPr>
                      <w:rFonts w:cs="Times New Roman"/>
                      <w:sz w:val="21"/>
                      <w:szCs w:val="21"/>
                    </w:rPr>
                  </w:pPr>
                  <w:r>
                    <w:rPr>
                      <w:rFonts w:hint="eastAsia" w:cs="Times New Roman"/>
                      <w:sz w:val="21"/>
                      <w:szCs w:val="21"/>
                    </w:rPr>
                    <w:t>距室内边界距离</w:t>
                  </w:r>
                  <w:r>
                    <w:rPr>
                      <w:rFonts w:cs="Times New Roman"/>
                      <w:sz w:val="21"/>
                      <w:szCs w:val="21"/>
                    </w:rPr>
                    <w:t>/m</w:t>
                  </w:r>
                </w:p>
              </w:tc>
              <w:tc>
                <w:tcPr>
                  <w:tcW w:w="1392" w:type="dxa"/>
                  <w:gridSpan w:val="4"/>
                  <w:vAlign w:val="center"/>
                </w:tcPr>
                <w:p>
                  <w:pPr>
                    <w:spacing w:line="240" w:lineRule="auto"/>
                    <w:ind w:firstLine="0" w:firstLineChars="0"/>
                    <w:jc w:val="center"/>
                    <w:rPr>
                      <w:rFonts w:cs="Times New Roman"/>
                      <w:sz w:val="21"/>
                      <w:szCs w:val="21"/>
                    </w:rPr>
                  </w:pPr>
                  <w:r>
                    <w:rPr>
                      <w:rFonts w:hint="eastAsia" w:cs="Times New Roman"/>
                      <w:sz w:val="21"/>
                      <w:szCs w:val="21"/>
                    </w:rPr>
                    <w:t>室内边界声级</w:t>
                  </w:r>
                  <w:r>
                    <w:rPr>
                      <w:rFonts w:cs="Times New Roman"/>
                      <w:sz w:val="21"/>
                      <w:szCs w:val="21"/>
                    </w:rPr>
                    <w:t>/dB(A)</w:t>
                  </w:r>
                </w:p>
              </w:tc>
              <w:tc>
                <w:tcPr>
                  <w:tcW w:w="406" w:type="dxa"/>
                  <w:vMerge w:val="restart"/>
                  <w:vAlign w:val="center"/>
                </w:tcPr>
                <w:p>
                  <w:pPr>
                    <w:spacing w:line="240" w:lineRule="auto"/>
                    <w:ind w:firstLine="0" w:firstLineChars="0"/>
                    <w:jc w:val="center"/>
                    <w:rPr>
                      <w:rFonts w:cs="Times New Roman"/>
                      <w:sz w:val="21"/>
                      <w:szCs w:val="21"/>
                    </w:rPr>
                  </w:pPr>
                  <w:r>
                    <w:rPr>
                      <w:rFonts w:hint="eastAsia" w:cs="Times New Roman"/>
                      <w:sz w:val="21"/>
                      <w:szCs w:val="21"/>
                    </w:rPr>
                    <w:t>运行时段</w:t>
                  </w:r>
                </w:p>
              </w:tc>
              <w:tc>
                <w:tcPr>
                  <w:tcW w:w="1392" w:type="dxa"/>
                  <w:gridSpan w:val="4"/>
                  <w:vAlign w:val="center"/>
                </w:tcPr>
                <w:p>
                  <w:pPr>
                    <w:spacing w:line="240" w:lineRule="auto"/>
                    <w:ind w:firstLine="0" w:firstLineChars="0"/>
                    <w:jc w:val="center"/>
                    <w:rPr>
                      <w:rFonts w:cs="Times New Roman"/>
                      <w:sz w:val="21"/>
                      <w:szCs w:val="21"/>
                    </w:rPr>
                  </w:pPr>
                  <w:r>
                    <w:rPr>
                      <w:rFonts w:hint="eastAsia" w:cs="Times New Roman"/>
                      <w:sz w:val="21"/>
                      <w:szCs w:val="21"/>
                    </w:rPr>
                    <w:t>建筑物插入损失</w:t>
                  </w:r>
                  <w:r>
                    <w:rPr>
                      <w:rFonts w:cs="Times New Roman"/>
                      <w:sz w:val="21"/>
                      <w:szCs w:val="21"/>
                    </w:rPr>
                    <w:t>/dB(A)</w:t>
                  </w:r>
                </w:p>
              </w:tc>
              <w:tc>
                <w:tcPr>
                  <w:tcW w:w="1602" w:type="dxa"/>
                  <w:gridSpan w:val="5"/>
                  <w:vAlign w:val="center"/>
                </w:tcPr>
                <w:p>
                  <w:pPr>
                    <w:spacing w:line="240" w:lineRule="auto"/>
                    <w:ind w:firstLine="0" w:firstLineChars="0"/>
                    <w:jc w:val="center"/>
                    <w:rPr>
                      <w:rFonts w:cs="Times New Roman"/>
                      <w:sz w:val="21"/>
                      <w:szCs w:val="21"/>
                    </w:rPr>
                  </w:pPr>
                  <w:r>
                    <w:rPr>
                      <w:rFonts w:hint="eastAsia" w:cs="Times New Roman"/>
                      <w:sz w:val="21"/>
                      <w:szCs w:val="21"/>
                    </w:rPr>
                    <w:t>建筑物外噪声声压级</w:t>
                  </w:r>
                  <w:r>
                    <w:rPr>
                      <w:rFonts w:cs="Times New Roman"/>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vMerge w:val="continue"/>
                  <w:vAlign w:val="center"/>
                </w:tcPr>
                <w:p>
                  <w:pPr>
                    <w:spacing w:line="240" w:lineRule="auto"/>
                    <w:ind w:firstLine="0" w:firstLineChars="0"/>
                    <w:jc w:val="center"/>
                    <w:rPr>
                      <w:rFonts w:cs="Times New Roman"/>
                      <w:sz w:val="21"/>
                      <w:szCs w:val="21"/>
                    </w:rPr>
                  </w:pPr>
                </w:p>
              </w:tc>
              <w:tc>
                <w:tcPr>
                  <w:tcW w:w="407" w:type="dxa"/>
                  <w:vMerge w:val="continue"/>
                  <w:vAlign w:val="center"/>
                </w:tcPr>
                <w:p>
                  <w:pPr>
                    <w:spacing w:line="240" w:lineRule="auto"/>
                    <w:ind w:firstLine="0" w:firstLineChars="0"/>
                    <w:jc w:val="center"/>
                    <w:rPr>
                      <w:rFonts w:cs="Times New Roman"/>
                      <w:sz w:val="21"/>
                      <w:szCs w:val="21"/>
                    </w:rPr>
                  </w:pP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声功率级</w:t>
                  </w:r>
                  <w:r>
                    <w:rPr>
                      <w:rFonts w:cs="Times New Roman"/>
                      <w:sz w:val="21"/>
                      <w:szCs w:val="21"/>
                    </w:rPr>
                    <w:t>/dB(A)</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cs="Times New Roman"/>
                      <w:sz w:val="21"/>
                      <w:szCs w:val="21"/>
                    </w:rPr>
                    <w:t>X</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cs="Times New Roman"/>
                      <w:sz w:val="21"/>
                      <w:szCs w:val="21"/>
                    </w:rPr>
                    <w:t>Y</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cs="Times New Roman"/>
                      <w:sz w:val="21"/>
                      <w:szCs w:val="21"/>
                    </w:rPr>
                    <w:t>Z</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东</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南</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西</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北</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东</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南</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西</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北</w:t>
                  </w:r>
                </w:p>
              </w:tc>
              <w:tc>
                <w:tcPr>
                  <w:tcW w:w="406" w:type="dxa"/>
                  <w:vMerge w:val="continue"/>
                  <w:vAlign w:val="center"/>
                </w:tcPr>
                <w:p>
                  <w:pPr>
                    <w:spacing w:line="240" w:lineRule="auto"/>
                    <w:ind w:firstLine="0" w:firstLineChars="0"/>
                    <w:jc w:val="center"/>
                    <w:rPr>
                      <w:rFonts w:cs="Times New Roman"/>
                      <w:sz w:val="21"/>
                      <w:szCs w:val="21"/>
                    </w:rPr>
                  </w:pP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东</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南</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西</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北</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东</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南</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西</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北</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hint="eastAsia" w:cs="Times New Roman"/>
                      <w:sz w:val="21"/>
                      <w:szCs w:val="21"/>
                    </w:rPr>
                    <w:t>建筑物外距离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cs="Times New Roman"/>
                      <w:sz w:val="21"/>
                      <w:szCs w:val="21"/>
                    </w:rPr>
                  </w:pPr>
                  <w:r>
                    <w:rPr>
                      <w:rFonts w:cs="Times New Roman"/>
                      <w:sz w:val="21"/>
                      <w:szCs w:val="21"/>
                    </w:rPr>
                    <w:t>1</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撕碎机</w:t>
                  </w:r>
                  <w:r>
                    <w:rPr>
                      <w:rFonts w:cs="Times New Roman"/>
                      <w:sz w:val="21"/>
                      <w:szCs w:val="21"/>
                    </w:rPr>
                    <w:t>1</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85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35.8</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12.9</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14.2</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29.5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7.4</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3.6</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73.9</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47.9</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撕碎机</w:t>
                  </w:r>
                  <w:r>
                    <w:rPr>
                      <w:rFonts w:cs="Times New Roman"/>
                      <w:sz w:val="21"/>
                      <w:szCs w:val="21"/>
                    </w:rPr>
                    <w:t>2</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85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40.1</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12.4</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9.9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29.8</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11.7</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3.6</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73.9</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47.9</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破碎机</w:t>
                  </w:r>
                  <w:r>
                    <w:rPr>
                      <w:rFonts w:cs="Times New Roman"/>
                      <w:sz w:val="21"/>
                      <w:szCs w:val="21"/>
                    </w:rPr>
                    <w:t>1</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90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34.6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6.4</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14.6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22.9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4</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破碎机</w:t>
                  </w:r>
                  <w:r>
                    <w:rPr>
                      <w:rFonts w:cs="Times New Roman"/>
                      <w:sz w:val="21"/>
                      <w:szCs w:val="21"/>
                    </w:rPr>
                    <w:t>2</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90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38.5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5.9</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10.7</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23.1</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78.6</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52.6</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5</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空分机</w:t>
                  </w:r>
                  <w:r>
                    <w:rPr>
                      <w:rFonts w:cs="Times New Roman"/>
                      <w:sz w:val="21"/>
                      <w:szCs w:val="21"/>
                    </w:rPr>
                    <w:t>1</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33.8</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0.5</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14.7</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16.9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16.2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空分机</w:t>
                  </w:r>
                  <w:r>
                    <w:rPr>
                      <w:rFonts w:cs="Times New Roman"/>
                      <w:sz w:val="21"/>
                      <w:szCs w:val="21"/>
                    </w:rPr>
                    <w:t>2</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37.7</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0.1</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10.8</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17.2</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10.9</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16.1</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甩干机</w:t>
                  </w:r>
                  <w:r>
                    <w:rPr>
                      <w:rFonts w:cs="Times New Roman"/>
                      <w:sz w:val="21"/>
                      <w:szCs w:val="21"/>
                    </w:rPr>
                    <w:t>1</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32.6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-7.3</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15.0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9.0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6.7</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24.1</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63.5</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37.5</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8</w:t>
                  </w:r>
                </w:p>
              </w:tc>
              <w:tc>
                <w:tcPr>
                  <w:tcW w:w="407"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甩干机</w:t>
                  </w:r>
                  <w:r>
                    <w:rPr>
                      <w:rFonts w:cs="Times New Roman"/>
                      <w:sz w:val="21"/>
                      <w:szCs w:val="21"/>
                    </w:rPr>
                    <w:t>2</w:t>
                  </w:r>
                </w:p>
              </w:tc>
              <w:tc>
                <w:tcPr>
                  <w:tcW w:w="569"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75</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36.1</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-7.5</w:t>
                  </w:r>
                </w:p>
              </w:tc>
              <w:tc>
                <w:tcPr>
                  <w:tcW w:w="248"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1.2</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11.5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9.5</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10.2</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23.8</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63.5</w:t>
                  </w:r>
                </w:p>
              </w:tc>
              <w:tc>
                <w:tcPr>
                  <w:tcW w:w="406"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hint="eastAsia" w:cs="Times New Roman"/>
                      <w:sz w:val="21"/>
                      <w:szCs w:val="21"/>
                    </w:rPr>
                    <w:t>1</w:t>
                  </w:r>
                  <w:r>
                    <w:rPr>
                      <w:rFonts w:cs="Times New Roman"/>
                      <w:sz w:val="21"/>
                      <w:szCs w:val="21"/>
                    </w:rPr>
                    <w:t>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26.0</w:t>
                  </w:r>
                </w:p>
              </w:tc>
              <w:tc>
                <w:tcPr>
                  <w:tcW w:w="36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37.6</w:t>
                  </w:r>
                </w:p>
              </w:tc>
              <w:tc>
                <w:tcPr>
                  <w:tcW w:w="343"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37.5</w:t>
                  </w:r>
                </w:p>
              </w:tc>
              <w:tc>
                <w:tcPr>
                  <w:tcW w:w="210" w:type="dxa"/>
                  <w:shd w:val="clear" w:color="auto" w:fill="FFFFFF"/>
                  <w:tcMar>
                    <w:top w:w="0" w:type="dxa"/>
                    <w:left w:w="0" w:type="dxa"/>
                    <w:bottom w:w="0" w:type="dxa"/>
                    <w:right w:w="0" w:type="dxa"/>
                  </w:tcMar>
                  <w:vAlign w:val="center"/>
                </w:tcPr>
                <w:p>
                  <w:pPr>
                    <w:spacing w:line="240" w:lineRule="auto"/>
                    <w:ind w:firstLine="0" w:firstLineChars="0"/>
                    <w:jc w:val="center"/>
                    <w:rPr>
                      <w:rFonts w:hint="eastAsia"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521" w:type="dxa"/>
                  <w:gridSpan w:val="24"/>
                  <w:shd w:val="clear" w:color="auto" w:fill="FFFFFF"/>
                  <w:tcMar>
                    <w:top w:w="0" w:type="dxa"/>
                    <w:left w:w="0" w:type="dxa"/>
                    <w:bottom w:w="0" w:type="dxa"/>
                    <w:right w:w="0" w:type="dxa"/>
                  </w:tcMar>
                  <w:vAlign w:val="center"/>
                </w:tcPr>
                <w:p>
                  <w:pPr>
                    <w:spacing w:line="240" w:lineRule="auto"/>
                    <w:ind w:firstLine="0" w:firstLineChars="0"/>
                    <w:rPr>
                      <w:rFonts w:cs="Times New Roman"/>
                      <w:sz w:val="21"/>
                      <w:szCs w:val="21"/>
                    </w:rPr>
                  </w:pPr>
                  <w:r>
                    <w:rPr>
                      <w:rFonts w:cs="Times New Roman"/>
                      <w:sz w:val="21"/>
                      <w:szCs w:val="21"/>
                    </w:rPr>
                    <w:t>表中坐标以厂界中心（86.0952072,41.632976）为坐标原点，正东向为X轴正方向，正北向</w:t>
                  </w:r>
                  <w:r>
                    <w:rPr>
                      <w:rFonts w:hint="eastAsia" w:cs="Times New Roman"/>
                      <w:sz w:val="21"/>
                      <w:szCs w:val="21"/>
                    </w:rPr>
                    <w:t>。</w:t>
                  </w:r>
                </w:p>
              </w:tc>
            </w:tr>
          </w:tbl>
          <w:p>
            <w:pPr>
              <w:pStyle w:val="14"/>
              <w:numPr>
                <w:ilvl w:val="0"/>
                <w:numId w:val="3"/>
              </w:numPr>
              <w:spacing w:line="360" w:lineRule="auto"/>
              <w:ind w:firstLine="480"/>
              <w:jc w:val="both"/>
              <w:rPr>
                <w:sz w:val="24"/>
                <w:szCs w:val="24"/>
                <w:lang w:bidi="ar"/>
              </w:rPr>
            </w:pPr>
            <w:r>
              <w:rPr>
                <w:sz w:val="24"/>
                <w:szCs w:val="24"/>
                <w:lang w:bidi="ar"/>
              </w:rPr>
              <w:t>预测模式</w:t>
            </w:r>
          </w:p>
          <w:p>
            <w:pPr>
              <w:pStyle w:val="14"/>
              <w:spacing w:line="360" w:lineRule="auto"/>
              <w:ind w:firstLine="480"/>
              <w:jc w:val="both"/>
              <w:rPr>
                <w:snapToGrid w:val="0"/>
                <w:kern w:val="0"/>
                <w:sz w:val="24"/>
                <w:szCs w:val="22"/>
              </w:rPr>
            </w:pPr>
            <w:r>
              <w:rPr>
                <w:rFonts w:hint="eastAsia"/>
                <w:snapToGrid w:val="0"/>
                <w:kern w:val="0"/>
                <w:sz w:val="24"/>
                <w:szCs w:val="22"/>
              </w:rPr>
              <w:t>根据项目建设内容及《环境影响评价技术导则—声环境》（HJ2.4-2021）的要求，项目环评采用的模型为《环境影响评价技术导则 声环境》（HJ2.4.2021）附录A（规范性附录）户外声传播的衰减和附录B（规范性附录）中“B.1工业噪声预测计算模型”。具体预测公式如下：</w:t>
            </w:r>
          </w:p>
          <w:p>
            <w:pPr>
              <w:pStyle w:val="14"/>
              <w:spacing w:line="360" w:lineRule="auto"/>
              <w:ind w:firstLine="480"/>
              <w:jc w:val="both"/>
              <w:rPr>
                <w:snapToGrid w:val="0"/>
                <w:kern w:val="0"/>
                <w:sz w:val="24"/>
                <w:szCs w:val="22"/>
              </w:rPr>
            </w:pPr>
            <w:r>
              <w:rPr>
                <w:snapToGrid w:val="0"/>
                <w:kern w:val="0"/>
                <w:sz w:val="24"/>
                <w:szCs w:val="22"/>
              </w:rPr>
              <w:t>对室内噪声源采用室内声源噪声模式并换算成等效的室外声源：</w:t>
            </w:r>
          </w:p>
          <w:p>
            <w:pPr>
              <w:widowControl/>
              <w:ind w:left="420" w:firstLine="480"/>
              <w:rPr>
                <w:rFonts w:cs="Times New Roman"/>
                <w:bCs/>
                <w:szCs w:val="21"/>
              </w:rPr>
            </w:pPr>
            <w:r>
              <w:rPr>
                <w:rFonts w:hint="eastAsia" w:cs="Times New Roman"/>
                <w:szCs w:val="21"/>
              </w:rPr>
              <w:t xml:space="preserve">                 </w:t>
            </w:r>
            <w:r>
              <w:rPr>
                <w:rFonts w:cs="Times New Roman"/>
                <w:szCs w:val="21"/>
              </w:rPr>
              <w:drawing>
                <wp:inline distT="0" distB="0" distL="0" distR="0">
                  <wp:extent cx="1590675" cy="390525"/>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90675" cy="390525"/>
                          </a:xfrm>
                          <a:prstGeom prst="rect">
                            <a:avLst/>
                          </a:prstGeom>
                          <a:noFill/>
                          <a:ln>
                            <a:noFill/>
                          </a:ln>
                        </pic:spPr>
                      </pic:pic>
                    </a:graphicData>
                  </a:graphic>
                </wp:inline>
              </w:drawing>
            </w:r>
          </w:p>
          <w:p>
            <w:pPr>
              <w:widowControl/>
              <w:ind w:firstLine="240" w:firstLineChars="100"/>
              <w:jc w:val="center"/>
              <w:rPr>
                <w:rFonts w:cs="Times New Roman"/>
                <w:bCs/>
                <w:szCs w:val="21"/>
              </w:rPr>
            </w:pPr>
            <w:r>
              <w:rPr>
                <w:rFonts w:cs="Times New Roman"/>
                <w:szCs w:val="21"/>
              </w:rPr>
              <w:drawing>
                <wp:inline distT="0" distB="0" distL="0" distR="0">
                  <wp:extent cx="1638300" cy="228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38300" cy="228600"/>
                          </a:xfrm>
                          <a:prstGeom prst="rect">
                            <a:avLst/>
                          </a:prstGeom>
                          <a:noFill/>
                          <a:ln>
                            <a:noFill/>
                          </a:ln>
                        </pic:spPr>
                      </pic:pic>
                    </a:graphicData>
                  </a:graphic>
                </wp:inline>
              </w:drawing>
            </w:r>
          </w:p>
          <w:p>
            <w:pPr>
              <w:widowControl/>
              <w:ind w:firstLine="480"/>
              <w:jc w:val="left"/>
              <w:rPr>
                <w:rFonts w:cs="Times New Roman"/>
                <w:bCs/>
              </w:rPr>
            </w:pPr>
            <w:r>
              <w:rPr>
                <w:rFonts w:cs="Times New Roman"/>
                <w:bCs/>
              </w:rPr>
              <w:t>式中：Ln——室内靠近围护结构处产生的声压级，dB；</w:t>
            </w:r>
          </w:p>
          <w:p>
            <w:pPr>
              <w:widowControl/>
              <w:ind w:firstLine="1200" w:firstLineChars="500"/>
              <w:jc w:val="left"/>
              <w:rPr>
                <w:rFonts w:cs="Times New Roman"/>
                <w:bCs/>
              </w:rPr>
            </w:pPr>
            <w:r>
              <w:rPr>
                <w:rFonts w:cs="Times New Roman"/>
                <w:bCs/>
              </w:rPr>
              <w:t>L</w:t>
            </w:r>
            <w:r>
              <w:rPr>
                <w:rFonts w:cs="Times New Roman"/>
                <w:bCs/>
                <w:vertAlign w:val="subscript"/>
              </w:rPr>
              <w:t>W</w:t>
            </w:r>
            <w:r>
              <w:rPr>
                <w:rFonts w:cs="Times New Roman"/>
                <w:bCs/>
              </w:rPr>
              <w:t>——室外靠近围护结构处产生的声压级，dB；</w:t>
            </w:r>
          </w:p>
          <w:p>
            <w:pPr>
              <w:widowControl/>
              <w:ind w:firstLine="1200" w:firstLineChars="500"/>
              <w:jc w:val="left"/>
              <w:rPr>
                <w:rFonts w:cs="Times New Roman"/>
                <w:bCs/>
              </w:rPr>
            </w:pPr>
            <w:r>
              <w:rPr>
                <w:rFonts w:cs="Times New Roman"/>
                <w:bCs/>
              </w:rPr>
              <w:t>Le——声源的声压级，dB</w:t>
            </w:r>
          </w:p>
          <w:p>
            <w:pPr>
              <w:widowControl/>
              <w:ind w:firstLine="1200" w:firstLineChars="500"/>
              <w:jc w:val="left"/>
              <w:rPr>
                <w:rFonts w:cs="Times New Roman"/>
                <w:bCs/>
              </w:rPr>
            </w:pPr>
            <w:r>
              <w:rPr>
                <w:rFonts w:cs="Times New Roman"/>
                <w:bCs/>
              </w:rPr>
              <w:t>r——声源与室内靠近围护结构处的距离，m；</w:t>
            </w:r>
          </w:p>
          <w:p>
            <w:pPr>
              <w:widowControl/>
              <w:ind w:firstLine="1200" w:firstLineChars="500"/>
              <w:jc w:val="left"/>
              <w:rPr>
                <w:rFonts w:cs="Times New Roman"/>
                <w:bCs/>
              </w:rPr>
            </w:pPr>
            <w:r>
              <w:rPr>
                <w:rFonts w:cs="Times New Roman"/>
                <w:bCs/>
              </w:rPr>
              <w:t>R——房间常数，m</w:t>
            </w:r>
            <w:r>
              <w:rPr>
                <w:rFonts w:cs="Times New Roman"/>
                <w:bCs/>
                <w:vertAlign w:val="superscript"/>
              </w:rPr>
              <w:t>2</w:t>
            </w:r>
            <w:r>
              <w:rPr>
                <w:rFonts w:cs="Times New Roman"/>
                <w:bCs/>
              </w:rPr>
              <w:t>；</w:t>
            </w:r>
          </w:p>
          <w:p>
            <w:pPr>
              <w:widowControl/>
              <w:ind w:firstLine="1200" w:firstLineChars="500"/>
              <w:jc w:val="left"/>
              <w:rPr>
                <w:rFonts w:cs="Times New Roman"/>
                <w:bCs/>
              </w:rPr>
            </w:pPr>
            <w:r>
              <w:rPr>
                <w:rFonts w:cs="Times New Roman"/>
                <w:bCs/>
              </w:rPr>
              <w:t>Q——方向性因子；</w:t>
            </w:r>
          </w:p>
          <w:p>
            <w:pPr>
              <w:widowControl/>
              <w:ind w:firstLine="1200" w:firstLineChars="500"/>
              <w:jc w:val="left"/>
              <w:rPr>
                <w:rFonts w:cs="Times New Roman"/>
                <w:bCs/>
              </w:rPr>
            </w:pPr>
            <w:r>
              <w:rPr>
                <w:rFonts w:cs="Times New Roman"/>
                <w:bCs/>
              </w:rPr>
              <w:t>TL——围护结构的传输损失，dB；</w:t>
            </w:r>
          </w:p>
          <w:p>
            <w:pPr>
              <w:widowControl/>
              <w:ind w:firstLine="1200" w:firstLineChars="500"/>
              <w:jc w:val="left"/>
              <w:rPr>
                <w:rFonts w:cs="Times New Roman"/>
                <w:snapToGrid w:val="0"/>
                <w:kern w:val="0"/>
              </w:rPr>
            </w:pPr>
            <w:r>
              <w:rPr>
                <w:rFonts w:cs="Times New Roman"/>
                <w:bCs/>
              </w:rPr>
              <w:t>S—</w:t>
            </w:r>
            <w:r>
              <w:rPr>
                <w:rFonts w:cs="Times New Roman"/>
                <w:snapToGrid w:val="0"/>
                <w:kern w:val="0"/>
              </w:rPr>
              <w:t>—透声面积，m</w:t>
            </w:r>
            <w:r>
              <w:rPr>
                <w:rFonts w:cs="Times New Roman"/>
                <w:snapToGrid w:val="0"/>
                <w:kern w:val="0"/>
                <w:vertAlign w:val="superscript"/>
              </w:rPr>
              <w:t>2</w:t>
            </w:r>
          </w:p>
          <w:p>
            <w:pPr>
              <w:ind w:firstLine="480"/>
              <w:rPr>
                <w:rFonts w:cs="Times New Roman"/>
                <w:snapToGrid w:val="0"/>
                <w:kern w:val="0"/>
              </w:rPr>
            </w:pPr>
            <w:r>
              <w:rPr>
                <w:rFonts w:cs="Times New Roman"/>
                <w:snapToGrid w:val="0"/>
                <w:kern w:val="0"/>
              </w:rPr>
              <w:t>对两个以上多个声源同时存在时，其预测点总声压级采用下面公式：</w:t>
            </w:r>
          </w:p>
          <w:p>
            <w:pPr>
              <w:ind w:firstLine="480"/>
              <w:jc w:val="center"/>
              <w:rPr>
                <w:rFonts w:cs="Times New Roman"/>
                <w:snapToGrid w:val="0"/>
                <w:kern w:val="0"/>
              </w:rPr>
            </w:pPr>
            <w:r>
              <w:rPr>
                <w:rFonts w:cs="Times New Roman"/>
                <w:snapToGrid w:val="0"/>
                <w:kern w:val="0"/>
              </w:rPr>
              <w:t>L</w:t>
            </w:r>
            <w:r>
              <w:rPr>
                <w:rFonts w:cs="Times New Roman"/>
                <w:snapToGrid w:val="0"/>
                <w:kern w:val="0"/>
                <w:vertAlign w:val="subscript"/>
              </w:rPr>
              <w:t>eq</w:t>
            </w:r>
            <w:r>
              <w:rPr>
                <w:rFonts w:cs="Times New Roman"/>
                <w:snapToGrid w:val="0"/>
                <w:kern w:val="0"/>
              </w:rPr>
              <w:t>=10lg</w:t>
            </w:r>
            <w:r>
              <w:rPr>
                <w:rFonts w:hint="eastAsia" w:cs="Times New Roman"/>
                <w:snapToGrid w:val="0"/>
                <w:kern w:val="0"/>
              </w:rPr>
              <w:t>（</w:t>
            </w:r>
            <w:r>
              <w:rPr>
                <w:rFonts w:cs="Times New Roman"/>
                <w:snapToGrid w:val="0"/>
                <w:kern w:val="0"/>
              </w:rPr>
              <w:t>100.1Li</w:t>
            </w:r>
            <w:r>
              <w:rPr>
                <w:rFonts w:hint="eastAsia" w:cs="Times New Roman"/>
                <w:snapToGrid w:val="0"/>
                <w:kern w:val="0"/>
              </w:rPr>
              <w:t>）</w:t>
            </w:r>
          </w:p>
          <w:p>
            <w:pPr>
              <w:ind w:firstLine="480"/>
              <w:rPr>
                <w:rFonts w:cs="Times New Roman"/>
                <w:snapToGrid w:val="0"/>
                <w:kern w:val="0"/>
              </w:rPr>
            </w:pPr>
            <w:r>
              <w:rPr>
                <w:rFonts w:cs="Times New Roman"/>
                <w:snapToGrid w:val="0"/>
                <w:kern w:val="0"/>
              </w:rPr>
              <w:t>式中：L</w:t>
            </w:r>
            <w:r>
              <w:rPr>
                <w:rFonts w:cs="Times New Roman"/>
                <w:snapToGrid w:val="0"/>
                <w:kern w:val="0"/>
                <w:vertAlign w:val="subscript"/>
              </w:rPr>
              <w:t>eq</w:t>
            </w:r>
            <w:r>
              <w:rPr>
                <w:rFonts w:cs="Times New Roman"/>
                <w:snapToGrid w:val="0"/>
                <w:kern w:val="0"/>
              </w:rPr>
              <w:t>-----预测点的总等效声级，dB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pPr>
              <w:ind w:firstLine="1200" w:firstLineChars="500"/>
              <w:rPr>
                <w:rFonts w:cs="Times New Roman"/>
                <w:snapToGrid w:val="0"/>
                <w:kern w:val="0"/>
              </w:rPr>
            </w:pPr>
            <w:r>
              <w:rPr>
                <w:rFonts w:cs="Times New Roman"/>
                <w:snapToGrid w:val="0"/>
                <w:kern w:val="0"/>
              </w:rPr>
              <w:t>Li-----第i个声源对预测点的声级影响，dB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（3）执行标准</w:t>
            </w:r>
          </w:p>
          <w:p>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厂界处噪声执行《工业企业厂界环境噪声排放标准》</w:t>
            </w:r>
            <w:r>
              <w:rPr>
                <w:rFonts w:hint="eastAsia" w:ascii="Times New Roman" w:hAnsi="Times New Roman"/>
                <w:kern w:val="2"/>
                <w:lang w:bidi="ar"/>
              </w:rPr>
              <w:t>（</w:t>
            </w:r>
            <w:r>
              <w:rPr>
                <w:rFonts w:ascii="Times New Roman" w:hAnsi="Times New Roman"/>
                <w:kern w:val="2"/>
                <w:lang w:bidi="ar"/>
              </w:rPr>
              <w:t>GB12348-2008</w:t>
            </w:r>
            <w:r>
              <w:rPr>
                <w:rFonts w:hint="eastAsia" w:ascii="Times New Roman" w:hAnsi="Times New Roman"/>
                <w:kern w:val="2"/>
                <w:lang w:bidi="ar"/>
              </w:rPr>
              <w:t>）</w:t>
            </w:r>
            <w:r>
              <w:rPr>
                <w:rFonts w:ascii="Times New Roman" w:hAnsi="Times New Roman"/>
                <w:kern w:val="2"/>
                <w:lang w:bidi="ar"/>
              </w:rPr>
              <w:t>中2类标准。</w:t>
            </w:r>
          </w:p>
          <w:p>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hint="eastAsia" w:ascii="Times New Roman" w:hAnsi="Times New Roman"/>
                <w:kern w:val="2"/>
                <w:lang w:bidi="ar"/>
              </w:rPr>
              <w:t>（4）</w:t>
            </w:r>
            <w:r>
              <w:rPr>
                <w:rFonts w:ascii="Times New Roman" w:hAnsi="Times New Roman"/>
                <w:kern w:val="2"/>
                <w:lang w:bidi="ar"/>
              </w:rPr>
              <w:t>预测结果</w:t>
            </w:r>
          </w:p>
          <w:p>
            <w:pPr>
              <w:ind w:firstLine="480"/>
              <w:rPr>
                <w:color w:val="000000" w:themeColor="text1"/>
                <w14:textFill>
                  <w14:solidFill>
                    <w14:schemeClr w14:val="tx1"/>
                  </w14:solidFill>
                </w14:textFill>
              </w:rPr>
            </w:pPr>
            <w:r>
              <w:rPr>
                <w:lang w:bidi="ar"/>
              </w:rPr>
              <w:t>项目设备主要安装在室内，本评价以室内设备噪声源进行预测，隔声较好，项目噪声预测结果见表4-</w:t>
            </w:r>
            <w:r>
              <w:rPr>
                <w:rFonts w:hint="eastAsia"/>
                <w:lang w:bidi="ar"/>
              </w:rPr>
              <w:t>5。</w:t>
            </w:r>
          </w:p>
          <w:p>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表4-5  厂界噪声预测结果与达标分析表</w:t>
            </w:r>
            <w:bookmarkStart w:id="16" w:name="PT_7"/>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815"/>
              <w:gridCol w:w="815"/>
              <w:gridCol w:w="821"/>
              <w:gridCol w:w="1010"/>
              <w:gridCol w:w="1442"/>
              <w:gridCol w:w="1442"/>
              <w:gridCol w:w="1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00" w:hRule="exact"/>
                <w:jc w:val="center"/>
              </w:trPr>
              <w:tc>
                <w:tcPr>
                  <w:tcW w:w="645" w:type="pct"/>
                  <w:vMerge w:val="restart"/>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预测方位</w:t>
                  </w:r>
                </w:p>
              </w:tc>
              <w:tc>
                <w:tcPr>
                  <w:tcW w:w="1413" w:type="pct"/>
                  <w:gridSpan w:val="3"/>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最大值点空间相对位置/m</w:t>
                  </w:r>
                </w:p>
              </w:tc>
              <w:tc>
                <w:tcPr>
                  <w:tcW w:w="582" w:type="pct"/>
                  <w:vMerge w:val="restart"/>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时段</w:t>
                  </w:r>
                </w:p>
              </w:tc>
              <w:tc>
                <w:tcPr>
                  <w:tcW w:w="831" w:type="pct"/>
                  <w:vMerge w:val="restart"/>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贡献值</w:t>
                  </w:r>
                </w:p>
                <w:p>
                  <w:pPr>
                    <w:spacing w:line="240" w:lineRule="auto"/>
                    <w:ind w:firstLine="0" w:firstLineChars="0"/>
                    <w:jc w:val="center"/>
                    <w:rPr>
                      <w:rFonts w:cs="Times New Roman"/>
                      <w:sz w:val="21"/>
                      <w:szCs w:val="21"/>
                    </w:rPr>
                  </w:pPr>
                  <w:r>
                    <w:rPr>
                      <w:rFonts w:cs="Times New Roman"/>
                      <w:sz w:val="21"/>
                      <w:szCs w:val="21"/>
                    </w:rPr>
                    <w:t>dB</w:t>
                  </w:r>
                  <w:r>
                    <w:rPr>
                      <w:rFonts w:hint="eastAsia" w:cs="Times New Roman"/>
                      <w:sz w:val="21"/>
                      <w:szCs w:val="21"/>
                    </w:rPr>
                    <w:t>（</w:t>
                  </w:r>
                  <w:r>
                    <w:rPr>
                      <w:rFonts w:cs="Times New Roman"/>
                      <w:sz w:val="21"/>
                      <w:szCs w:val="21"/>
                    </w:rPr>
                    <w:t>A</w:t>
                  </w:r>
                  <w:r>
                    <w:rPr>
                      <w:rFonts w:hint="eastAsia" w:cs="Times New Roman"/>
                      <w:sz w:val="21"/>
                      <w:szCs w:val="21"/>
                    </w:rPr>
                    <w:t>）</w:t>
                  </w:r>
                </w:p>
              </w:tc>
              <w:tc>
                <w:tcPr>
                  <w:tcW w:w="831" w:type="pct"/>
                  <w:vMerge w:val="restart"/>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标准限值</w:t>
                  </w:r>
                </w:p>
                <w:p>
                  <w:pPr>
                    <w:spacing w:line="240" w:lineRule="auto"/>
                    <w:ind w:firstLine="0" w:firstLineChars="0"/>
                    <w:jc w:val="center"/>
                    <w:rPr>
                      <w:rFonts w:cs="Times New Roman"/>
                      <w:sz w:val="21"/>
                      <w:szCs w:val="21"/>
                    </w:rPr>
                  </w:pPr>
                  <w:r>
                    <w:rPr>
                      <w:rFonts w:cs="Times New Roman"/>
                      <w:sz w:val="21"/>
                      <w:szCs w:val="21"/>
                    </w:rPr>
                    <w:t>dB</w:t>
                  </w:r>
                  <w:r>
                    <w:rPr>
                      <w:rFonts w:hint="eastAsia" w:cs="Times New Roman"/>
                      <w:sz w:val="21"/>
                      <w:szCs w:val="21"/>
                    </w:rPr>
                    <w:t>（</w:t>
                  </w:r>
                  <w:r>
                    <w:rPr>
                      <w:rFonts w:cs="Times New Roman"/>
                      <w:sz w:val="21"/>
                      <w:szCs w:val="21"/>
                    </w:rPr>
                    <w:t>A</w:t>
                  </w:r>
                  <w:r>
                    <w:rPr>
                      <w:rFonts w:hint="eastAsia" w:cs="Times New Roman"/>
                      <w:sz w:val="21"/>
                      <w:szCs w:val="21"/>
                    </w:rPr>
                    <w:t>）</w:t>
                  </w:r>
                </w:p>
              </w:tc>
              <w:tc>
                <w:tcPr>
                  <w:tcW w:w="698" w:type="pct"/>
                  <w:vMerge w:val="restart"/>
                  <w:tcBorders>
                    <w:tl2br w:val="nil"/>
                    <w:tr2bl w:val="nil"/>
                  </w:tcBorders>
                  <w:vAlign w:val="center"/>
                </w:tcPr>
                <w:p>
                  <w:pPr>
                    <w:spacing w:line="240" w:lineRule="auto"/>
                    <w:ind w:firstLine="0" w:firstLineChars="0"/>
                    <w:jc w:val="center"/>
                    <w:rPr>
                      <w:rFonts w:cs="Times New Roman"/>
                      <w:sz w:val="21"/>
                      <w:szCs w:val="21"/>
                    </w:rPr>
                  </w:pPr>
                  <w:r>
                    <w:rPr>
                      <w:rFonts w:cs="Times New Roman"/>
                      <w:sz w:val="21"/>
                      <w:szCs w:val="21"/>
                    </w:rPr>
                    <w:t>达标情况</w:t>
                  </w:r>
                </w:p>
              </w:tc>
            </w:tr>
            <w:bookmarkEnd w:id="1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5"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eastAsiaTheme="minorEastAsia"/>
                      <w:sz w:val="21"/>
                      <w:szCs w:val="21"/>
                    </w:rPr>
                    <w:t>X</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eastAsiaTheme="minorEastAsia"/>
                      <w:sz w:val="21"/>
                      <w:szCs w:val="21"/>
                    </w:rPr>
                    <w:t>Y</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eastAsiaTheme="minorEastAsia"/>
                      <w:sz w:val="21"/>
                      <w:szCs w:val="21"/>
                    </w:rPr>
                    <w:t>Z</w:t>
                  </w:r>
                </w:p>
              </w:tc>
              <w:tc>
                <w:tcPr>
                  <w:tcW w:w="582"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831"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831"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698"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restar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东侧</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55.3</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0.2</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昼间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42.1</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60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55.3</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0.2</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夜间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42.1</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restar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南侧</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17.3</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-11.9</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昼间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40.6</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60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17.3</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-11.9</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夜间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40.6</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restar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西侧</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-0.1</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0.1</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昼间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38.2</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60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-0.1</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0.1</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夜间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38.2</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restar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北侧</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27.8</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昼间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40.6</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60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8" w:hRule="exact"/>
                <w:jc w:val="center"/>
              </w:trPr>
              <w:tc>
                <w:tcPr>
                  <w:tcW w:w="645" w:type="pct"/>
                  <w:vMerge w:val="continue"/>
                  <w:tcBorders>
                    <w:tl2br w:val="nil"/>
                    <w:tr2bl w:val="nil"/>
                  </w:tcBorders>
                  <w:shd w:val="clear" w:color="auto" w:fill="FFFFFF"/>
                  <w:vAlign w:val="center"/>
                </w:tcPr>
                <w:p>
                  <w:pPr>
                    <w:spacing w:line="240" w:lineRule="auto"/>
                    <w:ind w:firstLine="0" w:firstLineChars="0"/>
                    <w:jc w:val="center"/>
                    <w:rPr>
                      <w:rFonts w:cs="Times New Roman"/>
                      <w:sz w:val="21"/>
                      <w:szCs w:val="21"/>
                    </w:rPr>
                  </w:pP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w:t>
                  </w:r>
                </w:p>
              </w:tc>
              <w:tc>
                <w:tcPr>
                  <w:tcW w:w="470"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27.8</w:t>
                  </w:r>
                </w:p>
              </w:tc>
              <w:tc>
                <w:tcPr>
                  <w:tcW w:w="473"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1.2</w:t>
                  </w:r>
                </w:p>
              </w:tc>
              <w:tc>
                <w:tcPr>
                  <w:tcW w:w="582"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夜间</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40.6</w:t>
                  </w:r>
                </w:p>
              </w:tc>
              <w:tc>
                <w:tcPr>
                  <w:tcW w:w="831"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50</w:t>
                  </w:r>
                </w:p>
              </w:tc>
              <w:tc>
                <w:tcPr>
                  <w:tcW w:w="698" w:type="pct"/>
                  <w:tcBorders>
                    <w:tl2br w:val="nil"/>
                    <w:tr2bl w:val="nil"/>
                  </w:tcBorders>
                  <w:shd w:val="clear" w:color="auto" w:fill="FFFFFF"/>
                  <w:vAlign w:val="center"/>
                </w:tcPr>
                <w:p>
                  <w:pPr>
                    <w:spacing w:line="240" w:lineRule="auto"/>
                    <w:ind w:firstLine="0" w:firstLineChars="0"/>
                    <w:jc w:val="center"/>
                    <w:rPr>
                      <w:rFonts w:cs="Times New Roman"/>
                      <w:sz w:val="21"/>
                      <w:szCs w:val="21"/>
                    </w:rPr>
                  </w:pPr>
                  <w:r>
                    <w:rPr>
                      <w:rFonts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PrEx>
              <w:trPr>
                <w:trHeight w:val="405" w:hRule="exact"/>
                <w:jc w:val="center"/>
              </w:trPr>
              <w:tc>
                <w:tcPr>
                  <w:tcW w:w="5000" w:type="pct"/>
                  <w:gridSpan w:val="8"/>
                  <w:tcBorders>
                    <w:tl2br w:val="nil"/>
                    <w:tr2bl w:val="nil"/>
                  </w:tcBorders>
                  <w:shd w:val="clear" w:color="auto" w:fill="FFFFFF"/>
                  <w:vAlign w:val="center"/>
                </w:tcPr>
                <w:p>
                  <w:pPr>
                    <w:spacing w:line="240" w:lineRule="auto"/>
                    <w:ind w:firstLine="0" w:firstLineChars="0"/>
                    <w:rPr>
                      <w:rFonts w:cs="Times New Roman"/>
                      <w:sz w:val="21"/>
                      <w:szCs w:val="21"/>
                    </w:rPr>
                  </w:pPr>
                  <w:r>
                    <w:rPr>
                      <w:rFonts w:cs="Times New Roman"/>
                      <w:sz w:val="21"/>
                      <w:szCs w:val="21"/>
                    </w:rPr>
                    <w:t>表中坐标以厂界中心（</w:t>
                  </w:r>
                  <w:bookmarkStart w:id="17" w:name="PO_8"/>
                  <w:r>
                    <w:rPr>
                      <w:rFonts w:cs="Times New Roman"/>
                      <w:sz w:val="21"/>
                      <w:szCs w:val="21"/>
                    </w:rPr>
                    <w:t>86.0952072,41.632976</w:t>
                  </w:r>
                  <w:bookmarkEnd w:id="17"/>
                  <w:r>
                    <w:rPr>
                      <w:rFonts w:cs="Times New Roman"/>
                      <w:sz w:val="21"/>
                      <w:szCs w:val="21"/>
                    </w:rPr>
                    <w:t>）为坐标原点，正东向为X轴正方向，正北向</w:t>
                  </w:r>
                  <w:r>
                    <w:rPr>
                      <w:rFonts w:hint="eastAsia" w:cs="Times New Roman"/>
                      <w:sz w:val="21"/>
                      <w:szCs w:val="21"/>
                    </w:rPr>
                    <w:t>。</w:t>
                  </w:r>
                  <w:r>
                    <w:rPr>
                      <w:rFonts w:cs="Times New Roman"/>
                      <w:sz w:val="21"/>
                      <w:szCs w:val="21"/>
                    </w:rPr>
                    <w:t>为Y轴正方向</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根据上表可知，本项目设备噪声在距离衰减情况下，四周厂界可满足《工业企业厂界环境噪声排放标准》（</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类标准。本项目产生的噪声经治理后对厂区周边声环境影响较小。为了进一步减少运营期噪声对外环境的干扰，主要噪声防治措施如下：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①本项目主要噪声设备布置集中，可通过距离消减有效降低厂界的噪声。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②加强文明生产管理，减小原材料装卸作业的撞击声及人为噪声。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③严格禁止运输车辆超载。</w:t>
            </w:r>
          </w:p>
          <w:p>
            <w:pPr>
              <w:spacing w:line="440" w:lineRule="exact"/>
              <w:ind w:firstLine="0" w:firstLineChars="0"/>
              <w:jc w:val="left"/>
              <w:rPr>
                <w:b/>
                <w:bCs/>
              </w:rPr>
            </w:pPr>
            <w:r>
              <w:rPr>
                <w:rFonts w:hint="eastAsia"/>
                <w:b/>
                <w:bCs/>
              </w:rPr>
              <w:t>4</w:t>
            </w:r>
            <w:r>
              <w:rPr>
                <w:b/>
                <w:bCs/>
              </w:rPr>
              <w:t>.2.</w:t>
            </w:r>
            <w:r>
              <w:rPr>
                <w:rFonts w:hint="eastAsia"/>
                <w:b/>
                <w:bCs/>
              </w:rPr>
              <w:t>4固体废物影响与评价</w:t>
            </w:r>
          </w:p>
          <w:p>
            <w:pPr>
              <w:ind w:firstLine="480"/>
              <w:rPr>
                <w:rFonts w:cs="Times New Roman"/>
              </w:rPr>
            </w:pPr>
            <w:r>
              <w:rPr>
                <w:rFonts w:hint="eastAsia"/>
                <w:color w:val="000000"/>
              </w:rPr>
              <w:t>项目营运期产生的固体废物主要为：生活垃圾、一般工业固体废物、危险废物</w:t>
            </w:r>
            <w:r>
              <w:rPr>
                <w:rFonts w:hint="eastAsia" w:cs="Times New Roman"/>
              </w:rPr>
              <w:t>。</w:t>
            </w:r>
          </w:p>
          <w:p>
            <w:pPr>
              <w:ind w:firstLine="480"/>
            </w:pPr>
            <w:bookmarkStart w:id="18" w:name="_Hlk156401327"/>
            <w:r>
              <w:t>（1）生活</w:t>
            </w:r>
            <w:r>
              <w:rPr>
                <w:rFonts w:hint="eastAsia"/>
              </w:rPr>
              <w:t>垃圾</w:t>
            </w:r>
          </w:p>
          <w:p>
            <w:pPr>
              <w:ind w:firstLine="480"/>
              <w:rPr>
                <w:rFonts w:cs="Times New Roman"/>
                <w:color w:val="000000" w:themeColor="text1"/>
                <w14:textFill>
                  <w14:solidFill>
                    <w14:schemeClr w14:val="tx1"/>
                  </w14:solidFill>
                </w14:textFill>
              </w:rPr>
            </w:pPr>
            <w:r>
              <w:t>项目劳</w:t>
            </w:r>
            <w:r>
              <w:rPr>
                <w:rFonts w:cs="Times New Roman"/>
                <w:color w:val="000000" w:themeColor="text1"/>
                <w14:textFill>
                  <w14:solidFill>
                    <w14:schemeClr w14:val="tx1"/>
                  </w14:solidFill>
                </w14:textFill>
              </w:rPr>
              <w:t>动定员3人，按每人每天产生生活垃圾0.5kg计算，项目年生产240天，则年产生量为0.36t/a。</w:t>
            </w:r>
            <w:r>
              <w:rPr>
                <w:rFonts w:hint="eastAsia"/>
                <w:color w:val="000000" w:themeColor="text1"/>
                <w:szCs w:val="21"/>
                <w14:textFill>
                  <w14:solidFill>
                    <w14:schemeClr w14:val="tx1"/>
                  </w14:solidFill>
                </w14:textFill>
              </w:rPr>
              <w:t>生活垃圾集中收集至垃圾箱后</w:t>
            </w:r>
            <w:r>
              <w:rPr>
                <w:snapToGrid w:val="0"/>
                <w:kern w:val="0"/>
                <w:szCs w:val="21"/>
              </w:rPr>
              <w:t>由环卫部门统一清运</w:t>
            </w:r>
            <w:r>
              <w:rPr>
                <w:rFonts w:cs="Times New Roman"/>
                <w:color w:val="000000" w:themeColor="text1"/>
                <w14:textFill>
                  <w14:solidFill>
                    <w14:schemeClr w14:val="tx1"/>
                  </w14:solidFill>
                </w14:textFill>
              </w:rPr>
              <w:t>。</w:t>
            </w:r>
          </w:p>
          <w:p>
            <w:pPr>
              <w:ind w:firstLine="480"/>
            </w:pPr>
            <w:r>
              <w:rPr>
                <w:rFonts w:hint="eastAsia"/>
              </w:rPr>
              <w:t>（</w:t>
            </w:r>
            <w:r>
              <w:t>2</w:t>
            </w:r>
            <w:r>
              <w:rPr>
                <w:rFonts w:hint="eastAsia"/>
              </w:rPr>
              <w:t>）分拣废料</w:t>
            </w:r>
          </w:p>
          <w:p>
            <w:pPr>
              <w:ind w:firstLine="480"/>
            </w:pPr>
            <w:r>
              <w:rPr>
                <w:rFonts w:hint="eastAsia"/>
              </w:rPr>
              <w:t>项目人工分拣物主要是指废旧物资在人工分拣过程中分拣出的玻璃、沙石、织物等杂物以及不合格的其他材质原料。根据建设单位提供资料，并类比同类型企业，杂物约占原料的1%，则项目分拣废料产生量约为</w:t>
            </w:r>
            <w:r>
              <w:t>300</w:t>
            </w:r>
            <w:r>
              <w:rPr>
                <w:rFonts w:hint="eastAsia"/>
              </w:rPr>
              <w:t>t/a。分拣废料属于《固体废物分类与代码目录》中SW59其他工业固体废物，类别代码为900-099-S59。分拣废料集中收集后定期外售至废品回收站，不得擅自丢弃、倾倒、焚烧或填埋。</w:t>
            </w:r>
          </w:p>
          <w:p>
            <w:pPr>
              <w:ind w:firstLine="480"/>
              <w:rPr>
                <w:rFonts w:cs="Times New Roman"/>
              </w:rPr>
            </w:pPr>
            <w:r>
              <w:rPr>
                <w:rFonts w:cs="Times New Roman"/>
              </w:rPr>
              <w:t>（3）</w:t>
            </w:r>
            <w:r>
              <w:rPr>
                <w:rFonts w:hint="eastAsia" w:cs="Times New Roman"/>
              </w:rPr>
              <w:t>沉淀池沉渣</w:t>
            </w:r>
          </w:p>
          <w:p>
            <w:pPr>
              <w:ind w:firstLine="480"/>
              <w:rPr>
                <w:rFonts w:cs="Times New Roman"/>
              </w:rPr>
            </w:pPr>
            <w:r>
              <w:rPr>
                <w:rFonts w:cs="Times New Roman"/>
              </w:rPr>
              <w:t>根据前文，废水处理量为29700m³/a。设计进水SS浓度为1500mg/L，出水为100mg/L。沉渣干重采用公式W=Q×（C</w:t>
            </w:r>
            <w:r>
              <w:rPr>
                <w:rFonts w:cs="Times New Roman"/>
                <w:vertAlign w:val="subscript"/>
              </w:rPr>
              <w:t>进</w:t>
            </w:r>
            <w:r>
              <w:rPr>
                <w:rFonts w:cs="Times New Roman"/>
              </w:rPr>
              <w:t>-C</w:t>
            </w:r>
            <w:r>
              <w:rPr>
                <w:rFonts w:cs="Times New Roman"/>
                <w:vertAlign w:val="subscript"/>
              </w:rPr>
              <w:t>出</w:t>
            </w:r>
            <w:r>
              <w:rPr>
                <w:rFonts w:cs="Times New Roman"/>
              </w:rPr>
              <w:t>）×10⁻⁶计算，得出理论干沉渣量约为41.58t/a</w:t>
            </w:r>
            <w:r>
              <w:rPr>
                <w:rFonts w:hint="eastAsia" w:cs="Times New Roman"/>
              </w:rPr>
              <w:t>（干重）</w:t>
            </w:r>
            <w:r>
              <w:rPr>
                <w:rFonts w:hint="eastAsia"/>
              </w:rPr>
              <w:t>。沉淀池沉渣属于《固体废物分类与代码目录》中的SW07类污泥，类别代码为900-099-S07，污泥定期清掏、晾晒干化后，送往一般工业固废填埋场。</w:t>
            </w:r>
          </w:p>
          <w:p>
            <w:pPr>
              <w:ind w:firstLine="480"/>
            </w:pPr>
            <w:r>
              <w:rPr>
                <w:rFonts w:hint="eastAsia"/>
              </w:rPr>
              <w:t>（</w:t>
            </w:r>
            <w:r>
              <w:t>4</w:t>
            </w:r>
            <w:r>
              <w:rPr>
                <w:rFonts w:hint="eastAsia"/>
              </w:rPr>
              <w:t>）废机油</w:t>
            </w:r>
          </w:p>
          <w:p>
            <w:pPr>
              <w:ind w:firstLine="480"/>
              <w:rPr>
                <w:rFonts w:cs="Times New Roman"/>
              </w:rPr>
            </w:pPr>
            <w:r>
              <w:rPr>
                <w:rFonts w:hint="eastAsia"/>
              </w:rPr>
              <w:t>项目生产设备保养及维修过程产生的废机油，根据《国家危险废物名录》（2</w:t>
            </w:r>
            <w:r>
              <w:t>025</w:t>
            </w:r>
            <w:r>
              <w:rPr>
                <w:rFonts w:hint="eastAsia"/>
              </w:rPr>
              <w:t>年版），废机油为危险废物，废物类别为</w:t>
            </w:r>
            <w:r>
              <w:t>HW08</w:t>
            </w:r>
            <w:r>
              <w:rPr>
                <w:rFonts w:hint="eastAsia"/>
              </w:rPr>
              <w:t>废矿物油与含矿物油废物，废物代码为</w:t>
            </w:r>
            <w:r>
              <w:t>900-21</w:t>
            </w:r>
            <w:r>
              <w:rPr>
                <w:bCs/>
              </w:rPr>
              <w:t>4-08</w:t>
            </w:r>
            <w:r>
              <w:rPr>
                <w:rFonts w:hint="eastAsia"/>
                <w:bCs/>
              </w:rPr>
              <w:t>，年产生量约</w:t>
            </w:r>
            <w:r>
              <w:rPr>
                <w:bCs/>
              </w:rPr>
              <w:t>0.1t/a</w:t>
            </w:r>
            <w:r>
              <w:rPr>
                <w:rFonts w:hint="eastAsia"/>
                <w:bCs/>
              </w:rPr>
              <w:t>。集中收集后存放于危险废物贮存点</w:t>
            </w:r>
            <w:r>
              <w:rPr>
                <w:rFonts w:cs="Times New Roman"/>
              </w:rPr>
              <w:t>，定期交由有危险废物处理资质的单位回收处理</w:t>
            </w:r>
            <w:r>
              <w:rPr>
                <w:rFonts w:hint="eastAsia" w:cs="Times New Roman"/>
              </w:rPr>
              <w:t>。</w:t>
            </w:r>
          </w:p>
          <w:p>
            <w:pPr>
              <w:ind w:firstLine="480"/>
            </w:pPr>
            <w:r>
              <w:rPr>
                <w:rFonts w:hint="eastAsia"/>
              </w:rPr>
              <w:t>（5）沾有废机油的废抹布和废手套</w:t>
            </w:r>
          </w:p>
          <w:p>
            <w:pPr>
              <w:ind w:firstLine="480"/>
            </w:pPr>
            <w:r>
              <w:rPr>
                <w:rFonts w:hint="eastAsia"/>
              </w:rPr>
              <w:t>项目在维护保养设备时会产生沾有废机油的废抹布和废手套，产生量为0.01t</w:t>
            </w:r>
            <w:r>
              <w:t>/</w:t>
            </w:r>
            <w:r>
              <w:rPr>
                <w:rFonts w:hint="eastAsia"/>
              </w:rPr>
              <w:t>a。根据</w:t>
            </w:r>
            <w:r>
              <w:rPr>
                <w:rFonts w:hint="eastAsia" w:cs="Times New Roman"/>
              </w:rPr>
              <w:t>《国家危险废物名录》（202</w:t>
            </w:r>
            <w:r>
              <w:rPr>
                <w:rFonts w:cs="Times New Roman"/>
              </w:rPr>
              <w:t>5</w:t>
            </w:r>
            <w:r>
              <w:rPr>
                <w:rFonts w:hint="eastAsia" w:cs="Times New Roman"/>
              </w:rPr>
              <w:t>版）</w:t>
            </w:r>
            <w:r>
              <w:rPr>
                <w:rFonts w:hint="eastAsia"/>
              </w:rPr>
              <w:t>，沾有废机油的废抹布和废手套属于HW49其他废物900-041-49含有或沾染毒性、感染性危险废物的废弃包装物、容器、过滤吸附介质中的危险废物，</w:t>
            </w:r>
            <w:r>
              <w:rPr>
                <w:rFonts w:hint="eastAsia" w:ascii="宋体" w:hAnsi="宋体" w:cs="宋体"/>
              </w:rPr>
              <w:t>集中收集后存放于危险废物贮存点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rFonts w:hint="eastAsia"/>
              </w:rPr>
              <w:t>。</w:t>
            </w:r>
          </w:p>
          <w:p>
            <w:pPr>
              <w:autoSpaceDE w:val="0"/>
              <w:autoSpaceDN w:val="0"/>
              <w:ind w:firstLine="480"/>
              <w:rPr>
                <w:color w:val="000000"/>
              </w:rPr>
            </w:pPr>
            <w:r>
              <w:rPr>
                <w:rFonts w:hint="eastAsia"/>
              </w:rPr>
              <w:t>（6）</w:t>
            </w:r>
            <w:r>
              <w:rPr>
                <w:color w:val="000000"/>
              </w:rPr>
              <w:t>废</w:t>
            </w:r>
            <w:r>
              <w:rPr>
                <w:rFonts w:hint="eastAsia"/>
                <w:color w:val="000000"/>
              </w:rPr>
              <w:t>机油</w:t>
            </w:r>
            <w:r>
              <w:rPr>
                <w:kern w:val="0"/>
              </w:rPr>
              <w:t>桶</w:t>
            </w:r>
          </w:p>
          <w:p>
            <w:pPr>
              <w:ind w:firstLine="480"/>
            </w:pPr>
            <w:r>
              <w:rPr>
                <w:color w:val="0F1115"/>
                <w:shd w:val="clear" w:color="auto" w:fill="FFFFFF"/>
              </w:rPr>
              <w:t>项目设备检维修过程中，更换润滑油会产生</w:t>
            </w:r>
            <w:r>
              <w:rPr>
                <w:color w:val="000000"/>
              </w:rPr>
              <w:t>废</w:t>
            </w:r>
            <w:r>
              <w:rPr>
                <w:rFonts w:hint="eastAsia"/>
                <w:color w:val="000000"/>
              </w:rPr>
              <w:t>机油</w:t>
            </w:r>
            <w:r>
              <w:rPr>
                <w:color w:val="0F1115"/>
                <w:shd w:val="clear" w:color="auto" w:fill="FFFFFF"/>
              </w:rPr>
              <w:t>桶。产生量为0.01t/a，</w:t>
            </w:r>
            <w:r>
              <w:rPr>
                <w:rFonts w:hint="eastAsia"/>
                <w:color w:val="0F1115"/>
                <w:shd w:val="clear" w:color="auto" w:fill="FFFFFF"/>
              </w:rPr>
              <w:t>废机油桶</w:t>
            </w:r>
            <w:r>
              <w:rPr>
                <w:snapToGrid w:val="0"/>
                <w:kern w:val="0"/>
              </w:rPr>
              <w:t>属于《国家危险废物名录（2025年）》所列的HW08非特定行业中900-249-08</w:t>
            </w:r>
            <w:r>
              <w:rPr>
                <w:rFonts w:hint="eastAsia"/>
                <w:snapToGrid w:val="0"/>
                <w:kern w:val="0"/>
              </w:rPr>
              <w:t>“</w:t>
            </w:r>
            <w:r>
              <w:rPr>
                <w:snapToGrid w:val="0"/>
                <w:kern w:val="0"/>
              </w:rPr>
              <w:t>其他生产、销售、使用过程中产生的废矿物油及沾染矿物油的废弃包装物</w:t>
            </w:r>
            <w:r>
              <w:rPr>
                <w:rFonts w:hint="eastAsia"/>
                <w:snapToGrid w:val="0"/>
                <w:kern w:val="0"/>
              </w:rPr>
              <w:t>”</w:t>
            </w:r>
            <w:r>
              <w:rPr>
                <w:snapToGrid w:val="0"/>
                <w:kern w:val="0"/>
              </w:rPr>
              <w:t>，</w:t>
            </w:r>
            <w:r>
              <w:rPr>
                <w:rFonts w:hint="eastAsia" w:ascii="宋体" w:hAnsi="宋体" w:cs="宋体"/>
              </w:rPr>
              <w:t>集中收集后存放于危险废物贮存点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snapToGrid w:val="0"/>
                <w:kern w:val="0"/>
              </w:rPr>
              <w:t>。</w:t>
            </w:r>
          </w:p>
          <w:bookmarkEnd w:id="18"/>
          <w:p>
            <w:pPr>
              <w:spacing w:before="163" w:beforeLines="50" w:line="240" w:lineRule="auto"/>
              <w:ind w:firstLine="0" w:firstLineChars="0"/>
              <w:jc w:val="center"/>
              <w:rPr>
                <w:rFonts w:cs="Times New Roman"/>
                <w:b/>
                <w:color w:val="000000"/>
                <w:sz w:val="21"/>
              </w:rPr>
            </w:pPr>
            <w:r>
              <w:rPr>
                <w:rFonts w:hint="eastAsia" w:cs="Times New Roman"/>
                <w:b/>
                <w:color w:val="000000"/>
                <w:sz w:val="21"/>
              </w:rPr>
              <w:t>表4</w:t>
            </w:r>
            <w:r>
              <w:rPr>
                <w:rFonts w:cs="Times New Roman"/>
                <w:b/>
                <w:color w:val="000000"/>
                <w:sz w:val="21"/>
              </w:rPr>
              <w:t xml:space="preserve">-6  </w:t>
            </w:r>
            <w:r>
              <w:rPr>
                <w:rFonts w:hint="eastAsia" w:cs="Times New Roman"/>
                <w:b/>
                <w:color w:val="000000"/>
                <w:sz w:val="21"/>
              </w:rPr>
              <w:t>固体废物产生情况一览表</w:t>
            </w:r>
          </w:p>
          <w:tbl>
            <w:tblPr>
              <w:tblStyle w:val="24"/>
              <w:tblW w:w="85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5"/>
              <w:gridCol w:w="998"/>
              <w:gridCol w:w="780"/>
              <w:gridCol w:w="978"/>
              <w:gridCol w:w="625"/>
              <w:gridCol w:w="989"/>
              <w:gridCol w:w="1313"/>
              <w:gridCol w:w="754"/>
              <w:gridCol w:w="15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序号</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固体废物名称</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产污环节</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属性</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物理性状</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w:t>
                  </w:r>
                  <w:r>
                    <w:rPr>
                      <w:rFonts w:hint="eastAsia" w:cs="Times New Roman"/>
                      <w:color w:val="000000"/>
                      <w:sz w:val="21"/>
                      <w:szCs w:val="21"/>
                    </w:rPr>
                    <w:t>类别</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固体废物及危险废物编码</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环境危险特性</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1</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sz w:val="21"/>
                      <w:szCs w:val="21"/>
                    </w:rPr>
                    <w:t>沉淀池</w:t>
                  </w:r>
                  <w:r>
                    <w:rPr>
                      <w:rFonts w:hint="eastAsia" w:cs="Times New Roman"/>
                      <w:sz w:val="21"/>
                      <w:szCs w:val="21"/>
                    </w:rPr>
                    <w:t>沉渣</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沉淀池</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SW07</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900-099-S07</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41.58t/a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2</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员工</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hint="eastAsia"/>
                      <w:color w:val="000000"/>
                      <w:sz w:val="21"/>
                      <w:szCs w:val="21"/>
                    </w:rPr>
                    <w:t>SW64</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900-099-S64</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0.36t/a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3</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分拣废料</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原料清洗</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SW59</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900-099-S59</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300t/a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4</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w:t>
                  </w:r>
                </w:p>
              </w:tc>
              <w:tc>
                <w:tcPr>
                  <w:tcW w:w="780" w:type="dxa"/>
                  <w:vMerge w:val="restar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设备检修、维护</w:t>
                  </w:r>
                </w:p>
              </w:tc>
              <w:tc>
                <w:tcPr>
                  <w:tcW w:w="978" w:type="dxa"/>
                  <w:vMerge w:val="restart"/>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危险</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液态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900-214-08</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0.1t/a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5</w:t>
                  </w:r>
                </w:p>
              </w:tc>
              <w:tc>
                <w:tcPr>
                  <w:tcW w:w="998" w:type="dxa"/>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沾有废机油的废抹布和废手套</w:t>
                  </w:r>
                </w:p>
              </w:tc>
              <w:tc>
                <w:tcPr>
                  <w:tcW w:w="780" w:type="dxa"/>
                  <w:vMerge w:val="continue"/>
                  <w:vAlign w:val="center"/>
                </w:tcPr>
                <w:p>
                  <w:pPr>
                    <w:spacing w:line="240" w:lineRule="auto"/>
                    <w:ind w:firstLine="0" w:firstLineChars="0"/>
                    <w:contextualSpacing/>
                    <w:rPr>
                      <w:rFonts w:cs="Times New Roman"/>
                      <w:color w:val="000000"/>
                      <w:sz w:val="21"/>
                      <w:szCs w:val="21"/>
                    </w:rPr>
                  </w:pPr>
                </w:p>
              </w:tc>
              <w:tc>
                <w:tcPr>
                  <w:tcW w:w="978" w:type="dxa"/>
                  <w:vMerge w:val="continue"/>
                  <w:vAlign w:val="center"/>
                </w:tcPr>
                <w:p>
                  <w:pPr>
                    <w:spacing w:line="240" w:lineRule="auto"/>
                    <w:ind w:firstLine="0" w:firstLineChars="0"/>
                    <w:contextualSpacing/>
                    <w:jc w:val="center"/>
                    <w:rPr>
                      <w:rFonts w:cs="Times New Roman"/>
                      <w:color w:val="000000"/>
                      <w:sz w:val="21"/>
                      <w:szCs w:val="21"/>
                    </w:rPr>
                  </w:pP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HW49</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sz w:val="21"/>
                      <w:szCs w:val="21"/>
                    </w:rPr>
                    <w:t>900-041-49</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T/In</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6</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废机油桶</w:t>
                  </w:r>
                </w:p>
              </w:tc>
              <w:tc>
                <w:tcPr>
                  <w:tcW w:w="780" w:type="dxa"/>
                  <w:vMerge w:val="continue"/>
                  <w:vAlign w:val="center"/>
                </w:tcPr>
                <w:p>
                  <w:pPr>
                    <w:spacing w:line="240" w:lineRule="auto"/>
                    <w:ind w:firstLine="0" w:firstLineChars="0"/>
                    <w:contextualSpacing/>
                    <w:rPr>
                      <w:rFonts w:cs="Times New Roman"/>
                      <w:color w:val="000000"/>
                      <w:sz w:val="21"/>
                      <w:szCs w:val="21"/>
                    </w:rPr>
                  </w:pPr>
                </w:p>
              </w:tc>
              <w:tc>
                <w:tcPr>
                  <w:tcW w:w="978" w:type="dxa"/>
                  <w:vMerge w:val="continue"/>
                  <w:vAlign w:val="center"/>
                </w:tcPr>
                <w:p>
                  <w:pPr>
                    <w:spacing w:line="240" w:lineRule="auto"/>
                    <w:ind w:firstLine="0" w:firstLineChars="0"/>
                    <w:contextualSpacing/>
                    <w:jc w:val="center"/>
                    <w:rPr>
                      <w:rFonts w:cs="Times New Roman"/>
                      <w:color w:val="000000"/>
                      <w:sz w:val="21"/>
                      <w:szCs w:val="21"/>
                    </w:rPr>
                  </w:pP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snapToGrid w:val="0"/>
                      <w:kern w:val="0"/>
                      <w:sz w:val="21"/>
                      <w:szCs w:val="21"/>
                    </w:rPr>
                    <w:t>900-249-08</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bl>
          <w:p>
            <w:pPr>
              <w:ind w:firstLine="0" w:firstLineChars="0"/>
              <w:jc w:val="left"/>
              <w:textAlignment w:val="auto"/>
              <w:rPr>
                <w:b/>
                <w:bCs/>
              </w:rPr>
            </w:pPr>
            <w:r>
              <w:rPr>
                <w:rFonts w:hint="eastAsia" w:cs="Times New Roman"/>
                <w:b/>
                <w:bCs/>
                <w:snapToGrid w:val="0"/>
                <w:color w:val="000000"/>
                <w:kern w:val="0"/>
                <w:szCs w:val="24"/>
              </w:rPr>
              <w:t>4.2.4.1</w:t>
            </w:r>
            <w:r>
              <w:rPr>
                <w:rFonts w:hint="eastAsia"/>
                <w:b/>
                <w:bCs/>
              </w:rPr>
              <w:t>一般固体废物暂存间建设及管理要求</w:t>
            </w:r>
          </w:p>
          <w:p>
            <w:pPr>
              <w:widowControl/>
              <w:adjustRightInd w:val="0"/>
              <w:snapToGrid w:val="0"/>
              <w:ind w:firstLine="480"/>
            </w:pPr>
            <w:r>
              <w:t>1）一般固体废物暂存区按照《一般工业固体废物贮存和填埋污染物控制</w:t>
            </w:r>
            <w:r>
              <w:rPr>
                <w:rFonts w:hint="eastAsia"/>
              </w:rPr>
              <w:t>标准</w:t>
            </w:r>
            <w:r>
              <w:t>》（GB18599-2020）中标准要求进行管理；</w:t>
            </w:r>
          </w:p>
          <w:p>
            <w:pPr>
              <w:widowControl/>
              <w:adjustRightInd w:val="0"/>
              <w:snapToGrid w:val="0"/>
              <w:ind w:firstLine="480"/>
            </w:pPr>
            <w:r>
              <w:rPr>
                <w:rFonts w:hint="eastAsia"/>
              </w:rPr>
              <w:t>2）</w:t>
            </w:r>
            <w:r>
              <w:t>对固体废物实行从产生、收集、运输、贮存直至最终处理实行全过程管理，按照有关</w:t>
            </w:r>
            <w:r>
              <w:rPr>
                <w:rFonts w:hint="eastAsia"/>
              </w:rPr>
              <w:t>法律法规</w:t>
            </w:r>
            <w:r>
              <w:t>的要求，对固体废弃物全过程管理应报当地生态环境行政主管部门等批准。</w:t>
            </w:r>
          </w:p>
          <w:p>
            <w:pPr>
              <w:widowControl/>
              <w:adjustRightInd w:val="0"/>
              <w:snapToGrid w:val="0"/>
              <w:ind w:firstLine="480"/>
            </w:pPr>
            <w:r>
              <w:rPr>
                <w:rFonts w:hint="eastAsia"/>
              </w:rPr>
              <w:t>3）</w:t>
            </w:r>
            <w:r>
              <w:t>加强固体废物规范化管理，固体废物分类定点堆放，堆放场所远离办公区</w:t>
            </w:r>
            <w:r>
              <w:rPr>
                <w:rFonts w:hint="eastAsia"/>
              </w:rPr>
              <w:t>。</w:t>
            </w:r>
          </w:p>
          <w:p>
            <w:pPr>
              <w:widowControl/>
              <w:adjustRightInd w:val="0"/>
              <w:snapToGrid w:val="0"/>
              <w:ind w:firstLine="480"/>
              <w:jc w:val="left"/>
            </w:pPr>
            <w:r>
              <w:rPr>
                <w:rFonts w:hint="eastAsia"/>
              </w:rPr>
              <w:t>4）</w:t>
            </w:r>
            <w:r>
              <w:t>固体废物要及时清运，避免产生二次污染。</w:t>
            </w:r>
          </w:p>
          <w:p>
            <w:pPr>
              <w:widowControl/>
              <w:adjustRightInd w:val="0"/>
              <w:snapToGrid w:val="0"/>
              <w:ind w:firstLine="480"/>
              <w:jc w:val="left"/>
            </w:pPr>
            <w:r>
              <w:t>一般工业固体废物贮存、处置场，禁止危险废物和生活垃圾混入。贮存、处置场使用单位，应建立检查维护制度。发现有损坏可能或异常，应及时采取必要措施，以保障正常运行。贮存、处置场的使用单位，应建立档案制度。应将入场的一般工业固体废物的种类和数量，详细记录在案，长期保存，供随时查阅。贮存、处置场的环境保护图形标志，应按相关规定进行检查和维护。本项目一般固废暂存区位于</w:t>
            </w:r>
            <w:r>
              <w:rPr>
                <w:rFonts w:hint="eastAsia"/>
              </w:rPr>
              <w:t>车间内</w:t>
            </w:r>
            <w:r>
              <w:t>，地面全部硬化处理，遵守以上管理要求，确保一般固体废物合理处置。</w:t>
            </w:r>
          </w:p>
          <w:p>
            <w:pPr>
              <w:ind w:firstLine="0" w:firstLineChars="0"/>
              <w:jc w:val="left"/>
              <w:textAlignment w:val="auto"/>
              <w:rPr>
                <w:b/>
                <w:bCs/>
              </w:rPr>
            </w:pPr>
            <w:r>
              <w:rPr>
                <w:rFonts w:hint="eastAsia" w:cs="Times New Roman"/>
                <w:b/>
                <w:bCs/>
                <w:snapToGrid w:val="0"/>
                <w:color w:val="000000"/>
                <w:kern w:val="0"/>
                <w:szCs w:val="24"/>
              </w:rPr>
              <w:t>4.2.4.</w:t>
            </w:r>
            <w:r>
              <w:rPr>
                <w:rFonts w:cs="Times New Roman"/>
                <w:b/>
                <w:bCs/>
                <w:snapToGrid w:val="0"/>
                <w:color w:val="000000"/>
                <w:kern w:val="0"/>
                <w:szCs w:val="24"/>
              </w:rPr>
              <w:t>2</w:t>
            </w:r>
            <w:r>
              <w:rPr>
                <w:rFonts w:hint="eastAsia" w:cs="Times New Roman"/>
                <w:b/>
                <w:bCs/>
                <w:snapToGrid w:val="0"/>
                <w:color w:val="000000"/>
                <w:kern w:val="0"/>
                <w:szCs w:val="24"/>
              </w:rPr>
              <w:t>危险废物</w:t>
            </w:r>
            <w:r>
              <w:rPr>
                <w:rFonts w:hint="eastAsia"/>
                <w:b/>
                <w:bCs/>
              </w:rPr>
              <w:t>贮存点环境管理要求</w:t>
            </w:r>
          </w:p>
          <w:p>
            <w:pPr>
              <w:ind w:firstLine="480"/>
              <w:jc w:val="left"/>
              <w:textAlignment w:val="auto"/>
              <w:rPr>
                <w:b/>
                <w:bCs/>
              </w:rPr>
            </w:pPr>
            <w:r>
              <w:rPr>
                <w:rFonts w:hint="eastAsia"/>
              </w:rPr>
              <w:t>危险废物集中收集后，分区存放于危险废物贮存点，定期交由有危险废物处理资质的单位回收处理</w:t>
            </w:r>
            <w:r>
              <w:t>。</w:t>
            </w:r>
          </w:p>
          <w:p>
            <w:pPr>
              <w:ind w:left="480" w:leftChars="200" w:firstLine="0" w:firstLineChars="0"/>
              <w:jc w:val="left"/>
              <w:textAlignment w:val="auto"/>
            </w:pPr>
            <w:r>
              <w:rPr>
                <w:rFonts w:hint="eastAsia"/>
              </w:rPr>
              <w:t>1）贮存点应具有固定的区域边界，并应采取与其他区域进行隔离的措施。2）贮存点应采取防风、防雨、防晒和防止危险废物流失、扬散等措施。</w:t>
            </w:r>
          </w:p>
          <w:p>
            <w:pPr>
              <w:ind w:firstLine="480"/>
              <w:jc w:val="left"/>
              <w:textAlignment w:val="auto"/>
            </w:pPr>
            <w:r>
              <w:rPr>
                <w:rFonts w:hint="eastAsia"/>
              </w:rPr>
              <w:t>3）贮存点贮存的危险废物应置于容器或包装物中，不应直接散堆。</w:t>
            </w:r>
          </w:p>
          <w:p>
            <w:pPr>
              <w:ind w:firstLine="480"/>
              <w:jc w:val="left"/>
              <w:textAlignment w:val="auto"/>
            </w:pPr>
            <w:r>
              <w:rPr>
                <w:rFonts w:hint="eastAsia"/>
              </w:rPr>
              <w:t>4）贮存点应根据危险废物的形态、物理化学性质、包装形式等，采取防渗、防漏等污染防治措施或采用具有相应功能的装置。</w:t>
            </w:r>
          </w:p>
          <w:p>
            <w:pPr>
              <w:ind w:firstLine="480"/>
              <w:jc w:val="left"/>
              <w:textAlignment w:val="auto"/>
            </w:pPr>
            <w:r>
              <w:rPr>
                <w:rFonts w:hint="eastAsia"/>
              </w:rPr>
              <w:t>5）贮存点应及时清运贮存的危险废物，实时贮存量不应超过</w:t>
            </w:r>
            <w:r>
              <w:t>3</w:t>
            </w:r>
            <w:r>
              <w:rPr>
                <w:rFonts w:hint="eastAsia"/>
              </w:rPr>
              <w:t>吨。</w:t>
            </w:r>
          </w:p>
          <w:p>
            <w:pPr>
              <w:ind w:firstLine="480"/>
              <w:jc w:val="left"/>
              <w:textAlignment w:val="auto"/>
            </w:pPr>
            <w:r>
              <w:rPr>
                <w:rFonts w:hint="eastAsia"/>
              </w:rPr>
              <w:t>（</w:t>
            </w:r>
            <w:r>
              <w:t>2</w:t>
            </w:r>
            <w:r>
              <w:rPr>
                <w:rFonts w:hint="eastAsia"/>
              </w:rPr>
              <w:t>）危险废物贮存点标识要求</w:t>
            </w:r>
          </w:p>
          <w:p>
            <w:pPr>
              <w:ind w:firstLine="480"/>
              <w:jc w:val="left"/>
              <w:textAlignment w:val="auto"/>
            </w:pPr>
            <w:r>
              <w:rPr>
                <w:rFonts w:hint="eastAsia"/>
                <w:color w:val="000000"/>
              </w:rPr>
              <w:t>贮存点不用设置贮存分区标志，存放在贮存点的危险废物包装容器应按照标准要求设置危险废物标签</w:t>
            </w:r>
            <w:r>
              <w:t>，具体要求如下</w:t>
            </w:r>
            <w:r>
              <w:rPr>
                <w:rFonts w:hint="eastAsia"/>
              </w:rPr>
              <w:t>：</w:t>
            </w:r>
          </w:p>
          <w:p>
            <w:pPr>
              <w:adjustRightInd w:val="0"/>
              <w:snapToGrid w:val="0"/>
              <w:spacing w:line="240" w:lineRule="auto"/>
              <w:ind w:firstLine="422"/>
              <w:jc w:val="center"/>
              <w:rPr>
                <w:b/>
                <w:bCs/>
                <w:kern w:val="0"/>
                <w:sz w:val="21"/>
                <w:szCs w:val="21"/>
              </w:rPr>
            </w:pPr>
            <w:r>
              <w:rPr>
                <w:b/>
                <w:bCs/>
                <w:kern w:val="0"/>
                <w:sz w:val="21"/>
                <w:szCs w:val="21"/>
              </w:rPr>
              <w:t>表4-7</w:t>
            </w:r>
            <w:r>
              <w:rPr>
                <w:rFonts w:hint="eastAsia"/>
                <w:b/>
                <w:bCs/>
                <w:kern w:val="0"/>
                <w:sz w:val="21"/>
                <w:szCs w:val="21"/>
              </w:rPr>
              <w:t xml:space="preserve">  </w:t>
            </w:r>
            <w:r>
              <w:rPr>
                <w:b/>
                <w:bCs/>
                <w:kern w:val="0"/>
                <w:sz w:val="21"/>
                <w:szCs w:val="21"/>
              </w:rPr>
              <w:t>危险废物</w:t>
            </w:r>
            <w:r>
              <w:rPr>
                <w:rFonts w:hint="eastAsia"/>
                <w:b/>
                <w:bCs/>
                <w:kern w:val="0"/>
                <w:sz w:val="21"/>
                <w:szCs w:val="21"/>
              </w:rPr>
              <w:t>贮存点</w:t>
            </w:r>
            <w:r>
              <w:rPr>
                <w:b/>
                <w:bCs/>
                <w:kern w:val="0"/>
                <w:sz w:val="21"/>
                <w:szCs w:val="21"/>
              </w:rPr>
              <w:t>及</w:t>
            </w:r>
            <w:r>
              <w:rPr>
                <w:rFonts w:hint="eastAsia"/>
                <w:b/>
                <w:bCs/>
                <w:kern w:val="0"/>
                <w:sz w:val="21"/>
                <w:szCs w:val="21"/>
              </w:rPr>
              <w:t>贮存</w:t>
            </w:r>
            <w:r>
              <w:rPr>
                <w:b/>
                <w:bCs/>
                <w:kern w:val="0"/>
                <w:sz w:val="21"/>
                <w:szCs w:val="21"/>
              </w:rPr>
              <w:t>容器标签示例</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3313"/>
              <w:gridCol w:w="4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6" w:hRule="atLeast"/>
                <w:jc w:val="center"/>
              </w:trPr>
              <w:tc>
                <w:tcPr>
                  <w:tcW w:w="362" w:type="pct"/>
                  <w:vAlign w:val="center"/>
                </w:tcPr>
                <w:p>
                  <w:pPr>
                    <w:spacing w:line="240" w:lineRule="auto"/>
                    <w:ind w:firstLine="0" w:firstLineChars="0"/>
                    <w:jc w:val="center"/>
                    <w:rPr>
                      <w:rFonts w:cs="Times New Roman"/>
                      <w:sz w:val="21"/>
                      <w:szCs w:val="21"/>
                    </w:rPr>
                  </w:pPr>
                  <w:r>
                    <w:rPr>
                      <w:rFonts w:cs="Times New Roman"/>
                      <w:sz w:val="21"/>
                      <w:szCs w:val="21"/>
                    </w:rPr>
                    <w:t>场合</w:t>
                  </w:r>
                </w:p>
              </w:tc>
              <w:tc>
                <w:tcPr>
                  <w:tcW w:w="1934" w:type="pct"/>
                  <w:vAlign w:val="center"/>
                </w:tcPr>
                <w:p>
                  <w:pPr>
                    <w:spacing w:line="240" w:lineRule="auto"/>
                    <w:ind w:firstLine="0" w:firstLineChars="0"/>
                    <w:jc w:val="center"/>
                    <w:rPr>
                      <w:rFonts w:cs="Times New Roman"/>
                      <w:sz w:val="21"/>
                      <w:szCs w:val="21"/>
                    </w:rPr>
                  </w:pPr>
                  <w:r>
                    <w:rPr>
                      <w:rFonts w:cs="Times New Roman"/>
                      <w:sz w:val="21"/>
                      <w:szCs w:val="21"/>
                    </w:rPr>
                    <w:t>样式</w:t>
                  </w:r>
                </w:p>
              </w:tc>
              <w:tc>
                <w:tcPr>
                  <w:tcW w:w="2703" w:type="pct"/>
                  <w:vAlign w:val="center"/>
                </w:tcPr>
                <w:p>
                  <w:pPr>
                    <w:spacing w:line="240" w:lineRule="auto"/>
                    <w:ind w:firstLine="0" w:firstLineChars="0"/>
                    <w:jc w:val="center"/>
                    <w:rPr>
                      <w:rFonts w:cs="Times New Roman"/>
                      <w:sz w:val="21"/>
                      <w:szCs w:val="21"/>
                    </w:rPr>
                  </w:pPr>
                  <w:r>
                    <w:rPr>
                      <w:rFonts w:cs="Times New Roman"/>
                      <w:sz w:val="21"/>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362" w:type="pct"/>
                  <w:vAlign w:val="center"/>
                </w:tcPr>
                <w:p>
                  <w:pPr>
                    <w:spacing w:line="240" w:lineRule="auto"/>
                    <w:ind w:firstLine="0" w:firstLineChars="0"/>
                    <w:jc w:val="center"/>
                    <w:rPr>
                      <w:rFonts w:cs="Times New Roman"/>
                      <w:sz w:val="21"/>
                      <w:szCs w:val="21"/>
                    </w:rPr>
                  </w:pPr>
                  <w:r>
                    <w:rPr>
                      <w:rFonts w:cs="Times New Roman"/>
                      <w:sz w:val="21"/>
                      <w:szCs w:val="21"/>
                    </w:rPr>
                    <w:t>室外（粘贴于门上或悬挂）</w:t>
                  </w:r>
                </w:p>
              </w:tc>
              <w:tc>
                <w:tcPr>
                  <w:tcW w:w="1934" w:type="pct"/>
                  <w:vAlign w:val="center"/>
                </w:tcPr>
                <w:p>
                  <w:pPr>
                    <w:spacing w:line="240" w:lineRule="auto"/>
                    <w:ind w:firstLine="0" w:firstLineChars="0"/>
                    <w:jc w:val="center"/>
                    <w:rPr>
                      <w:rFonts w:cs="Times New Roman"/>
                      <w:sz w:val="21"/>
                      <w:szCs w:val="21"/>
                    </w:rPr>
                  </w:pPr>
                  <w:r>
                    <w:rPr>
                      <w:rFonts w:cs="Times New Roman"/>
                      <w:sz w:val="21"/>
                      <w:szCs w:val="21"/>
                    </w:rPr>
                    <w:drawing>
                      <wp:inline distT="0" distB="0" distL="0" distR="0">
                        <wp:extent cx="1811020" cy="1445260"/>
                        <wp:effectExtent l="0" t="0" r="2540" b="2540"/>
                        <wp:docPr id="17" name="图片 17" descr="76f8b46a0d578491487eb8817752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6f8b46a0d578491487eb881775216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1416" cy="1453587"/>
                                </a:xfrm>
                                <a:prstGeom prst="rect">
                                  <a:avLst/>
                                </a:prstGeom>
                                <a:noFill/>
                                <a:ln>
                                  <a:noFill/>
                                </a:ln>
                              </pic:spPr>
                            </pic:pic>
                          </a:graphicData>
                        </a:graphic>
                      </wp:inline>
                    </w:drawing>
                  </w:r>
                </w:p>
              </w:tc>
              <w:tc>
                <w:tcPr>
                  <w:tcW w:w="2703" w:type="pct"/>
                  <w:vAlign w:val="center"/>
                </w:tcPr>
                <w:p>
                  <w:pPr>
                    <w:spacing w:line="300" w:lineRule="exact"/>
                    <w:ind w:firstLine="0" w:firstLineChars="0"/>
                    <w:textAlignment w:val="auto"/>
                    <w:rPr>
                      <w:rFonts w:cs="Times New Roman"/>
                      <w:sz w:val="21"/>
                      <w:szCs w:val="21"/>
                    </w:rPr>
                  </w:pPr>
                  <w:r>
                    <w:rPr>
                      <w:rFonts w:hint="eastAsia" w:cs="Times New Roman"/>
                      <w:sz w:val="21"/>
                      <w:szCs w:val="21"/>
                    </w:rPr>
                    <w:t>1.</w:t>
                  </w:r>
                  <w:r>
                    <w:rPr>
                      <w:rFonts w:cs="Times New Roman"/>
                      <w:sz w:val="21"/>
                      <w:szCs w:val="21"/>
                    </w:rPr>
                    <w:t>危险废物标签尺寸颜色</w:t>
                  </w:r>
                  <w:r>
                    <w:rPr>
                      <w:rFonts w:hint="eastAsia" w:cs="Times New Roman"/>
                      <w:sz w:val="21"/>
                      <w:szCs w:val="21"/>
                    </w:rPr>
                    <w:t>；</w:t>
                  </w:r>
                  <w:r>
                    <w:rPr>
                      <w:rFonts w:cs="Times New Roman"/>
                      <w:sz w:val="21"/>
                      <w:szCs w:val="21"/>
                    </w:rPr>
                    <w:t>尺寸</w:t>
                  </w:r>
                  <w:r>
                    <w:rPr>
                      <w:rFonts w:hint="eastAsia" w:cs="Times New Roman"/>
                      <w:sz w:val="21"/>
                      <w:szCs w:val="21"/>
                    </w:rPr>
                    <w:t>：</w:t>
                  </w:r>
                  <w:r>
                    <w:rPr>
                      <w:rFonts w:cs="Times New Roman"/>
                      <w:sz w:val="21"/>
                      <w:szCs w:val="21"/>
                    </w:rPr>
                    <w:t>40x40cm；</w:t>
                  </w:r>
                </w:p>
                <w:p>
                  <w:pPr>
                    <w:spacing w:line="300" w:lineRule="exact"/>
                    <w:ind w:firstLine="0" w:firstLineChars="0"/>
                    <w:jc w:val="center"/>
                    <w:rPr>
                      <w:rFonts w:cs="Times New Roman"/>
                      <w:sz w:val="21"/>
                      <w:szCs w:val="21"/>
                    </w:rPr>
                  </w:pPr>
                  <w:r>
                    <w:rPr>
                      <w:rFonts w:cs="Times New Roman"/>
                      <w:sz w:val="21"/>
                      <w:szCs w:val="21"/>
                    </w:rPr>
                    <w:t>底色</w:t>
                  </w:r>
                  <w:r>
                    <w:rPr>
                      <w:rFonts w:hint="eastAsia" w:cs="Times New Roman"/>
                      <w:sz w:val="21"/>
                      <w:szCs w:val="21"/>
                    </w:rPr>
                    <w:t>：</w:t>
                  </w:r>
                  <w:r>
                    <w:rPr>
                      <w:rFonts w:cs="Times New Roman"/>
                      <w:sz w:val="21"/>
                      <w:szCs w:val="21"/>
                    </w:rPr>
                    <w:t>醒目的橘黄色字体</w:t>
                  </w:r>
                  <w:r>
                    <w:rPr>
                      <w:rFonts w:hint="eastAsia" w:cs="Times New Roman"/>
                      <w:sz w:val="21"/>
                      <w:szCs w:val="21"/>
                    </w:rPr>
                    <w:t>：</w:t>
                  </w:r>
                  <w:r>
                    <w:rPr>
                      <w:rFonts w:cs="Times New Roman"/>
                      <w:sz w:val="21"/>
                      <w:szCs w:val="21"/>
                    </w:rPr>
                    <w:t>黑体字字体颜色</w:t>
                  </w:r>
                  <w:r>
                    <w:rPr>
                      <w:rFonts w:hint="eastAsia" w:cs="Times New Roman"/>
                      <w:sz w:val="21"/>
                      <w:szCs w:val="21"/>
                    </w:rPr>
                    <w:t>：</w:t>
                  </w:r>
                  <w:r>
                    <w:rPr>
                      <w:rFonts w:cs="Times New Roman"/>
                      <w:sz w:val="21"/>
                      <w:szCs w:val="21"/>
                    </w:rPr>
                    <w:t>黑色。</w:t>
                  </w:r>
                </w:p>
                <w:p>
                  <w:pPr>
                    <w:spacing w:line="240" w:lineRule="auto"/>
                    <w:ind w:firstLine="0" w:firstLineChars="0"/>
                    <w:rPr>
                      <w:rFonts w:cs="Times New Roman"/>
                      <w:sz w:val="21"/>
                      <w:szCs w:val="21"/>
                    </w:rPr>
                  </w:pPr>
                  <w:r>
                    <w:rPr>
                      <w:rFonts w:hint="eastAsia" w:cs="Times New Roman"/>
                      <w:sz w:val="21"/>
                      <w:szCs w:val="21"/>
                    </w:rPr>
                    <w:t>2.</w:t>
                  </w:r>
                  <w:r>
                    <w:rPr>
                      <w:rFonts w:cs="Times New Roman"/>
                      <w:sz w:val="21"/>
                      <w:szCs w:val="21"/>
                    </w:rPr>
                    <w:t>危险类别</w:t>
                  </w:r>
                  <w:r>
                    <w:rPr>
                      <w:rFonts w:hint="eastAsia" w:cs="Times New Roman"/>
                      <w:sz w:val="21"/>
                      <w:szCs w:val="21"/>
                    </w:rPr>
                    <w:t>：</w:t>
                  </w:r>
                  <w:r>
                    <w:rPr>
                      <w:rFonts w:cs="Times New Roman"/>
                      <w:sz w:val="21"/>
                      <w:szCs w:val="21"/>
                    </w:rPr>
                    <w:t>按危险废物种类选择。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30" w:hRule="atLeast"/>
                <w:jc w:val="center"/>
              </w:trPr>
              <w:tc>
                <w:tcPr>
                  <w:tcW w:w="362" w:type="pct"/>
                  <w:vAlign w:val="center"/>
                </w:tcPr>
                <w:p>
                  <w:pPr>
                    <w:spacing w:line="240" w:lineRule="auto"/>
                    <w:ind w:firstLine="0" w:firstLineChars="0"/>
                    <w:jc w:val="center"/>
                    <w:rPr>
                      <w:rFonts w:cs="Times New Roman"/>
                      <w:sz w:val="21"/>
                      <w:szCs w:val="21"/>
                    </w:rPr>
                  </w:pPr>
                  <w:r>
                    <w:rPr>
                      <w:rFonts w:cs="Times New Roman"/>
                      <w:sz w:val="21"/>
                      <w:szCs w:val="21"/>
                    </w:rPr>
                    <w:t>粘贴于危险废物</w:t>
                  </w:r>
                  <w:r>
                    <w:rPr>
                      <w:rFonts w:hint="eastAsia" w:cs="Times New Roman"/>
                      <w:sz w:val="21"/>
                      <w:szCs w:val="21"/>
                    </w:rPr>
                    <w:t>贮存</w:t>
                  </w:r>
                  <w:r>
                    <w:rPr>
                      <w:rFonts w:cs="Times New Roman"/>
                      <w:sz w:val="21"/>
                      <w:szCs w:val="21"/>
                    </w:rPr>
                    <w:t>容器</w:t>
                  </w:r>
                </w:p>
              </w:tc>
              <w:tc>
                <w:tcPr>
                  <w:tcW w:w="1934" w:type="pct"/>
                  <w:vAlign w:val="center"/>
                </w:tcPr>
                <w:p>
                  <w:pPr>
                    <w:spacing w:line="240" w:lineRule="auto"/>
                    <w:ind w:firstLine="0" w:firstLineChars="0"/>
                    <w:jc w:val="center"/>
                    <w:rPr>
                      <w:rFonts w:cs="Times New Roman"/>
                      <w:sz w:val="21"/>
                      <w:szCs w:val="21"/>
                    </w:rPr>
                  </w:pPr>
                  <w:r>
                    <w:rPr>
                      <w:rFonts w:cs="Times New Roman"/>
                      <w:sz w:val="21"/>
                      <w:szCs w:val="21"/>
                    </w:rPr>
                    <w:drawing>
                      <wp:inline distT="0" distB="0" distL="0" distR="0">
                        <wp:extent cx="1970405" cy="1970405"/>
                        <wp:effectExtent l="0" t="0" r="10795" b="10795"/>
                        <wp:docPr id="11" name="图片 11" descr="f019db8573dcdbf680efac9fde3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19db8573dcdbf680efac9fde367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70689" cy="1970689"/>
                                </a:xfrm>
                                <a:prstGeom prst="rect">
                                  <a:avLst/>
                                </a:prstGeom>
                                <a:noFill/>
                                <a:ln>
                                  <a:noFill/>
                                </a:ln>
                              </pic:spPr>
                            </pic:pic>
                          </a:graphicData>
                        </a:graphic>
                      </wp:inline>
                    </w:drawing>
                  </w:r>
                </w:p>
              </w:tc>
              <w:tc>
                <w:tcPr>
                  <w:tcW w:w="2703" w:type="pct"/>
                  <w:vAlign w:val="center"/>
                </w:tcPr>
                <w:p>
                  <w:pPr>
                    <w:spacing w:line="300" w:lineRule="exact"/>
                    <w:ind w:firstLine="0" w:firstLineChars="0"/>
                    <w:rPr>
                      <w:rFonts w:cs="Times New Roman"/>
                      <w:sz w:val="21"/>
                      <w:szCs w:val="21"/>
                    </w:rPr>
                  </w:pPr>
                  <w:r>
                    <w:rPr>
                      <w:rFonts w:hint="eastAsia" w:cs="Times New Roman"/>
                      <w:sz w:val="21"/>
                      <w:szCs w:val="21"/>
                    </w:rPr>
                    <w:t>1.</w:t>
                  </w:r>
                  <w:r>
                    <w:rPr>
                      <w:rFonts w:cs="Times New Roman"/>
                      <w:sz w:val="21"/>
                      <w:szCs w:val="21"/>
                    </w:rPr>
                    <w:t>危险废物标签背景色应采用醒目的橘黄色，RGB颜色值为</w:t>
                  </w:r>
                  <w:r>
                    <w:rPr>
                      <w:rFonts w:hint="eastAsia" w:cs="Times New Roman"/>
                      <w:sz w:val="21"/>
                      <w:szCs w:val="21"/>
                    </w:rPr>
                    <w:t>（</w:t>
                  </w:r>
                  <w:r>
                    <w:rPr>
                      <w:rFonts w:cs="Times New Roman"/>
                      <w:sz w:val="21"/>
                      <w:szCs w:val="21"/>
                    </w:rPr>
                    <w:t>255,150,0</w:t>
                  </w:r>
                  <w:r>
                    <w:rPr>
                      <w:rFonts w:hint="eastAsia" w:cs="Times New Roman"/>
                      <w:sz w:val="21"/>
                      <w:szCs w:val="21"/>
                    </w:rPr>
                    <w:t>）</w:t>
                  </w:r>
                  <w:r>
                    <w:rPr>
                      <w:rFonts w:cs="Times New Roman"/>
                      <w:sz w:val="21"/>
                      <w:szCs w:val="21"/>
                    </w:rPr>
                    <w:t>。标签边框和字体颜色为黑色，RGB颜色值为</w:t>
                  </w:r>
                  <w:r>
                    <w:rPr>
                      <w:rFonts w:hint="eastAsia" w:cs="Times New Roman"/>
                      <w:sz w:val="21"/>
                      <w:szCs w:val="21"/>
                    </w:rPr>
                    <w:t>（</w:t>
                  </w:r>
                  <w:r>
                    <w:rPr>
                      <w:rFonts w:cs="Times New Roman"/>
                      <w:sz w:val="21"/>
                      <w:szCs w:val="21"/>
                    </w:rPr>
                    <w:t>0,0,0</w:t>
                  </w:r>
                  <w:r>
                    <w:rPr>
                      <w:rFonts w:hint="eastAsia" w:cs="Times New Roman"/>
                      <w:sz w:val="21"/>
                      <w:szCs w:val="21"/>
                    </w:rPr>
                    <w:t>）</w:t>
                  </w:r>
                  <w:r>
                    <w:rPr>
                      <w:rFonts w:cs="Times New Roman"/>
                      <w:sz w:val="21"/>
                      <w:szCs w:val="21"/>
                    </w:rPr>
                    <w:t>。</w:t>
                  </w:r>
                </w:p>
                <w:p>
                  <w:pPr>
                    <w:spacing w:line="300" w:lineRule="exact"/>
                    <w:ind w:firstLine="0" w:firstLineChars="0"/>
                    <w:rPr>
                      <w:rFonts w:cs="Times New Roman"/>
                      <w:sz w:val="21"/>
                      <w:szCs w:val="21"/>
                    </w:rPr>
                  </w:pPr>
                  <w:r>
                    <w:rPr>
                      <w:rFonts w:hint="eastAsia" w:cs="Times New Roman"/>
                      <w:sz w:val="21"/>
                      <w:szCs w:val="21"/>
                    </w:rPr>
                    <w:t>2.</w:t>
                  </w:r>
                  <w:r>
                    <w:rPr>
                      <w:rFonts w:cs="Times New Roman"/>
                      <w:sz w:val="21"/>
                      <w:szCs w:val="21"/>
                    </w:rPr>
                    <w:t>危险废物标签字体宜采用黑体字，其中“危险废物”字样应加粗放大。</w:t>
                  </w:r>
                </w:p>
                <w:p>
                  <w:pPr>
                    <w:spacing w:line="300" w:lineRule="exact"/>
                    <w:ind w:firstLine="0" w:firstLineChars="0"/>
                    <w:rPr>
                      <w:rFonts w:cs="Times New Roman"/>
                      <w:sz w:val="21"/>
                      <w:szCs w:val="21"/>
                    </w:rPr>
                  </w:pPr>
                  <w:r>
                    <w:rPr>
                      <w:rFonts w:hint="eastAsia" w:cs="Times New Roman"/>
                      <w:sz w:val="21"/>
                      <w:szCs w:val="21"/>
                    </w:rPr>
                    <w:t>3.</w:t>
                  </w:r>
                  <w:r>
                    <w:rPr>
                      <w:rFonts w:cs="Times New Roman"/>
                      <w:sz w:val="21"/>
                      <w:szCs w:val="21"/>
                    </w:rPr>
                    <w:t>尺寸</w:t>
                  </w:r>
                  <w:r>
                    <w:rPr>
                      <w:rFonts w:hint="eastAsia" w:cs="Times New Roman"/>
                      <w:sz w:val="21"/>
                      <w:szCs w:val="21"/>
                    </w:rPr>
                    <w:t>：</w:t>
                  </w:r>
                </w:p>
                <w:tbl>
                  <w:tblPr>
                    <w:tblStyle w:val="24"/>
                    <w:tblW w:w="4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4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1748" w:type="pct"/>
                      </w:tcPr>
                      <w:p>
                        <w:pPr>
                          <w:adjustRightInd w:val="0"/>
                          <w:snapToGrid w:val="0"/>
                          <w:spacing w:line="240" w:lineRule="auto"/>
                          <w:ind w:firstLine="0" w:firstLineChars="0"/>
                          <w:jc w:val="center"/>
                          <w:rPr>
                            <w:rFonts w:cs="Times New Roman"/>
                            <w:sz w:val="21"/>
                            <w:szCs w:val="21"/>
                          </w:rPr>
                        </w:pPr>
                        <w:r>
                          <w:rPr>
                            <w:rFonts w:cs="Times New Roman"/>
                            <w:sz w:val="21"/>
                            <w:szCs w:val="21"/>
                          </w:rPr>
                          <w:t>容器或包装物容积（L</w:t>
                        </w:r>
                        <w:r>
                          <w:rPr>
                            <w:rFonts w:hint="eastAsia" w:cs="Times New Roman"/>
                            <w:sz w:val="21"/>
                            <w:szCs w:val="21"/>
                          </w:rPr>
                          <w:t>）</w:t>
                        </w:r>
                      </w:p>
                    </w:tc>
                    <w:tc>
                      <w:tcPr>
                        <w:tcW w:w="1701" w:type="pct"/>
                      </w:tcPr>
                      <w:p>
                        <w:pPr>
                          <w:adjustRightInd w:val="0"/>
                          <w:snapToGrid w:val="0"/>
                          <w:spacing w:line="240" w:lineRule="auto"/>
                          <w:ind w:firstLine="0" w:firstLineChars="0"/>
                          <w:jc w:val="center"/>
                          <w:rPr>
                            <w:rFonts w:cs="Times New Roman"/>
                            <w:sz w:val="21"/>
                            <w:szCs w:val="21"/>
                          </w:rPr>
                        </w:pPr>
                        <w:r>
                          <w:rPr>
                            <w:rFonts w:cs="Times New Roman"/>
                            <w:sz w:val="21"/>
                            <w:szCs w:val="21"/>
                          </w:rPr>
                          <w:t>标签最小尺寸（mm×mm）</w:t>
                        </w:r>
                      </w:p>
                    </w:tc>
                    <w:tc>
                      <w:tcPr>
                        <w:tcW w:w="1550" w:type="pct"/>
                      </w:tcPr>
                      <w:p>
                        <w:pPr>
                          <w:adjustRightInd w:val="0"/>
                          <w:snapToGrid w:val="0"/>
                          <w:spacing w:line="240" w:lineRule="auto"/>
                          <w:ind w:firstLine="0" w:firstLineChars="0"/>
                          <w:jc w:val="center"/>
                          <w:rPr>
                            <w:rFonts w:cs="Times New Roman"/>
                            <w:sz w:val="21"/>
                            <w:szCs w:val="21"/>
                          </w:rPr>
                        </w:pPr>
                        <w:r>
                          <w:rPr>
                            <w:rFonts w:cs="Times New Roman"/>
                            <w:sz w:val="21"/>
                            <w:szCs w:val="21"/>
                          </w:rPr>
                          <w:t>低文字高度（mm）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100×100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＞50</w:t>
                        </w:r>
                        <w:r>
                          <w:rPr>
                            <w:rFonts w:hint="eastAsia" w:cs="Times New Roman"/>
                            <w:kern w:val="0"/>
                            <w:sz w:val="21"/>
                            <w:szCs w:val="21"/>
                          </w:rPr>
                          <w:t>~</w:t>
                        </w:r>
                        <w:r>
                          <w:rPr>
                            <w:rFonts w:cs="Times New Roman"/>
                            <w:kern w:val="0"/>
                            <w:sz w:val="21"/>
                            <w:szCs w:val="21"/>
                          </w:rPr>
                          <w:t>≤450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150×150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＞450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200×200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6</w:t>
                        </w:r>
                      </w:p>
                    </w:tc>
                  </w:tr>
                </w:tbl>
                <w:p>
                  <w:pPr>
                    <w:spacing w:line="300" w:lineRule="exact"/>
                    <w:ind w:firstLine="0" w:firstLineChars="0"/>
                    <w:rPr>
                      <w:rFonts w:cs="Times New Roman"/>
                      <w:kern w:val="0"/>
                      <w:sz w:val="21"/>
                      <w:szCs w:val="21"/>
                    </w:rPr>
                  </w:pPr>
                  <w:r>
                    <w:rPr>
                      <w:rFonts w:hint="eastAsia" w:cs="Times New Roman"/>
                      <w:kern w:val="0"/>
                      <w:sz w:val="21"/>
                      <w:szCs w:val="21"/>
                    </w:rPr>
                    <w:t>3.</w:t>
                  </w:r>
                  <w:r>
                    <w:rPr>
                      <w:rFonts w:cs="Times New Roman"/>
                      <w:kern w:val="0"/>
                      <w:sz w:val="21"/>
                      <w:szCs w:val="21"/>
                    </w:rPr>
                    <w:t>材质</w:t>
                  </w:r>
                </w:p>
                <w:p>
                  <w:pPr>
                    <w:spacing w:line="300" w:lineRule="exact"/>
                    <w:ind w:firstLine="0" w:firstLineChars="0"/>
                    <w:rPr>
                      <w:rFonts w:cs="Times New Roman"/>
                      <w:kern w:val="0"/>
                      <w:sz w:val="21"/>
                      <w:szCs w:val="21"/>
                    </w:rPr>
                  </w:pPr>
                  <w:r>
                    <w:rPr>
                      <w:rFonts w:cs="Times New Roman"/>
                      <w:kern w:val="0"/>
                      <w:sz w:val="21"/>
                      <w:szCs w:val="21"/>
                    </w:rPr>
                    <w:t>宜具有一定的耐用性和防水性。标签可采用不干胶印刷品，或印刷品外加防水塑料袋或塑封等。</w:t>
                  </w:r>
                </w:p>
                <w:p>
                  <w:pPr>
                    <w:spacing w:line="300" w:lineRule="exact"/>
                    <w:ind w:firstLine="0" w:firstLineChars="0"/>
                    <w:rPr>
                      <w:rFonts w:cs="Times New Roman"/>
                      <w:kern w:val="0"/>
                      <w:sz w:val="21"/>
                      <w:szCs w:val="21"/>
                    </w:rPr>
                  </w:pPr>
                  <w:r>
                    <w:rPr>
                      <w:rFonts w:hint="eastAsia" w:cs="Times New Roman"/>
                      <w:kern w:val="0"/>
                      <w:sz w:val="21"/>
                      <w:szCs w:val="21"/>
                    </w:rPr>
                    <w:t>4.</w:t>
                  </w:r>
                  <w:r>
                    <w:rPr>
                      <w:rFonts w:cs="Times New Roman"/>
                      <w:kern w:val="0"/>
                      <w:sz w:val="21"/>
                      <w:szCs w:val="21"/>
                    </w:rPr>
                    <w:t>印刷</w:t>
                  </w:r>
                </w:p>
                <w:p>
                  <w:pPr>
                    <w:spacing w:line="300" w:lineRule="exact"/>
                    <w:ind w:firstLine="0" w:firstLineChars="0"/>
                    <w:rPr>
                      <w:rFonts w:cs="Times New Roman"/>
                      <w:kern w:val="0"/>
                      <w:sz w:val="28"/>
                      <w:szCs w:val="20"/>
                    </w:rPr>
                  </w:pPr>
                  <w:r>
                    <w:rPr>
                      <w:rFonts w:cs="Times New Roman"/>
                      <w:kern w:val="0"/>
                      <w:sz w:val="21"/>
                      <w:szCs w:val="21"/>
                    </w:rPr>
                    <w:t>危险废物标签印刷的油墨应均匀，图案和文字应清晰、完整。危险废物标签的文字边缘宜加黑色边框，边框宽度不小于1mm，边框外宜留不小于3mm的空白。</w:t>
                  </w:r>
                </w:p>
              </w:tc>
            </w:tr>
          </w:tbl>
          <w:p>
            <w:pPr>
              <w:pStyle w:val="23"/>
              <w:adjustRightInd w:val="0"/>
              <w:snapToGrid w:val="0"/>
              <w:spacing w:after="0"/>
            </w:pPr>
            <w:r>
              <w:rPr>
                <w:rFonts w:hint="eastAsia"/>
              </w:rPr>
              <w:t>（</w:t>
            </w:r>
            <w:r>
              <w:t>3</w:t>
            </w:r>
            <w:r>
              <w:rPr>
                <w:rFonts w:hint="eastAsia"/>
              </w:rPr>
              <w:t>）台账管理制度</w:t>
            </w:r>
          </w:p>
          <w:p>
            <w:pPr>
              <w:pStyle w:val="23"/>
              <w:adjustRightInd w:val="0"/>
              <w:snapToGrid w:val="0"/>
              <w:spacing w:after="0"/>
            </w:pPr>
            <w:r>
              <w:rPr>
                <w:rFonts w:hint="eastAsia"/>
              </w:rPr>
              <w:t>①台账录入要及时、准确、清晰，便于查看。</w:t>
            </w:r>
          </w:p>
          <w:p>
            <w:pPr>
              <w:pStyle w:val="23"/>
              <w:adjustRightInd w:val="0"/>
              <w:snapToGrid w:val="0"/>
              <w:spacing w:after="0"/>
            </w:pPr>
            <w:r>
              <w:rPr>
                <w:rFonts w:hint="eastAsia"/>
              </w:rPr>
              <w:t>②台账要专人录入，数据、信息、记录内容要真实，与实际相符。</w:t>
            </w:r>
          </w:p>
          <w:p>
            <w:pPr>
              <w:pStyle w:val="23"/>
              <w:adjustRightInd w:val="0"/>
              <w:snapToGrid w:val="0"/>
              <w:spacing w:after="0"/>
            </w:pPr>
            <w:r>
              <w:rPr>
                <w:rFonts w:hint="eastAsia"/>
              </w:rPr>
              <w:t>③台账要设专人管理，定点存放。无关人员不得随意移动、查看。</w:t>
            </w:r>
          </w:p>
          <w:p>
            <w:pPr>
              <w:pStyle w:val="23"/>
              <w:adjustRightInd w:val="0"/>
              <w:snapToGrid w:val="0"/>
              <w:spacing w:after="0"/>
            </w:pPr>
            <w:r>
              <w:rPr>
                <w:rFonts w:hint="eastAsia"/>
              </w:rPr>
              <w:t>④重要台账必须以纸版与电子版两种形式保存。</w:t>
            </w:r>
          </w:p>
          <w:p>
            <w:pPr>
              <w:pStyle w:val="23"/>
              <w:adjustRightInd w:val="0"/>
              <w:snapToGrid w:val="0"/>
              <w:spacing w:after="0"/>
            </w:pPr>
            <w:r>
              <w:rPr>
                <w:rFonts w:hint="eastAsia"/>
              </w:rPr>
              <w:t>⑤业务部定期对台账数据进行审核，定期检查台账录入内容，确保台账数据的准确性、及时性和完整性。</w:t>
            </w:r>
          </w:p>
          <w:p>
            <w:pPr>
              <w:pStyle w:val="23"/>
              <w:adjustRightInd w:val="0"/>
              <w:snapToGrid w:val="0"/>
              <w:spacing w:after="0"/>
            </w:pPr>
            <w:r>
              <w:rPr>
                <w:rFonts w:hint="eastAsia"/>
              </w:rPr>
              <w:t>⑥安全台账应与其他台账分开放置，由专职安全员亲自管理。所有台账盒签必须统一打印，名称清楚、完整。项目产生的固体废物得到了合理处置或综合利用，不会对周围环境产生影响。</w:t>
            </w:r>
          </w:p>
          <w:p>
            <w:pPr>
              <w:pStyle w:val="23"/>
              <w:adjustRightInd w:val="0"/>
              <w:snapToGrid w:val="0"/>
              <w:spacing w:after="0"/>
            </w:pPr>
            <w:r>
              <w:rPr>
                <w:rFonts w:hint="eastAsia"/>
              </w:rPr>
              <w:t>（</w:t>
            </w:r>
            <w:r>
              <w:t>4</w:t>
            </w:r>
            <w:r>
              <w:rPr>
                <w:rFonts w:hint="eastAsia"/>
              </w:rPr>
              <w:t>）环境管理制度</w:t>
            </w:r>
          </w:p>
          <w:p>
            <w:pPr>
              <w:pStyle w:val="23"/>
              <w:adjustRightInd w:val="0"/>
              <w:snapToGrid w:val="0"/>
              <w:spacing w:after="0"/>
            </w:pPr>
            <w:r>
              <w:rPr>
                <w:rFonts w:hint="eastAsia"/>
              </w:rPr>
              <w:t>一般工业固体废物管理要求：根据《一般工业固废台账管理指南（试行）》中台账记录要求建议建设单位建立电子台账，实现一般工业固体废物管理台账的数字化、信息化。</w:t>
            </w:r>
          </w:p>
          <w:p>
            <w:pPr>
              <w:pStyle w:val="23"/>
              <w:adjustRightInd w:val="0"/>
              <w:snapToGrid w:val="0"/>
              <w:spacing w:after="0"/>
            </w:pPr>
            <w:r>
              <w:rPr>
                <w:rFonts w:hint="eastAsia"/>
              </w:rPr>
              <w:t>①一般工业固体废物管理台账实施分级管理。记录固体废物的基础信息及流向信息、产生、贮存以及自行利用处置的详细信息。</w:t>
            </w:r>
          </w:p>
          <w:p>
            <w:pPr>
              <w:pStyle w:val="23"/>
              <w:adjustRightInd w:val="0"/>
              <w:snapToGrid w:val="0"/>
              <w:spacing w:after="0"/>
            </w:pPr>
            <w:r>
              <w:rPr>
                <w:rFonts w:hint="eastAsia"/>
              </w:rPr>
              <w:t>②根据实际生产运营情况填写固体废物产生信息，如实按月记录固体废物的产生、贮存、利用、处置数量等信息；按批次填写每一批固体废物的出厂以及流向信息。</w:t>
            </w:r>
          </w:p>
          <w:p>
            <w:pPr>
              <w:pStyle w:val="23"/>
              <w:adjustRightInd w:val="0"/>
              <w:snapToGrid w:val="0"/>
              <w:spacing w:after="0"/>
            </w:pPr>
            <w:r>
              <w:rPr>
                <w:rFonts w:hint="eastAsia"/>
              </w:rPr>
              <w:t>③确保每一批次的固体废物来源信息与流向信息、数量信息与人员信息一一对应。对于批次产生的固体废物应按次记录，对于连续产生的固体废物应按日记录。</w:t>
            </w:r>
          </w:p>
          <w:p>
            <w:pPr>
              <w:pStyle w:val="23"/>
              <w:adjustRightInd w:val="0"/>
              <w:snapToGrid w:val="0"/>
              <w:spacing w:after="0"/>
            </w:pPr>
            <w:r>
              <w:rPr>
                <w:rFonts w:hint="eastAsia"/>
              </w:rPr>
              <w:t>④一般工业固体废物管理台账应由专人管理，防止遗失。一般工业固体废物管理台账保存期限不少于5年。</w:t>
            </w:r>
          </w:p>
          <w:p>
            <w:pPr>
              <w:pStyle w:val="23"/>
              <w:adjustRightInd w:val="0"/>
              <w:snapToGrid w:val="0"/>
              <w:spacing w:after="0"/>
            </w:pPr>
            <w:r>
              <w:rPr>
                <w:rFonts w:hint="eastAsia"/>
              </w:rPr>
              <w:t>危险废物管理要求：根据《危险废物管理计划和管理台账制定技术导则》（HJ1259-2022）分类管理要求实行危险废物登记管理。</w:t>
            </w:r>
          </w:p>
          <w:p>
            <w:pPr>
              <w:pStyle w:val="23"/>
              <w:adjustRightInd w:val="0"/>
              <w:snapToGrid w:val="0"/>
              <w:spacing w:after="0"/>
            </w:pPr>
            <w:r>
              <w:rPr>
                <w:rFonts w:hint="eastAsia"/>
              </w:rPr>
              <w:t>⑤按年度制定危险废物管理计划。</w:t>
            </w:r>
          </w:p>
          <w:p>
            <w:pPr>
              <w:pStyle w:val="23"/>
              <w:adjustRightInd w:val="0"/>
              <w:snapToGrid w:val="0"/>
              <w:spacing w:after="0"/>
            </w:pPr>
            <w:r>
              <w:rPr>
                <w:rFonts w:hint="eastAsia"/>
              </w:rPr>
              <w:t>⑥每年3月31日前通过国家危险废物信息管理系统在线填写并提交当年度的危险废物管理计划，由国家危险废物信息管理系统自动生成备案编号和回执，完成备案。</w:t>
            </w:r>
          </w:p>
          <w:p>
            <w:pPr>
              <w:pStyle w:val="23"/>
              <w:adjustRightInd w:val="0"/>
              <w:snapToGrid w:val="0"/>
              <w:spacing w:after="0"/>
            </w:pPr>
            <w:r>
              <w:rPr>
                <w:rFonts w:hint="eastAsia"/>
              </w:rPr>
              <w:t>（</w:t>
            </w:r>
            <w:r>
              <w:t>5</w:t>
            </w:r>
            <w:r>
              <w:rPr>
                <w:rFonts w:hint="eastAsia"/>
              </w:rPr>
              <w:t>）危险废物转移要求：</w:t>
            </w:r>
          </w:p>
          <w:p>
            <w:pPr>
              <w:pStyle w:val="23"/>
              <w:adjustRightInd w:val="0"/>
              <w:snapToGrid w:val="0"/>
              <w:spacing w:after="0"/>
            </w:pPr>
            <w:r>
              <w:rPr>
                <w:rFonts w:hint="eastAsia"/>
              </w:rPr>
              <w:t>危险废物委托有资质单位处置过程必须按照国家《危险废物转移管理办法》（生态 环境部 公安部 交通运输部 部令 第 23号）执行。</w:t>
            </w:r>
          </w:p>
          <w:p>
            <w:pPr>
              <w:pStyle w:val="23"/>
              <w:adjustRightInd w:val="0"/>
              <w:snapToGrid w:val="0"/>
              <w:spacing w:after="0"/>
            </w:pPr>
            <w:r>
              <w:rPr>
                <w:rFonts w:hint="eastAsia"/>
              </w:rPr>
              <w:t>①危险废物转移联单应当根据危险废物管理计划中填报的危险废物转移等备案信息填写、运行。</w:t>
            </w:r>
          </w:p>
          <w:p>
            <w:pPr>
              <w:pStyle w:val="23"/>
              <w:adjustRightInd w:val="0"/>
              <w:snapToGrid w:val="0"/>
              <w:spacing w:after="0"/>
            </w:pPr>
            <w:r>
              <w:rPr>
                <w:rFonts w:hint="eastAsia"/>
              </w:rPr>
              <w:t>②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pPr>
              <w:pStyle w:val="23"/>
              <w:adjustRightInd w:val="0"/>
              <w:snapToGrid w:val="0"/>
              <w:spacing w:after="0"/>
            </w:pPr>
            <w:r>
              <w:rPr>
                <w:rFonts w:hint="eastAsia"/>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pPr>
              <w:pStyle w:val="23"/>
              <w:adjustRightInd w:val="0"/>
              <w:snapToGrid w:val="0"/>
              <w:spacing w:after="0"/>
            </w:pPr>
            <w:r>
              <w:rPr>
                <w:rFonts w:hint="eastAsia"/>
              </w:rPr>
              <w:t>④采用联运方式转移危险废物的，前一承运人和后一承运人应当明确运输交接的时间和地点。后一承运人应当核实危险废物转移联单确定的移出人信息、前一承运人信息及危险废物相关信息。</w:t>
            </w:r>
          </w:p>
          <w:p>
            <w:pPr>
              <w:pStyle w:val="23"/>
              <w:adjustRightInd w:val="0"/>
              <w:snapToGrid w:val="0"/>
              <w:spacing w:after="0"/>
            </w:pPr>
            <w:r>
              <w:rPr>
                <w:rFonts w:hint="eastAsia"/>
              </w:rPr>
              <w:t>⑤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pPr>
              <w:pStyle w:val="23"/>
              <w:adjustRightInd w:val="0"/>
              <w:snapToGrid w:val="0"/>
              <w:spacing w:after="0"/>
            </w:pPr>
            <w:r>
              <w:rPr>
                <w:rFonts w:hint="eastAsia"/>
              </w:rPr>
              <w:t>⑥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pPr>
              <w:pStyle w:val="23"/>
              <w:adjustRightInd w:val="0"/>
              <w:snapToGrid w:val="0"/>
              <w:spacing w:after="0"/>
            </w:pPr>
            <w:r>
              <w:rPr>
                <w:rFonts w:hint="eastAsia"/>
              </w:rPr>
              <w:t>⑦危险废物电子转移联单数据应当在信息系统中至少保存十年。因特殊原因无法运行危险废物电子转移联单的，可以先使用纸质转移联单，并于转移活动完成后十个工作日内在信息系统中补录电子转移联单。</w:t>
            </w:r>
          </w:p>
          <w:p>
            <w:pPr>
              <w:pStyle w:val="23"/>
              <w:adjustRightInd w:val="0"/>
              <w:snapToGrid w:val="0"/>
              <w:spacing w:after="0"/>
              <w:ind w:firstLine="0" w:firstLineChars="0"/>
              <w:rPr>
                <w:rFonts w:cs="Times New Roman"/>
                <w:b/>
                <w:bCs/>
                <w:snapToGrid w:val="0"/>
                <w:color w:val="000000"/>
                <w:kern w:val="0"/>
                <w:szCs w:val="24"/>
              </w:rPr>
            </w:pPr>
            <w:r>
              <w:rPr>
                <w:rFonts w:cs="Times New Roman"/>
                <w:b/>
                <w:bCs/>
                <w:snapToGrid w:val="0"/>
                <w:color w:val="000000"/>
                <w:kern w:val="0"/>
                <w:szCs w:val="24"/>
              </w:rPr>
              <w:t>4.2.4.</w:t>
            </w:r>
            <w:r>
              <w:rPr>
                <w:rFonts w:hint="eastAsia" w:cs="Times New Roman"/>
                <w:b/>
                <w:bCs/>
                <w:snapToGrid w:val="0"/>
                <w:color w:val="000000"/>
                <w:kern w:val="0"/>
                <w:szCs w:val="24"/>
              </w:rPr>
              <w:t>3固废环境影响评价结论</w:t>
            </w:r>
          </w:p>
          <w:p>
            <w:pPr>
              <w:pStyle w:val="23"/>
              <w:adjustRightInd w:val="0"/>
              <w:snapToGrid w:val="0"/>
              <w:spacing w:after="0"/>
            </w:pPr>
            <w:r>
              <w:rPr>
                <w:rFonts w:hint="eastAsia"/>
              </w:rPr>
              <w:t>本项目产生的生活垃圾集中收集至专用垃圾箱，由当地环卫部门统一清运处置；分拣废料作为可回收物集中收集后，定期外售至废品回收站，实现资源化利用；沉淀池沉渣以无机颗粒物为主，无危险特性，性质稳定。经自然晾晒干化后，含水率可降至60%以下，满足入场要求，运送至一般工业固废填埋场进行填埋处置。该方式具有操作简便、能耗低、运行维护成本少等优势。危险废物集中收集后，分区存放于危险废物贮存点，定期交由有危险废物处理资质的单位回收处理，并严格执行危险废物转移联单制度。</w:t>
            </w:r>
          </w:p>
          <w:p>
            <w:pPr>
              <w:pStyle w:val="23"/>
              <w:adjustRightInd w:val="0"/>
              <w:snapToGrid w:val="0"/>
              <w:spacing w:after="0"/>
            </w:pPr>
            <w:r>
              <w:rPr>
                <w:rFonts w:hint="eastAsia"/>
              </w:rPr>
              <w:t>综上，本项目固体废物均得到分类管理与妥善处置，全面落实“减量化、资源化、无害化”原则。在严格落实各项污染防治和管理制度的前提下，固体废物不会对周边环境造成二次污染，环境影响可控，结论可行</w:t>
            </w:r>
            <w:r>
              <w:rPr>
                <w:rFonts w:hint="eastAsia"/>
                <w:color w:val="000000"/>
              </w:rPr>
              <w:t>。</w:t>
            </w:r>
          </w:p>
          <w:p>
            <w:pPr>
              <w:pStyle w:val="3"/>
            </w:pPr>
            <w:r>
              <w:rPr>
                <w:rFonts w:hint="eastAsia"/>
              </w:rPr>
              <w:t>4</w:t>
            </w:r>
            <w:r>
              <w:t>.</w:t>
            </w:r>
            <w:r>
              <w:rPr>
                <w:rFonts w:hint="eastAsia"/>
              </w:rPr>
              <w:t>3地下水、土壤环境影响分析</w:t>
            </w:r>
          </w:p>
          <w:p>
            <w:pPr>
              <w:ind w:firstLine="480"/>
              <w:textAlignment w:val="auto"/>
              <w:rPr>
                <w:rFonts w:cs="Times New Roman"/>
                <w:color w:val="000000"/>
              </w:rPr>
            </w:pPr>
            <w:r>
              <w:rPr>
                <w:rFonts w:cs="Times New Roman"/>
                <w:color w:val="000000"/>
              </w:rPr>
              <w:t>项目选址内和厂界附近均为硬化地面。正常生产</w:t>
            </w:r>
            <w:r>
              <w:rPr>
                <w:rFonts w:hint="eastAsia" w:cs="Times New Roman"/>
                <w:color w:val="000000"/>
              </w:rPr>
              <w:t>情况</w:t>
            </w:r>
            <w:r>
              <w:rPr>
                <w:rFonts w:cs="Times New Roman"/>
                <w:color w:val="000000"/>
              </w:rPr>
              <w:t>下，项目固体废物均置于厂</w:t>
            </w:r>
            <w:r>
              <w:rPr>
                <w:rFonts w:hint="eastAsia" w:cs="Times New Roman"/>
                <w:color w:val="000000"/>
              </w:rPr>
              <w:t>房</w:t>
            </w:r>
            <w:r>
              <w:rPr>
                <w:rFonts w:cs="Times New Roman"/>
                <w:color w:val="000000"/>
              </w:rPr>
              <w:t>内储存，</w:t>
            </w:r>
            <w:r>
              <w:rPr>
                <w:rFonts w:hint="eastAsia" w:cs="Times New Roman"/>
                <w:color w:val="000000"/>
              </w:rPr>
              <w:t>原料堆场篷布遮盖，</w:t>
            </w:r>
            <w:r>
              <w:rPr>
                <w:rFonts w:cs="Times New Roman"/>
                <w:color w:val="000000"/>
              </w:rPr>
              <w:t>不存在露天生产或储存的情况，即不存</w:t>
            </w:r>
            <w:r>
              <w:rPr>
                <w:rFonts w:hint="eastAsia" w:cs="Times New Roman"/>
                <w:color w:val="000000"/>
              </w:rPr>
              <w:t>在</w:t>
            </w:r>
            <w:r>
              <w:rPr>
                <w:rFonts w:cs="Times New Roman"/>
                <w:color w:val="000000"/>
              </w:rPr>
              <w:t>受雨水冲刷、淋溶出污染物的情况。</w:t>
            </w:r>
          </w:p>
          <w:p>
            <w:pPr>
              <w:ind w:firstLine="480"/>
              <w:textAlignment w:val="auto"/>
            </w:pPr>
            <w:r>
              <w:rPr>
                <w:rFonts w:hint="eastAsia"/>
                <w:color w:val="000000"/>
              </w:rPr>
              <w:t>本项目营运过程产生的危险废物均密封包装后存放于危险废物贮存点。此外，项目危险废物贮存点、</w:t>
            </w:r>
            <w:r>
              <w:rPr>
                <w:rFonts w:hint="eastAsia" w:cs="Times New Roman"/>
                <w:color w:val="000000"/>
              </w:rPr>
              <w:t>车间</w:t>
            </w:r>
            <w:r>
              <w:rPr>
                <w:rFonts w:hint="eastAsia"/>
                <w:color w:val="000000"/>
              </w:rPr>
              <w:t>等区域均按要求采取防腐防渗措施，可防止泄漏液体通过地表漫流进入周边水系</w:t>
            </w:r>
            <w:r>
              <w:rPr>
                <w:rFonts w:hint="eastAsia"/>
              </w:rPr>
              <w:t>。</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4.3.1</w:t>
            </w:r>
            <w:r>
              <w:rPr>
                <w:rFonts w:hint="eastAsia" w:cs="Times New Roman"/>
                <w:b/>
                <w:bCs/>
                <w:snapToGrid w:val="0"/>
                <w:color w:val="000000"/>
                <w:kern w:val="0"/>
                <w:szCs w:val="24"/>
              </w:rPr>
              <w:t>源头控制措施</w:t>
            </w:r>
          </w:p>
          <w:p>
            <w:pPr>
              <w:ind w:firstLine="480"/>
              <w:textAlignment w:val="auto"/>
              <w:rPr>
                <w:rFonts w:cs="Times New Roman"/>
                <w:color w:val="000000"/>
              </w:rPr>
            </w:pPr>
            <w:r>
              <w:rPr>
                <w:rFonts w:cs="Times New Roman"/>
                <w:color w:val="000000"/>
              </w:rPr>
              <w:t>（1）按照国家、行业和环保相关规范标准和工艺要求进行相关设备、设施、管道、建（构）筑物的设计和施工；</w:t>
            </w:r>
          </w:p>
          <w:p>
            <w:pPr>
              <w:ind w:firstLine="480"/>
              <w:jc w:val="left"/>
              <w:textAlignment w:val="auto"/>
              <w:rPr>
                <w:rFonts w:cs="Times New Roman"/>
                <w:color w:val="000000"/>
              </w:rPr>
            </w:pPr>
            <w:r>
              <w:rPr>
                <w:rFonts w:cs="Times New Roman"/>
                <w:color w:val="000000"/>
              </w:rPr>
              <w:t>（2）在项目使用过程中应严格按照分区防控措施中相应原则进行防腐防渗处理；</w:t>
            </w:r>
          </w:p>
          <w:p>
            <w:pPr>
              <w:ind w:firstLine="480"/>
              <w:jc w:val="left"/>
              <w:textAlignment w:val="auto"/>
              <w:rPr>
                <w:rFonts w:cs="Times New Roman"/>
                <w:color w:val="000000"/>
              </w:rPr>
            </w:pPr>
            <w:r>
              <w:rPr>
                <w:rFonts w:cs="Times New Roman"/>
                <w:color w:val="000000"/>
              </w:rPr>
              <w:t>（3）对</w:t>
            </w:r>
            <w:r>
              <w:rPr>
                <w:rFonts w:hint="eastAsia" w:cs="Times New Roman"/>
                <w:color w:val="000000"/>
              </w:rPr>
              <w:t>生产车间</w:t>
            </w:r>
            <w:r>
              <w:rPr>
                <w:rFonts w:cs="Times New Roman"/>
                <w:color w:val="000000"/>
              </w:rPr>
              <w:t>、危险废物</w:t>
            </w:r>
            <w:r>
              <w:rPr>
                <w:rFonts w:hint="eastAsia" w:cs="Times New Roman"/>
                <w:snapToGrid w:val="0"/>
                <w:kern w:val="0"/>
                <w:szCs w:val="24"/>
              </w:rPr>
              <w:t>贮存点</w:t>
            </w:r>
            <w:r>
              <w:rPr>
                <w:rFonts w:cs="Times New Roman"/>
                <w:color w:val="000000"/>
              </w:rPr>
              <w:t>地面每日检查，发现裂缝等及时修补；</w:t>
            </w:r>
          </w:p>
          <w:p>
            <w:pPr>
              <w:ind w:firstLine="480"/>
              <w:jc w:val="left"/>
              <w:textAlignment w:val="auto"/>
              <w:rPr>
                <w:rFonts w:cs="Times New Roman"/>
                <w:color w:val="000000"/>
              </w:rPr>
            </w:pPr>
            <w:r>
              <w:rPr>
                <w:rFonts w:cs="Times New Roman"/>
                <w:color w:val="000000"/>
              </w:rPr>
              <w:t>（4）定期检查危险废物贮存容器，定期进行更换，防止老化、锈蚀发生撒漏</w:t>
            </w:r>
          </w:p>
          <w:p>
            <w:pPr>
              <w:ind w:firstLine="480"/>
              <w:jc w:val="left"/>
              <w:textAlignment w:val="auto"/>
              <w:rPr>
                <w:rFonts w:cs="Times New Roman"/>
                <w:color w:val="000000"/>
              </w:rPr>
            </w:pPr>
            <w:r>
              <w:rPr>
                <w:rFonts w:cs="Times New Roman"/>
                <w:color w:val="000000"/>
              </w:rPr>
              <w:t>（5）</w:t>
            </w:r>
            <w:r>
              <w:rPr>
                <w:rFonts w:hint="eastAsia"/>
                <w:color w:val="000000"/>
              </w:rPr>
              <w:t>危险废物贮存点</w:t>
            </w:r>
            <w:r>
              <w:rPr>
                <w:rFonts w:cs="Times New Roman"/>
                <w:color w:val="000000"/>
              </w:rPr>
              <w:t>地面均进行硬化处理，并喷刷环氧地坪漆；</w:t>
            </w:r>
          </w:p>
          <w:p>
            <w:pPr>
              <w:ind w:firstLine="480"/>
              <w:jc w:val="left"/>
              <w:textAlignment w:val="auto"/>
              <w:rPr>
                <w:rFonts w:cs="Times New Roman"/>
                <w:color w:val="000000"/>
              </w:rPr>
            </w:pPr>
            <w:r>
              <w:rPr>
                <w:rFonts w:cs="Times New Roman"/>
                <w:color w:val="000000"/>
              </w:rPr>
              <w:t>（6）定期检测环保设施，防止净化装置损坏导致有毒大气污染物随大气沉降影响土壤环境。通过采用上述源头综合控制措施，可将污染物跑、冒、滴、漏降到最低限度，将渗漏的环境风险事故发生的可能性降低到最低程度</w:t>
            </w:r>
            <w:r>
              <w:rPr>
                <w:rFonts w:hint="eastAsia" w:cs="Times New Roman"/>
                <w:color w:val="000000"/>
              </w:rPr>
              <w:t>。</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4.3.2</w:t>
            </w:r>
            <w:r>
              <w:rPr>
                <w:rFonts w:hint="eastAsia" w:cs="Times New Roman"/>
                <w:b/>
                <w:bCs/>
                <w:snapToGrid w:val="0"/>
                <w:color w:val="000000"/>
                <w:kern w:val="0"/>
                <w:szCs w:val="24"/>
              </w:rPr>
              <w:t>过程控制措施</w:t>
            </w:r>
          </w:p>
          <w:p>
            <w:pPr>
              <w:ind w:firstLine="480"/>
              <w:jc w:val="left"/>
              <w:textAlignment w:val="auto"/>
              <w:rPr>
                <w:rFonts w:cs="Times New Roman"/>
                <w:color w:val="000000"/>
              </w:rPr>
            </w:pPr>
            <w:r>
              <w:rPr>
                <w:rFonts w:cs="Times New Roman"/>
                <w:color w:val="000000"/>
              </w:rPr>
              <w:t>根据《环境影响评价技术导则 土壤环境》（HJ964-2018）及土壤环境影响评价结果，对本建设项目按照相关的技术要求采取过程阻断、污染物削减和分区防控措施。</w:t>
            </w:r>
            <w:r>
              <w:rPr>
                <w:rFonts w:hint="eastAsia" w:cs="Times New Roman"/>
                <w:color w:val="000000"/>
              </w:rPr>
              <w:t>企业应主要阻断污染物与土壤的直接接触，防止污染物进入土壤环境中</w:t>
            </w:r>
            <w:r>
              <w:rPr>
                <w:rFonts w:cs="Times New Roman"/>
                <w:color w:val="000000"/>
              </w:rPr>
              <w:t>。本项目应根据拟建布局功能实际情况，分别针对大气沉降影响、垂直入渗途径影响，采取相应的过程防控措施。</w:t>
            </w:r>
          </w:p>
          <w:p>
            <w:pPr>
              <w:ind w:firstLine="480"/>
              <w:jc w:val="left"/>
              <w:textAlignment w:val="auto"/>
              <w:rPr>
                <w:rFonts w:cs="Times New Roman"/>
                <w:color w:val="000000"/>
              </w:rPr>
            </w:pPr>
            <w:r>
              <w:rPr>
                <w:rFonts w:cs="Times New Roman"/>
                <w:color w:val="000000"/>
              </w:rPr>
              <w:t>（1）涉及大气沉降影响的，占地范围内应采取绿化措施，以种植具有较强吸附能力的植物为主；</w:t>
            </w:r>
          </w:p>
          <w:p>
            <w:pPr>
              <w:ind w:firstLine="480"/>
              <w:jc w:val="left"/>
              <w:textAlignment w:val="auto"/>
              <w:rPr>
                <w:rFonts w:cs="Times New Roman"/>
                <w:color w:val="000000"/>
              </w:rPr>
            </w:pPr>
            <w:r>
              <w:rPr>
                <w:rFonts w:cs="Times New Roman"/>
                <w:color w:val="000000"/>
              </w:rPr>
              <w:t>（2）针对</w:t>
            </w:r>
            <w:r>
              <w:rPr>
                <w:rFonts w:hint="eastAsia"/>
                <w:color w:val="000000"/>
              </w:rPr>
              <w:t>危险废物贮存点</w:t>
            </w:r>
            <w:r>
              <w:rPr>
                <w:rFonts w:cs="Times New Roman"/>
                <w:color w:val="000000"/>
              </w:rPr>
              <w:t>等涉及入渗途径影响的，应根据相关标准规范要求，对设备设施采取相应的防渗措施，如地面硬化处理、喷刷环氧地坪漆、设置阻挡围堰等措施，以防止土壤环境污染。</w:t>
            </w:r>
          </w:p>
          <w:p>
            <w:pPr>
              <w:ind w:firstLine="480"/>
              <w:jc w:val="left"/>
              <w:textAlignment w:val="auto"/>
              <w:rPr>
                <w:color w:val="000000"/>
              </w:rPr>
            </w:pPr>
            <w:r>
              <w:rPr>
                <w:rFonts w:cs="Times New Roman"/>
                <w:color w:val="000000"/>
              </w:rPr>
              <w:t>（3）应按上述要求设计实施防渗措施，还应建立定期巡查、检查的制度，及时发现异常或污染，以及结合地下水环境保护措施与对策建立完善的针对风险事故的土壤应急预案，</w:t>
            </w:r>
            <w:r>
              <w:rPr>
                <w:rFonts w:hint="eastAsia"/>
                <w:color w:val="000000"/>
              </w:rPr>
              <w:t>极力避免污染物进入土壤、地下水环境。</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4.3.3</w:t>
            </w:r>
            <w:r>
              <w:rPr>
                <w:rFonts w:hint="eastAsia" w:cs="Times New Roman"/>
                <w:b/>
                <w:bCs/>
                <w:snapToGrid w:val="0"/>
                <w:color w:val="000000"/>
                <w:kern w:val="0"/>
                <w:szCs w:val="24"/>
              </w:rPr>
              <w:t>分区防控措施</w:t>
            </w:r>
          </w:p>
          <w:p>
            <w:pPr>
              <w:ind w:firstLine="480"/>
            </w:pPr>
            <w:r>
              <w:rPr>
                <w:rFonts w:hint="eastAsia"/>
              </w:rPr>
              <w:t>（</w:t>
            </w:r>
            <w:r>
              <w:t>1</w:t>
            </w:r>
            <w:r>
              <w:rPr>
                <w:rFonts w:hint="eastAsia"/>
              </w:rPr>
              <w:t>）源头控制措施</w:t>
            </w:r>
          </w:p>
          <w:p>
            <w:pPr>
              <w:ind w:firstLine="480"/>
            </w:pPr>
            <w:r>
              <w:rPr>
                <w:rFonts w:hint="eastAsia"/>
              </w:rPr>
              <w:t>①积极推行实施清洁生产，实现各类废物循环利用，减少污染物的排放量；</w:t>
            </w:r>
          </w:p>
          <w:p>
            <w:pPr>
              <w:ind w:firstLine="480"/>
            </w:pPr>
            <w:r>
              <w:rPr>
                <w:rFonts w:hint="eastAsia"/>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ind w:firstLine="480"/>
            </w:pPr>
            <w:r>
              <w:rPr>
                <w:rFonts w:hint="eastAsia"/>
              </w:rPr>
              <w:t>③对工艺、管道、设备、污水储存及处理构筑物采取控制措施，防止污染物的跑、冒、滴、漏，将污染物泄漏的环境风险事故降到最低限度。</w:t>
            </w:r>
          </w:p>
          <w:p>
            <w:pPr>
              <w:ind w:firstLine="480"/>
            </w:pPr>
            <w:r>
              <w:rPr>
                <w:rFonts w:hint="eastAsia"/>
              </w:rPr>
              <w:t>（</w:t>
            </w:r>
            <w:r>
              <w:t>2</w:t>
            </w:r>
            <w:r>
              <w:rPr>
                <w:rFonts w:hint="eastAsia"/>
              </w:rPr>
              <w:t>）分区防控措施</w:t>
            </w:r>
          </w:p>
          <w:p>
            <w:pPr>
              <w:ind w:firstLine="480"/>
              <w:rPr>
                <w:lang w:val="zh-CN" w:bidi="zh-CN"/>
              </w:rPr>
            </w:pPr>
            <w:r>
              <w:rPr>
                <w:rFonts w:hint="eastAsia"/>
                <w:lang w:val="zh-CN" w:bidi="zh-CN"/>
              </w:rPr>
              <w:t>根据物料或者污染物泄漏的途径和生产单元所处的位置，将项目区厂区分为重点防渗区、一般防渗区、简单防渗区。</w:t>
            </w:r>
          </w:p>
          <w:p>
            <w:pPr>
              <w:ind w:firstLine="480"/>
              <w:rPr>
                <w:lang w:val="zh-CN" w:bidi="zh-CN"/>
              </w:rPr>
            </w:pPr>
            <w:r>
              <w:rPr>
                <w:rFonts w:hint="eastAsia"/>
                <w:lang w:val="zh-CN" w:bidi="zh-CN"/>
              </w:rPr>
              <w:t>参照《环境影响评价技术导则 地下水环境》（HJ610-2016）的分区防控措施，根据场地天然包气带防污性能、污染控制难易程度和污染物特性，参照表</w:t>
            </w:r>
            <w:r>
              <w:rPr>
                <w:lang w:val="zh-CN" w:bidi="zh-CN"/>
              </w:rPr>
              <w:t>4</w:t>
            </w:r>
            <w:r>
              <w:rPr>
                <w:rFonts w:hint="eastAsia"/>
                <w:lang w:val="zh-CN" w:bidi="zh-CN"/>
              </w:rPr>
              <w:t>—</w:t>
            </w:r>
            <w:r>
              <w:rPr>
                <w:lang w:val="zh-CN" w:bidi="zh-CN"/>
              </w:rPr>
              <w:t>8</w:t>
            </w:r>
            <w:r>
              <w:rPr>
                <w:rFonts w:hint="eastAsia"/>
                <w:lang w:val="zh-CN" w:bidi="zh-CN"/>
              </w:rPr>
              <w:t>对项目厂区提出防渗技术要求。</w:t>
            </w:r>
          </w:p>
          <w:p>
            <w:pPr>
              <w:spacing w:line="240" w:lineRule="auto"/>
              <w:ind w:firstLine="0" w:firstLineChars="0"/>
              <w:jc w:val="center"/>
              <w:rPr>
                <w:b/>
                <w:bCs/>
                <w:sz w:val="21"/>
                <w:szCs w:val="21"/>
                <w:lang w:val="zh-CN"/>
              </w:rPr>
            </w:pPr>
            <w:r>
              <w:rPr>
                <w:rFonts w:hint="eastAsia"/>
                <w:b/>
                <w:bCs/>
                <w:sz w:val="21"/>
                <w:szCs w:val="21"/>
                <w:lang w:val="zh-CN"/>
              </w:rPr>
              <w:t>表4-</w:t>
            </w:r>
            <w:r>
              <w:rPr>
                <w:b/>
                <w:bCs/>
                <w:sz w:val="21"/>
                <w:szCs w:val="21"/>
                <w:lang w:val="zh-CN"/>
              </w:rPr>
              <w:t>8</w:t>
            </w:r>
            <w:r>
              <w:rPr>
                <w:rFonts w:hint="eastAsia"/>
                <w:b/>
                <w:bCs/>
                <w:sz w:val="21"/>
                <w:szCs w:val="21"/>
                <w:lang w:val="zh-CN"/>
              </w:rPr>
              <w:t xml:space="preserve">  地下水污染防渗分区参照表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0" w:type="dxa"/>
                <w:bottom w:w="28" w:type="dxa"/>
                <w:right w:w="0" w:type="dxa"/>
              </w:tblCellMar>
            </w:tblPr>
            <w:tblGrid>
              <w:gridCol w:w="1445"/>
              <w:gridCol w:w="1415"/>
              <w:gridCol w:w="1127"/>
              <w:gridCol w:w="1733"/>
              <w:gridCol w:w="29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pPr>
                    <w:pStyle w:val="32"/>
                    <w:rPr>
                      <w:snapToGrid w:val="0"/>
                    </w:rPr>
                  </w:pPr>
                  <w:r>
                    <w:rPr>
                      <w:snapToGrid w:val="0"/>
                    </w:rPr>
                    <w:t>防渗分区</w:t>
                  </w:r>
                </w:p>
              </w:tc>
              <w:tc>
                <w:tcPr>
                  <w:tcW w:w="1355" w:type="dxa"/>
                  <w:vAlign w:val="center"/>
                </w:tcPr>
                <w:p>
                  <w:pPr>
                    <w:pStyle w:val="32"/>
                    <w:rPr>
                      <w:snapToGrid w:val="0"/>
                    </w:rPr>
                  </w:pPr>
                  <w:r>
                    <w:rPr>
                      <w:snapToGrid w:val="0"/>
                      <w:spacing w:val="8"/>
                    </w:rPr>
                    <w:t>天</w:t>
                  </w:r>
                  <w:r>
                    <w:rPr>
                      <w:snapToGrid w:val="0"/>
                      <w:spacing w:val="7"/>
                    </w:rPr>
                    <w:t>然包气带</w:t>
                  </w:r>
                  <w:r>
                    <w:rPr>
                      <w:snapToGrid w:val="0"/>
                    </w:rPr>
                    <w:t>防污性能</w:t>
                  </w:r>
                </w:p>
              </w:tc>
              <w:tc>
                <w:tcPr>
                  <w:tcW w:w="1080" w:type="dxa"/>
                  <w:vAlign w:val="center"/>
                </w:tcPr>
                <w:p>
                  <w:pPr>
                    <w:pStyle w:val="32"/>
                    <w:rPr>
                      <w:snapToGrid w:val="0"/>
                    </w:rPr>
                  </w:pPr>
                  <w:r>
                    <w:rPr>
                      <w:snapToGrid w:val="0"/>
                      <w:spacing w:val="7"/>
                    </w:rPr>
                    <w:t>污染控</w:t>
                  </w:r>
                  <w:r>
                    <w:rPr>
                      <w:snapToGrid w:val="0"/>
                      <w:spacing w:val="6"/>
                    </w:rPr>
                    <w:t>制</w:t>
                  </w:r>
                  <w:r>
                    <w:rPr>
                      <w:snapToGrid w:val="0"/>
                      <w:spacing w:val="9"/>
                    </w:rPr>
                    <w:t>难</w:t>
                  </w:r>
                  <w:r>
                    <w:rPr>
                      <w:snapToGrid w:val="0"/>
                      <w:spacing w:val="7"/>
                    </w:rPr>
                    <w:t>易程度</w:t>
                  </w:r>
                </w:p>
              </w:tc>
              <w:tc>
                <w:tcPr>
                  <w:tcW w:w="1660" w:type="dxa"/>
                  <w:vAlign w:val="center"/>
                </w:tcPr>
                <w:p>
                  <w:pPr>
                    <w:pStyle w:val="32"/>
                    <w:rPr>
                      <w:snapToGrid w:val="0"/>
                    </w:rPr>
                  </w:pPr>
                  <w:r>
                    <w:rPr>
                      <w:snapToGrid w:val="0"/>
                      <w:spacing w:val="8"/>
                    </w:rPr>
                    <w:t>污染物类</w:t>
                  </w:r>
                  <w:r>
                    <w:rPr>
                      <w:snapToGrid w:val="0"/>
                      <w:spacing w:val="7"/>
                    </w:rPr>
                    <w:t>型</w:t>
                  </w:r>
                </w:p>
              </w:tc>
              <w:tc>
                <w:tcPr>
                  <w:tcW w:w="2833" w:type="dxa"/>
                  <w:vAlign w:val="center"/>
                </w:tcPr>
                <w:p>
                  <w:pPr>
                    <w:pStyle w:val="32"/>
                    <w:rPr>
                      <w:snapToGrid w:val="0"/>
                    </w:rPr>
                  </w:pPr>
                  <w:r>
                    <w:rPr>
                      <w:snapToGrid w:val="0"/>
                      <w:spacing w:val="6"/>
                    </w:rPr>
                    <w:t>防渗技术要求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restart"/>
                  <w:vAlign w:val="center"/>
                </w:tcPr>
                <w:p>
                  <w:pPr>
                    <w:pStyle w:val="32"/>
                    <w:rPr>
                      <w:snapToGrid w:val="0"/>
                    </w:rPr>
                  </w:pPr>
                  <w:r>
                    <w:rPr>
                      <w:snapToGrid w:val="0"/>
                      <w:spacing w:val="8"/>
                    </w:rPr>
                    <w:t>重点防渗</w:t>
                  </w:r>
                  <w:r>
                    <w:rPr>
                      <w:snapToGrid w:val="0"/>
                      <w:spacing w:val="7"/>
                    </w:rPr>
                    <w:t>区</w:t>
                  </w:r>
                </w:p>
              </w:tc>
              <w:tc>
                <w:tcPr>
                  <w:tcW w:w="1355" w:type="dxa"/>
                  <w:vAlign w:val="center"/>
                </w:tcPr>
                <w:p>
                  <w:pPr>
                    <w:pStyle w:val="32"/>
                    <w:rPr>
                      <w:snapToGrid w:val="0"/>
                    </w:rPr>
                  </w:pPr>
                  <w:r>
                    <w:rPr>
                      <w:snapToGrid w:val="0"/>
                    </w:rPr>
                    <w:t>弱</w:t>
                  </w:r>
                </w:p>
              </w:tc>
              <w:tc>
                <w:tcPr>
                  <w:tcW w:w="1080" w:type="dxa"/>
                  <w:vAlign w:val="center"/>
                </w:tcPr>
                <w:p>
                  <w:pPr>
                    <w:pStyle w:val="32"/>
                    <w:rPr>
                      <w:snapToGrid w:val="0"/>
                    </w:rPr>
                  </w:pPr>
                  <w:r>
                    <w:rPr>
                      <w:snapToGrid w:val="0"/>
                      <w:spacing w:val="1"/>
                    </w:rPr>
                    <w:t>难</w:t>
                  </w:r>
                </w:p>
              </w:tc>
              <w:tc>
                <w:tcPr>
                  <w:tcW w:w="1660" w:type="dxa"/>
                  <w:vMerge w:val="restart"/>
                  <w:vAlign w:val="center"/>
                </w:tcPr>
                <w:p>
                  <w:pPr>
                    <w:pStyle w:val="32"/>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restart"/>
                  <w:vAlign w:val="center"/>
                </w:tcPr>
                <w:p>
                  <w:pPr>
                    <w:pStyle w:val="32"/>
                    <w:rPr>
                      <w:snapToGrid w:val="0"/>
                    </w:rPr>
                  </w:pPr>
                  <w:r>
                    <w:rPr>
                      <w:snapToGrid w:val="0"/>
                      <w:spacing w:val="-14"/>
                    </w:rPr>
                    <w:t>等</w:t>
                  </w:r>
                  <w:r>
                    <w:rPr>
                      <w:snapToGrid w:val="0"/>
                      <w:spacing w:val="-10"/>
                    </w:rPr>
                    <w:t>效黏土防渗层</w:t>
                  </w:r>
                  <w:r>
                    <w:rPr>
                      <w:rFonts w:eastAsia="Times New Roman"/>
                      <w:snapToGrid w:val="0"/>
                      <w:spacing w:val="-10"/>
                    </w:rPr>
                    <w:t>Mb≥6.0m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GB18598</w:t>
                  </w:r>
                  <w:r>
                    <w:rPr>
                      <w:snapToGrid w:val="0"/>
                      <w:spacing w:val="6"/>
                    </w:rPr>
                    <w:t>执</w:t>
                  </w:r>
                  <w:r>
                    <w:rPr>
                      <w:snapToGrid w:val="0"/>
                    </w:rPr>
                    <w:t>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2"/>
                    <w:rPr>
                      <w:snapToGrid w:val="0"/>
                    </w:rPr>
                  </w:pPr>
                </w:p>
              </w:tc>
              <w:tc>
                <w:tcPr>
                  <w:tcW w:w="1355" w:type="dxa"/>
                  <w:vAlign w:val="center"/>
                </w:tcPr>
                <w:p>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2"/>
                    <w:rPr>
                      <w:snapToGrid w:val="0"/>
                    </w:rPr>
                  </w:pPr>
                  <w:r>
                    <w:rPr>
                      <w:snapToGrid w:val="0"/>
                      <w:spacing w:val="1"/>
                    </w:rPr>
                    <w:t>难</w:t>
                  </w:r>
                </w:p>
              </w:tc>
              <w:tc>
                <w:tcPr>
                  <w:tcW w:w="1660" w:type="dxa"/>
                  <w:vMerge w:val="continue"/>
                  <w:vAlign w:val="center"/>
                </w:tcPr>
                <w:p>
                  <w:pPr>
                    <w:pStyle w:val="32"/>
                    <w:rPr>
                      <w:snapToGrid w:val="0"/>
                    </w:rPr>
                  </w:pPr>
                </w:p>
              </w:tc>
              <w:tc>
                <w:tcPr>
                  <w:tcW w:w="2833" w:type="dxa"/>
                  <w:vMerge w:val="continue"/>
                  <w:vAlign w:val="center"/>
                </w:tcPr>
                <w:p>
                  <w:pPr>
                    <w:pStyle w:val="32"/>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2"/>
                    <w:rPr>
                      <w:snapToGrid w:val="0"/>
                    </w:rPr>
                  </w:pPr>
                </w:p>
              </w:tc>
              <w:tc>
                <w:tcPr>
                  <w:tcW w:w="1355" w:type="dxa"/>
                  <w:vAlign w:val="center"/>
                </w:tcPr>
                <w:p>
                  <w:pPr>
                    <w:pStyle w:val="32"/>
                    <w:rPr>
                      <w:snapToGrid w:val="0"/>
                    </w:rPr>
                  </w:pPr>
                  <w:r>
                    <w:rPr>
                      <w:snapToGrid w:val="0"/>
                    </w:rPr>
                    <w:t>弱</w:t>
                  </w:r>
                </w:p>
              </w:tc>
              <w:tc>
                <w:tcPr>
                  <w:tcW w:w="1080" w:type="dxa"/>
                  <w:vAlign w:val="center"/>
                </w:tcPr>
                <w:p>
                  <w:pPr>
                    <w:pStyle w:val="32"/>
                    <w:rPr>
                      <w:snapToGrid w:val="0"/>
                    </w:rPr>
                  </w:pPr>
                  <w:r>
                    <w:rPr>
                      <w:snapToGrid w:val="0"/>
                    </w:rPr>
                    <w:t>易</w:t>
                  </w:r>
                </w:p>
              </w:tc>
              <w:tc>
                <w:tcPr>
                  <w:tcW w:w="1660" w:type="dxa"/>
                  <w:vMerge w:val="continue"/>
                  <w:vAlign w:val="center"/>
                </w:tcPr>
                <w:p>
                  <w:pPr>
                    <w:pStyle w:val="32"/>
                    <w:rPr>
                      <w:snapToGrid w:val="0"/>
                    </w:rPr>
                  </w:pPr>
                </w:p>
              </w:tc>
              <w:tc>
                <w:tcPr>
                  <w:tcW w:w="2833" w:type="dxa"/>
                  <w:vMerge w:val="continue"/>
                  <w:vAlign w:val="center"/>
                </w:tcPr>
                <w:p>
                  <w:pPr>
                    <w:pStyle w:val="32"/>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restart"/>
                  <w:vAlign w:val="center"/>
                </w:tcPr>
                <w:p>
                  <w:pPr>
                    <w:pStyle w:val="32"/>
                    <w:rPr>
                      <w:snapToGrid w:val="0"/>
                    </w:rPr>
                  </w:pPr>
                  <w:r>
                    <w:rPr>
                      <w:snapToGrid w:val="0"/>
                      <w:spacing w:val="9"/>
                    </w:rPr>
                    <w:t>一</w:t>
                  </w:r>
                  <w:r>
                    <w:rPr>
                      <w:snapToGrid w:val="0"/>
                      <w:spacing w:val="7"/>
                    </w:rPr>
                    <w:t>般防渗区</w:t>
                  </w:r>
                </w:p>
              </w:tc>
              <w:tc>
                <w:tcPr>
                  <w:tcW w:w="1355" w:type="dxa"/>
                  <w:vAlign w:val="center"/>
                </w:tcPr>
                <w:p>
                  <w:pPr>
                    <w:pStyle w:val="32"/>
                    <w:rPr>
                      <w:snapToGrid w:val="0"/>
                    </w:rPr>
                  </w:pPr>
                  <w:r>
                    <w:rPr>
                      <w:snapToGrid w:val="0"/>
                    </w:rPr>
                    <w:t>弱</w:t>
                  </w:r>
                </w:p>
              </w:tc>
              <w:tc>
                <w:tcPr>
                  <w:tcW w:w="1080" w:type="dxa"/>
                  <w:vAlign w:val="center"/>
                </w:tcPr>
                <w:p>
                  <w:pPr>
                    <w:pStyle w:val="32"/>
                    <w:rPr>
                      <w:snapToGrid w:val="0"/>
                    </w:rPr>
                  </w:pPr>
                  <w:r>
                    <w:rPr>
                      <w:snapToGrid w:val="0"/>
                      <w:spacing w:val="-6"/>
                    </w:rPr>
                    <w:t>易</w:t>
                  </w:r>
                  <w:r>
                    <w:rPr>
                      <w:rFonts w:eastAsia="Times New Roman"/>
                      <w:snapToGrid w:val="0"/>
                      <w:spacing w:val="-6"/>
                    </w:rPr>
                    <w:t>-</w:t>
                  </w:r>
                  <w:r>
                    <w:rPr>
                      <w:snapToGrid w:val="0"/>
                      <w:spacing w:val="-6"/>
                    </w:rPr>
                    <w:t>难</w:t>
                  </w:r>
                </w:p>
              </w:tc>
              <w:tc>
                <w:tcPr>
                  <w:tcW w:w="1660" w:type="dxa"/>
                  <w:vMerge w:val="restart"/>
                  <w:vAlign w:val="center"/>
                </w:tcPr>
                <w:p>
                  <w:pPr>
                    <w:pStyle w:val="32"/>
                    <w:rPr>
                      <w:snapToGrid w:val="0"/>
                    </w:rPr>
                  </w:pPr>
                  <w:r>
                    <w:rPr>
                      <w:snapToGrid w:val="0"/>
                      <w:spacing w:val="7"/>
                    </w:rPr>
                    <w:t>其他类型</w:t>
                  </w:r>
                </w:p>
              </w:tc>
              <w:tc>
                <w:tcPr>
                  <w:tcW w:w="2833" w:type="dxa"/>
                  <w:vMerge w:val="restart"/>
                  <w:vAlign w:val="center"/>
                </w:tcPr>
                <w:p>
                  <w:pPr>
                    <w:pStyle w:val="32"/>
                    <w:rPr>
                      <w:snapToGrid w:val="0"/>
                    </w:rPr>
                  </w:pPr>
                  <w:r>
                    <w:rPr>
                      <w:snapToGrid w:val="0"/>
                      <w:spacing w:val="-14"/>
                    </w:rPr>
                    <w:t>等</w:t>
                  </w:r>
                  <w:r>
                    <w:rPr>
                      <w:snapToGrid w:val="0"/>
                      <w:spacing w:val="-10"/>
                    </w:rPr>
                    <w:t>效黏土防渗层</w:t>
                  </w:r>
                  <w:r>
                    <w:rPr>
                      <w:rFonts w:eastAsia="Times New Roman"/>
                      <w:snapToGrid w:val="0"/>
                      <w:spacing w:val="-10"/>
                    </w:rPr>
                    <w:t>Mb≥1.5m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GB16889</w:t>
                  </w:r>
                  <w:r>
                    <w:rPr>
                      <w:snapToGrid w:val="0"/>
                      <w:spacing w:val="6"/>
                    </w:rPr>
                    <w:t>执</w:t>
                  </w:r>
                  <w:r>
                    <w:rPr>
                      <w:snapToGrid w:val="0"/>
                    </w:rPr>
                    <w:t>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continue"/>
                  <w:vAlign w:val="center"/>
                </w:tcPr>
                <w:p>
                  <w:pPr>
                    <w:pStyle w:val="32"/>
                    <w:rPr>
                      <w:snapToGrid w:val="0"/>
                    </w:rPr>
                  </w:pPr>
                </w:p>
              </w:tc>
              <w:tc>
                <w:tcPr>
                  <w:tcW w:w="1355" w:type="dxa"/>
                  <w:vAlign w:val="center"/>
                </w:tcPr>
                <w:p>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2"/>
                    <w:rPr>
                      <w:snapToGrid w:val="0"/>
                    </w:rPr>
                  </w:pPr>
                  <w:r>
                    <w:rPr>
                      <w:snapToGrid w:val="0"/>
                      <w:spacing w:val="1"/>
                    </w:rPr>
                    <w:t>难</w:t>
                  </w:r>
                </w:p>
              </w:tc>
              <w:tc>
                <w:tcPr>
                  <w:tcW w:w="1660" w:type="dxa"/>
                  <w:vMerge w:val="continue"/>
                  <w:vAlign w:val="center"/>
                </w:tcPr>
                <w:p>
                  <w:pPr>
                    <w:pStyle w:val="32"/>
                    <w:rPr>
                      <w:snapToGrid w:val="0"/>
                    </w:rPr>
                  </w:pPr>
                </w:p>
              </w:tc>
              <w:tc>
                <w:tcPr>
                  <w:tcW w:w="2833" w:type="dxa"/>
                  <w:vMerge w:val="continue"/>
                  <w:vAlign w:val="center"/>
                </w:tcPr>
                <w:p>
                  <w:pPr>
                    <w:pStyle w:val="32"/>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2"/>
                    <w:rPr>
                      <w:snapToGrid w:val="0"/>
                    </w:rPr>
                  </w:pPr>
                </w:p>
              </w:tc>
              <w:tc>
                <w:tcPr>
                  <w:tcW w:w="1355" w:type="dxa"/>
                  <w:vAlign w:val="center"/>
                </w:tcPr>
                <w:p>
                  <w:pPr>
                    <w:pStyle w:val="32"/>
                    <w:rPr>
                      <w:snapToGrid w:val="0"/>
                    </w:rPr>
                  </w:pPr>
                  <w:r>
                    <w:rPr>
                      <w:snapToGrid w:val="0"/>
                    </w:rPr>
                    <w:t>中</w:t>
                  </w:r>
                </w:p>
              </w:tc>
              <w:tc>
                <w:tcPr>
                  <w:tcW w:w="1080" w:type="dxa"/>
                  <w:vAlign w:val="center"/>
                </w:tcPr>
                <w:p>
                  <w:pPr>
                    <w:pStyle w:val="32"/>
                    <w:rPr>
                      <w:snapToGrid w:val="0"/>
                    </w:rPr>
                  </w:pPr>
                  <w:r>
                    <w:rPr>
                      <w:snapToGrid w:val="0"/>
                    </w:rPr>
                    <w:t>易</w:t>
                  </w:r>
                </w:p>
              </w:tc>
              <w:tc>
                <w:tcPr>
                  <w:tcW w:w="1660" w:type="dxa"/>
                  <w:vMerge w:val="restart"/>
                  <w:vAlign w:val="center"/>
                </w:tcPr>
                <w:p>
                  <w:pPr>
                    <w:pStyle w:val="32"/>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continue"/>
                  <w:vAlign w:val="center"/>
                </w:tcPr>
                <w:p>
                  <w:pPr>
                    <w:pStyle w:val="32"/>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continue"/>
                  <w:vAlign w:val="center"/>
                </w:tcPr>
                <w:p>
                  <w:pPr>
                    <w:pStyle w:val="32"/>
                    <w:rPr>
                      <w:snapToGrid w:val="0"/>
                    </w:rPr>
                  </w:pPr>
                </w:p>
              </w:tc>
              <w:tc>
                <w:tcPr>
                  <w:tcW w:w="1355" w:type="dxa"/>
                  <w:vAlign w:val="center"/>
                </w:tcPr>
                <w:p>
                  <w:pPr>
                    <w:pStyle w:val="32"/>
                    <w:rPr>
                      <w:snapToGrid w:val="0"/>
                    </w:rPr>
                  </w:pPr>
                  <w:r>
                    <w:rPr>
                      <w:snapToGrid w:val="0"/>
                    </w:rPr>
                    <w:t>强</w:t>
                  </w:r>
                </w:p>
              </w:tc>
              <w:tc>
                <w:tcPr>
                  <w:tcW w:w="1080" w:type="dxa"/>
                  <w:vAlign w:val="center"/>
                </w:tcPr>
                <w:p>
                  <w:pPr>
                    <w:pStyle w:val="32"/>
                    <w:rPr>
                      <w:snapToGrid w:val="0"/>
                    </w:rPr>
                  </w:pPr>
                  <w:r>
                    <w:rPr>
                      <w:snapToGrid w:val="0"/>
                    </w:rPr>
                    <w:t>易</w:t>
                  </w:r>
                </w:p>
              </w:tc>
              <w:tc>
                <w:tcPr>
                  <w:tcW w:w="1660" w:type="dxa"/>
                  <w:vMerge w:val="continue"/>
                  <w:vAlign w:val="center"/>
                </w:tcPr>
                <w:p>
                  <w:pPr>
                    <w:pStyle w:val="32"/>
                    <w:rPr>
                      <w:snapToGrid w:val="0"/>
                    </w:rPr>
                  </w:pPr>
                </w:p>
              </w:tc>
              <w:tc>
                <w:tcPr>
                  <w:tcW w:w="2833" w:type="dxa"/>
                  <w:vMerge w:val="continue"/>
                  <w:vAlign w:val="center"/>
                </w:tcPr>
                <w:p>
                  <w:pPr>
                    <w:pStyle w:val="32"/>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pPr>
                    <w:pStyle w:val="32"/>
                    <w:rPr>
                      <w:snapToGrid w:val="0"/>
                    </w:rPr>
                  </w:pPr>
                  <w:r>
                    <w:rPr>
                      <w:snapToGrid w:val="0"/>
                      <w:spacing w:val="8"/>
                    </w:rPr>
                    <w:t>简</w:t>
                  </w:r>
                  <w:r>
                    <w:rPr>
                      <w:snapToGrid w:val="0"/>
                      <w:spacing w:val="7"/>
                    </w:rPr>
                    <w:t>单防渗区</w:t>
                  </w:r>
                </w:p>
              </w:tc>
              <w:tc>
                <w:tcPr>
                  <w:tcW w:w="1355" w:type="dxa"/>
                  <w:vAlign w:val="center"/>
                </w:tcPr>
                <w:p>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2"/>
                    <w:rPr>
                      <w:snapToGrid w:val="0"/>
                    </w:rPr>
                  </w:pPr>
                  <w:r>
                    <w:rPr>
                      <w:snapToGrid w:val="0"/>
                    </w:rPr>
                    <w:t>易</w:t>
                  </w:r>
                </w:p>
              </w:tc>
              <w:tc>
                <w:tcPr>
                  <w:tcW w:w="1660" w:type="dxa"/>
                  <w:vAlign w:val="center"/>
                </w:tcPr>
                <w:p>
                  <w:pPr>
                    <w:pStyle w:val="32"/>
                    <w:rPr>
                      <w:snapToGrid w:val="0"/>
                    </w:rPr>
                  </w:pPr>
                  <w:r>
                    <w:rPr>
                      <w:snapToGrid w:val="0"/>
                      <w:spacing w:val="-2"/>
                    </w:rPr>
                    <w:t>其</w:t>
                  </w:r>
                  <w:r>
                    <w:rPr>
                      <w:snapToGrid w:val="0"/>
                      <w:spacing w:val="-1"/>
                    </w:rPr>
                    <w:t>他类型</w:t>
                  </w:r>
                </w:p>
              </w:tc>
              <w:tc>
                <w:tcPr>
                  <w:tcW w:w="2833" w:type="dxa"/>
                  <w:vAlign w:val="center"/>
                </w:tcPr>
                <w:p>
                  <w:pPr>
                    <w:pStyle w:val="32"/>
                    <w:rPr>
                      <w:snapToGrid w:val="0"/>
                    </w:rPr>
                  </w:pPr>
                  <w:r>
                    <w:rPr>
                      <w:snapToGrid w:val="0"/>
                      <w:spacing w:val="-2"/>
                    </w:rPr>
                    <w:t>一般地面硬</w:t>
                  </w:r>
                  <w:r>
                    <w:rPr>
                      <w:snapToGrid w:val="0"/>
                      <w:spacing w:val="-1"/>
                    </w:rPr>
                    <w:t>化</w:t>
                  </w:r>
                </w:p>
              </w:tc>
            </w:tr>
          </w:tbl>
          <w:p>
            <w:pPr>
              <w:ind w:firstLine="536"/>
              <w:rPr>
                <w:snapToGrid w:val="0"/>
              </w:rPr>
            </w:pPr>
            <w:r>
              <w:rPr>
                <w:snapToGrid w:val="0"/>
                <w:spacing w:val="14"/>
              </w:rPr>
              <w:t>根据《</w:t>
            </w:r>
            <w:r>
              <w:rPr>
                <w:snapToGrid w:val="0"/>
              </w:rPr>
              <w:t>环境影响评价技术导则</w:t>
            </w:r>
            <w:r>
              <w:rPr>
                <w:rFonts w:hint="eastAsia"/>
                <w:snapToGrid w:val="0"/>
              </w:rPr>
              <w:t xml:space="preserve"> </w:t>
            </w:r>
            <w:r>
              <w:rPr>
                <w:snapToGrid w:val="0"/>
              </w:rPr>
              <w:t>地下水环境》（</w:t>
            </w:r>
            <w:r>
              <w:rPr>
                <w:rFonts w:eastAsia="Times New Roman"/>
                <w:snapToGrid w:val="0"/>
              </w:rPr>
              <w:t>HJ610-2016</w:t>
            </w:r>
            <w:r>
              <w:rPr>
                <w:snapToGrid w:val="0"/>
              </w:rPr>
              <w:t>）要求，结合本项目的</w:t>
            </w:r>
            <w:r>
              <w:rPr>
                <w:snapToGrid w:val="0"/>
                <w:spacing w:val="16"/>
              </w:rPr>
              <w:t>性</w:t>
            </w:r>
            <w:r>
              <w:rPr>
                <w:snapToGrid w:val="0"/>
              </w:rPr>
              <w:t>质，厂区分区防渗设置如下：</w:t>
            </w:r>
          </w:p>
          <w:p>
            <w:pPr>
              <w:spacing w:line="240" w:lineRule="auto"/>
              <w:ind w:firstLine="0" w:firstLineChars="0"/>
              <w:jc w:val="center"/>
              <w:textAlignment w:val="auto"/>
              <w:rPr>
                <w:b/>
                <w:bCs/>
                <w:sz w:val="21"/>
                <w:szCs w:val="21"/>
              </w:rPr>
            </w:pPr>
            <w:r>
              <w:rPr>
                <w:rFonts w:hint="eastAsia"/>
                <w:b/>
                <w:bCs/>
                <w:sz w:val="21"/>
                <w:szCs w:val="21"/>
              </w:rPr>
              <w:t>表4-</w:t>
            </w:r>
            <w:r>
              <w:rPr>
                <w:b/>
                <w:bCs/>
                <w:sz w:val="21"/>
                <w:szCs w:val="21"/>
              </w:rPr>
              <w:t xml:space="preserve">9  </w:t>
            </w:r>
            <w:r>
              <w:rPr>
                <w:rFonts w:hint="eastAsia"/>
                <w:b/>
                <w:bCs/>
                <w:color w:val="000000" w:themeColor="text1"/>
                <w:sz w:val="21"/>
                <w:szCs w:val="21"/>
                <w:lang w:val="zh-CN"/>
                <w14:textFill>
                  <w14:solidFill>
                    <w14:schemeClr w14:val="tx1"/>
                  </w14:solidFill>
                </w14:textFill>
              </w:rPr>
              <w:t>工程防渗措施要求一览表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816"/>
              <w:gridCol w:w="3734"/>
              <w:gridCol w:w="1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4"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防渗分区</w:t>
                  </w:r>
                </w:p>
              </w:tc>
              <w:tc>
                <w:tcPr>
                  <w:tcW w:w="1104"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防渗区域</w:t>
                  </w:r>
                </w:p>
              </w:tc>
              <w:tc>
                <w:tcPr>
                  <w:tcW w:w="2209"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防渗要求</w:t>
                  </w:r>
                </w:p>
              </w:tc>
              <w:tc>
                <w:tcPr>
                  <w:tcW w:w="793" w:type="pct"/>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重点防渗区</w:t>
                  </w:r>
                </w:p>
              </w:tc>
              <w:tc>
                <w:tcPr>
                  <w:tcW w:w="1104" w:type="pct"/>
                  <w:vAlign w:val="center"/>
                </w:tcPr>
                <w:p>
                  <w:pPr>
                    <w:spacing w:line="240" w:lineRule="auto"/>
                    <w:ind w:firstLine="0" w:firstLineChars="0"/>
                    <w:jc w:val="center"/>
                    <w:textAlignment w:val="auto"/>
                    <w:rPr>
                      <w:rFonts w:cs="Times New Roman"/>
                      <w:sz w:val="21"/>
                      <w:szCs w:val="21"/>
                    </w:rPr>
                  </w:pPr>
                  <w:r>
                    <w:rPr>
                      <w:rFonts w:hint="eastAsia"/>
                      <w:sz w:val="21"/>
                      <w:szCs w:val="21"/>
                    </w:rPr>
                    <w:t>危险废物贮存点</w:t>
                  </w:r>
                </w:p>
              </w:tc>
              <w:tc>
                <w:tcPr>
                  <w:tcW w:w="2209" w:type="pct"/>
                  <w:vAlign w:val="center"/>
                </w:tcPr>
                <w:p>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w:t>
                  </w:r>
                  <w:r>
                    <w:rPr>
                      <w:rFonts w:hint="eastAsia" w:ascii="宋体" w:hAnsi="宋体" w:cs="宋体"/>
                      <w:snapToGrid w:val="0"/>
                      <w:kern w:val="0"/>
                      <w:sz w:val="21"/>
                      <w:szCs w:val="24"/>
                    </w:rPr>
                    <w:t>≧</w:t>
                  </w:r>
                  <w:r>
                    <w:rPr>
                      <w:rFonts w:cs="Times New Roman"/>
                      <w:snapToGrid w:val="0"/>
                      <w:kern w:val="0"/>
                      <w:sz w:val="21"/>
                      <w:szCs w:val="24"/>
                    </w:rPr>
                    <w:t>6.0m，K≤1.0×10</w:t>
                  </w:r>
                  <w:r>
                    <w:rPr>
                      <w:rFonts w:cs="Times New Roman"/>
                      <w:snapToGrid w:val="0"/>
                      <w:kern w:val="0"/>
                      <w:sz w:val="21"/>
                      <w:szCs w:val="24"/>
                      <w:vertAlign w:val="superscript"/>
                    </w:rPr>
                    <w:t>-7</w:t>
                  </w:r>
                  <w:r>
                    <w:rPr>
                      <w:rFonts w:cs="Times New Roman"/>
                      <w:snapToGrid w:val="0"/>
                      <w:kern w:val="0"/>
                      <w:sz w:val="21"/>
                      <w:szCs w:val="24"/>
                    </w:rPr>
                    <w:t>cm/s；或参照GB18598执行</w:t>
                  </w:r>
                </w:p>
              </w:tc>
              <w:tc>
                <w:tcPr>
                  <w:tcW w:w="793" w:type="pct"/>
                  <w:vMerge w:val="restart"/>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4"/>
                    </w:rPr>
                    <w:t>《环境影响评价技术导则 地下水环境》</w:t>
                  </w:r>
                  <w:r>
                    <w:rPr>
                      <w:rFonts w:hint="eastAsia" w:cs="Times New Roman"/>
                      <w:snapToGrid w:val="0"/>
                      <w:kern w:val="0"/>
                      <w:sz w:val="21"/>
                      <w:szCs w:val="24"/>
                    </w:rPr>
                    <w:t>（</w:t>
                  </w:r>
                  <w:r>
                    <w:rPr>
                      <w:rFonts w:cs="Times New Roman"/>
                      <w:snapToGrid w:val="0"/>
                      <w:kern w:val="0"/>
                      <w:sz w:val="21"/>
                      <w:szCs w:val="24"/>
                    </w:rPr>
                    <w:t>HJ610-2016</w:t>
                  </w:r>
                  <w:r>
                    <w:rPr>
                      <w:rFonts w:hint="eastAsia" w:cs="Times New Roman"/>
                      <w:snapToGrid w:val="0"/>
                      <w:kern w:val="0"/>
                      <w:sz w:val="21"/>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7"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一般防渗区</w:t>
                  </w:r>
                </w:p>
              </w:tc>
              <w:tc>
                <w:tcPr>
                  <w:tcW w:w="1104" w:type="pct"/>
                  <w:vAlign w:val="center"/>
                </w:tcPr>
                <w:p>
                  <w:pPr>
                    <w:spacing w:line="240" w:lineRule="auto"/>
                    <w:ind w:firstLine="0" w:firstLineChars="0"/>
                    <w:textAlignment w:val="auto"/>
                    <w:rPr>
                      <w:rFonts w:cs="Times New Roman"/>
                      <w:sz w:val="21"/>
                      <w:szCs w:val="21"/>
                    </w:rPr>
                  </w:pPr>
                  <w:r>
                    <w:rPr>
                      <w:rFonts w:hint="eastAsia" w:cs="Times New Roman"/>
                      <w:sz w:val="21"/>
                      <w:szCs w:val="21"/>
                    </w:rPr>
                    <w:t>生产车间、原料堆场、沉淀池、清洗池</w:t>
                  </w:r>
                </w:p>
              </w:tc>
              <w:tc>
                <w:tcPr>
                  <w:tcW w:w="2209" w:type="pct"/>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等效黏土防渗层Mb≥1.5m，K≤1.0×10</w:t>
                  </w:r>
                  <w:r>
                    <w:rPr>
                      <w:rFonts w:cs="Times New Roman"/>
                      <w:snapToGrid w:val="0"/>
                      <w:kern w:val="0"/>
                      <w:sz w:val="21"/>
                      <w:szCs w:val="24"/>
                      <w:vertAlign w:val="superscript"/>
                    </w:rPr>
                    <w:t>-7</w:t>
                  </w:r>
                  <w:r>
                    <w:rPr>
                      <w:rFonts w:cs="Times New Roman"/>
                      <w:snapToGrid w:val="0"/>
                      <w:kern w:val="0"/>
                      <w:sz w:val="21"/>
                      <w:szCs w:val="24"/>
                    </w:rPr>
                    <w:t>cm/s；或参照GB16889执行</w:t>
                  </w:r>
                </w:p>
              </w:tc>
              <w:tc>
                <w:tcPr>
                  <w:tcW w:w="793" w:type="pct"/>
                  <w:vMerge w:val="continue"/>
                  <w:vAlign w:val="center"/>
                </w:tcPr>
                <w:p>
                  <w:pPr>
                    <w:spacing w:line="240" w:lineRule="auto"/>
                    <w:ind w:firstLine="0" w:firstLineChars="0"/>
                    <w:jc w:val="center"/>
                    <w:textAlignment w:val="auto"/>
                    <w:rPr>
                      <w:rFonts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6"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简单防渗区</w:t>
                  </w:r>
                </w:p>
              </w:tc>
              <w:tc>
                <w:tcPr>
                  <w:tcW w:w="1104"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办公生活区</w:t>
                  </w:r>
                </w:p>
              </w:tc>
              <w:tc>
                <w:tcPr>
                  <w:tcW w:w="2209" w:type="pct"/>
                  <w:vAlign w:val="center"/>
                </w:tcPr>
                <w:p>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一般地面硬化</w:t>
                  </w:r>
                </w:p>
              </w:tc>
              <w:tc>
                <w:tcPr>
                  <w:tcW w:w="793" w:type="pct"/>
                  <w:vMerge w:val="continue"/>
                  <w:vAlign w:val="center"/>
                </w:tcPr>
                <w:p>
                  <w:pPr>
                    <w:spacing w:line="240" w:lineRule="auto"/>
                    <w:ind w:firstLine="0" w:firstLineChars="0"/>
                    <w:jc w:val="center"/>
                    <w:textAlignment w:val="auto"/>
                    <w:rPr>
                      <w:rFonts w:cs="Times New Roman"/>
                      <w:sz w:val="21"/>
                      <w:szCs w:val="21"/>
                    </w:rPr>
                  </w:pPr>
                </w:p>
              </w:tc>
            </w:tr>
          </w:tbl>
          <w:p>
            <w:pPr>
              <w:ind w:firstLine="480"/>
              <w:textAlignment w:val="auto"/>
            </w:pPr>
            <w:r>
              <w:rPr>
                <w:rFonts w:hint="eastAsia"/>
              </w:rPr>
              <w:t>由上述措施可知，本项目针对可能造成地下水和土壤污染影响的各途径均进行有效预防，在确保各项防控措施得以落实，并加强环境管理的前提下，可有效杜绝地下水和土壤污染。</w:t>
            </w:r>
          </w:p>
          <w:p>
            <w:pPr>
              <w:ind w:firstLine="480"/>
              <w:textAlignment w:val="auto"/>
            </w:pPr>
            <w:r>
              <w:rPr>
                <w:rFonts w:hint="eastAsia"/>
              </w:rPr>
              <w:t>综上所述，本项目在采取上述防控措施后，可有效防止地下水和土壤的污染。</w:t>
            </w:r>
          </w:p>
          <w:p>
            <w:pPr>
              <w:pStyle w:val="3"/>
            </w:pPr>
            <w:r>
              <w:rPr>
                <w:rFonts w:hint="eastAsia"/>
              </w:rPr>
              <w:t>4</w:t>
            </w:r>
            <w:r>
              <w:t>.4</w:t>
            </w:r>
            <w:r>
              <w:rPr>
                <w:rFonts w:hint="eastAsia"/>
              </w:rPr>
              <w:t>生态环境</w:t>
            </w:r>
          </w:p>
          <w:p>
            <w:pPr>
              <w:ind w:firstLine="480"/>
              <w:textAlignment w:val="auto"/>
            </w:pPr>
            <w:r>
              <w:t>项目占地范围内无生态环境保护目标，无生态环境影响</w:t>
            </w:r>
            <w:r>
              <w:rPr>
                <w:rFonts w:hint="eastAsia"/>
              </w:rPr>
              <w:t>。</w:t>
            </w:r>
          </w:p>
          <w:p>
            <w:pPr>
              <w:pStyle w:val="3"/>
              <w:rPr>
                <w:color w:val="000000" w:themeColor="text1"/>
                <w14:textFill>
                  <w14:solidFill>
                    <w14:schemeClr w14:val="tx1"/>
                  </w14:solidFill>
                </w14:textFill>
              </w:rPr>
            </w:pPr>
            <w:r>
              <w:rPr>
                <w:color w:val="000000" w:themeColor="text1"/>
                <w14:textFill>
                  <w14:solidFill>
                    <w14:schemeClr w14:val="tx1"/>
                  </w14:solidFill>
                </w14:textFill>
              </w:rPr>
              <w:t>4.5</w:t>
            </w:r>
            <w:r>
              <w:rPr>
                <w:rFonts w:hint="eastAsia"/>
                <w:color w:val="000000" w:themeColor="text1"/>
                <w14:textFill>
                  <w14:solidFill>
                    <w14:schemeClr w14:val="tx1"/>
                  </w14:solidFill>
                </w14:textFill>
              </w:rPr>
              <w:t>环境风险</w:t>
            </w:r>
          </w:p>
          <w:p>
            <w:pPr>
              <w:pStyle w:val="3"/>
              <w:rPr>
                <w:rFonts w:cs="Times New Roman"/>
              </w:rPr>
            </w:pPr>
            <w:r>
              <w:rPr>
                <w:rFonts w:cs="Times New Roman"/>
              </w:rPr>
              <w:t>4.5.1</w:t>
            </w:r>
            <w:r>
              <w:rPr>
                <w:rFonts w:hint="eastAsia"/>
              </w:rPr>
              <w:t>风险调查</w:t>
            </w:r>
          </w:p>
          <w:p>
            <w:pPr>
              <w:ind w:firstLine="480"/>
              <w:rPr>
                <w:rFonts w:cs="Times New Roman"/>
              </w:rPr>
            </w:pPr>
            <w:r>
              <w:rPr>
                <w:rFonts w:cs="Times New Roman"/>
              </w:rPr>
              <w:t>（1）建设项目风险源调查</w:t>
            </w:r>
          </w:p>
          <w:p>
            <w:pPr>
              <w:ind w:firstLine="480"/>
              <w:rPr>
                <w:rFonts w:cs="Times New Roman"/>
              </w:rPr>
            </w:pPr>
            <w:r>
              <w:rPr>
                <w:rFonts w:cs="Times New Roman"/>
              </w:rPr>
              <w:t>对照《建设项目环境风险评价技术导则》（HJ169-2018）附录B，本项目生产、使用、</w:t>
            </w:r>
            <w:r>
              <w:rPr>
                <w:rFonts w:hint="eastAsia"/>
              </w:rPr>
              <w:t>贮存</w:t>
            </w:r>
            <w:r>
              <w:rPr>
                <w:rFonts w:cs="Times New Roman"/>
              </w:rPr>
              <w:t>过程中涉及的危险物质数量与临界量的比值Q见下表。</w:t>
            </w:r>
          </w:p>
          <w:p>
            <w:pPr>
              <w:ind w:firstLine="480"/>
              <w:rPr>
                <w:rFonts w:cs="Times New Roman"/>
              </w:rPr>
            </w:pPr>
            <w:r>
              <w:rPr>
                <w:rFonts w:cs="Times New Roman"/>
              </w:rPr>
              <w:t>（2）环境敏感目标调查</w:t>
            </w:r>
          </w:p>
          <w:p>
            <w:pPr>
              <w:ind w:firstLine="480"/>
              <w:rPr>
                <w:rFonts w:cs="Times New Roman"/>
              </w:rPr>
            </w:pPr>
            <w:r>
              <w:rPr>
                <w:rFonts w:cs="Times New Roman"/>
              </w:rPr>
              <w:t>本项目环境风险评价范围内无自然保护区、风景名胜区、水源地等环境风险敏感目标。</w:t>
            </w:r>
          </w:p>
          <w:p>
            <w:pPr>
              <w:keepNext/>
              <w:keepLines/>
              <w:spacing w:before="120" w:after="60" w:line="240" w:lineRule="auto"/>
              <w:ind w:firstLine="0" w:firstLineChars="0"/>
              <w:outlineLvl w:val="1"/>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4.</w:t>
            </w:r>
            <w:r>
              <w:rPr>
                <w:b/>
                <w:color w:val="000000" w:themeColor="text1"/>
                <w:kern w:val="0"/>
                <w14:textFill>
                  <w14:solidFill>
                    <w14:schemeClr w14:val="tx1"/>
                  </w14:solidFill>
                </w14:textFill>
              </w:rPr>
              <w:t>5</w:t>
            </w:r>
            <w:r>
              <w:rPr>
                <w:rFonts w:hint="eastAsia"/>
                <w:b/>
                <w:color w:val="000000" w:themeColor="text1"/>
                <w:kern w:val="0"/>
                <w14:textFill>
                  <w14:solidFill>
                    <w14:schemeClr w14:val="tx1"/>
                  </w14:solidFill>
                </w14:textFill>
              </w:rPr>
              <w:t>.2环境风险评价等级</w:t>
            </w:r>
          </w:p>
          <w:p>
            <w:pPr>
              <w:ind w:firstLine="480"/>
              <w:textAlignment w:val="auto"/>
            </w:pPr>
            <w:r>
              <w:rPr>
                <w:rFonts w:hint="eastAsia"/>
              </w:rPr>
              <w:t>根据《建设项目环境风险评价技术导则》（HJ169-2018）项目风险物质为废机油。风险源情况详见下表4</w:t>
            </w:r>
            <w:r>
              <w:t>-10</w:t>
            </w:r>
            <w:r>
              <w:rPr>
                <w:rFonts w:hint="eastAsia"/>
              </w:rPr>
              <w:t>。</w:t>
            </w:r>
          </w:p>
          <w:p>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0  </w:t>
            </w:r>
            <w:r>
              <w:rPr>
                <w:rFonts w:hint="eastAsia"/>
                <w:b/>
                <w:bCs/>
                <w:sz w:val="21"/>
                <w:szCs w:val="21"/>
              </w:rPr>
              <w:t>危险化学品临界量一览表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95"/>
              <w:gridCol w:w="1683"/>
              <w:gridCol w:w="2301"/>
              <w:gridCol w:w="1793"/>
              <w:gridCol w:w="21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8" w:hRule="exact"/>
                <w:jc w:val="center"/>
              </w:trPr>
              <w:tc>
                <w:tcPr>
                  <w:tcW w:w="458" w:type="pct"/>
                  <w:vAlign w:val="center"/>
                </w:tcPr>
                <w:p>
                  <w:pPr>
                    <w:spacing w:line="240" w:lineRule="auto"/>
                    <w:ind w:firstLine="0" w:firstLineChars="0"/>
                    <w:jc w:val="center"/>
                    <w:textAlignment w:val="auto"/>
                    <w:rPr>
                      <w:sz w:val="21"/>
                      <w:szCs w:val="21"/>
                    </w:rPr>
                  </w:pPr>
                  <w:r>
                    <w:rPr>
                      <w:rFonts w:hint="eastAsia"/>
                      <w:sz w:val="21"/>
                      <w:szCs w:val="21"/>
                    </w:rPr>
                    <w:t>序号</w:t>
                  </w:r>
                </w:p>
              </w:tc>
              <w:tc>
                <w:tcPr>
                  <w:tcW w:w="970" w:type="pct"/>
                  <w:vAlign w:val="center"/>
                </w:tcPr>
                <w:p>
                  <w:pPr>
                    <w:spacing w:line="240" w:lineRule="auto"/>
                    <w:ind w:firstLine="0" w:firstLineChars="0"/>
                    <w:jc w:val="center"/>
                    <w:textAlignment w:val="auto"/>
                    <w:rPr>
                      <w:sz w:val="21"/>
                      <w:szCs w:val="21"/>
                    </w:rPr>
                  </w:pPr>
                  <w:r>
                    <w:rPr>
                      <w:rFonts w:hint="eastAsia"/>
                      <w:sz w:val="21"/>
                      <w:szCs w:val="21"/>
                    </w:rPr>
                    <w:t>环境风险物质</w:t>
                  </w:r>
                </w:p>
              </w:tc>
              <w:tc>
                <w:tcPr>
                  <w:tcW w:w="1326" w:type="pct"/>
                  <w:vAlign w:val="center"/>
                </w:tcPr>
                <w:p>
                  <w:pPr>
                    <w:spacing w:line="240" w:lineRule="auto"/>
                    <w:ind w:firstLine="0" w:firstLineChars="0"/>
                    <w:jc w:val="center"/>
                    <w:textAlignment w:val="auto"/>
                    <w:rPr>
                      <w:sz w:val="21"/>
                      <w:szCs w:val="21"/>
                    </w:rPr>
                  </w:pPr>
                  <w:r>
                    <w:rPr>
                      <w:rFonts w:hint="eastAsia"/>
                      <w:sz w:val="21"/>
                      <w:szCs w:val="21"/>
                    </w:rPr>
                    <w:t>贮存量（q）</w:t>
                  </w:r>
                </w:p>
              </w:tc>
              <w:tc>
                <w:tcPr>
                  <w:tcW w:w="1033" w:type="pct"/>
                  <w:vAlign w:val="center"/>
                </w:tcPr>
                <w:p>
                  <w:pPr>
                    <w:spacing w:line="240" w:lineRule="auto"/>
                    <w:ind w:firstLine="0" w:firstLineChars="0"/>
                    <w:jc w:val="center"/>
                    <w:textAlignment w:val="auto"/>
                    <w:rPr>
                      <w:sz w:val="21"/>
                      <w:szCs w:val="21"/>
                    </w:rPr>
                  </w:pPr>
                  <w:r>
                    <w:rPr>
                      <w:rFonts w:hint="eastAsia"/>
                      <w:sz w:val="21"/>
                      <w:szCs w:val="21"/>
                    </w:rPr>
                    <w:t>临界量（Q）</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q比值（Q）</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exact"/>
                <w:jc w:val="center"/>
              </w:trPr>
              <w:tc>
                <w:tcPr>
                  <w:tcW w:w="458" w:type="pct"/>
                  <w:vAlign w:val="center"/>
                </w:tcPr>
                <w:p>
                  <w:pPr>
                    <w:spacing w:line="240" w:lineRule="auto"/>
                    <w:ind w:firstLine="0" w:firstLineChars="0"/>
                    <w:jc w:val="center"/>
                    <w:textAlignment w:val="auto"/>
                    <w:rPr>
                      <w:sz w:val="21"/>
                      <w:szCs w:val="21"/>
                    </w:rPr>
                  </w:pPr>
                  <w:r>
                    <w:rPr>
                      <w:sz w:val="21"/>
                      <w:szCs w:val="21"/>
                    </w:rPr>
                    <w:t>1</w:t>
                  </w:r>
                </w:p>
              </w:tc>
              <w:tc>
                <w:tcPr>
                  <w:tcW w:w="970" w:type="pct"/>
                  <w:vAlign w:val="center"/>
                </w:tcPr>
                <w:p>
                  <w:pPr>
                    <w:spacing w:line="240" w:lineRule="auto"/>
                    <w:ind w:firstLine="0" w:firstLineChars="0"/>
                    <w:jc w:val="center"/>
                    <w:textAlignment w:val="auto"/>
                    <w:rPr>
                      <w:sz w:val="21"/>
                      <w:szCs w:val="21"/>
                    </w:rPr>
                  </w:pPr>
                  <w:r>
                    <w:rPr>
                      <w:rFonts w:hint="eastAsia"/>
                      <w:sz w:val="21"/>
                      <w:szCs w:val="21"/>
                    </w:rPr>
                    <w:t>废机油</w:t>
                  </w:r>
                </w:p>
              </w:tc>
              <w:tc>
                <w:tcPr>
                  <w:tcW w:w="1326" w:type="pct"/>
                  <w:vAlign w:val="center"/>
                </w:tcPr>
                <w:p>
                  <w:pPr>
                    <w:spacing w:line="240" w:lineRule="auto"/>
                    <w:ind w:firstLine="0" w:firstLineChars="0"/>
                    <w:jc w:val="center"/>
                    <w:textAlignment w:val="auto"/>
                    <w:rPr>
                      <w:sz w:val="21"/>
                      <w:szCs w:val="21"/>
                    </w:rPr>
                  </w:pPr>
                  <w:r>
                    <w:rPr>
                      <w:sz w:val="21"/>
                      <w:szCs w:val="21"/>
                    </w:rPr>
                    <w:t>0.1</w:t>
                  </w:r>
                </w:p>
              </w:tc>
              <w:tc>
                <w:tcPr>
                  <w:tcW w:w="1033" w:type="pct"/>
                  <w:vAlign w:val="center"/>
                </w:tcPr>
                <w:p>
                  <w:pPr>
                    <w:spacing w:line="240" w:lineRule="auto"/>
                    <w:ind w:firstLine="0" w:firstLineChars="0"/>
                    <w:jc w:val="center"/>
                    <w:textAlignment w:val="auto"/>
                    <w:rPr>
                      <w:sz w:val="21"/>
                      <w:szCs w:val="21"/>
                    </w:rPr>
                  </w:pPr>
                  <w:r>
                    <w:rPr>
                      <w:rFonts w:hint="eastAsia"/>
                      <w:sz w:val="21"/>
                      <w:szCs w:val="21"/>
                    </w:rPr>
                    <w:t>2</w:t>
                  </w:r>
                  <w:r>
                    <w:rPr>
                      <w:sz w:val="21"/>
                      <w:szCs w:val="21"/>
                    </w:rPr>
                    <w:t>500</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exact"/>
                <w:jc w:val="center"/>
              </w:trPr>
              <w:tc>
                <w:tcPr>
                  <w:tcW w:w="3787" w:type="pct"/>
                  <w:gridSpan w:val="4"/>
                  <w:vAlign w:val="center"/>
                </w:tcPr>
                <w:p>
                  <w:pPr>
                    <w:spacing w:line="240" w:lineRule="auto"/>
                    <w:ind w:firstLine="0" w:firstLineChars="0"/>
                    <w:jc w:val="center"/>
                    <w:textAlignment w:val="auto"/>
                    <w:rPr>
                      <w:sz w:val="21"/>
                      <w:szCs w:val="21"/>
                    </w:rPr>
                  </w:pPr>
                  <w:r>
                    <w:rPr>
                      <w:rFonts w:hint="eastAsia"/>
                      <w:sz w:val="21"/>
                      <w:szCs w:val="21"/>
                    </w:rPr>
                    <w:t>合计</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bl>
          <w:p>
            <w:pPr>
              <w:autoSpaceDE w:val="0"/>
              <w:autoSpaceDN w:val="0"/>
              <w:adjustRightInd w:val="0"/>
              <w:snapToGrid w:val="0"/>
              <w:ind w:firstLine="480"/>
              <w:rPr>
                <w:rFonts w:cs="Times New Roman"/>
                <w:snapToGrid w:val="0"/>
                <w:kern w:val="0"/>
                <w:szCs w:val="24"/>
              </w:rPr>
            </w:pPr>
            <w:r>
              <w:rPr>
                <w:rFonts w:cs="Times New Roman"/>
                <w:bCs/>
              </w:rPr>
              <w:t>根据危险物质数量与临界量比值，确定Q=0.00004＜1。当Q＜1时，该项目风险期潜势为Ⅰ，风险期潜势为Ⅰ时，环境风险评价工作等级为简单分析。</w:t>
            </w:r>
          </w:p>
          <w:p>
            <w:pPr>
              <w:keepNext/>
              <w:spacing w:before="163" w:beforeLines="50" w:line="240" w:lineRule="auto"/>
              <w:ind w:firstLine="422"/>
              <w:jc w:val="center"/>
              <w:rPr>
                <w:rFonts w:cs="Times New Roman"/>
                <w:b/>
                <w:snapToGrid w:val="0"/>
                <w:sz w:val="21"/>
              </w:rPr>
            </w:pPr>
            <w:r>
              <w:rPr>
                <w:rFonts w:hint="eastAsia" w:cs="Times New Roman"/>
                <w:b/>
                <w:snapToGrid w:val="0"/>
                <w:sz w:val="21"/>
              </w:rPr>
              <w:t>表</w:t>
            </w:r>
            <w:r>
              <w:rPr>
                <w:rFonts w:cs="Times New Roman"/>
                <w:b/>
                <w:snapToGrid w:val="0"/>
                <w:sz w:val="21"/>
              </w:rPr>
              <w:t xml:space="preserve">4-11  </w:t>
            </w:r>
            <w:r>
              <w:rPr>
                <w:rFonts w:hint="eastAsia" w:cs="Times New Roman"/>
                <w:b/>
                <w:snapToGrid w:val="0"/>
                <w:sz w:val="21"/>
              </w:rPr>
              <w:t>评价工作等级划分</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5"/>
              <w:gridCol w:w="1550"/>
              <w:gridCol w:w="1791"/>
              <w:gridCol w:w="2180"/>
              <w:gridCol w:w="1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12" w:space="0"/>
                    <w:left w:val="single" w:color="auto" w:sz="12"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环境风险潜势</w:t>
                  </w:r>
                </w:p>
              </w:tc>
              <w:tc>
                <w:tcPr>
                  <w:tcW w:w="893"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Ⅳ+</w:t>
                  </w:r>
                  <w:r>
                    <w:rPr>
                      <w:rFonts w:hint="eastAsia" w:cs="Times New Roman"/>
                      <w:snapToGrid w:val="0"/>
                      <w:sz w:val="21"/>
                      <w:szCs w:val="24"/>
                    </w:rPr>
                    <w:t>、</w:t>
                  </w:r>
                  <w:r>
                    <w:rPr>
                      <w:rFonts w:cs="Times New Roman"/>
                      <w:snapToGrid w:val="0"/>
                      <w:sz w:val="21"/>
                      <w:szCs w:val="24"/>
                    </w:rPr>
                    <w:t>Ⅳ</w:t>
                  </w:r>
                </w:p>
              </w:tc>
              <w:tc>
                <w:tcPr>
                  <w:tcW w:w="1032"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Ⅲ</w:t>
                  </w:r>
                </w:p>
              </w:tc>
              <w:tc>
                <w:tcPr>
                  <w:tcW w:w="1256"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Ⅱ</w:t>
                  </w:r>
                </w:p>
              </w:tc>
              <w:tc>
                <w:tcPr>
                  <w:tcW w:w="917" w:type="pct"/>
                  <w:tcBorders>
                    <w:top w:val="single" w:color="auto" w:sz="12" w:space="0"/>
                    <w:left w:val="single" w:color="auto" w:sz="6" w:space="0"/>
                    <w:bottom w:val="single" w:color="auto" w:sz="6" w:space="0"/>
                    <w:right w:val="single" w:color="auto" w:sz="12" w:space="0"/>
                  </w:tcBorders>
                  <w:shd w:val="clear" w:color="auto" w:fill="E7E6E6" w:themeFill="background2"/>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评价工作等级</w:t>
                  </w:r>
                </w:p>
              </w:tc>
              <w:tc>
                <w:tcPr>
                  <w:tcW w:w="893"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一</w:t>
                  </w:r>
                </w:p>
              </w:tc>
              <w:tc>
                <w:tcPr>
                  <w:tcW w:w="1032"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二</w:t>
                  </w:r>
                </w:p>
              </w:tc>
              <w:tc>
                <w:tcPr>
                  <w:tcW w:w="1256"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三</w:t>
                  </w:r>
                </w:p>
              </w:tc>
              <w:tc>
                <w:tcPr>
                  <w:tcW w:w="917" w:type="pct"/>
                  <w:tcBorders>
                    <w:top w:val="single" w:color="auto" w:sz="6" w:space="0"/>
                    <w:left w:val="single" w:color="auto" w:sz="6" w:space="0"/>
                    <w:bottom w:val="single" w:color="auto" w:sz="6" w:space="0"/>
                    <w:right w:val="single" w:color="auto" w:sz="12" w:space="0"/>
                  </w:tcBorders>
                  <w:shd w:val="clear" w:color="auto" w:fill="E7E6E6" w:themeFill="background2"/>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简单分析</w:t>
                  </w:r>
                  <w:r>
                    <w:rPr>
                      <w:rFonts w:cs="Times New Roman"/>
                      <w:snapToGrid w:val="0"/>
                      <w:sz w:val="21"/>
                      <w:szCs w:val="24"/>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00" w:type="pct"/>
                  <w:gridSpan w:val="5"/>
                  <w:tcBorders>
                    <w:top w:val="single" w:color="auto" w:sz="6" w:space="0"/>
                    <w:left w:val="single" w:color="auto" w:sz="12" w:space="0"/>
                    <w:bottom w:val="single" w:color="auto" w:sz="12" w:space="0"/>
                    <w:right w:val="single" w:color="auto" w:sz="12" w:space="0"/>
                  </w:tcBorders>
                  <w:vAlign w:val="center"/>
                </w:tcPr>
                <w:p>
                  <w:pPr>
                    <w:spacing w:line="240" w:lineRule="auto"/>
                    <w:ind w:firstLine="0" w:firstLineChars="0"/>
                    <w:rPr>
                      <w:rFonts w:cs="Times New Roman"/>
                      <w:snapToGrid w:val="0"/>
                      <w:sz w:val="21"/>
                      <w:szCs w:val="24"/>
                    </w:rPr>
                  </w:pPr>
                  <w:r>
                    <w:rPr>
                      <w:rFonts w:cs="Times New Roman"/>
                      <w:snapToGrid w:val="0"/>
                      <w:sz w:val="21"/>
                      <w:szCs w:val="24"/>
                    </w:rPr>
                    <w:t>a</w:t>
                  </w:r>
                  <w:r>
                    <w:rPr>
                      <w:rFonts w:hint="eastAsia" w:cs="Times New Roman"/>
                      <w:snapToGrid w:val="0"/>
                      <w:sz w:val="21"/>
                      <w:szCs w:val="24"/>
                    </w:rPr>
                    <w:t>是相对于详细评价工作内容而言，在描述危险物质、环境影响途径、环境危害后果、风险防范措施等方面给出定性的说明。见附录</w:t>
                  </w:r>
                  <w:r>
                    <w:rPr>
                      <w:rFonts w:cs="Times New Roman"/>
                      <w:snapToGrid w:val="0"/>
                      <w:sz w:val="21"/>
                      <w:szCs w:val="24"/>
                    </w:rPr>
                    <w:t>A.</w:t>
                  </w:r>
                </w:p>
              </w:tc>
            </w:tr>
          </w:tbl>
          <w:p>
            <w:pPr>
              <w:ind w:firstLine="0" w:firstLineChars="0"/>
              <w:textAlignment w:val="auto"/>
              <w:rPr>
                <w:rFonts w:cs="Times New Roman"/>
                <w:b/>
                <w:bCs/>
                <w:kern w:val="0"/>
                <w:szCs w:val="24"/>
              </w:rPr>
            </w:pPr>
            <w:r>
              <w:rPr>
                <w:rFonts w:hint="eastAsia" w:cs="Times New Roman"/>
                <w:b/>
                <w:bCs/>
                <w:kern w:val="0"/>
                <w:szCs w:val="24"/>
              </w:rPr>
              <w:t>4.</w:t>
            </w:r>
            <w:r>
              <w:rPr>
                <w:rFonts w:cs="Times New Roman"/>
                <w:b/>
                <w:bCs/>
                <w:kern w:val="0"/>
                <w:szCs w:val="24"/>
              </w:rPr>
              <w:t>5</w:t>
            </w:r>
            <w:r>
              <w:rPr>
                <w:rFonts w:hint="eastAsia" w:cs="Times New Roman"/>
                <w:b/>
                <w:bCs/>
                <w:kern w:val="0"/>
                <w:szCs w:val="24"/>
              </w:rPr>
              <w:t>.3环境风险识别</w:t>
            </w:r>
          </w:p>
          <w:p>
            <w:pPr>
              <w:widowControl/>
              <w:ind w:firstLine="480"/>
              <w:jc w:val="left"/>
            </w:pPr>
            <w:r>
              <w:rPr>
                <w:rFonts w:hint="eastAsia" w:ascii="宋体" w:hAnsi="宋体" w:cs="宋体"/>
                <w:color w:val="000000"/>
                <w:kern w:val="0"/>
                <w:szCs w:val="24"/>
                <w:lang w:bidi="ar"/>
              </w:rPr>
              <w:t>①环境风险物质识别</w:t>
            </w:r>
          </w:p>
          <w:p>
            <w:pPr>
              <w:ind w:firstLine="480"/>
            </w:pPr>
            <w:r>
              <w:rPr>
                <w:rFonts w:hint="eastAsia"/>
              </w:rPr>
              <w:t>本项目存在的主要风险包括</w:t>
            </w:r>
            <w:r>
              <w:rPr>
                <w:rFonts w:hint="eastAsia" w:cs="Times New Roman"/>
                <w:snapToGrid w:val="0"/>
                <w:kern w:val="0"/>
                <w:szCs w:val="24"/>
              </w:rPr>
              <w:t>废机油</w:t>
            </w:r>
            <w:r>
              <w:rPr>
                <w:rFonts w:hint="eastAsia"/>
              </w:rPr>
              <w:t>贮存过程可能引发的火灾事故。</w:t>
            </w:r>
          </w:p>
          <w:p>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2  </w:t>
            </w:r>
            <w:r>
              <w:rPr>
                <w:rFonts w:hint="eastAsia"/>
                <w:b/>
                <w:bCs/>
                <w:sz w:val="21"/>
                <w:szCs w:val="21"/>
              </w:rPr>
              <w:t>本项目风险物质的扩散途径及环境影响一览</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90"/>
              <w:gridCol w:w="1300"/>
              <w:gridCol w:w="47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82" w:type="pct"/>
                  <w:vAlign w:val="center"/>
                </w:tcPr>
                <w:p>
                  <w:pPr>
                    <w:spacing w:line="240" w:lineRule="auto"/>
                    <w:ind w:firstLine="0" w:firstLineChars="0"/>
                    <w:jc w:val="center"/>
                    <w:outlineLvl w:val="2"/>
                    <w:rPr>
                      <w:color w:val="000000"/>
                      <w:sz w:val="21"/>
                      <w:szCs w:val="21"/>
                    </w:rPr>
                  </w:pPr>
                  <w:r>
                    <w:rPr>
                      <w:color w:val="000000"/>
                      <w:sz w:val="21"/>
                      <w:szCs w:val="21"/>
                    </w:rPr>
                    <w:t>序号</w:t>
                  </w:r>
                </w:p>
              </w:tc>
              <w:tc>
                <w:tcPr>
                  <w:tcW w:w="916" w:type="pct"/>
                  <w:vAlign w:val="center"/>
                </w:tcPr>
                <w:p>
                  <w:pPr>
                    <w:spacing w:line="240" w:lineRule="auto"/>
                    <w:ind w:firstLine="0" w:firstLineChars="0"/>
                    <w:jc w:val="center"/>
                    <w:outlineLvl w:val="2"/>
                    <w:rPr>
                      <w:color w:val="000000"/>
                      <w:sz w:val="21"/>
                      <w:szCs w:val="21"/>
                    </w:rPr>
                  </w:pPr>
                  <w:r>
                    <w:rPr>
                      <w:color w:val="000000"/>
                      <w:sz w:val="21"/>
                      <w:szCs w:val="21"/>
                    </w:rPr>
                    <w:t>环境风险单元</w:t>
                  </w:r>
                </w:p>
              </w:tc>
              <w:tc>
                <w:tcPr>
                  <w:tcW w:w="749" w:type="pct"/>
                  <w:vAlign w:val="center"/>
                </w:tcPr>
                <w:p>
                  <w:pPr>
                    <w:spacing w:line="240" w:lineRule="auto"/>
                    <w:ind w:firstLine="0" w:firstLineChars="0"/>
                    <w:jc w:val="center"/>
                    <w:outlineLvl w:val="2"/>
                    <w:rPr>
                      <w:color w:val="000000"/>
                      <w:sz w:val="21"/>
                      <w:szCs w:val="21"/>
                    </w:rPr>
                  </w:pPr>
                  <w:r>
                    <w:rPr>
                      <w:color w:val="000000"/>
                      <w:sz w:val="21"/>
                      <w:szCs w:val="21"/>
                    </w:rPr>
                    <w:t>涉及物质</w:t>
                  </w:r>
                </w:p>
              </w:tc>
              <w:tc>
                <w:tcPr>
                  <w:tcW w:w="2752" w:type="pct"/>
                  <w:vAlign w:val="center"/>
                </w:tcPr>
                <w:p>
                  <w:pPr>
                    <w:spacing w:line="240" w:lineRule="auto"/>
                    <w:ind w:firstLine="0" w:firstLineChars="0"/>
                    <w:jc w:val="center"/>
                    <w:outlineLvl w:val="2"/>
                    <w:rPr>
                      <w:color w:val="000000"/>
                      <w:sz w:val="21"/>
                      <w:szCs w:val="21"/>
                    </w:rPr>
                  </w:pPr>
                  <w:r>
                    <w:rPr>
                      <w:color w:val="000000"/>
                      <w:sz w:val="21"/>
                      <w:szCs w:val="21"/>
                    </w:rPr>
                    <w:t>扩散途径及环境影响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82" w:type="pct"/>
                  <w:vAlign w:val="center"/>
                </w:tcPr>
                <w:p>
                  <w:pPr>
                    <w:spacing w:line="240" w:lineRule="auto"/>
                    <w:ind w:firstLine="0" w:firstLineChars="0"/>
                    <w:jc w:val="center"/>
                    <w:outlineLvl w:val="2"/>
                    <w:rPr>
                      <w:color w:val="000000"/>
                      <w:sz w:val="21"/>
                      <w:szCs w:val="21"/>
                    </w:rPr>
                  </w:pPr>
                  <w:r>
                    <w:rPr>
                      <w:color w:val="000000"/>
                      <w:sz w:val="21"/>
                      <w:szCs w:val="21"/>
                    </w:rPr>
                    <w:t>1</w:t>
                  </w:r>
                </w:p>
              </w:tc>
              <w:tc>
                <w:tcPr>
                  <w:tcW w:w="916" w:type="pct"/>
                  <w:vAlign w:val="center"/>
                </w:tcPr>
                <w:p>
                  <w:pPr>
                    <w:spacing w:line="240" w:lineRule="auto"/>
                    <w:ind w:firstLine="0" w:firstLineChars="0"/>
                    <w:jc w:val="center"/>
                    <w:outlineLvl w:val="2"/>
                    <w:rPr>
                      <w:color w:val="000000"/>
                      <w:sz w:val="21"/>
                      <w:szCs w:val="21"/>
                    </w:rPr>
                  </w:pPr>
                  <w:r>
                    <w:rPr>
                      <w:color w:val="000000"/>
                      <w:sz w:val="21"/>
                      <w:szCs w:val="21"/>
                    </w:rPr>
                    <w:t>危险废物</w:t>
                  </w:r>
                  <w:r>
                    <w:rPr>
                      <w:rFonts w:hint="eastAsia"/>
                      <w:color w:val="000000"/>
                      <w:sz w:val="21"/>
                      <w:szCs w:val="21"/>
                    </w:rPr>
                    <w:t>贮存点</w:t>
                  </w:r>
                </w:p>
              </w:tc>
              <w:tc>
                <w:tcPr>
                  <w:tcW w:w="749" w:type="pct"/>
                  <w:vAlign w:val="center"/>
                </w:tcPr>
                <w:p>
                  <w:pPr>
                    <w:spacing w:line="240" w:lineRule="auto"/>
                    <w:ind w:firstLine="0" w:firstLineChars="0"/>
                    <w:jc w:val="center"/>
                    <w:outlineLvl w:val="2"/>
                    <w:rPr>
                      <w:color w:val="000000"/>
                      <w:sz w:val="21"/>
                      <w:szCs w:val="21"/>
                    </w:rPr>
                  </w:pPr>
                  <w:r>
                    <w:rPr>
                      <w:color w:val="000000"/>
                      <w:sz w:val="21"/>
                      <w:szCs w:val="21"/>
                    </w:rPr>
                    <w:t>危险废物（废机油）</w:t>
                  </w:r>
                </w:p>
              </w:tc>
              <w:tc>
                <w:tcPr>
                  <w:tcW w:w="2752" w:type="pct"/>
                  <w:vAlign w:val="center"/>
                </w:tcPr>
                <w:p>
                  <w:pPr>
                    <w:spacing w:line="240" w:lineRule="auto"/>
                    <w:ind w:firstLine="0" w:firstLineChars="0"/>
                    <w:jc w:val="center"/>
                    <w:outlineLvl w:val="2"/>
                    <w:rPr>
                      <w:color w:val="000000"/>
                      <w:sz w:val="21"/>
                      <w:szCs w:val="21"/>
                    </w:rPr>
                  </w:pPr>
                  <w:r>
                    <w:rPr>
                      <w:color w:val="000000"/>
                      <w:sz w:val="21"/>
                      <w:szCs w:val="21"/>
                    </w:rPr>
                    <w:t>危险废物</w:t>
                  </w:r>
                  <w:r>
                    <w:rPr>
                      <w:rFonts w:hint="eastAsia"/>
                      <w:color w:val="000000"/>
                      <w:sz w:val="21"/>
                      <w:szCs w:val="21"/>
                    </w:rPr>
                    <w:t>贮存点一旦</w:t>
                  </w:r>
                  <w:r>
                    <w:rPr>
                      <w:color w:val="000000"/>
                      <w:sz w:val="21"/>
                      <w:szCs w:val="21"/>
                    </w:rPr>
                    <w:t>发生火灾，污染大气，消防水影响水环境；静电等导致危废起火，发生火灾，污染大气，消防水影响水环境</w:t>
                  </w:r>
                </w:p>
              </w:tc>
            </w:tr>
          </w:tbl>
          <w:p>
            <w:pPr>
              <w:ind w:firstLine="0" w:firstLineChars="0"/>
              <w:textAlignment w:val="auto"/>
              <w:rPr>
                <w:rFonts w:cs="Times New Roman"/>
                <w:b/>
                <w:bCs/>
                <w:kern w:val="0"/>
                <w:szCs w:val="24"/>
              </w:rPr>
            </w:pPr>
            <w:r>
              <w:rPr>
                <w:rFonts w:cs="Times New Roman"/>
                <w:b/>
                <w:bCs/>
                <w:kern w:val="0"/>
                <w:szCs w:val="24"/>
              </w:rPr>
              <w:t>4.5.</w:t>
            </w:r>
            <w:r>
              <w:rPr>
                <w:rFonts w:hint="eastAsia" w:cs="Times New Roman"/>
                <w:b/>
                <w:bCs/>
                <w:kern w:val="0"/>
                <w:szCs w:val="24"/>
              </w:rPr>
              <w:t>4环境风险影响分析</w:t>
            </w:r>
          </w:p>
          <w:p>
            <w:pPr>
              <w:ind w:firstLine="480"/>
            </w:pPr>
            <w:r>
              <w:rPr>
                <w:rFonts w:hint="eastAsia"/>
              </w:rPr>
              <w:t>本项目在运营过程中涉及少量废机油的临时贮存，主要环境风险为废机油泄漏及其引发的火灾、爆炸等次生事故。具体影响分析如下：</w:t>
            </w:r>
          </w:p>
          <w:p>
            <w:pPr>
              <w:ind w:firstLine="480"/>
            </w:pPr>
            <w:r>
              <w:rPr>
                <w:rFonts w:hint="eastAsia"/>
              </w:rPr>
              <w:t>1.废机油泄漏风险分析</w:t>
            </w:r>
          </w:p>
          <w:p>
            <w:pPr>
              <w:ind w:firstLine="480"/>
            </w:pPr>
            <w:r>
              <w:rPr>
                <w:rFonts w:hint="eastAsia"/>
              </w:rPr>
              <w:t>废机油属于《国家危险废物名录》中规定的危险废物（类别：HW08）。若贮存容器破损，可能导致废机油泄漏。泄漏后油品可能沿地面漫流，污染厂区土壤；在无有效防渗措施的情况下，还可能下渗进入地下水系统，造成地下水污染。尤其在降雨条件下，污染物可随径流进入周边地表水体，存在一定的水环境风险。</w:t>
            </w:r>
          </w:p>
          <w:p>
            <w:pPr>
              <w:ind w:firstLine="480"/>
            </w:pPr>
            <w:r>
              <w:rPr>
                <w:rFonts w:hint="eastAsia"/>
              </w:rPr>
              <w:t>2.火灾与爆炸风险分析</w:t>
            </w:r>
          </w:p>
          <w:p>
            <w:pPr>
              <w:ind w:firstLine="480"/>
            </w:pPr>
            <w:r>
              <w:rPr>
                <w:rFonts w:hint="eastAsia"/>
              </w:rPr>
              <w:t>废机油具有可燃性，在密闭空间内挥发的油气与空气混合后，遇明火、高温或静电火花可能引发火灾甚至爆炸。燃烧过程中会产生一氧化碳（CO）、氮氧化物（NOx）及不完全燃烧产物（如烟尘、多环芳烃等），对周边大气环境和人体健康造成短期不利影响。</w:t>
            </w:r>
          </w:p>
          <w:p>
            <w:pPr>
              <w:ind w:firstLine="480"/>
            </w:pPr>
            <w:r>
              <w:rPr>
                <w:rFonts w:hint="eastAsia"/>
              </w:rPr>
              <w:t>3.次生环境污染分析</w:t>
            </w:r>
          </w:p>
          <w:p>
            <w:pPr>
              <w:ind w:firstLine="480"/>
            </w:pPr>
            <w:r>
              <w:rPr>
                <w:rFonts w:hint="eastAsia"/>
              </w:rPr>
              <w:t>若发生火灾事故，灭火过程中产生的消防废水含有油类污染物和燃烧残留物。若未及时收集处理，废水可能随地表径流外排，污染附近地表水体，并可能通过渗透影响地下水安全，构成“二次污染”风险。</w:t>
            </w:r>
          </w:p>
          <w:p>
            <w:pPr>
              <w:ind w:firstLine="480"/>
            </w:pPr>
            <w:r>
              <w:rPr>
                <w:rFonts w:hint="eastAsia"/>
              </w:rPr>
              <w:t>4.风险概率评估</w:t>
            </w:r>
          </w:p>
          <w:p>
            <w:pPr>
              <w:ind w:firstLine="480"/>
            </w:pPr>
            <w:r>
              <w:rPr>
                <w:rFonts w:hint="eastAsia" w:cs="Times New Roman"/>
                <w:szCs w:val="24"/>
              </w:rPr>
              <w:t>项目废机油产生量小，废机油集中存放于危险废物贮存点。贮存点按照《危险废物贮存污染控制标准》（GB18597-2023）要求进行重点防渗区设计，并配备泄漏收集托盘和应急物资；企业定期委托具有相应资质的单位进行清运与处置，全过程管理规范。综合判断，发生泄漏或火灾事故的概率较低</w:t>
            </w:r>
            <w:r>
              <w:rPr>
                <w:rFonts w:hint="eastAsia"/>
              </w:rPr>
              <w:t>。</w:t>
            </w:r>
          </w:p>
          <w:p>
            <w:pPr>
              <w:ind w:firstLine="0" w:firstLineChars="0"/>
              <w:rPr>
                <w:b/>
                <w:bCs/>
              </w:rPr>
            </w:pPr>
            <w:r>
              <w:rPr>
                <w:rFonts w:hint="eastAsia"/>
                <w:b/>
                <w:bCs/>
              </w:rPr>
              <w:t>4.</w:t>
            </w:r>
            <w:r>
              <w:rPr>
                <w:b/>
                <w:bCs/>
              </w:rPr>
              <w:t>5</w:t>
            </w:r>
            <w:r>
              <w:rPr>
                <w:rFonts w:hint="eastAsia"/>
                <w:b/>
                <w:bCs/>
              </w:rPr>
              <w:t>.5环境风险应急预案</w:t>
            </w:r>
          </w:p>
          <w:p>
            <w:pPr>
              <w:ind w:firstLine="480"/>
            </w:pPr>
            <w:r>
              <w:t>该项目应结合各阶段的实际情况编制环境风险事故应急预案，其主要内容包括：</w:t>
            </w:r>
          </w:p>
          <w:p>
            <w:pPr>
              <w:ind w:firstLine="480"/>
            </w:pPr>
            <w:r>
              <w:rPr>
                <w:rFonts w:hint="eastAsia"/>
              </w:rPr>
              <w:t>（1）</w:t>
            </w:r>
            <w:r>
              <w:t>说明工程所处的地理位置及周边情况（各环境敏感目标、农户情况、当地气象条件等）、项目所在地现状、道路及运输情况等内容。</w:t>
            </w:r>
          </w:p>
          <w:p>
            <w:pPr>
              <w:ind w:firstLine="480"/>
            </w:pPr>
            <w:r>
              <w:rPr>
                <w:rFonts w:hint="eastAsia"/>
              </w:rPr>
              <w:t>（</w:t>
            </w:r>
            <w:r>
              <w:t>2）明确各阶段环境风险源的基本情况。</w:t>
            </w:r>
          </w:p>
          <w:p>
            <w:pPr>
              <w:ind w:firstLine="480"/>
            </w:pPr>
            <w:r>
              <w:rPr>
                <w:rFonts w:hint="eastAsia"/>
              </w:rPr>
              <w:t>（</w:t>
            </w:r>
            <w:r>
              <w:t>3）建立应急救援指挥机构，明确其职责，并确定通讯联络和联络方式。</w:t>
            </w:r>
          </w:p>
          <w:p>
            <w:pPr>
              <w:ind w:firstLine="480"/>
            </w:pPr>
            <w:r>
              <w:rPr>
                <w:rFonts w:hint="eastAsia"/>
              </w:rPr>
              <w:t>（</w:t>
            </w:r>
            <w:r>
              <w:t>4）明确必要的应急装备和设施。</w:t>
            </w:r>
          </w:p>
          <w:p>
            <w:pPr>
              <w:ind w:firstLine="480"/>
            </w:pPr>
            <w:r>
              <w:rPr>
                <w:rFonts w:hint="eastAsia"/>
              </w:rPr>
              <w:t>（</w:t>
            </w:r>
            <w:r>
              <w:t>5）组织应急救援专业队伍，明确任务及救援程序，并经常进行训练和演习。</w:t>
            </w:r>
          </w:p>
          <w:p>
            <w:pPr>
              <w:ind w:firstLine="480"/>
            </w:pPr>
            <w:r>
              <w:rPr>
                <w:rFonts w:hint="eastAsia"/>
              </w:rPr>
              <w:t>（</w:t>
            </w:r>
            <w:r>
              <w:t>6）制定各类环境风险事故的应急处置方案和救援程序。</w:t>
            </w:r>
          </w:p>
          <w:p>
            <w:pPr>
              <w:ind w:firstLine="480"/>
            </w:pPr>
            <w:r>
              <w:rPr>
                <w:rFonts w:hint="eastAsia"/>
              </w:rPr>
              <w:t>（</w:t>
            </w:r>
            <w:r>
              <w:t>7）建立汇报和协调程序。事故发生后，立即按程序汇报，并配合环境监测部门对事故现场及影响区域进行跟踪监测。</w:t>
            </w:r>
          </w:p>
          <w:p>
            <w:pPr>
              <w:ind w:firstLine="480"/>
            </w:pPr>
            <w:r>
              <w:rPr>
                <w:rFonts w:hint="eastAsia"/>
              </w:rPr>
              <w:t>（</w:t>
            </w:r>
            <w:r>
              <w:t>8）发生事故后，抢险人员应根据事先拟定的方案，在做好个人防护的技术基础上，以最快的速度及时堵漏排险、消灭事故。</w:t>
            </w:r>
          </w:p>
          <w:p>
            <w:pPr>
              <w:ind w:firstLine="480"/>
            </w:pPr>
            <w:r>
              <w:rPr>
                <w:rFonts w:hint="eastAsia"/>
              </w:rPr>
              <w:t>（</w:t>
            </w:r>
            <w:r>
              <w:t>9）发生重大事故可能对人群安全构成威胁时，必须在指挥部统一指挥下，紧急疏散与事故应急救援无关的人员，疏散方向、距离和集中地点，必须根据不同事故，作出具体规定。总的原则是疏散安全点处于当时的上风向。</w:t>
            </w:r>
          </w:p>
          <w:p>
            <w:pPr>
              <w:ind w:firstLine="480"/>
            </w:pPr>
            <w:r>
              <w:rPr>
                <w:rFonts w:hint="eastAsia"/>
              </w:rPr>
              <w:t>（</w:t>
            </w:r>
            <w:r>
              <w:t>10）对应急救援人员进行培训，对社会或周边人员应急响应知识的宣传，必要时组织多方人员参与培训和应急演练。</w:t>
            </w:r>
          </w:p>
          <w:p>
            <w:pPr>
              <w:ind w:firstLine="480"/>
            </w:pPr>
            <w:r>
              <w:rPr>
                <w:rFonts w:hint="eastAsia"/>
              </w:rPr>
              <w:t>（</w:t>
            </w:r>
            <w:r>
              <w:t>11）明确演练计划和方式。</w:t>
            </w:r>
          </w:p>
          <w:p>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废机油</w:t>
            </w:r>
            <w:r>
              <w:t>泄漏应急救援预案</w:t>
            </w:r>
          </w:p>
          <w:p>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当</w:t>
            </w:r>
            <w:r>
              <w:rPr>
                <w:rFonts w:hint="eastAsia"/>
              </w:rPr>
              <w:t>废机油</w:t>
            </w:r>
            <w:r>
              <w:t>外溢时，应及时围堵，并及时进行清理。</w:t>
            </w:r>
          </w:p>
          <w:p>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对受泄漏</w:t>
            </w:r>
            <w:r>
              <w:rPr>
                <w:rFonts w:hint="eastAsia"/>
              </w:rPr>
              <w:t>废机油</w:t>
            </w:r>
            <w:r>
              <w:t>污染的土壤进行清理和置换，确保农业生产不受影响。</w:t>
            </w:r>
          </w:p>
          <w:p>
            <w:pPr>
              <w:ind w:firstLine="48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宣传、培训和演习</w:t>
            </w:r>
          </w:p>
          <w:p>
            <w:pPr>
              <w:ind w:firstLine="48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t>企业要按规定向公众和员工广泛宣传应急救援有关法律法规和事故预防、避险、避灾、自救、互救的常识。</w:t>
            </w:r>
          </w:p>
          <w:p>
            <w:pPr>
              <w:ind w:firstLine="480"/>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t>培训。有关应急救援队伍按照有关规定参加业务培训；企业按照有关规定对员工进行应急培训；</w:t>
            </w:r>
          </w:p>
          <w:p>
            <w:pPr>
              <w:ind w:firstLine="48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演习。企业每年至少组织一次事故应急演习，并将演习总结报应急办公室。</w:t>
            </w:r>
          </w:p>
          <w:p>
            <w:pPr>
              <w:ind w:firstLine="0" w:firstLineChars="0"/>
              <w:rPr>
                <w:b/>
                <w:bCs/>
              </w:rPr>
            </w:pPr>
            <w:r>
              <w:rPr>
                <w:rFonts w:hint="eastAsia"/>
                <w:b/>
                <w:bCs/>
              </w:rPr>
              <w:t>4.</w:t>
            </w:r>
            <w:r>
              <w:rPr>
                <w:b/>
                <w:bCs/>
              </w:rPr>
              <w:t>5</w:t>
            </w:r>
            <w:r>
              <w:rPr>
                <w:rFonts w:hint="eastAsia"/>
                <w:b/>
                <w:bCs/>
              </w:rPr>
              <w:t>.6环境风险防范措施</w:t>
            </w:r>
          </w:p>
          <w:p>
            <w:pPr>
              <w:ind w:firstLine="480"/>
            </w:pPr>
            <w:r>
              <w:rPr>
                <w:rFonts w:hint="eastAsia"/>
              </w:rPr>
              <w:t>为进一步降低环境风险，提升应急响应能力，现补充和完善以下风险防范措施：</w:t>
            </w:r>
          </w:p>
          <w:p>
            <w:pPr>
              <w:ind w:firstLine="480"/>
            </w:pPr>
            <w:r>
              <w:rPr>
                <w:rFonts w:hint="eastAsia"/>
              </w:rPr>
              <w:t>①贮存管理规范化</w:t>
            </w:r>
          </w:p>
          <w:p>
            <w:pPr>
              <w:ind w:firstLine="480"/>
            </w:pPr>
            <w:r>
              <w:rPr>
                <w:rFonts w:hint="eastAsia" w:ascii="Segoe UI" w:hAnsi="Segoe UI" w:cs="Segoe UI"/>
                <w:color w:val="0F1115"/>
                <w:shd w:val="clear" w:color="auto" w:fill="FFFFFF"/>
              </w:rPr>
              <w:t>废机油应贮存于重点防渗的专用区域内</w:t>
            </w:r>
            <w:r>
              <w:rPr>
                <w:rFonts w:ascii="Segoe UI" w:hAnsi="Segoe UI" w:cs="Segoe UI"/>
                <w:color w:val="0F1115"/>
                <w:shd w:val="clear" w:color="auto" w:fill="FFFFFF"/>
              </w:rPr>
              <w:t>，并设置围堰及集液沟，确保泄漏物可收集、不外排。贮存须使用密闭、耐腐蚀的专用容器，并定期检查。同时，区域应张贴包含废物种类、数量及应急措施的标识，并建立规范的贮存管理台账</w:t>
            </w:r>
            <w:r>
              <w:rPr>
                <w:rFonts w:hint="eastAsia"/>
              </w:rPr>
              <w:t>。</w:t>
            </w:r>
          </w:p>
          <w:p>
            <w:pPr>
              <w:ind w:firstLine="480"/>
            </w:pPr>
            <w:r>
              <w:rPr>
                <w:rFonts w:hint="eastAsia"/>
              </w:rPr>
              <w:t>②火灾预防与消防保障</w:t>
            </w:r>
          </w:p>
          <w:p>
            <w:pPr>
              <w:ind w:firstLine="480"/>
            </w:pPr>
            <w:r>
              <w:rPr>
                <w:rFonts w:hint="eastAsia"/>
              </w:rPr>
              <w:t>危险废物贮存点严禁烟火，不得靠近热源和电气线路。</w:t>
            </w:r>
          </w:p>
          <w:p>
            <w:pPr>
              <w:ind w:firstLine="480"/>
            </w:pPr>
            <w:r>
              <w:rPr>
                <w:rFonts w:hint="eastAsia"/>
              </w:rPr>
              <w:t>厂区配备干粉灭火器、消防沙箱、消防栓等设施，定期检查维护，确保完好可用；设置火灾自动报警系统和手动报警按钮，并与厂区值班室联动，实现快速响应。</w:t>
            </w:r>
          </w:p>
          <w:p>
            <w:pPr>
              <w:ind w:firstLine="480"/>
            </w:pPr>
            <w:r>
              <w:rPr>
                <w:rFonts w:hint="eastAsia"/>
              </w:rPr>
              <w:t>③人员培训与制度建设</w:t>
            </w:r>
          </w:p>
          <w:p>
            <w:pPr>
              <w:ind w:firstLine="480"/>
            </w:pPr>
            <w:r>
              <w:rPr>
                <w:rFonts w:hint="eastAsia"/>
              </w:rPr>
              <w:t>对相关岗位员工开展危险废物管理和应急处置专项培训，每年至少组织一次消防与泄漏应急演练，提高实战能力；建立岗位责任制和日常巡查制度，每日检查贮存容器密封性、防渗设施完整性及消防器材状态，发现问题及时整改。所有操作人员须经考核合格后持证上岗，严格执行操作规程，杜绝人为失误。</w:t>
            </w:r>
          </w:p>
          <w:p>
            <w:pPr>
              <w:ind w:firstLine="480"/>
            </w:pPr>
            <w:r>
              <w:rPr>
                <w:rFonts w:hint="eastAsia"/>
              </w:rPr>
              <w:fldChar w:fldCharType="begin"/>
            </w:r>
            <w:r>
              <w:rPr>
                <w:rFonts w:hint="eastAsia"/>
              </w:rPr>
              <w:instrText xml:space="preserve"> = 4 \* GB3 \* MERGEFORMAT </w:instrText>
            </w:r>
            <w:r>
              <w:rPr>
                <w:rFonts w:hint="eastAsia"/>
              </w:rPr>
              <w:fldChar w:fldCharType="separate"/>
            </w:r>
            <w:r>
              <w:rPr>
                <w:rFonts w:hint="eastAsia" w:ascii="宋体" w:hAnsi="宋体" w:cs="宋体"/>
              </w:rPr>
              <w:t>④</w:t>
            </w:r>
            <w:r>
              <w:rPr>
                <w:rFonts w:hint="eastAsia"/>
              </w:rPr>
              <w:fldChar w:fldCharType="end"/>
            </w:r>
            <w:r>
              <w:rPr>
                <w:rFonts w:hint="eastAsia"/>
              </w:rPr>
              <w:t>联防联控机制</w:t>
            </w:r>
          </w:p>
          <w:p>
            <w:pPr>
              <w:ind w:firstLine="480"/>
            </w:pPr>
            <w:r>
              <w:rPr>
                <w:rFonts w:hint="eastAsia"/>
              </w:rPr>
              <w:t>与当地生态环境部门、消防机构建立信息通报机制，发生重大风险事件时能够迅速联动处置。委托有资质的第三方单位定期清运废机油。</w:t>
            </w:r>
          </w:p>
          <w:p>
            <w:pPr>
              <w:ind w:firstLine="480"/>
            </w:pPr>
            <w:r>
              <w:rPr>
                <w:rFonts w:hint="eastAsia"/>
              </w:rPr>
              <w:t>综上所述，虽然本项目存在废机油泄漏及火灾等潜在环境风险，但通过采取严格的源头控制、过程监管、末端防控和应急管理措施，可显著降低事故发生概率和环境影响程度。在全面落实上述风险防范措施的基础上，项目的环境风险水平可控，不会对周边环境和人群健康造成显著影响。</w:t>
            </w:r>
          </w:p>
          <w:p>
            <w:pPr>
              <w:ind w:firstLine="0" w:firstLineChars="0"/>
              <w:rPr>
                <w:b/>
              </w:rPr>
            </w:pPr>
            <w:r>
              <w:rPr>
                <w:rFonts w:hint="eastAsia"/>
                <w:b/>
              </w:rPr>
              <w:t>4.</w:t>
            </w:r>
            <w:r>
              <w:rPr>
                <w:b/>
              </w:rPr>
              <w:t>5</w:t>
            </w:r>
            <w:r>
              <w:rPr>
                <w:rFonts w:hint="eastAsia"/>
                <w:b/>
              </w:rPr>
              <w:t>.7环境风险分析结论及建议</w:t>
            </w:r>
          </w:p>
          <w:p>
            <w:pPr>
              <w:ind w:firstLine="480"/>
            </w:pPr>
            <w:r>
              <w:t>本项目存在一定环境风险，但在全面落实各项风险防范措施和应急预案的前提下，环境风险可控</w:t>
            </w:r>
            <w:r>
              <w:rPr>
                <w:rFonts w:hint="eastAsia"/>
              </w:rPr>
              <w:t>。</w:t>
            </w:r>
          </w:p>
          <w:p>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13  </w:t>
            </w:r>
            <w:r>
              <w:rPr>
                <w:rFonts w:hint="eastAsia"/>
                <w:b/>
                <w:bCs/>
                <w:sz w:val="21"/>
                <w:szCs w:val="21"/>
              </w:rPr>
              <w:t>建设项目环境风险简单分析内容表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734"/>
              <w:gridCol w:w="2019"/>
              <w:gridCol w:w="998"/>
              <w:gridCol w:w="2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建设项目名称</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sz w:val="21"/>
                      <w:szCs w:val="21"/>
                    </w:rPr>
                    <w:t>新疆锦瑞驰云再生资源回收有限公司再生资源加工处置建设项目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建设地点</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库尔勒市哈拉玉宫镇废旧物资回收加工产业园</w:t>
                  </w:r>
                  <w:r>
                    <w:rPr>
                      <w:rFonts w:hint="eastAsia" w:cs="Times New Roman"/>
                      <w:color w:val="000000" w:themeColor="text1"/>
                      <w:sz w:val="21"/>
                      <w:szCs w:val="21"/>
                      <w14:textFill>
                        <w14:solidFill>
                          <w14:schemeClr w14:val="tx1"/>
                        </w14:solidFill>
                      </w14:textFill>
                    </w:rPr>
                    <w:t>2</w:t>
                  </w:r>
                  <w:r>
                    <w:rPr>
                      <w:rFonts w:cs="Times New Roman"/>
                      <w:color w:val="000000" w:themeColor="text1"/>
                      <w:sz w:val="21"/>
                      <w:szCs w:val="21"/>
                      <w14:textFill>
                        <w14:solidFill>
                          <w14:schemeClr w14:val="tx1"/>
                        </w14:solidFill>
                      </w14:textFill>
                    </w:rPr>
                    <w:t>3</w:t>
                  </w:r>
                  <w:r>
                    <w:rPr>
                      <w:rFonts w:hint="eastAsia" w:cs="Times New Roman"/>
                      <w:color w:val="000000" w:themeColor="text1"/>
                      <w:sz w:val="21"/>
                      <w:szCs w:val="21"/>
                      <w14:textFill>
                        <w14:solidFill>
                          <w14:schemeClr w14:val="tx1"/>
                        </w14:solidFill>
                      </w14:textFill>
                    </w:rPr>
                    <w:t>号厂区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地理坐标</w:t>
                  </w:r>
                </w:p>
              </w:tc>
              <w:tc>
                <w:tcPr>
                  <w:tcW w:w="423"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经度</w:t>
                  </w:r>
                </w:p>
              </w:tc>
              <w:tc>
                <w:tcPr>
                  <w:tcW w:w="1164"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bCs/>
                      <w:sz w:val="21"/>
                      <w:szCs w:val="21"/>
                    </w:rPr>
                    <w:t>86°5'43.706"</w:t>
                  </w:r>
                </w:p>
              </w:tc>
              <w:tc>
                <w:tcPr>
                  <w:tcW w:w="57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纬度</w:t>
                  </w:r>
                </w:p>
              </w:tc>
              <w:tc>
                <w:tcPr>
                  <w:tcW w:w="1452"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bCs/>
                      <w:sz w:val="21"/>
                      <w:szCs w:val="21"/>
                    </w:rPr>
                    <w:t>41°37'58.763"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主要危险物质及分布</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所涉及的主要危险废物是</w:t>
                  </w:r>
                  <w:r>
                    <w:rPr>
                      <w:rFonts w:hint="eastAsia" w:cs="Times New Roman"/>
                      <w:color w:val="000000" w:themeColor="text1"/>
                      <w:sz w:val="21"/>
                      <w:szCs w:val="21"/>
                      <w14:textFill>
                        <w14:solidFill>
                          <w14:schemeClr w14:val="tx1"/>
                        </w14:solidFill>
                      </w14:textFill>
                    </w:rPr>
                    <w:t>废机油</w:t>
                  </w:r>
                  <w:r>
                    <w:rPr>
                      <w:rFonts w:cs="Times New Roman"/>
                      <w:color w:val="000000" w:themeColor="text1"/>
                      <w:sz w:val="21"/>
                      <w:szCs w:val="21"/>
                      <w14:textFill>
                        <w14:solidFill>
                          <w14:schemeClr w14:val="tx1"/>
                        </w14:solidFill>
                      </w14:textFill>
                    </w:rPr>
                    <w:t>，位于危险废物贮存点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85" w:type="pct"/>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环境影响途径及危害后果（大气、地表水、地下水等）</w:t>
                  </w:r>
                </w:p>
              </w:tc>
              <w:tc>
                <w:tcPr>
                  <w:tcW w:w="3614" w:type="pct"/>
                  <w:gridSpan w:val="4"/>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本项目可能发生的事故包括</w:t>
                  </w:r>
                </w:p>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①危险废物泄漏，引起火灾、爆炸风险事故；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风险防范措施要求</w:t>
                  </w:r>
                </w:p>
              </w:tc>
              <w:tc>
                <w:tcPr>
                  <w:tcW w:w="3614" w:type="pct"/>
                  <w:gridSpan w:val="4"/>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项目在生产过程中要一定注意通风，远离火花、明火、热源。厂区内应安装消防及火灾报警系统，并配套相应的消防设施。厂区总平面布置符合防范事故要求，有应急救援设施及救援通道。</w:t>
                  </w:r>
                  <w:r>
                    <w:rPr>
                      <w:rFonts w:hint="eastAsia" w:cs="Times New Roman"/>
                      <w:color w:val="000000" w:themeColor="text1"/>
                      <w:sz w:val="21"/>
                      <w:szCs w:val="21"/>
                      <w14:textFill>
                        <w14:solidFill>
                          <w14:schemeClr w14:val="tx1"/>
                        </w14:solidFill>
                      </w14:textFill>
                    </w:rPr>
                    <w:t>危险废物贮存点的废油类物质的贮存容器要有足够的贮存空间及盛装余量，贮存场所进行重点防渗处理，并安装泄漏报警装置，一旦发生泄漏自动报警，及时切断输送管道或采取其他有效措施，避免进一步泄漏引发火灾及爆炸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填表说明</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bl>
          <w:p>
            <w:pPr>
              <w:ind w:firstLine="480"/>
            </w:pPr>
            <w:r>
              <w:t>环境风险评价是针对建设项目在建设和运行期间发生的可预测突发性事件或事故（一般不包括人为破坏及自然灾害）引起有毒有害、易燃易爆等物质的</w:t>
            </w:r>
            <w:r>
              <w:rPr>
                <w:rFonts w:hint="eastAsia"/>
              </w:rPr>
              <w:t>泄漏</w:t>
            </w:r>
            <w:r>
              <w:t>，或突发事件产生的新的有毒有害物质，所造成的对人</w:t>
            </w:r>
            <w:r>
              <w:rPr>
                <w:rFonts w:hint="eastAsia"/>
              </w:rPr>
              <w:t>身</w:t>
            </w:r>
            <w:r>
              <w:t>安全与环境的影响与损害，进行评估，提出防患与减缓的措施。</w:t>
            </w:r>
          </w:p>
          <w:p>
            <w:pPr>
              <w:ind w:firstLine="480"/>
            </w:pPr>
            <w:r>
              <w:rPr>
                <w:rFonts w:hint="eastAsia"/>
              </w:rPr>
              <w:t>本项目生产过程中涉及的风险物质主要为废机油。因此，环评要求建设单位对危险废物贮存点严格落实防渗措施，设置危险废物标识标牌，建立规范的台账管理制度，并严格按照《危险废物贮存污染控制标准》（GB18597-2023）的要求进行建设和运行管理，防止因泄漏造成土壤及地下水污染。</w:t>
            </w:r>
          </w:p>
          <w:p>
            <w:pPr>
              <w:ind w:firstLine="480"/>
            </w:pPr>
            <w:r>
              <w:t>生产过程中要严格遵守生产和安全的有关规章和规程，否则，生产人员的操作失误可能导致事故的发生，轻则停产、遭受经济损失，重则发生人员伤亡事故。这些事故均可通过公司的严格管理，以及建立完善的工作制度而得到控制，同时公司应该加强职工安全意识教育及防火技能培训，定期接受专业培训，以</w:t>
            </w:r>
            <w:r>
              <w:rPr>
                <w:rFonts w:hint="eastAsia"/>
              </w:rPr>
              <w:t>应对</w:t>
            </w:r>
            <w:r>
              <w:t>突发性事故。</w:t>
            </w:r>
            <w:r>
              <w:rPr>
                <w:rFonts w:hint="eastAsia"/>
              </w:rPr>
              <w:t>因此，本项目环境风险可控</w:t>
            </w:r>
            <w:r>
              <w:t>。</w:t>
            </w:r>
          </w:p>
          <w:p>
            <w:pPr>
              <w:ind w:firstLine="0" w:firstLineChars="0"/>
              <w:rPr>
                <w:b/>
                <w:bCs/>
              </w:rPr>
            </w:pPr>
            <w:r>
              <w:rPr>
                <w:b/>
                <w:bCs/>
              </w:rPr>
              <w:t>4.6</w:t>
            </w:r>
            <w:r>
              <w:rPr>
                <w:rFonts w:hint="eastAsia"/>
                <w:b/>
                <w:bCs/>
              </w:rPr>
              <w:t>排污许可管理</w:t>
            </w:r>
          </w:p>
          <w:p>
            <w:pPr>
              <w:widowControl/>
              <w:adjustRightInd w:val="0"/>
              <w:snapToGrid w:val="0"/>
              <w:ind w:firstLine="480"/>
              <w:jc w:val="left"/>
              <w:rPr>
                <w:rFonts w:cs="Times New Roman"/>
                <w:color w:val="000000"/>
                <w:kern w:val="0"/>
                <w:lang w:bidi="ar"/>
              </w:rPr>
            </w:pPr>
            <w:r>
              <w:rPr>
                <w:rFonts w:hint="eastAsia" w:cs="Times New Roman"/>
                <w:color w:val="000000"/>
                <w:kern w:val="0"/>
                <w:lang w:bidi="ar"/>
              </w:rPr>
              <w:t>根据《固定污染源排污许可分类管理名录（2019年版）》，本项目属于“四十二、废弃资源综合利用业42”中的“非金属废料和碎屑加工处理422”类别。项目涉及废塑料的破碎、清洗及加工，对照名录规定，需进行简化管理。本项目运营期将严格遵循以排污许可制为核心的固定污染源监管制度，将环评文件及其批复中的各项环境管理要求纳入排污许可证，确保依法持证排污、按证监管。</w:t>
            </w:r>
          </w:p>
          <w:p>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14  </w:t>
            </w:r>
            <w:r>
              <w:rPr>
                <w:rFonts w:hint="eastAsia"/>
                <w:b/>
                <w:bCs/>
                <w:sz w:val="21"/>
                <w:szCs w:val="21"/>
              </w:rPr>
              <w:t>排污许可分类管理名录对应类别</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46"/>
              <w:gridCol w:w="1590"/>
              <w:gridCol w:w="3615"/>
              <w:gridCol w:w="1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414"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序号</w:t>
                  </w:r>
                </w:p>
              </w:tc>
              <w:tc>
                <w:tcPr>
                  <w:tcW w:w="833"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行业类别</w:t>
                  </w:r>
                </w:p>
              </w:tc>
              <w:tc>
                <w:tcPr>
                  <w:tcW w:w="916"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重点管理</w:t>
                  </w:r>
                </w:p>
              </w:tc>
              <w:tc>
                <w:tcPr>
                  <w:tcW w:w="2083" w:type="pct"/>
                  <w:shd w:val="clear" w:color="auto" w:fill="E7E6E6" w:themeFill="background2"/>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简化管理</w:t>
                  </w:r>
                </w:p>
              </w:tc>
              <w:tc>
                <w:tcPr>
                  <w:tcW w:w="753"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登记管理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5"/>
                  <w:shd w:val="clear" w:color="auto" w:fill="E7E6E6" w:themeFill="background2"/>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三十七、废弃资源综合利用业42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14"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9</w:t>
                  </w:r>
                  <w:r>
                    <w:rPr>
                      <w:rFonts w:cs="Times New Roman"/>
                      <w:sz w:val="21"/>
                      <w:szCs w:val="21"/>
                    </w:rPr>
                    <w:t>3</w:t>
                  </w:r>
                </w:p>
              </w:tc>
              <w:tc>
                <w:tcPr>
                  <w:tcW w:w="833"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非金属废料和碎屑加工处理422</w:t>
                  </w:r>
                </w:p>
              </w:tc>
              <w:tc>
                <w:tcPr>
                  <w:tcW w:w="916"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废电池、废油、废轮胎加工处理</w:t>
                  </w:r>
                </w:p>
              </w:tc>
              <w:tc>
                <w:tcPr>
                  <w:tcW w:w="2083" w:type="pct"/>
                  <w:shd w:val="clear" w:color="auto" w:fill="E7E6E6" w:themeFill="background2"/>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废弃电器电子产品、废机动车、废电机、废电线电缆、</w:t>
                  </w:r>
                  <w:r>
                    <w:rPr>
                      <w:rFonts w:hint="eastAsia" w:cs="Times New Roman"/>
                      <w:b/>
                      <w:bCs/>
                      <w:sz w:val="21"/>
                      <w:szCs w:val="21"/>
                    </w:rPr>
                    <w:t>废塑料</w:t>
                  </w:r>
                  <w:r>
                    <w:rPr>
                      <w:rFonts w:hint="eastAsia" w:cs="Times New Roman"/>
                      <w:sz w:val="21"/>
                      <w:szCs w:val="21"/>
                    </w:rPr>
                    <w:t>、废船、含水洗工艺的其他废料和碎屑加工处理</w:t>
                  </w:r>
                </w:p>
              </w:tc>
              <w:tc>
                <w:tcPr>
                  <w:tcW w:w="753"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其他</w:t>
                  </w:r>
                </w:p>
              </w:tc>
            </w:tr>
          </w:tbl>
          <w:p>
            <w:pPr>
              <w:pStyle w:val="3"/>
              <w:rPr>
                <w:rFonts w:cs="Times New Roman"/>
              </w:rPr>
            </w:pPr>
            <w:r>
              <w:rPr>
                <w:rFonts w:cs="Times New Roman"/>
              </w:rPr>
              <w:t>4.</w:t>
            </w:r>
            <w:r>
              <w:rPr>
                <w:rFonts w:hint="eastAsia" w:cs="Times New Roman"/>
              </w:rPr>
              <w:t>7</w:t>
            </w:r>
            <w:r>
              <w:rPr>
                <w:rFonts w:cs="Times New Roman"/>
              </w:rPr>
              <w:t>环境保护计划</w:t>
            </w:r>
          </w:p>
          <w:p>
            <w:pPr>
              <w:ind w:firstLine="480"/>
              <w:rPr>
                <w:rFonts w:cs="Times New Roman"/>
              </w:rPr>
            </w:pPr>
            <w:r>
              <w:rPr>
                <w:rFonts w:hint="eastAsia" w:cs="Times New Roman"/>
              </w:rPr>
              <w:t>根据《排污许可证申请与核发技术规范 废弃资源加工工业》（HJ1034-2019）和《排污单位自行监测技术指南 总则》（HJ819-2017）等文件要求，本项目将开展排污单位自行监测工作，具体监测计划详见表4-15</w:t>
            </w:r>
            <w:r>
              <w:rPr>
                <w:rFonts w:cs="Times New Roman"/>
              </w:rPr>
              <w:t>。</w:t>
            </w:r>
          </w:p>
          <w:p>
            <w:pPr>
              <w:pStyle w:val="79"/>
              <w:rPr>
                <w:rFonts w:ascii="Times New Roman" w:hAnsi="Times New Roman" w:cs="Times New Roman"/>
                <w:sz w:val="21"/>
                <w:szCs w:val="21"/>
              </w:rPr>
            </w:pPr>
            <w:r>
              <w:rPr>
                <w:rFonts w:ascii="Times New Roman" w:hAnsi="Times New Roman" w:cs="Times New Roman"/>
                <w:sz w:val="21"/>
                <w:szCs w:val="21"/>
              </w:rPr>
              <w:t>表4-1</w:t>
            </w:r>
            <w:r>
              <w:rPr>
                <w:rFonts w:ascii="Times New Roman" w:hAnsi="Times New Roman" w:cs="Times New Roman"/>
                <w:sz w:val="21"/>
                <w:szCs w:val="21"/>
                <w:lang w:val="en-US"/>
              </w:rPr>
              <w:t>5</w:t>
            </w:r>
            <w:r>
              <w:rPr>
                <w:rFonts w:ascii="Times New Roman" w:hAnsi="Times New Roman" w:cs="Times New Roman"/>
                <w:sz w:val="21"/>
                <w:szCs w:val="21"/>
              </w:rPr>
              <w:t xml:space="preserve">  环境监测计划</w:t>
            </w:r>
          </w:p>
          <w:tbl>
            <w:tblPr>
              <w:tblStyle w:val="24"/>
              <w:tblW w:w="49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550"/>
              <w:gridCol w:w="1413"/>
              <w:gridCol w:w="1418"/>
              <w:gridCol w:w="2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2" w:hRule="atLeast"/>
                <w:jc w:val="center"/>
              </w:trPr>
              <w:tc>
                <w:tcPr>
                  <w:tcW w:w="748" w:type="pct"/>
                  <w:vAlign w:val="center"/>
                </w:tcPr>
                <w:p>
                  <w:pPr>
                    <w:pStyle w:val="80"/>
                    <w:rPr>
                      <w:rFonts w:cs="Times New Roman"/>
                    </w:rPr>
                  </w:pPr>
                  <w:r>
                    <w:rPr>
                      <w:rFonts w:cs="Times New Roman"/>
                    </w:rPr>
                    <w:t>环境因素</w:t>
                  </w:r>
                </w:p>
              </w:tc>
              <w:tc>
                <w:tcPr>
                  <w:tcW w:w="907" w:type="pct"/>
                  <w:vAlign w:val="center"/>
                </w:tcPr>
                <w:p>
                  <w:pPr>
                    <w:pStyle w:val="80"/>
                    <w:rPr>
                      <w:rFonts w:cs="Times New Roman"/>
                    </w:rPr>
                  </w:pPr>
                  <w:r>
                    <w:rPr>
                      <w:rFonts w:cs="Times New Roman"/>
                    </w:rPr>
                    <w:t>监测项目</w:t>
                  </w:r>
                </w:p>
              </w:tc>
              <w:tc>
                <w:tcPr>
                  <w:tcW w:w="827" w:type="pct"/>
                  <w:vAlign w:val="center"/>
                </w:tcPr>
                <w:p>
                  <w:pPr>
                    <w:pStyle w:val="80"/>
                    <w:rPr>
                      <w:rFonts w:cs="Times New Roman"/>
                    </w:rPr>
                  </w:pPr>
                  <w:r>
                    <w:rPr>
                      <w:rFonts w:cs="Times New Roman"/>
                    </w:rPr>
                    <w:t>监测点位</w:t>
                  </w:r>
                </w:p>
              </w:tc>
              <w:tc>
                <w:tcPr>
                  <w:tcW w:w="830" w:type="pct"/>
                  <w:vAlign w:val="center"/>
                </w:tcPr>
                <w:p>
                  <w:pPr>
                    <w:pStyle w:val="80"/>
                    <w:rPr>
                      <w:rFonts w:cs="Times New Roman"/>
                    </w:rPr>
                  </w:pPr>
                  <w:r>
                    <w:rPr>
                      <w:rFonts w:cs="Times New Roman"/>
                    </w:rPr>
                    <w:t>监测频率</w:t>
                  </w:r>
                </w:p>
              </w:tc>
              <w:tc>
                <w:tcPr>
                  <w:tcW w:w="1686" w:type="pct"/>
                  <w:vAlign w:val="center"/>
                </w:tcPr>
                <w:p>
                  <w:pPr>
                    <w:pStyle w:val="80"/>
                    <w:rPr>
                      <w:rFonts w:cs="Times New Roman"/>
                    </w:rPr>
                  </w:pPr>
                  <w:r>
                    <w:rPr>
                      <w:rFonts w:cs="Times New Roma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vAlign w:val="center"/>
                </w:tcPr>
                <w:p>
                  <w:pPr>
                    <w:pStyle w:val="80"/>
                    <w:rPr>
                      <w:rFonts w:cs="Times New Roman"/>
                    </w:rPr>
                  </w:pPr>
                  <w:r>
                    <w:rPr>
                      <w:rFonts w:hint="eastAsia" w:cs="Times New Roman"/>
                    </w:rPr>
                    <w:t>无组织</w:t>
                  </w:r>
                  <w:r>
                    <w:rPr>
                      <w:rFonts w:cs="Times New Roman"/>
                    </w:rPr>
                    <w:t>废气</w:t>
                  </w:r>
                </w:p>
              </w:tc>
              <w:tc>
                <w:tcPr>
                  <w:tcW w:w="907" w:type="pct"/>
                  <w:vAlign w:val="center"/>
                </w:tcPr>
                <w:p>
                  <w:pPr>
                    <w:pStyle w:val="80"/>
                    <w:rPr>
                      <w:rFonts w:cs="Times New Roman"/>
                    </w:rPr>
                  </w:pPr>
                  <w:r>
                    <w:rPr>
                      <w:rFonts w:cs="Times New Roman"/>
                    </w:rPr>
                    <w:t>颗粒物</w:t>
                  </w:r>
                  <w:r>
                    <w:rPr>
                      <w:rFonts w:hint="eastAsia" w:cs="Times New Roman"/>
                    </w:rPr>
                    <w:t>、臭气浓度</w:t>
                  </w:r>
                </w:p>
              </w:tc>
              <w:tc>
                <w:tcPr>
                  <w:tcW w:w="827" w:type="pct"/>
                  <w:vAlign w:val="center"/>
                </w:tcPr>
                <w:p>
                  <w:pPr>
                    <w:pStyle w:val="80"/>
                    <w:rPr>
                      <w:rFonts w:cs="Times New Roman"/>
                    </w:rPr>
                  </w:pPr>
                  <w:r>
                    <w:rPr>
                      <w:rFonts w:cs="Times New Roman"/>
                    </w:rPr>
                    <w:t>厂界</w:t>
                  </w:r>
                </w:p>
              </w:tc>
              <w:tc>
                <w:tcPr>
                  <w:tcW w:w="830" w:type="pct"/>
                  <w:vAlign w:val="center"/>
                </w:tcPr>
                <w:p>
                  <w:pPr>
                    <w:pStyle w:val="80"/>
                    <w:rPr>
                      <w:rFonts w:cs="Times New Roman"/>
                    </w:rPr>
                  </w:pPr>
                  <w:r>
                    <w:rPr>
                      <w:rFonts w:cs="Times New Roman"/>
                    </w:rPr>
                    <w:t>1次/年</w:t>
                  </w:r>
                </w:p>
              </w:tc>
              <w:tc>
                <w:tcPr>
                  <w:tcW w:w="1686" w:type="pct"/>
                  <w:vAlign w:val="center"/>
                </w:tcPr>
                <w:p>
                  <w:pPr>
                    <w:pStyle w:val="80"/>
                    <w:jc w:val="both"/>
                    <w:rPr>
                      <w:color w:val="000000" w:themeColor="text1"/>
                      <w14:textFill>
                        <w14:solidFill>
                          <w14:schemeClr w14:val="tx1"/>
                        </w14:solidFill>
                      </w14:textFill>
                    </w:rPr>
                  </w:pPr>
                  <w:r>
                    <w:rPr>
                      <w:rFonts w:hint="eastAsia"/>
                      <w:color w:val="000000"/>
                    </w:rPr>
                    <w:t>颗粒物执行《大气污染物综合排放标准》（GB16297-1996）表2中的</w:t>
                  </w:r>
                  <w:r>
                    <w:rPr>
                      <w:rFonts w:ascii="SourceHanSansCN-Regular" w:hAnsi="SourceHanSansCN-Regular"/>
                      <w:color w:val="000000"/>
                    </w:rPr>
                    <w:t>无组织排放监控点浓度限值</w:t>
                  </w:r>
                  <w:r>
                    <w:rPr>
                      <w:rFonts w:hint="eastAsia"/>
                      <w:color w:val="000000"/>
                    </w:rPr>
                    <w:t>要求（</w:t>
                  </w:r>
                  <w:r>
                    <w:rPr>
                      <w:color w:val="000000"/>
                    </w:rPr>
                    <w:t>1.0mg/m</w:t>
                  </w:r>
                  <w:r>
                    <w:rPr>
                      <w:color w:val="000000"/>
                      <w:vertAlign w:val="superscript"/>
                    </w:rPr>
                    <w:t>3</w:t>
                  </w:r>
                  <w:r>
                    <w:rPr>
                      <w:rFonts w:hint="eastAsia"/>
                      <w:color w:val="000000"/>
                    </w:rPr>
                    <w:t>）；臭气浓度执行《恶臭污染物排放标准》（GB14554-93）表1恶臭污染物厂界标准值新扩改建项目二级标准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8" w:type="pct"/>
                  <w:vAlign w:val="center"/>
                </w:tcPr>
                <w:p>
                  <w:pPr>
                    <w:pStyle w:val="80"/>
                    <w:rPr>
                      <w:rFonts w:cs="Times New Roman"/>
                    </w:rPr>
                  </w:pPr>
                  <w:r>
                    <w:rPr>
                      <w:rFonts w:cs="Times New Roman"/>
                    </w:rPr>
                    <w:t>噪声</w:t>
                  </w:r>
                </w:p>
              </w:tc>
              <w:tc>
                <w:tcPr>
                  <w:tcW w:w="907" w:type="pct"/>
                  <w:vAlign w:val="center"/>
                </w:tcPr>
                <w:p>
                  <w:pPr>
                    <w:pStyle w:val="80"/>
                    <w:rPr>
                      <w:rFonts w:cs="Times New Roman"/>
                    </w:rPr>
                  </w:pPr>
                  <w:r>
                    <w:rPr>
                      <w:rFonts w:cs="Times New Roman"/>
                    </w:rPr>
                    <w:t>等效连续A声级Leq（A）</w:t>
                  </w:r>
                </w:p>
              </w:tc>
              <w:tc>
                <w:tcPr>
                  <w:tcW w:w="827" w:type="pct"/>
                  <w:vAlign w:val="center"/>
                </w:tcPr>
                <w:p>
                  <w:pPr>
                    <w:pStyle w:val="80"/>
                    <w:rPr>
                      <w:rFonts w:cs="Times New Roman"/>
                    </w:rPr>
                  </w:pPr>
                  <w:r>
                    <w:rPr>
                      <w:rFonts w:cs="Times New Roman"/>
                    </w:rPr>
                    <w:t>厂界四周1m处</w:t>
                  </w:r>
                </w:p>
              </w:tc>
              <w:tc>
                <w:tcPr>
                  <w:tcW w:w="830" w:type="pct"/>
                  <w:vAlign w:val="center"/>
                </w:tcPr>
                <w:p>
                  <w:pPr>
                    <w:pStyle w:val="80"/>
                    <w:rPr>
                      <w:rFonts w:cs="Times New Roman"/>
                    </w:rPr>
                  </w:pPr>
                  <w:r>
                    <w:rPr>
                      <w:rFonts w:cs="Times New Roman"/>
                    </w:rPr>
                    <w:t>1次/季度</w:t>
                  </w:r>
                </w:p>
              </w:tc>
              <w:tc>
                <w:tcPr>
                  <w:tcW w:w="1686" w:type="pct"/>
                  <w:vAlign w:val="center"/>
                </w:tcPr>
                <w:p>
                  <w:pPr>
                    <w:pStyle w:val="80"/>
                    <w:rPr>
                      <w:rFonts w:cs="Times New Roman"/>
                    </w:rPr>
                  </w:pPr>
                  <w:r>
                    <w:rPr>
                      <w:rFonts w:cs="Times New Roman"/>
                    </w:rPr>
                    <w:t>《工业企业厂界环境噪声排放标准》（GB12348-2008）2类标准</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环保投资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本项目总投资约</w:t>
            </w:r>
            <w:r>
              <w:rPr>
                <w:rFonts w:cs="Times New Roman"/>
                <w:color w:val="000000" w:themeColor="text1"/>
                <w:szCs w:val="24"/>
                <w14:textFill>
                  <w14:solidFill>
                    <w14:schemeClr w14:val="tx1"/>
                  </w14:solidFill>
                </w14:textFill>
              </w:rPr>
              <w:t>156.2</w:t>
            </w:r>
            <w:r>
              <w:rPr>
                <w:rFonts w:hint="eastAsia"/>
                <w:color w:val="000000" w:themeColor="text1"/>
                <w14:textFill>
                  <w14:solidFill>
                    <w14:schemeClr w14:val="tx1"/>
                  </w14:solidFill>
                </w14:textFill>
              </w:rPr>
              <w:t>万元，其中环保投资23.5万元，占总投资</w:t>
            </w:r>
            <w:r>
              <w:rPr>
                <w:rFonts w:hint="eastAsia" w:cs="Times New Roman"/>
                <w:color w:val="000000" w:themeColor="text1"/>
                <w:szCs w:val="24"/>
                <w14:textFill>
                  <w14:solidFill>
                    <w14:schemeClr w14:val="tx1"/>
                  </w14:solidFill>
                </w14:textFill>
              </w:rPr>
              <w:t>15.04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。环保投资估算一览表见表</w:t>
            </w:r>
            <w:r>
              <w:rPr>
                <w:color w:val="000000" w:themeColor="text1"/>
                <w14:textFill>
                  <w14:solidFill>
                    <w14:schemeClr w14:val="tx1"/>
                  </w14:solidFill>
                </w14:textFill>
              </w:rPr>
              <w:t>4-16</w:t>
            </w:r>
            <w:r>
              <w:rPr>
                <w:rFonts w:hint="eastAsia"/>
                <w:color w:val="000000" w:themeColor="text1"/>
                <w14:textFill>
                  <w14:solidFill>
                    <w14:schemeClr w14:val="tx1"/>
                  </w14:solidFill>
                </w14:textFill>
              </w:rPr>
              <w:t>。</w:t>
            </w:r>
          </w:p>
          <w:p>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环保投资一览表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7"/>
              <w:gridCol w:w="1726"/>
              <w:gridCol w:w="4977"/>
              <w:gridCol w:w="1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时段</w:t>
                  </w:r>
                </w:p>
              </w:tc>
              <w:tc>
                <w:tcPr>
                  <w:tcW w:w="995" w:type="pct"/>
                  <w:tcBorders>
                    <w:tl2br w:val="nil"/>
                    <w:tr2bl w:val="nil"/>
                  </w:tcBorders>
                  <w:vAlign w:val="center"/>
                </w:tcPr>
                <w:p>
                  <w:pPr>
                    <w:spacing w:line="240" w:lineRule="auto"/>
                    <w:ind w:firstLine="0" w:firstLineChars="0"/>
                    <w:jc w:val="center"/>
                    <w:textAlignment w:val="auto"/>
                    <w:rPr>
                      <w:b/>
                      <w:bCs/>
                      <w:kern w:val="0"/>
                      <w:sz w:val="21"/>
                      <w:szCs w:val="21"/>
                    </w:rPr>
                  </w:pPr>
                  <w:r>
                    <w:rPr>
                      <w:rFonts w:hint="eastAsia"/>
                      <w:b/>
                      <w:bCs/>
                      <w:kern w:val="0"/>
                      <w:sz w:val="21"/>
                      <w:szCs w:val="21"/>
                    </w:rPr>
                    <w:t>项目</w:t>
                  </w:r>
                </w:p>
              </w:tc>
              <w:tc>
                <w:tcPr>
                  <w:tcW w:w="2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环保措施</w:t>
                  </w:r>
                </w:p>
              </w:tc>
              <w:tc>
                <w:tcPr>
                  <w:tcW w:w="746" w:type="pct"/>
                  <w:tcBorders>
                    <w:tl2br w:val="nil"/>
                    <w:tr2bl w:val="nil"/>
                  </w:tcBorders>
                  <w:vAlign w:val="center"/>
                </w:tcPr>
                <w:p>
                  <w:pPr>
                    <w:spacing w:line="240" w:lineRule="auto"/>
                    <w:ind w:firstLine="0" w:firstLineChars="0"/>
                    <w:jc w:val="center"/>
                    <w:textAlignment w:val="auto"/>
                    <w:rPr>
                      <w:b/>
                      <w:bCs/>
                      <w:kern w:val="0"/>
                      <w:sz w:val="21"/>
                      <w:szCs w:val="21"/>
                    </w:rPr>
                  </w:pPr>
                  <w:r>
                    <w:rPr>
                      <w:b/>
                      <w:bCs/>
                      <w:kern w:val="0"/>
                      <w:sz w:val="21"/>
                      <w:szCs w:val="21"/>
                    </w:rPr>
                    <w:t>投资</w:t>
                  </w:r>
                </w:p>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restart"/>
                  <w:tcBorders>
                    <w:tl2br w:val="nil"/>
                    <w:tr2bl w:val="nil"/>
                  </w:tcBorders>
                  <w:vAlign w:val="center"/>
                </w:tcPr>
                <w:p>
                  <w:pPr>
                    <w:pStyle w:val="32"/>
                    <w:rPr>
                      <w:color w:val="000000" w:themeColor="text1"/>
                      <w:szCs w:val="21"/>
                      <w14:textFill>
                        <w14:solidFill>
                          <w14:schemeClr w14:val="tx1"/>
                        </w14:solidFill>
                      </w14:textFill>
                    </w:rPr>
                  </w:pPr>
                  <w:r>
                    <w:rPr>
                      <w:rFonts w:hint="eastAsia"/>
                      <w:kern w:val="0"/>
                      <w:szCs w:val="21"/>
                    </w:rPr>
                    <w:t>施工工期</w:t>
                  </w:r>
                </w:p>
              </w:tc>
              <w:tc>
                <w:tcPr>
                  <w:tcW w:w="99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废气</w:t>
                  </w:r>
                  <w:r>
                    <w:rPr>
                      <w:rFonts w:cs="Times New Roman"/>
                      <w:sz w:val="21"/>
                      <w:szCs w:val="21"/>
                    </w:rPr>
                    <w:t>治理</w:t>
                  </w:r>
                </w:p>
              </w:tc>
              <w:tc>
                <w:tcPr>
                  <w:tcW w:w="2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洒水设施、篷布遮盖</w:t>
                  </w:r>
                </w:p>
              </w:tc>
              <w:tc>
                <w:tcPr>
                  <w:tcW w:w="74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废水</w:t>
                  </w:r>
                  <w:r>
                    <w:rPr>
                      <w:rFonts w:cs="Times New Roman"/>
                      <w:sz w:val="21"/>
                      <w:szCs w:val="21"/>
                    </w:rPr>
                    <w:t>治理</w:t>
                  </w:r>
                </w:p>
              </w:tc>
              <w:tc>
                <w:tcPr>
                  <w:tcW w:w="2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临时沉淀池</w:t>
                  </w:r>
                </w:p>
              </w:tc>
              <w:tc>
                <w:tcPr>
                  <w:tcW w:w="74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噪声</w:t>
                  </w:r>
                  <w:r>
                    <w:rPr>
                      <w:rFonts w:cs="Times New Roman"/>
                      <w:sz w:val="21"/>
                      <w:szCs w:val="21"/>
                    </w:rPr>
                    <w:t>治理</w:t>
                  </w:r>
                </w:p>
              </w:tc>
              <w:tc>
                <w:tcPr>
                  <w:tcW w:w="2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施工设备降噪，进出车辆减速</w:t>
                  </w:r>
                </w:p>
              </w:tc>
              <w:tc>
                <w:tcPr>
                  <w:tcW w:w="74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kern w:val="0"/>
                      <w:sz w:val="21"/>
                      <w:szCs w:val="21"/>
                    </w:rPr>
                    <w:t>固体废物</w:t>
                  </w:r>
                </w:p>
              </w:tc>
              <w:tc>
                <w:tcPr>
                  <w:tcW w:w="2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建筑垃圾、生活垃圾清运</w:t>
                  </w:r>
                </w:p>
              </w:tc>
              <w:tc>
                <w:tcPr>
                  <w:tcW w:w="74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2" w:hRule="atLeast"/>
              </w:trPr>
              <w:tc>
                <w:tcPr>
                  <w:tcW w:w="390" w:type="pct"/>
                  <w:vMerge w:val="restar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运营期</w:t>
                  </w:r>
                </w:p>
              </w:tc>
              <w:tc>
                <w:tcPr>
                  <w:tcW w:w="995" w:type="pct"/>
                  <w:tcBorders>
                    <w:tl2br w:val="nil"/>
                    <w:tr2bl w:val="nil"/>
                  </w:tcBorders>
                  <w:vAlign w:val="center"/>
                </w:tcPr>
                <w:p>
                  <w:pPr>
                    <w:pStyle w:val="32"/>
                    <w:rPr>
                      <w:color w:val="000000" w:themeColor="text1"/>
                      <w:szCs w:val="21"/>
                      <w14:textFill>
                        <w14:solidFill>
                          <w14:schemeClr w14:val="tx1"/>
                        </w14:solidFill>
                      </w14:textFill>
                    </w:rPr>
                  </w:pPr>
                  <w:r>
                    <w:rPr>
                      <w:rFonts w:hint="eastAsia"/>
                      <w:kern w:val="0"/>
                      <w:szCs w:val="21"/>
                    </w:rPr>
                    <w:t>废气</w:t>
                  </w:r>
                  <w:r>
                    <w:rPr>
                      <w:rFonts w:cs="Times New Roman"/>
                      <w:szCs w:val="21"/>
                    </w:rPr>
                    <w:t>治理</w:t>
                  </w:r>
                </w:p>
              </w:tc>
              <w:tc>
                <w:tcPr>
                  <w:tcW w:w="2869" w:type="pct"/>
                  <w:tcBorders>
                    <w:tl2br w:val="nil"/>
                    <w:tr2bl w:val="nil"/>
                  </w:tcBorders>
                  <w:vAlign w:val="center"/>
                </w:tcPr>
                <w:p>
                  <w:pPr>
                    <w:pStyle w:val="32"/>
                    <w:jc w:val="both"/>
                    <w:rPr>
                      <w:color w:val="000000" w:themeColor="text1"/>
                      <w:szCs w:val="21"/>
                      <w14:textFill>
                        <w14:solidFill>
                          <w14:schemeClr w14:val="tx1"/>
                        </w14:solidFill>
                      </w14:textFill>
                    </w:rPr>
                  </w:pPr>
                  <w:r>
                    <w:rPr>
                      <w:rFonts w:hint="eastAsia"/>
                      <w:szCs w:val="21"/>
                    </w:rPr>
                    <w:t>破碎工序采用湿法破碎工艺，并在密闭厂房内进行</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vMerge w:val="restart"/>
                  <w:tcBorders>
                    <w:tl2br w:val="nil"/>
                    <w:tr2bl w:val="nil"/>
                  </w:tcBorders>
                  <w:vAlign w:val="center"/>
                </w:tcPr>
                <w:p>
                  <w:pPr>
                    <w:pStyle w:val="32"/>
                    <w:rPr>
                      <w:szCs w:val="21"/>
                    </w:rPr>
                  </w:pPr>
                  <w:r>
                    <w:rPr>
                      <w:rFonts w:hint="eastAsia"/>
                      <w:kern w:val="0"/>
                      <w:szCs w:val="21"/>
                    </w:rPr>
                    <w:t>废水</w:t>
                  </w:r>
                  <w:r>
                    <w:rPr>
                      <w:rFonts w:cs="Times New Roman"/>
                      <w:szCs w:val="21"/>
                    </w:rPr>
                    <w:t>治理</w:t>
                  </w:r>
                </w:p>
              </w:tc>
              <w:tc>
                <w:tcPr>
                  <w:tcW w:w="2869" w:type="pct"/>
                  <w:tcBorders>
                    <w:tl2br w:val="nil"/>
                    <w:tr2bl w:val="nil"/>
                  </w:tcBorders>
                  <w:vAlign w:val="center"/>
                </w:tcPr>
                <w:p>
                  <w:pPr>
                    <w:pStyle w:val="32"/>
                    <w:rPr>
                      <w:szCs w:val="21"/>
                    </w:rPr>
                  </w:pPr>
                  <w:r>
                    <w:rPr>
                      <w:rFonts w:hint="eastAsia" w:cs="Times New Roman"/>
                      <w:color w:val="000000" w:themeColor="text1"/>
                      <w:szCs w:val="21"/>
                      <w14:textFill>
                        <w14:solidFill>
                          <w14:schemeClr w14:val="tx1"/>
                        </w14:solidFill>
                      </w14:textFill>
                    </w:rPr>
                    <w:t>生产废水经沉淀处理后全部循环利用，不外排</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pPr>
                    <w:pStyle w:val="32"/>
                    <w:rPr>
                      <w:szCs w:val="21"/>
                    </w:rPr>
                  </w:pPr>
                </w:p>
              </w:tc>
              <w:tc>
                <w:tcPr>
                  <w:tcW w:w="2869" w:type="pct"/>
                  <w:tcBorders>
                    <w:tl2br w:val="nil"/>
                    <w:tr2bl w:val="nil"/>
                  </w:tcBorders>
                  <w:vAlign w:val="center"/>
                </w:tcPr>
                <w:p>
                  <w:pPr>
                    <w:pStyle w:val="32"/>
                    <w:rPr>
                      <w:szCs w:val="21"/>
                    </w:rPr>
                  </w:pPr>
                  <w:r>
                    <w:rPr>
                      <w:rFonts w:hint="eastAsia"/>
                      <w:color w:val="000000" w:themeColor="text1"/>
                      <w14:textFill>
                        <w14:solidFill>
                          <w14:schemeClr w14:val="tx1"/>
                        </w14:solidFill>
                      </w14:textFill>
                    </w:rPr>
                    <w:t>生活污水进入</w:t>
                  </w:r>
                  <w:r>
                    <w:rPr>
                      <w:rFonts w:hint="eastAsia"/>
                    </w:rPr>
                    <w:t>库尔勒市</w:t>
                  </w:r>
                  <w:r>
                    <w:rPr>
                      <w:rFonts w:hint="eastAsia"/>
                      <w:color w:val="000000" w:themeColor="text1"/>
                      <w14:textFill>
                        <w14:solidFill>
                          <w14:schemeClr w14:val="tx1"/>
                        </w14:solidFill>
                      </w14:textFill>
                    </w:rPr>
                    <w:t>哈拉玉宫镇废旧物资回收加工产业园配套建设的化粪池进行预处理后，定期由吸污车抽运至库尔勒市南市区污水处理厂处理</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pStyle w:val="32"/>
                    <w:rPr>
                      <w:color w:val="000000" w:themeColor="text1"/>
                      <w:szCs w:val="21"/>
                      <w14:textFill>
                        <w14:solidFill>
                          <w14:schemeClr w14:val="tx1"/>
                        </w14:solidFill>
                      </w14:textFill>
                    </w:rPr>
                  </w:pPr>
                  <w:r>
                    <w:rPr>
                      <w:rFonts w:hint="eastAsia"/>
                      <w:kern w:val="0"/>
                      <w:szCs w:val="21"/>
                    </w:rPr>
                    <w:t>噪声</w:t>
                  </w:r>
                  <w:r>
                    <w:rPr>
                      <w:rFonts w:cs="Times New Roman"/>
                      <w:szCs w:val="21"/>
                    </w:rPr>
                    <w:t>治理</w:t>
                  </w:r>
                </w:p>
              </w:tc>
              <w:tc>
                <w:tcPr>
                  <w:tcW w:w="2869" w:type="pct"/>
                  <w:tcBorders>
                    <w:tl2br w:val="nil"/>
                    <w:tr2bl w:val="nil"/>
                  </w:tcBorders>
                  <w:vAlign w:val="center"/>
                </w:tcPr>
                <w:p>
                  <w:pPr>
                    <w:pStyle w:val="32"/>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设备噪声主要采用隔音、减振、合理布局、绿化等降噪措施</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vMerge w:val="restart"/>
                  <w:tcBorders>
                    <w:tl2br w:val="nil"/>
                    <w:tr2bl w:val="nil"/>
                  </w:tcBorders>
                  <w:vAlign w:val="center"/>
                </w:tcPr>
                <w:p>
                  <w:pPr>
                    <w:pStyle w:val="32"/>
                    <w:rPr>
                      <w:color w:val="000000" w:themeColor="text1"/>
                      <w:szCs w:val="21"/>
                      <w14:textFill>
                        <w14:solidFill>
                          <w14:schemeClr w14:val="tx1"/>
                        </w14:solidFill>
                      </w14:textFill>
                    </w:rPr>
                  </w:pPr>
                  <w:r>
                    <w:rPr>
                      <w:kern w:val="0"/>
                      <w:szCs w:val="21"/>
                    </w:rPr>
                    <w:t>固体废物</w:t>
                  </w:r>
                </w:p>
              </w:tc>
              <w:tc>
                <w:tcPr>
                  <w:tcW w:w="2869" w:type="pct"/>
                  <w:tcBorders>
                    <w:tl2br w:val="nil"/>
                    <w:tr2bl w:val="nil"/>
                  </w:tcBorders>
                  <w:vAlign w:val="center"/>
                </w:tcPr>
                <w:p>
                  <w:pPr>
                    <w:pStyle w:val="32"/>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危险废物集中收集后，分区存放于危险废物贮存点，定期交由有危险废物处理资质的单位回收处理</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pPr>
                    <w:pStyle w:val="32"/>
                    <w:rPr>
                      <w:rFonts w:ascii="宋体" w:hAnsi="宋体" w:cs="宋体"/>
                      <w:szCs w:val="21"/>
                    </w:rPr>
                  </w:pPr>
                </w:p>
              </w:tc>
              <w:tc>
                <w:tcPr>
                  <w:tcW w:w="2869" w:type="pct"/>
                  <w:tcBorders>
                    <w:tl2br w:val="nil"/>
                    <w:tr2bl w:val="nil"/>
                  </w:tcBorders>
                  <w:vAlign w:val="center"/>
                </w:tcPr>
                <w:p>
                  <w:pPr>
                    <w:pStyle w:val="32"/>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沉淀池沉渣定期清掏晾晒干后</w:t>
                  </w:r>
                  <w:r>
                    <w:rPr>
                      <w:rFonts w:hint="eastAsia"/>
                    </w:rPr>
                    <w:t>送往一般工业固废填埋场</w:t>
                  </w:r>
                  <w:r>
                    <w:rPr>
                      <w:rFonts w:hint="eastAsia" w:cs="Times New Roman"/>
                      <w:color w:val="000000" w:themeColor="text1"/>
                      <w:szCs w:val="21"/>
                      <w14:textFill>
                        <w14:solidFill>
                          <w14:schemeClr w14:val="tx1"/>
                        </w14:solidFill>
                      </w14:textFill>
                    </w:rPr>
                    <w:t>；分拣废料集中收集后定期外售至废品回收站</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pPr>
                    <w:pStyle w:val="32"/>
                    <w:rPr>
                      <w:rFonts w:ascii="宋体" w:hAnsi="宋体" w:cs="宋体"/>
                      <w:szCs w:val="21"/>
                    </w:rPr>
                  </w:pPr>
                </w:p>
              </w:tc>
              <w:tc>
                <w:tcPr>
                  <w:tcW w:w="2869" w:type="pct"/>
                  <w:tcBorders>
                    <w:tl2br w:val="nil"/>
                    <w:tr2bl w:val="nil"/>
                  </w:tcBorders>
                  <w:vAlign w:val="center"/>
                </w:tcPr>
                <w:p>
                  <w:pPr>
                    <w:pStyle w:val="32"/>
                    <w:rPr>
                      <w:color w:val="000000" w:themeColor="text1"/>
                      <w:szCs w:val="21"/>
                      <w14:textFill>
                        <w14:solidFill>
                          <w14:schemeClr w14:val="tx1"/>
                        </w14:solidFill>
                      </w14:textFill>
                    </w:rPr>
                  </w:pPr>
                  <w:r>
                    <w:rPr>
                      <w:rFonts w:hint="eastAsia" w:cs="Times New Roman"/>
                      <w:color w:val="000000"/>
                    </w:rPr>
                    <w:t>生活垃圾集中收集至垃圾箱后由环卫部门统一清运</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pStyle w:val="32"/>
                    <w:rPr>
                      <w:color w:val="000000" w:themeColor="text1"/>
                      <w:szCs w:val="21"/>
                      <w14:textFill>
                        <w14:solidFill>
                          <w14:schemeClr w14:val="tx1"/>
                        </w14:solidFill>
                      </w14:textFill>
                    </w:rPr>
                  </w:pPr>
                  <w:r>
                    <w:rPr>
                      <w:rFonts w:hint="eastAsia" w:cs="Times New Roman"/>
                      <w:color w:val="000000"/>
                      <w:szCs w:val="21"/>
                    </w:rPr>
                    <w:t>环境风险措施</w:t>
                  </w:r>
                </w:p>
              </w:tc>
              <w:tc>
                <w:tcPr>
                  <w:tcW w:w="2869" w:type="pct"/>
                  <w:tcBorders>
                    <w:tl2br w:val="nil"/>
                    <w:tr2bl w:val="nil"/>
                  </w:tcBorders>
                  <w:vAlign w:val="center"/>
                </w:tcPr>
                <w:p>
                  <w:pPr>
                    <w:pStyle w:val="32"/>
                    <w:rPr>
                      <w:rFonts w:cs="Times New Roman"/>
                      <w:color w:val="000000"/>
                    </w:rPr>
                  </w:pPr>
                  <w:r>
                    <w:rPr>
                      <w:rFonts w:cs="Times New Roman"/>
                      <w:color w:val="000000"/>
                      <w:szCs w:val="21"/>
                    </w:rPr>
                    <w:t>制定详细的应急预案，组建事故应急救援组织体系，风险防范中所提及的各类防范措施均设置到位</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pStyle w:val="32"/>
                    <w:rPr>
                      <w:rFonts w:cs="Times New Roman"/>
                      <w:color w:val="000000"/>
                      <w:szCs w:val="21"/>
                    </w:rPr>
                  </w:pPr>
                  <w:r>
                    <w:rPr>
                      <w:rFonts w:hint="eastAsia" w:cs="Times New Roman"/>
                      <w:color w:val="000000"/>
                      <w:szCs w:val="21"/>
                    </w:rPr>
                    <w:t>环境管理</w:t>
                  </w:r>
                </w:p>
              </w:tc>
              <w:tc>
                <w:tcPr>
                  <w:tcW w:w="2869" w:type="pct"/>
                  <w:tcBorders>
                    <w:tl2br w:val="nil"/>
                    <w:tr2bl w:val="nil"/>
                  </w:tcBorders>
                  <w:vAlign w:val="center"/>
                </w:tcPr>
                <w:p>
                  <w:pPr>
                    <w:pStyle w:val="32"/>
                    <w:rPr>
                      <w:rFonts w:cs="Times New Roman"/>
                      <w:color w:val="000000"/>
                      <w:szCs w:val="21"/>
                    </w:rPr>
                  </w:pPr>
                  <w:r>
                    <w:rPr>
                      <w:rFonts w:hint="eastAsia" w:cs="Times New Roman"/>
                      <w:color w:val="000000"/>
                      <w:szCs w:val="21"/>
                    </w:rPr>
                    <w:t>加强环境管理，定期对设备进行维护，设标识牌，建立危险废物转运台账，环保设施运行台账等</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pStyle w:val="32"/>
                    <w:rPr>
                      <w:rFonts w:cs="Times New Roman"/>
                      <w:color w:val="000000"/>
                      <w:szCs w:val="21"/>
                    </w:rPr>
                  </w:pPr>
                  <w:r>
                    <w:rPr>
                      <w:rFonts w:hint="eastAsia" w:cs="Times New Roman"/>
                      <w:color w:val="000000"/>
                      <w:szCs w:val="21"/>
                    </w:rPr>
                    <w:t>环境监测</w:t>
                  </w:r>
                </w:p>
              </w:tc>
              <w:tc>
                <w:tcPr>
                  <w:tcW w:w="2869" w:type="pct"/>
                  <w:tcBorders>
                    <w:tl2br w:val="nil"/>
                    <w:tr2bl w:val="nil"/>
                  </w:tcBorders>
                  <w:vAlign w:val="center"/>
                </w:tcPr>
                <w:p>
                  <w:pPr>
                    <w:pStyle w:val="32"/>
                    <w:rPr>
                      <w:rFonts w:cs="Times New Roman"/>
                      <w:color w:val="000000"/>
                      <w:szCs w:val="21"/>
                    </w:rPr>
                  </w:pPr>
                  <w:r>
                    <w:rPr>
                      <w:rFonts w:hint="eastAsia" w:cs="Times New Roman"/>
                      <w:color w:val="000000"/>
                      <w:szCs w:val="21"/>
                    </w:rPr>
                    <w:t>定期进行监测</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2"/>
                    <w:rPr>
                      <w:color w:val="000000" w:themeColor="text1"/>
                      <w:szCs w:val="21"/>
                      <w14:textFill>
                        <w14:solidFill>
                          <w14:schemeClr w14:val="tx1"/>
                        </w14:solidFill>
                      </w14:textFill>
                    </w:rPr>
                  </w:pPr>
                </w:p>
              </w:tc>
              <w:tc>
                <w:tcPr>
                  <w:tcW w:w="995" w:type="pct"/>
                  <w:tcBorders>
                    <w:tl2br w:val="nil"/>
                    <w:tr2bl w:val="nil"/>
                  </w:tcBorders>
                  <w:vAlign w:val="center"/>
                </w:tcPr>
                <w:p>
                  <w:pPr>
                    <w:pStyle w:val="32"/>
                    <w:rPr>
                      <w:rFonts w:cs="Times New Roman"/>
                      <w:color w:val="000000"/>
                      <w:szCs w:val="21"/>
                    </w:rPr>
                  </w:pPr>
                  <w:r>
                    <w:rPr>
                      <w:rFonts w:hint="eastAsia" w:cs="Times New Roman"/>
                      <w:color w:val="000000"/>
                      <w:szCs w:val="21"/>
                    </w:rPr>
                    <w:t>其他</w:t>
                  </w:r>
                </w:p>
              </w:tc>
              <w:tc>
                <w:tcPr>
                  <w:tcW w:w="2869" w:type="pct"/>
                  <w:tcBorders>
                    <w:tl2br w:val="nil"/>
                    <w:tr2bl w:val="nil"/>
                  </w:tcBorders>
                  <w:vAlign w:val="center"/>
                </w:tcPr>
                <w:p>
                  <w:pPr>
                    <w:pStyle w:val="32"/>
                    <w:rPr>
                      <w:rFonts w:cs="Times New Roman"/>
                      <w:color w:val="000000"/>
                      <w:szCs w:val="21"/>
                    </w:rPr>
                  </w:pPr>
                  <w:r>
                    <w:rPr>
                      <w:rFonts w:hint="eastAsia" w:cs="Times New Roman"/>
                      <w:color w:val="000000"/>
                      <w:szCs w:val="21"/>
                    </w:rPr>
                    <w:t>厂区绿化、</w:t>
                  </w:r>
                  <w:r>
                    <w:rPr>
                      <w:rFonts w:hint="eastAsia" w:cs="Times New Roman"/>
                      <w:szCs w:val="21"/>
                    </w:rPr>
                    <w:t>相关科研费用等</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54" w:type="pct"/>
                  <w:gridSpan w:val="3"/>
                  <w:tcBorders>
                    <w:tl2br w:val="nil"/>
                    <w:tr2bl w:val="nil"/>
                  </w:tcBorders>
                  <w:vAlign w:val="center"/>
                </w:tcPr>
                <w:p>
                  <w:pPr>
                    <w:pStyle w:val="32"/>
                    <w:rPr>
                      <w:rFonts w:ascii="宋体" w:cs="宋体" w:hAnsiTheme="minorHAnsi"/>
                      <w:color w:val="000000" w:themeColor="text1"/>
                      <w:kern w:val="0"/>
                      <w:szCs w:val="21"/>
                      <w14:textFill>
                        <w14:solidFill>
                          <w14:schemeClr w14:val="tx1"/>
                        </w14:solidFill>
                      </w14:textFill>
                    </w:rPr>
                  </w:pPr>
                  <w:r>
                    <w:rPr>
                      <w:rFonts w:hint="eastAsia" w:ascii="宋体" w:cs="宋体" w:hAnsiTheme="minorHAnsi"/>
                      <w:color w:val="000000" w:themeColor="text1"/>
                      <w:kern w:val="0"/>
                      <w:szCs w:val="21"/>
                      <w14:textFill>
                        <w14:solidFill>
                          <w14:schemeClr w14:val="tx1"/>
                        </w14:solidFill>
                      </w14:textFill>
                    </w:rPr>
                    <w:t>合计</w:t>
                  </w:r>
                </w:p>
              </w:tc>
              <w:tc>
                <w:tcPr>
                  <w:tcW w:w="746" w:type="pct"/>
                  <w:tcBorders>
                    <w:tl2br w:val="nil"/>
                    <w:tr2bl w:val="nil"/>
                  </w:tcBorders>
                  <w:vAlign w:val="center"/>
                </w:tcPr>
                <w:p>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23.5</w:t>
                  </w:r>
                </w:p>
              </w:tc>
            </w:tr>
          </w:tbl>
          <w:p>
            <w:pPr>
              <w:ind w:firstLine="0" w:firstLineChars="0"/>
            </w:pPr>
          </w:p>
        </w:tc>
      </w:tr>
    </w:tbl>
    <w:p>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五、</w:t>
      </w:r>
      <w:bookmarkStart w:id="19" w:name="_Hlk54167917"/>
      <w:r>
        <w:rPr>
          <w:rFonts w:hint="eastAsia"/>
          <w:snapToGrid w:val="0"/>
          <w:color w:val="000000" w:themeColor="text1"/>
          <w14:textFill>
            <w14:solidFill>
              <w14:schemeClr w14:val="tx1"/>
            </w14:solidFill>
          </w14:textFill>
        </w:rPr>
        <w:t>环境保护措施监督检查清单</w:t>
      </w:r>
      <w:bookmarkEnd w:id="19"/>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33"/>
        <w:gridCol w:w="1164"/>
        <w:gridCol w:w="1894"/>
        <w:gridCol w:w="2037"/>
        <w:gridCol w:w="2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33" w:type="pct"/>
            <w:tcBorders>
              <w:tl2br w:val="single" w:color="auto" w:sz="12" w:space="0"/>
            </w:tcBorders>
          </w:tcPr>
          <w:p>
            <w:pPr>
              <w:adjustRightInd w:val="0"/>
              <w:snapToGrid w:val="0"/>
              <w:spacing w:line="240" w:lineRule="auto"/>
              <w:ind w:firstLine="632" w:firstLineChars="30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内容</w:t>
            </w:r>
          </w:p>
          <w:p>
            <w:pPr>
              <w:adjustRightInd w:val="0"/>
              <w:snapToGrid w:val="0"/>
              <w:spacing w:line="240" w:lineRule="auto"/>
              <w:ind w:firstLine="0" w:firstLineChars="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要素</w:t>
            </w:r>
          </w:p>
        </w:tc>
        <w:tc>
          <w:tcPr>
            <w:tcW w:w="627"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排放口</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编号、名称</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/污染源</w:t>
            </w:r>
          </w:p>
        </w:tc>
        <w:tc>
          <w:tcPr>
            <w:tcW w:w="1020"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污染物项目</w:t>
            </w:r>
          </w:p>
        </w:tc>
        <w:tc>
          <w:tcPr>
            <w:tcW w:w="1097"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环境保护措施</w:t>
            </w:r>
          </w:p>
        </w:tc>
        <w:tc>
          <w:tcPr>
            <w:tcW w:w="132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restar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大气环境</w:t>
            </w:r>
          </w:p>
        </w:tc>
        <w:tc>
          <w:tcPr>
            <w:tcW w:w="627" w:type="pct"/>
            <w:vMerge w:val="restar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无组织废气</w:t>
            </w:r>
          </w:p>
        </w:tc>
        <w:tc>
          <w:tcPr>
            <w:tcW w:w="1020"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颗粒物</w:t>
            </w:r>
          </w:p>
        </w:tc>
        <w:tc>
          <w:tcPr>
            <w:tcW w:w="1097"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破碎工序采用湿法破碎工艺，并在密闭厂房内进行，防止粉尘逸散</w:t>
            </w:r>
          </w:p>
        </w:tc>
        <w:tc>
          <w:tcPr>
            <w:tcW w:w="1323"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《大气污染物综合排放标准》（GB16297-1996）表2中的无组织排放监控点浓度限值要求（1.0mg/m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continue"/>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7" w:type="pct"/>
            <w:vMerge w:val="continue"/>
            <w:vAlign w:val="center"/>
          </w:tcPr>
          <w:p>
            <w:pPr>
              <w:adjustRightInd w:val="0"/>
              <w:snapToGrid w:val="0"/>
              <w:spacing w:line="240" w:lineRule="auto"/>
              <w:ind w:firstLine="0" w:firstLineChars="0"/>
              <w:jc w:val="center"/>
              <w:textAlignment w:val="auto"/>
              <w:rPr>
                <w:color w:val="000000"/>
                <w:sz w:val="21"/>
                <w:szCs w:val="21"/>
              </w:rPr>
            </w:pPr>
          </w:p>
        </w:tc>
        <w:tc>
          <w:tcPr>
            <w:tcW w:w="1020"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臭气浓度</w:t>
            </w:r>
          </w:p>
        </w:tc>
        <w:tc>
          <w:tcPr>
            <w:tcW w:w="1097"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加强设备维护及管理</w:t>
            </w:r>
          </w:p>
        </w:tc>
        <w:tc>
          <w:tcPr>
            <w:tcW w:w="1323"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sz w:val="21"/>
                <w:szCs w:val="24"/>
              </w:rPr>
              <w:t>《恶臭污染物排放标准》（GB14554-93）表1恶臭污染物厂界标准值新扩改建项目二级标准（2</w:t>
            </w:r>
            <w:r>
              <w:rPr>
                <w:rFonts w:cs="Times New Roman"/>
                <w:color w:val="000000"/>
                <w:sz w:val="21"/>
                <w:szCs w:val="24"/>
              </w:rPr>
              <w:t>0</w:t>
            </w:r>
            <w:r>
              <w:rPr>
                <w:rFonts w:hint="eastAsia" w:cs="Times New Roman"/>
                <w:sz w:val="21"/>
                <w:szCs w:val="21"/>
              </w:rPr>
              <w:t>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1" w:hRule="atLeast"/>
          <w:jc w:val="center"/>
        </w:trPr>
        <w:tc>
          <w:tcPr>
            <w:tcW w:w="933" w:type="pct"/>
            <w:vMerge w:val="restar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地表水环境</w:t>
            </w:r>
          </w:p>
        </w:tc>
        <w:tc>
          <w:tcPr>
            <w:tcW w:w="627"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生活污水</w:t>
            </w:r>
          </w:p>
        </w:tc>
        <w:tc>
          <w:tcPr>
            <w:tcW w:w="1020"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pH、COD、BOD</w:t>
            </w:r>
            <w:r>
              <w:rPr>
                <w:rFonts w:hint="eastAsia" w:cs="Times New Roman"/>
                <w:color w:val="000000" w:themeColor="text1"/>
                <w:sz w:val="21"/>
                <w:szCs w:val="21"/>
                <w:vertAlign w:val="subscript"/>
                <w14:textFill>
                  <w14:solidFill>
                    <w14:schemeClr w14:val="tx1"/>
                  </w14:solidFill>
                </w14:textFill>
              </w:rPr>
              <w:t>5</w:t>
            </w:r>
            <w:r>
              <w:rPr>
                <w:rFonts w:hint="eastAsia" w:cs="Times New Roman"/>
                <w:color w:val="000000" w:themeColor="text1"/>
                <w:sz w:val="21"/>
                <w:szCs w:val="21"/>
                <w14:textFill>
                  <w14:solidFill>
                    <w14:schemeClr w14:val="tx1"/>
                  </w14:solidFill>
                </w14:textFill>
              </w:rPr>
              <w:t>、NH</w:t>
            </w:r>
            <w:r>
              <w:rPr>
                <w:rFonts w:hint="eastAsia" w:cs="Times New Roman"/>
                <w:color w:val="000000" w:themeColor="text1"/>
                <w:sz w:val="21"/>
                <w:szCs w:val="21"/>
                <w:vertAlign w:val="sub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-N、SS</w:t>
            </w:r>
          </w:p>
        </w:tc>
        <w:tc>
          <w:tcPr>
            <w:tcW w:w="1097" w:type="pct"/>
            <w:vAlign w:val="center"/>
          </w:tcPr>
          <w:p>
            <w:pPr>
              <w:spacing w:line="240" w:lineRule="auto"/>
              <w:ind w:firstLine="0" w:firstLineChars="0"/>
              <w:contextualSpacing/>
              <w:rPr>
                <w:rFonts w:cs="Times New Roman"/>
                <w:color w:val="000000" w:themeColor="text1"/>
                <w:sz w:val="21"/>
                <w:szCs w:val="21"/>
                <w14:textFill>
                  <w14:solidFill>
                    <w14:schemeClr w14:val="tx1"/>
                  </w14:solidFill>
                </w14:textFill>
              </w:rPr>
            </w:pPr>
            <w:r>
              <w:rPr>
                <w:rFonts w:hint="eastAsia" w:cs="Times New Roman"/>
                <w:color w:val="000000"/>
                <w:sz w:val="21"/>
                <w:szCs w:val="21"/>
              </w:rPr>
              <w:t>生活污水进入库尔勒市哈拉玉宫镇废旧物资回收加工产业园配套建设的化粪池进行预处理后，定期由吸污车抽运至库尔勒市南市区污水处理厂处理</w:t>
            </w:r>
          </w:p>
        </w:tc>
        <w:tc>
          <w:tcPr>
            <w:tcW w:w="1323"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《污水综合排放标准》（GB8978-1996）表4三级标准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933" w:type="pct"/>
            <w:vMerge w:val="continue"/>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7"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清洗废水、车间地面冲洗废水</w:t>
            </w:r>
          </w:p>
        </w:tc>
        <w:tc>
          <w:tcPr>
            <w:tcW w:w="1020"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SS</w:t>
            </w:r>
          </w:p>
        </w:tc>
        <w:tc>
          <w:tcPr>
            <w:tcW w:w="1097" w:type="pct"/>
            <w:vAlign w:val="center"/>
          </w:tcPr>
          <w:p>
            <w:pPr>
              <w:spacing w:line="240" w:lineRule="auto"/>
              <w:ind w:firstLine="0" w:firstLineChars="0"/>
              <w:contextualSpacing/>
              <w:jc w:val="center"/>
              <w:rPr>
                <w:rFonts w:cs="Times New Roman"/>
                <w:color w:val="000000"/>
                <w:sz w:val="21"/>
              </w:rPr>
            </w:pPr>
            <w:r>
              <w:rPr>
                <w:rFonts w:hint="eastAsia" w:cs="Times New Roman"/>
                <w:color w:val="000000" w:themeColor="text1"/>
                <w:sz w:val="21"/>
                <w:szCs w:val="21"/>
                <w14:textFill>
                  <w14:solidFill>
                    <w14:schemeClr w14:val="tx1"/>
                  </w14:solidFill>
                </w14:textFill>
              </w:rPr>
              <w:t>生产废水经沉淀处理后全部循环利用，不外排</w:t>
            </w:r>
          </w:p>
        </w:tc>
        <w:tc>
          <w:tcPr>
            <w:tcW w:w="1323"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sz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声环境</w:t>
            </w:r>
          </w:p>
        </w:tc>
        <w:tc>
          <w:tcPr>
            <w:tcW w:w="627"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w:t>
            </w:r>
          </w:p>
        </w:tc>
        <w:tc>
          <w:tcPr>
            <w:tcW w:w="1020"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噪声</w:t>
            </w:r>
          </w:p>
        </w:tc>
        <w:tc>
          <w:tcPr>
            <w:tcW w:w="1097"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1323"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《工业企业厂界环境噪声排放标准》（</w:t>
            </w:r>
            <w:r>
              <w:rPr>
                <w:rFonts w:cs="Times New Roman"/>
                <w:color w:val="000000" w:themeColor="text1"/>
                <w:sz w:val="21"/>
                <w:szCs w:val="21"/>
                <w14:textFill>
                  <w14:solidFill>
                    <w14:schemeClr w14:val="tx1"/>
                  </w14:solidFill>
                </w14:textFill>
              </w:rPr>
              <w:t>GB12348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2008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w:t>
            </w:r>
            <w:r>
              <w:rPr>
                <w:rFonts w:hint="eastAsia" w:cs="Times New Roman"/>
                <w:color w:val="000000" w:themeColor="text1"/>
                <w:sz w:val="21"/>
                <w:szCs w:val="21"/>
                <w14:textFill>
                  <w14:solidFill>
                    <w14:schemeClr w14:val="tx1"/>
                  </w14:solidFill>
                </w14:textFill>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电磁辐射</w:t>
            </w:r>
          </w:p>
        </w:tc>
        <w:tc>
          <w:tcPr>
            <w:tcW w:w="627"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020"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097"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323"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固体废物</w:t>
            </w:r>
          </w:p>
        </w:tc>
        <w:tc>
          <w:tcPr>
            <w:tcW w:w="4067" w:type="pct"/>
            <w:gridSpan w:val="4"/>
            <w:vAlign w:val="center"/>
          </w:tcPr>
          <w:p>
            <w:pPr>
              <w:pStyle w:val="68"/>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沉淀池沉渣定期清掏晾晒干后送往一般工业固废填埋场；分拣废料集中收集后定期外售至废品回收站；生活垃圾集中收集至垃圾箱后由环卫部门统一清运</w:t>
            </w:r>
            <w:r>
              <w:rPr>
                <w:rFonts w:hint="eastAsia"/>
                <w:color w:val="000000"/>
                <w:sz w:val="21"/>
                <w:szCs w:val="21"/>
              </w:rPr>
              <w:t>。</w:t>
            </w:r>
            <w:r>
              <w:rPr>
                <w:rFonts w:hint="eastAsia"/>
                <w:color w:val="000000" w:themeColor="text1"/>
                <w:sz w:val="21"/>
                <w:szCs w:val="21"/>
                <w14:textFill>
                  <w14:solidFill>
                    <w14:schemeClr w14:val="tx1"/>
                  </w14:solidFill>
                </w14:textFill>
              </w:rPr>
              <w:t>危险废物集中收集后，分区存放于危险废物贮存点，定期交由有危险废物处理资质的单位回收处理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土壤及地下水污染防治措施</w:t>
            </w:r>
          </w:p>
        </w:tc>
        <w:tc>
          <w:tcPr>
            <w:tcW w:w="4067" w:type="pct"/>
            <w:gridSpan w:val="4"/>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采取地面防渗等措施，可以有效保证污染物不会流失进入土壤、地下水环境，防止污染物污染土壤、地下水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生态保护措施</w:t>
            </w:r>
          </w:p>
        </w:tc>
        <w:tc>
          <w:tcPr>
            <w:tcW w:w="4067" w:type="pct"/>
            <w:gridSpan w:val="4"/>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sz w:val="21"/>
                <w:szCs w:val="21"/>
              </w:rPr>
              <w:t>厂区绿化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环境风险</w:t>
            </w:r>
          </w:p>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防范措施</w:t>
            </w:r>
          </w:p>
        </w:tc>
        <w:tc>
          <w:tcPr>
            <w:tcW w:w="4067" w:type="pct"/>
            <w:gridSpan w:val="4"/>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通过加强运行管理、健全风险防控体系、设置泄漏报警装置等措施，并落实本评价提出的各项风险防范对策后，可最大限度降低事故发生概率。配合有效的环境风险应急预案，事故影响可以得到及时控制，环境风险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其他环境</w:t>
            </w:r>
          </w:p>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管理要求</w:t>
            </w:r>
          </w:p>
        </w:tc>
        <w:tc>
          <w:tcPr>
            <w:tcW w:w="4067" w:type="pct"/>
            <w:gridSpan w:val="4"/>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1"/>
              </w:rPr>
              <w:t>一、</w:t>
            </w:r>
            <w:r>
              <w:rPr>
                <w:rFonts w:hint="eastAsia" w:cs="Times New Roman"/>
                <w:sz w:val="21"/>
                <w:szCs w:val="21"/>
              </w:rPr>
              <w:t>环境管理机构和职责</w:t>
            </w:r>
          </w:p>
          <w:p>
            <w:pPr>
              <w:adjustRightInd w:val="0"/>
              <w:snapToGrid w:val="0"/>
              <w:spacing w:line="240" w:lineRule="auto"/>
              <w:ind w:firstLine="420"/>
              <w:textAlignment w:val="auto"/>
              <w:rPr>
                <w:rFonts w:cs="Times New Roman"/>
                <w:sz w:val="21"/>
                <w:szCs w:val="21"/>
              </w:rPr>
            </w:pPr>
            <w:r>
              <w:rPr>
                <w:rFonts w:cs="Times New Roman"/>
                <w:sz w:val="21"/>
                <w:szCs w:val="21"/>
              </w:rPr>
              <w:t>根据国家有关环境保护法规的要求和本项目生产的实际需要，建议该企业配备专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r>
              <w:rPr>
                <w:rFonts w:hint="eastAsia" w:cs="Times New Roman"/>
                <w:sz w:val="21"/>
                <w:szCs w:val="21"/>
              </w:rPr>
              <w:t>。</w:t>
            </w:r>
          </w:p>
          <w:p>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二、环境管理内容</w:t>
            </w:r>
          </w:p>
          <w:p>
            <w:pPr>
              <w:adjustRightInd w:val="0"/>
              <w:snapToGrid w:val="0"/>
              <w:spacing w:line="240" w:lineRule="auto"/>
              <w:ind w:firstLine="420"/>
              <w:jc w:val="left"/>
              <w:textAlignment w:val="auto"/>
              <w:rPr>
                <w:rFonts w:cs="Times New Roman"/>
                <w:sz w:val="21"/>
                <w:szCs w:val="21"/>
              </w:rPr>
            </w:pPr>
            <w:r>
              <w:rPr>
                <w:rFonts w:cs="Times New Roman"/>
                <w:sz w:val="21"/>
                <w:szCs w:val="21"/>
              </w:rPr>
              <w:t>（1）</w:t>
            </w:r>
            <w:r>
              <w:rPr>
                <w:rFonts w:hint="eastAsia" w:cs="Times New Roman"/>
                <w:sz w:val="21"/>
                <w:szCs w:val="21"/>
              </w:rPr>
              <w:t>设置</w:t>
            </w:r>
            <w:r>
              <w:rPr>
                <w:rFonts w:cs="Times New Roman"/>
                <w:sz w:val="21"/>
                <w:szCs w:val="21"/>
              </w:rPr>
              <w:t>环境保护职责管理条例</w:t>
            </w:r>
            <w:r>
              <w:rPr>
                <w:rFonts w:hint="eastAsia" w:cs="Times New Roman"/>
                <w:sz w:val="21"/>
                <w:szCs w:val="21"/>
              </w:rPr>
              <w:t>、</w:t>
            </w:r>
            <w:r>
              <w:rPr>
                <w:rFonts w:cs="Times New Roman"/>
                <w:sz w:val="21"/>
                <w:szCs w:val="21"/>
              </w:rPr>
              <w:t>废气排放管理制度</w:t>
            </w:r>
            <w:r>
              <w:rPr>
                <w:rFonts w:hint="eastAsia" w:cs="Times New Roman"/>
                <w:sz w:val="21"/>
                <w:szCs w:val="21"/>
              </w:rPr>
              <w:t>、</w:t>
            </w:r>
            <w:r>
              <w:rPr>
                <w:rFonts w:cs="Times New Roman"/>
                <w:sz w:val="21"/>
                <w:szCs w:val="21"/>
              </w:rPr>
              <w:t>固废的管理与处置制度</w:t>
            </w:r>
            <w:r>
              <w:rPr>
                <w:rFonts w:hint="eastAsia" w:cs="Times New Roman"/>
                <w:sz w:val="21"/>
                <w:szCs w:val="21"/>
              </w:rPr>
              <w:t>等环境管理制度；</w:t>
            </w:r>
          </w:p>
          <w:p>
            <w:pPr>
              <w:adjustRightInd w:val="0"/>
              <w:snapToGrid w:val="0"/>
              <w:spacing w:line="240" w:lineRule="auto"/>
              <w:ind w:firstLine="420"/>
              <w:textAlignment w:val="auto"/>
              <w:rPr>
                <w:rFonts w:cs="Times New Roman"/>
                <w:sz w:val="21"/>
                <w:szCs w:val="21"/>
              </w:rPr>
            </w:pPr>
            <w:r>
              <w:rPr>
                <w:rFonts w:cs="Times New Roman"/>
                <w:sz w:val="21"/>
                <w:szCs w:val="21"/>
              </w:rPr>
              <w:t>（2）</w:t>
            </w:r>
            <w:r>
              <w:rPr>
                <w:rFonts w:hint="eastAsia" w:cs="Times New Roman"/>
                <w:sz w:val="21"/>
                <w:szCs w:val="21"/>
              </w:rPr>
              <w:t>督促和协助企业建立健全环境管理体系和管理人员；</w:t>
            </w:r>
          </w:p>
          <w:p>
            <w:pPr>
              <w:adjustRightInd w:val="0"/>
              <w:snapToGrid w:val="0"/>
              <w:spacing w:line="240" w:lineRule="auto"/>
              <w:ind w:firstLine="420"/>
              <w:textAlignment w:val="auto"/>
              <w:rPr>
                <w:rFonts w:cs="Times New Roman"/>
                <w:sz w:val="21"/>
                <w:szCs w:val="21"/>
              </w:rPr>
            </w:pPr>
            <w:r>
              <w:rPr>
                <w:rFonts w:cs="Times New Roman"/>
                <w:sz w:val="21"/>
                <w:szCs w:val="21"/>
              </w:rPr>
              <w:t>（3）</w:t>
            </w:r>
            <w:r>
              <w:rPr>
                <w:rFonts w:hint="eastAsia" w:cs="Times New Roman"/>
                <w:sz w:val="21"/>
                <w:szCs w:val="21"/>
              </w:rPr>
              <w:t>宣传国家、自治区、自治州有关环境保护方面的法律法规和政策；</w:t>
            </w:r>
          </w:p>
          <w:p>
            <w:pPr>
              <w:adjustRightInd w:val="0"/>
              <w:snapToGrid w:val="0"/>
              <w:spacing w:line="240" w:lineRule="auto"/>
              <w:ind w:firstLine="420"/>
              <w:textAlignment w:val="auto"/>
              <w:rPr>
                <w:rFonts w:cs="Times New Roman"/>
                <w:sz w:val="21"/>
                <w:szCs w:val="21"/>
              </w:rPr>
            </w:pPr>
            <w:r>
              <w:rPr>
                <w:rFonts w:hint="eastAsia" w:cs="Times New Roman"/>
                <w:sz w:val="21"/>
                <w:szCs w:val="21"/>
              </w:rPr>
              <w:t>（4）实施“三同时”验收和污染物达标排放的监督管理；</w:t>
            </w:r>
          </w:p>
          <w:p>
            <w:pPr>
              <w:adjustRightInd w:val="0"/>
              <w:snapToGrid w:val="0"/>
              <w:spacing w:line="240" w:lineRule="auto"/>
              <w:ind w:firstLine="420"/>
              <w:textAlignment w:val="auto"/>
              <w:rPr>
                <w:rFonts w:cs="Times New Roman"/>
                <w:sz w:val="21"/>
                <w:szCs w:val="21"/>
              </w:rPr>
            </w:pPr>
            <w:r>
              <w:rPr>
                <w:rFonts w:hint="eastAsia" w:cs="Times New Roman"/>
                <w:sz w:val="21"/>
                <w:szCs w:val="21"/>
              </w:rPr>
              <w:t>（5）检查环保设施的运行状况和是否达标排放。</w:t>
            </w:r>
          </w:p>
        </w:tc>
      </w:tr>
    </w:tbl>
    <w:p>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六、结论</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060" w:type="dxa"/>
          </w:tcPr>
          <w:p>
            <w:pPr>
              <w:ind w:firstLine="480"/>
              <w:rPr>
                <w:color w:val="000000" w:themeColor="text1"/>
                <w14:textFill>
                  <w14:solidFill>
                    <w14:schemeClr w14:val="tx1"/>
                  </w14:solidFill>
                </w14:textFill>
              </w:rPr>
            </w:pPr>
            <w:bookmarkStart w:id="20" w:name="_Hlk97246050"/>
            <w:r>
              <w:rPr>
                <w:rFonts w:hint="eastAsia"/>
                <w:color w:val="000000" w:themeColor="text1"/>
                <w14:textFill>
                  <w14:solidFill>
                    <w14:schemeClr w14:val="tx1"/>
                  </w14:solidFill>
                </w14:textFill>
              </w:rPr>
              <w:t>综上所述，本项目符合国家产业政策及相关规划要求，工程选址可行，平面布置基本合理。在项目认真落实本报告提出的各项污染防治措施前提下，各项污染物能够实现达标排放，项目运营对周边地表水、环境空气、声环境等影响较小。因此，从环境角度分析，本项目环境影响可行。</w:t>
            </w:r>
          </w:p>
          <w:bookmarkEnd w:id="20"/>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tc>
      </w:tr>
    </w:tbl>
    <w:p>
      <w:pPr>
        <w:ind w:firstLine="0" w:firstLineChars="0"/>
        <w:rPr>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ind w:firstLine="0" w:firstLineChars="0"/>
        <w:rPr>
          <w:b/>
          <w:bCs/>
          <w:snapToGrid w:val="0"/>
          <w:color w:val="000000" w:themeColor="text1"/>
          <w14:textFill>
            <w14:solidFill>
              <w14:schemeClr w14:val="tx1"/>
            </w14:solidFill>
          </w14:textFill>
        </w:rPr>
      </w:pPr>
      <w:r>
        <w:rPr>
          <w:rFonts w:hint="eastAsia"/>
          <w:b/>
          <w:bCs/>
          <w:snapToGrid w:val="0"/>
          <w:color w:val="000000" w:themeColor="text1"/>
          <w14:textFill>
            <w14:solidFill>
              <w14:schemeClr w14:val="tx1"/>
            </w14:solidFill>
          </w14:textFill>
        </w:rPr>
        <w:t>附表</w:t>
      </w:r>
    </w:p>
    <w:p>
      <w:pPr>
        <w:pStyle w:val="2"/>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建设项目污染物排放量汇总表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32"/>
        <w:gridCol w:w="2022"/>
        <w:gridCol w:w="1246"/>
        <w:gridCol w:w="1386"/>
        <w:gridCol w:w="1667"/>
        <w:gridCol w:w="1532"/>
        <w:gridCol w:w="1670"/>
        <w:gridCol w:w="1670"/>
        <w:gridCol w:w="13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45" w:type="pct"/>
            <w:tcBorders>
              <w:tl2br w:val="single" w:color="auto" w:sz="12" w:space="0"/>
            </w:tcBorders>
            <w:tcMar>
              <w:left w:w="28" w:type="dxa"/>
              <w:right w:w="28" w:type="dxa"/>
            </w:tcMar>
            <w:vAlign w:val="center"/>
          </w:tcPr>
          <w:p>
            <w:pPr>
              <w:pStyle w:val="32"/>
              <w:rPr>
                <w:rFonts w:cs="Times New Roman"/>
                <w:snapToGrid w:val="0"/>
                <w:color w:val="000000" w:themeColor="text1"/>
                <w14:textFill>
                  <w14:solidFill>
                    <w14:schemeClr w14:val="tx1"/>
                  </w14:solidFill>
                </w14:textFill>
              </w:rPr>
            </w:pPr>
            <w:bookmarkStart w:id="21" w:name="_Hlk72769786"/>
            <w:r>
              <w:rPr>
                <w:rFonts w:cs="Times New Roman"/>
                <w:snapToGrid w:val="0"/>
                <w:color w:val="000000" w:themeColor="text1"/>
                <w14:textFill>
                  <w14:solidFill>
                    <w14:schemeClr w14:val="tx1"/>
                  </w14:solidFill>
                </w14:textFill>
              </w:rPr>
              <w:t>项目</w:t>
            </w:r>
          </w:p>
          <w:p>
            <w:pPr>
              <w:pStyle w:val="32"/>
              <w:ind w:firstLine="210" w:firstLineChars="100"/>
              <w:rPr>
                <w:rFonts w:cs="Times New Roman"/>
                <w:snapToGrid w:val="0"/>
                <w:color w:val="000000" w:themeColor="text1"/>
                <w14:textFill>
                  <w14:solidFill>
                    <w14:schemeClr w14:val="tx1"/>
                  </w14:solidFill>
                </w14:textFill>
              </w:rPr>
            </w:pPr>
          </w:p>
          <w:p>
            <w:pPr>
              <w:pStyle w:val="32"/>
              <w:ind w:firstLine="210" w:firstLineChars="100"/>
              <w:rPr>
                <w:rFonts w:cs="Times New Roman"/>
                <w:snapToGrid w:val="0"/>
                <w:color w:val="000000" w:themeColor="text1"/>
                <w14:textFill>
                  <w14:solidFill>
                    <w14:schemeClr w14:val="tx1"/>
                  </w14:solidFill>
                </w14:textFill>
              </w:rPr>
            </w:pPr>
          </w:p>
          <w:p>
            <w:pPr>
              <w:pStyle w:val="32"/>
              <w:ind w:firstLine="210" w:firstLineChars="10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分类</w:t>
            </w:r>
          </w:p>
        </w:tc>
        <w:tc>
          <w:tcPr>
            <w:tcW w:w="719"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污染物名称</w:t>
            </w:r>
          </w:p>
        </w:tc>
        <w:tc>
          <w:tcPr>
            <w:tcW w:w="443"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1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①</w:t>
            </w:r>
            <w:r>
              <w:rPr>
                <w:rFonts w:cs="Times New Roman"/>
                <w:snapToGrid w:val="0"/>
                <w:color w:val="000000" w:themeColor="text1"/>
                <w14:textFill>
                  <w14:solidFill>
                    <w14:schemeClr w14:val="tx1"/>
                  </w14:solidFill>
                </w14:textFill>
              </w:rPr>
              <w:fldChar w:fldCharType="end"/>
            </w:r>
          </w:p>
        </w:tc>
        <w:tc>
          <w:tcPr>
            <w:tcW w:w="493"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许可排放量</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2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snapToGrid w:val="0"/>
                <w:color w:val="000000" w:themeColor="text1"/>
                <w14:textFill>
                  <w14:solidFill>
                    <w14:schemeClr w14:val="tx1"/>
                  </w14:solidFill>
                </w14:textFill>
              </w:rPr>
              <w:t>②</w:t>
            </w:r>
            <w:r>
              <w:rPr>
                <w:rFonts w:cs="Times New Roman"/>
                <w:snapToGrid w:val="0"/>
                <w:color w:val="000000" w:themeColor="text1"/>
                <w14:textFill>
                  <w14:solidFill>
                    <w14:schemeClr w14:val="tx1"/>
                  </w14:solidFill>
                </w14:textFill>
              </w:rPr>
              <w:fldChar w:fldCharType="end"/>
            </w:r>
          </w:p>
        </w:tc>
        <w:tc>
          <w:tcPr>
            <w:tcW w:w="593"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在建工程</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3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③</w:t>
            </w:r>
            <w:r>
              <w:rPr>
                <w:rFonts w:cs="Times New Roman"/>
                <w:snapToGrid w:val="0"/>
                <w:color w:val="000000" w:themeColor="text1"/>
                <w14:textFill>
                  <w14:solidFill>
                    <w14:schemeClr w14:val="tx1"/>
                  </w14:solidFill>
                </w14:textFill>
              </w:rPr>
              <w:fldChar w:fldCharType="end"/>
            </w:r>
          </w:p>
        </w:tc>
        <w:tc>
          <w:tcPr>
            <w:tcW w:w="545"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本项目</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4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④</w:t>
            </w:r>
            <w:r>
              <w:rPr>
                <w:rFonts w:cs="Times New Roman"/>
                <w:snapToGrid w:val="0"/>
                <w:color w:val="000000" w:themeColor="text1"/>
                <w14:textFill>
                  <w14:solidFill>
                    <w14:schemeClr w14:val="tx1"/>
                  </w14:solidFill>
                </w14:textFill>
              </w:rPr>
              <w:fldChar w:fldCharType="end"/>
            </w:r>
          </w:p>
        </w:tc>
        <w:tc>
          <w:tcPr>
            <w:tcW w:w="594" w:type="pct"/>
            <w:tcMar>
              <w:left w:w="28" w:type="dxa"/>
              <w:right w:w="28" w:type="dxa"/>
            </w:tcMar>
            <w:vAlign w:val="center"/>
          </w:tcPr>
          <w:p>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以新带老削减量</w:t>
            </w:r>
          </w:p>
          <w:p>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（新建项目不填）</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5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⑤</w:t>
            </w:r>
            <w:r>
              <w:rPr>
                <w:rFonts w:cs="Times New Roman"/>
                <w:snapToGrid w:val="0"/>
                <w:color w:val="000000" w:themeColor="text1"/>
                <w:spacing w:val="-16"/>
                <w14:textFill>
                  <w14:solidFill>
                    <w14:schemeClr w14:val="tx1"/>
                  </w14:solidFill>
                </w14:textFill>
              </w:rPr>
              <w:fldChar w:fldCharType="end"/>
            </w:r>
          </w:p>
        </w:tc>
        <w:tc>
          <w:tcPr>
            <w:tcW w:w="594" w:type="pct"/>
            <w:tcMar>
              <w:left w:w="28" w:type="dxa"/>
              <w:right w:w="28" w:type="dxa"/>
            </w:tcMar>
            <w:vAlign w:val="center"/>
          </w:tcPr>
          <w:p>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本项目建成后</w:t>
            </w:r>
          </w:p>
          <w:p>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全厂排放量（固体废物产生量）</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6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⑥</w:t>
            </w:r>
            <w:r>
              <w:rPr>
                <w:rFonts w:cs="Times New Roman"/>
                <w:snapToGrid w:val="0"/>
                <w:color w:val="000000" w:themeColor="text1"/>
                <w:spacing w:val="-16"/>
                <w14:textFill>
                  <w14:solidFill>
                    <w14:schemeClr w14:val="tx1"/>
                  </w14:solidFill>
                </w14:textFill>
              </w:rPr>
              <w:fldChar w:fldCharType="end"/>
            </w:r>
          </w:p>
        </w:tc>
        <w:tc>
          <w:tcPr>
            <w:tcW w:w="474" w:type="pct"/>
            <w:tcMar>
              <w:left w:w="28" w:type="dxa"/>
              <w:right w:w="28" w:type="dxa"/>
            </w:tcMar>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变化量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7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⑦</w:t>
            </w:r>
            <w:r>
              <w:rPr>
                <w:rFonts w:cs="Times New Roman"/>
                <w:snapToGrid w:val="0"/>
                <w:color w:val="000000" w:themeColor="text1"/>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废气</w:t>
            </w:r>
          </w:p>
        </w:tc>
        <w:tc>
          <w:tcPr>
            <w:tcW w:w="719" w:type="pct"/>
            <w:vAlign w:val="center"/>
          </w:tcPr>
          <w:p>
            <w:pPr>
              <w:pStyle w:val="32"/>
              <w:rPr>
                <w:rFonts w:cs="Times New Roman"/>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颗粒物</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szCs w:val="21"/>
              </w:rPr>
              <w:t>1.125t/a</w:t>
            </w:r>
          </w:p>
        </w:tc>
        <w:tc>
          <w:tcPr>
            <w:tcW w:w="474" w:type="pct"/>
            <w:vAlign w:val="center"/>
          </w:tcPr>
          <w:p>
            <w:pPr>
              <w:pStyle w:val="32"/>
              <w:rPr>
                <w:rFonts w:cs="Times New Roman"/>
                <w:snapToGrid w:val="0"/>
                <w:color w:val="000000" w:themeColor="text1"/>
                <w14:textFill>
                  <w14:solidFill>
                    <w14:schemeClr w14:val="tx1"/>
                  </w14:solidFill>
                </w14:textFill>
              </w:rPr>
            </w:pPr>
            <w:r>
              <w:rPr>
                <w:rFonts w:cs="Times New Roman"/>
                <w:szCs w:val="21"/>
              </w:rPr>
              <w:t>1.125t/a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臭气浓度</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594" w:type="pct"/>
            <w:vAlign w:val="center"/>
          </w:tcPr>
          <w:p>
            <w:pPr>
              <w:pStyle w:val="32"/>
              <w:rPr>
                <w:rFonts w:cs="Times New Roman"/>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0</w:t>
            </w:r>
          </w:p>
        </w:tc>
        <w:tc>
          <w:tcPr>
            <w:tcW w:w="594" w:type="pct"/>
          </w:tcPr>
          <w:p>
            <w:pPr>
              <w:pStyle w:val="32"/>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c>
          <w:tcPr>
            <w:tcW w:w="474" w:type="pct"/>
          </w:tcPr>
          <w:p>
            <w:pPr>
              <w:pStyle w:val="32"/>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废水</w:t>
            </w:r>
          </w:p>
        </w:tc>
        <w:tc>
          <w:tcPr>
            <w:tcW w:w="719" w:type="pct"/>
            <w:vAlign w:val="center"/>
          </w:tcPr>
          <w:p>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生活废水量</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COD</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NH</w:t>
            </w:r>
            <w:r>
              <w:rPr>
                <w:rFonts w:cs="Times New Roman"/>
                <w:color w:val="000000" w:themeColor="text1"/>
                <w:szCs w:val="21"/>
                <w:vertAlign w:val="subscript"/>
                <w14:textFill>
                  <w14:solidFill>
                    <w14:schemeClr w14:val="tx1"/>
                  </w14:solidFill>
                </w14:textFill>
              </w:rPr>
              <w:t>3</w:t>
            </w:r>
            <w:r>
              <w:rPr>
                <w:rFonts w:cs="Times New Roman"/>
                <w:color w:val="000000" w:themeColor="text1"/>
                <w:szCs w:val="21"/>
                <w14:textFill>
                  <w14:solidFill>
                    <w14:schemeClr w14:val="tx1"/>
                  </w14:solidFill>
                </w14:textFill>
              </w:rPr>
              <w:t>-N</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一般工业</w:t>
            </w:r>
          </w:p>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固体废物</w:t>
            </w:r>
          </w:p>
        </w:tc>
        <w:tc>
          <w:tcPr>
            <w:tcW w:w="719" w:type="pct"/>
            <w:vAlign w:val="center"/>
          </w:tcPr>
          <w:p>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分拣废料</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szCs w:val="21"/>
              </w:rPr>
            </w:pPr>
            <w:r>
              <w:rPr>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szCs w:val="21"/>
              </w:rPr>
            </w:pPr>
            <w:r>
              <w:rPr>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rPr>
                <w:rFonts w:cs="Times New Roman"/>
                <w:snapToGrid w:val="0"/>
                <w:color w:val="000000" w:themeColor="text1"/>
                <w14:textFill>
                  <w14:solidFill>
                    <w14:schemeClr w14:val="tx1"/>
                  </w14:solidFill>
                </w14:textFill>
              </w:rPr>
            </w:pPr>
            <w:r>
              <w:rPr>
                <w:rFonts w:cs="Times New Roman"/>
                <w:szCs w:val="21"/>
              </w:rPr>
              <w:t>沉淀池</w:t>
            </w:r>
            <w:r>
              <w:rPr>
                <w:rFonts w:hint="eastAsia" w:cs="Times New Roman"/>
                <w:szCs w:val="21"/>
              </w:rPr>
              <w:t>沉渣</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szCs w:val="21"/>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szCs w:val="21"/>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Align w:val="center"/>
          </w:tcPr>
          <w:p>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生活垃圾</w:t>
            </w:r>
          </w:p>
        </w:tc>
        <w:tc>
          <w:tcPr>
            <w:tcW w:w="719" w:type="pct"/>
            <w:vAlign w:val="center"/>
          </w:tcPr>
          <w:p>
            <w:pPr>
              <w:pStyle w:val="32"/>
              <w:rPr>
                <w:rFonts w:cs="Times New Roman"/>
                <w:snapToGrid w:val="0"/>
                <w:color w:val="000000" w:themeColor="text1"/>
                <w14:textFill>
                  <w14:solidFill>
                    <w14:schemeClr w14:val="tx1"/>
                  </w14:solidFill>
                </w14:textFill>
              </w:rPr>
            </w:pPr>
            <w:r>
              <w:t>生活垃圾</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危险废物</w:t>
            </w:r>
          </w:p>
        </w:tc>
        <w:tc>
          <w:tcPr>
            <w:tcW w:w="719" w:type="pct"/>
            <w:vAlign w:val="center"/>
          </w:tcPr>
          <w:p>
            <w:pPr>
              <w:pStyle w:val="32"/>
              <w:rPr>
                <w:rFonts w:cs="Times New Roman"/>
                <w:snapToGrid w:val="0"/>
                <w:color w:val="000000" w:themeColor="text1"/>
                <w14:textFill>
                  <w14:solidFill>
                    <w14:schemeClr w14:val="tx1"/>
                  </w14:solidFill>
                </w14:textFill>
              </w:rPr>
            </w:pPr>
            <w:r>
              <w:rPr>
                <w:rFonts w:hint="eastAsia"/>
              </w:rPr>
              <w:t>废机油</w:t>
            </w:r>
          </w:p>
        </w:tc>
        <w:tc>
          <w:tcPr>
            <w:tcW w:w="44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pPr>
            <w:r>
              <w:rPr>
                <w:rFonts w:hint="eastAsia"/>
              </w:rPr>
              <w:t>沾有废机油的废抹布和废手套</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pPr>
              <w:pStyle w:val="32"/>
              <w:rPr>
                <w:rFonts w:cs="Times New Roman"/>
                <w:snapToGrid w:val="0"/>
                <w:color w:val="000000" w:themeColor="text1"/>
                <w14:textFill>
                  <w14:solidFill>
                    <w14:schemeClr w14:val="tx1"/>
                  </w14:solidFill>
                </w14:textFill>
              </w:rPr>
            </w:pPr>
          </w:p>
        </w:tc>
        <w:tc>
          <w:tcPr>
            <w:tcW w:w="719" w:type="pct"/>
            <w:vAlign w:val="center"/>
          </w:tcPr>
          <w:p>
            <w:pPr>
              <w:pStyle w:val="32"/>
            </w:pPr>
            <w:r>
              <w:rPr>
                <w:rFonts w:hint="eastAsia"/>
              </w:rPr>
              <w:t>废机油桶</w:t>
            </w:r>
          </w:p>
        </w:tc>
        <w:tc>
          <w:tcPr>
            <w:tcW w:w="44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shd w:val="clear" w:color="auto" w:fill="auto"/>
            <w:vAlign w:val="center"/>
          </w:tcPr>
          <w:p>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bookmarkEnd w:id="21"/>
    </w:tbl>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3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5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⑤</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7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⑦</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p>
    <w:p>
      <w:pPr>
        <w:ind w:firstLine="0" w:firstLineChars="0"/>
        <w:sectPr>
          <w:pgSz w:w="16838" w:h="11906" w:orient="landscape"/>
          <w:pgMar w:top="1418" w:right="1418" w:bottom="1418" w:left="1418" w:header="851" w:footer="992" w:gutter="0"/>
          <w:cols w:space="425" w:num="1"/>
          <w:docGrid w:type="lines" w:linePitch="326" w:charSpace="0"/>
        </w:sectPr>
      </w:pPr>
    </w:p>
    <w:p>
      <w:pPr>
        <w:spacing w:line="240" w:lineRule="auto"/>
        <w:ind w:firstLine="0" w:firstLineChars="0"/>
        <w:rPr>
          <w:color w:val="000000" w:themeColor="text1"/>
          <w14:textFill>
            <w14:solidFill>
              <w14:schemeClr w14:val="tx1"/>
            </w14:solidFill>
          </w14:textFill>
        </w:rPr>
      </w:pPr>
    </w:p>
    <w:sectPr>
      <w:pgSz w:w="11906" w:h="16838"/>
      <w:pgMar w:top="1418" w:right="1418" w:bottom="1418"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SourceHanSansCN-Regular">
    <w:altName w:val="Vrinda"/>
    <w:panose1 w:val="020B0500000000000000"/>
    <w:charset w:val="00"/>
    <w:family w:val="roman"/>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50202"/>
    </w:sdtPr>
    <w:sdtContent>
      <w:p>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3EA1"/>
    <w:multiLevelType w:val="singleLevel"/>
    <w:tmpl w:val="C9813EA1"/>
    <w:lvl w:ilvl="0" w:tentative="0">
      <w:start w:val="1"/>
      <w:numFmt w:val="decimal"/>
      <w:suff w:val="nothing"/>
      <w:lvlText w:val="（%1）"/>
      <w:lvlJc w:val="left"/>
    </w:lvl>
  </w:abstractNum>
  <w:abstractNum w:abstractNumId="1">
    <w:nsid w:val="556EF34F"/>
    <w:multiLevelType w:val="singleLevel"/>
    <w:tmpl w:val="556EF34F"/>
    <w:lvl w:ilvl="0" w:tentative="0">
      <w:start w:val="4"/>
      <w:numFmt w:val="chineseCounting"/>
      <w:suff w:val="nothing"/>
      <w:lvlText w:val="%1、"/>
      <w:lvlJc w:val="left"/>
      <w:rPr>
        <w:rFonts w:hint="eastAsia"/>
      </w:rPr>
    </w:lvl>
  </w:abstractNum>
  <w:abstractNum w:abstractNumId="2">
    <w:nsid w:val="68D08242"/>
    <w:multiLevelType w:val="singleLevel"/>
    <w:tmpl w:val="68D08242"/>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ZGQ1YjY3YWE4ZjQxNzM3Mjc0MGM1ZTljYWMwNWUifQ=="/>
  </w:docVars>
  <w:rsids>
    <w:rsidRoot w:val="00E42F12"/>
    <w:rsid w:val="00000011"/>
    <w:rsid w:val="00002286"/>
    <w:rsid w:val="00003779"/>
    <w:rsid w:val="00004030"/>
    <w:rsid w:val="00004535"/>
    <w:rsid w:val="00005DF0"/>
    <w:rsid w:val="00012585"/>
    <w:rsid w:val="00012DBF"/>
    <w:rsid w:val="000130B4"/>
    <w:rsid w:val="00014DD3"/>
    <w:rsid w:val="000160E7"/>
    <w:rsid w:val="0002170E"/>
    <w:rsid w:val="00021FDB"/>
    <w:rsid w:val="00021FE2"/>
    <w:rsid w:val="000237FF"/>
    <w:rsid w:val="000248C0"/>
    <w:rsid w:val="000266FA"/>
    <w:rsid w:val="00027FF1"/>
    <w:rsid w:val="0003177B"/>
    <w:rsid w:val="00031848"/>
    <w:rsid w:val="00032722"/>
    <w:rsid w:val="000327C5"/>
    <w:rsid w:val="0003302B"/>
    <w:rsid w:val="000349C5"/>
    <w:rsid w:val="0003576B"/>
    <w:rsid w:val="00035924"/>
    <w:rsid w:val="00035D20"/>
    <w:rsid w:val="000364B9"/>
    <w:rsid w:val="00037528"/>
    <w:rsid w:val="00037CF2"/>
    <w:rsid w:val="00037FCA"/>
    <w:rsid w:val="000411C0"/>
    <w:rsid w:val="00041C54"/>
    <w:rsid w:val="0004324B"/>
    <w:rsid w:val="0004387D"/>
    <w:rsid w:val="00045D54"/>
    <w:rsid w:val="00050209"/>
    <w:rsid w:val="00050507"/>
    <w:rsid w:val="000519C2"/>
    <w:rsid w:val="00052874"/>
    <w:rsid w:val="00052F50"/>
    <w:rsid w:val="00054033"/>
    <w:rsid w:val="0005404D"/>
    <w:rsid w:val="00054D84"/>
    <w:rsid w:val="00054F8E"/>
    <w:rsid w:val="00056C0A"/>
    <w:rsid w:val="000600E5"/>
    <w:rsid w:val="000609E8"/>
    <w:rsid w:val="00061F0E"/>
    <w:rsid w:val="00062122"/>
    <w:rsid w:val="00062845"/>
    <w:rsid w:val="000628AF"/>
    <w:rsid w:val="00062AB8"/>
    <w:rsid w:val="0006526E"/>
    <w:rsid w:val="000669FA"/>
    <w:rsid w:val="00070A73"/>
    <w:rsid w:val="00071688"/>
    <w:rsid w:val="00072D16"/>
    <w:rsid w:val="00073C72"/>
    <w:rsid w:val="00074946"/>
    <w:rsid w:val="000775A2"/>
    <w:rsid w:val="00077F08"/>
    <w:rsid w:val="0008065F"/>
    <w:rsid w:val="00081096"/>
    <w:rsid w:val="0008256C"/>
    <w:rsid w:val="00083888"/>
    <w:rsid w:val="00083AB0"/>
    <w:rsid w:val="00084A61"/>
    <w:rsid w:val="000859AF"/>
    <w:rsid w:val="00086278"/>
    <w:rsid w:val="000872AF"/>
    <w:rsid w:val="00087854"/>
    <w:rsid w:val="00087BF4"/>
    <w:rsid w:val="00090692"/>
    <w:rsid w:val="0009420A"/>
    <w:rsid w:val="000961C8"/>
    <w:rsid w:val="000962F1"/>
    <w:rsid w:val="000968DC"/>
    <w:rsid w:val="00097169"/>
    <w:rsid w:val="00097CE9"/>
    <w:rsid w:val="000A09CF"/>
    <w:rsid w:val="000A0DA6"/>
    <w:rsid w:val="000A16C0"/>
    <w:rsid w:val="000A356F"/>
    <w:rsid w:val="000A4135"/>
    <w:rsid w:val="000A717C"/>
    <w:rsid w:val="000B32BF"/>
    <w:rsid w:val="000B39CF"/>
    <w:rsid w:val="000B3CE8"/>
    <w:rsid w:val="000B4692"/>
    <w:rsid w:val="000B5935"/>
    <w:rsid w:val="000B5B00"/>
    <w:rsid w:val="000C45A6"/>
    <w:rsid w:val="000C594F"/>
    <w:rsid w:val="000C607C"/>
    <w:rsid w:val="000C697A"/>
    <w:rsid w:val="000D077A"/>
    <w:rsid w:val="000D09BC"/>
    <w:rsid w:val="000D14D9"/>
    <w:rsid w:val="000D3641"/>
    <w:rsid w:val="000D3E20"/>
    <w:rsid w:val="000D40CA"/>
    <w:rsid w:val="000D4E26"/>
    <w:rsid w:val="000D5774"/>
    <w:rsid w:val="000D5B2E"/>
    <w:rsid w:val="000D5D7A"/>
    <w:rsid w:val="000E0387"/>
    <w:rsid w:val="000E0C43"/>
    <w:rsid w:val="000E0D2C"/>
    <w:rsid w:val="000E0DBE"/>
    <w:rsid w:val="000E14AE"/>
    <w:rsid w:val="000E2AFB"/>
    <w:rsid w:val="000E3658"/>
    <w:rsid w:val="000E3DFE"/>
    <w:rsid w:val="000E4502"/>
    <w:rsid w:val="000E616F"/>
    <w:rsid w:val="000E689F"/>
    <w:rsid w:val="000E74D3"/>
    <w:rsid w:val="000E788A"/>
    <w:rsid w:val="000E7D66"/>
    <w:rsid w:val="000F0A6D"/>
    <w:rsid w:val="000F0E36"/>
    <w:rsid w:val="000F25D1"/>
    <w:rsid w:val="000F2784"/>
    <w:rsid w:val="000F5746"/>
    <w:rsid w:val="000F6582"/>
    <w:rsid w:val="0010013A"/>
    <w:rsid w:val="00100AA3"/>
    <w:rsid w:val="00100EE9"/>
    <w:rsid w:val="00101AE9"/>
    <w:rsid w:val="001027B0"/>
    <w:rsid w:val="00102FA5"/>
    <w:rsid w:val="00103BA8"/>
    <w:rsid w:val="001045D7"/>
    <w:rsid w:val="00106964"/>
    <w:rsid w:val="00106A93"/>
    <w:rsid w:val="00106CB6"/>
    <w:rsid w:val="00107019"/>
    <w:rsid w:val="00107539"/>
    <w:rsid w:val="00110163"/>
    <w:rsid w:val="00111ACF"/>
    <w:rsid w:val="00112D08"/>
    <w:rsid w:val="00113737"/>
    <w:rsid w:val="00113A4E"/>
    <w:rsid w:val="00115FF4"/>
    <w:rsid w:val="00122519"/>
    <w:rsid w:val="00124469"/>
    <w:rsid w:val="00124C3A"/>
    <w:rsid w:val="00125187"/>
    <w:rsid w:val="00126CA7"/>
    <w:rsid w:val="001272F9"/>
    <w:rsid w:val="00127DC9"/>
    <w:rsid w:val="00127E9B"/>
    <w:rsid w:val="0013118C"/>
    <w:rsid w:val="0013179F"/>
    <w:rsid w:val="0013262A"/>
    <w:rsid w:val="00133D69"/>
    <w:rsid w:val="0013450C"/>
    <w:rsid w:val="00134FB0"/>
    <w:rsid w:val="00135B37"/>
    <w:rsid w:val="00137693"/>
    <w:rsid w:val="001400F0"/>
    <w:rsid w:val="00140B06"/>
    <w:rsid w:val="00140ED3"/>
    <w:rsid w:val="00141580"/>
    <w:rsid w:val="00141C32"/>
    <w:rsid w:val="00142086"/>
    <w:rsid w:val="00144F14"/>
    <w:rsid w:val="00147436"/>
    <w:rsid w:val="00150368"/>
    <w:rsid w:val="001514EF"/>
    <w:rsid w:val="00153C2C"/>
    <w:rsid w:val="00154EB9"/>
    <w:rsid w:val="001563F4"/>
    <w:rsid w:val="00156A4B"/>
    <w:rsid w:val="00157B41"/>
    <w:rsid w:val="0016185C"/>
    <w:rsid w:val="00161F0E"/>
    <w:rsid w:val="00163D32"/>
    <w:rsid w:val="00170127"/>
    <w:rsid w:val="00170CCF"/>
    <w:rsid w:val="0017156B"/>
    <w:rsid w:val="00172C3C"/>
    <w:rsid w:val="00174269"/>
    <w:rsid w:val="00174836"/>
    <w:rsid w:val="0017584A"/>
    <w:rsid w:val="001771FE"/>
    <w:rsid w:val="001800DE"/>
    <w:rsid w:val="00181FEA"/>
    <w:rsid w:val="00184153"/>
    <w:rsid w:val="00184209"/>
    <w:rsid w:val="001867BD"/>
    <w:rsid w:val="001876D4"/>
    <w:rsid w:val="00191A72"/>
    <w:rsid w:val="00191AFA"/>
    <w:rsid w:val="00196C42"/>
    <w:rsid w:val="00196D29"/>
    <w:rsid w:val="00197517"/>
    <w:rsid w:val="00197C10"/>
    <w:rsid w:val="001A0652"/>
    <w:rsid w:val="001A1228"/>
    <w:rsid w:val="001A332C"/>
    <w:rsid w:val="001A3676"/>
    <w:rsid w:val="001A517C"/>
    <w:rsid w:val="001B0F5A"/>
    <w:rsid w:val="001B241E"/>
    <w:rsid w:val="001B49C0"/>
    <w:rsid w:val="001B545E"/>
    <w:rsid w:val="001C00EA"/>
    <w:rsid w:val="001C046A"/>
    <w:rsid w:val="001C25AB"/>
    <w:rsid w:val="001C26D5"/>
    <w:rsid w:val="001C2947"/>
    <w:rsid w:val="001C3F0F"/>
    <w:rsid w:val="001C4709"/>
    <w:rsid w:val="001C47D6"/>
    <w:rsid w:val="001C55A7"/>
    <w:rsid w:val="001C78C0"/>
    <w:rsid w:val="001D1B30"/>
    <w:rsid w:val="001D21ED"/>
    <w:rsid w:val="001D2AB6"/>
    <w:rsid w:val="001D4639"/>
    <w:rsid w:val="001D6591"/>
    <w:rsid w:val="001D76AC"/>
    <w:rsid w:val="001E3F5A"/>
    <w:rsid w:val="001E57B0"/>
    <w:rsid w:val="001E63E1"/>
    <w:rsid w:val="001F03BE"/>
    <w:rsid w:val="001F053B"/>
    <w:rsid w:val="001F126F"/>
    <w:rsid w:val="001F15E0"/>
    <w:rsid w:val="001F242B"/>
    <w:rsid w:val="001F513F"/>
    <w:rsid w:val="001F54DE"/>
    <w:rsid w:val="001F6630"/>
    <w:rsid w:val="001F7068"/>
    <w:rsid w:val="001F770F"/>
    <w:rsid w:val="001F7BD9"/>
    <w:rsid w:val="00200E7E"/>
    <w:rsid w:val="0020327D"/>
    <w:rsid w:val="00205049"/>
    <w:rsid w:val="0021151F"/>
    <w:rsid w:val="00213442"/>
    <w:rsid w:val="002175B4"/>
    <w:rsid w:val="002177DE"/>
    <w:rsid w:val="0022108A"/>
    <w:rsid w:val="002217B7"/>
    <w:rsid w:val="00223ECF"/>
    <w:rsid w:val="00224EAE"/>
    <w:rsid w:val="00230B7A"/>
    <w:rsid w:val="002325F0"/>
    <w:rsid w:val="00232EE3"/>
    <w:rsid w:val="002330A8"/>
    <w:rsid w:val="00234038"/>
    <w:rsid w:val="00234985"/>
    <w:rsid w:val="00234FC5"/>
    <w:rsid w:val="00237524"/>
    <w:rsid w:val="00237638"/>
    <w:rsid w:val="00241253"/>
    <w:rsid w:val="0024130D"/>
    <w:rsid w:val="00242508"/>
    <w:rsid w:val="00242910"/>
    <w:rsid w:val="00243DD6"/>
    <w:rsid w:val="00244A84"/>
    <w:rsid w:val="00245F3E"/>
    <w:rsid w:val="00247E0F"/>
    <w:rsid w:val="00251B45"/>
    <w:rsid w:val="00252AB7"/>
    <w:rsid w:val="00253661"/>
    <w:rsid w:val="00254B65"/>
    <w:rsid w:val="0026086D"/>
    <w:rsid w:val="00261150"/>
    <w:rsid w:val="00261534"/>
    <w:rsid w:val="00261734"/>
    <w:rsid w:val="002628E7"/>
    <w:rsid w:val="00263C52"/>
    <w:rsid w:val="00263F77"/>
    <w:rsid w:val="002659C3"/>
    <w:rsid w:val="00266035"/>
    <w:rsid w:val="00267641"/>
    <w:rsid w:val="0026772D"/>
    <w:rsid w:val="00267D80"/>
    <w:rsid w:val="0027145F"/>
    <w:rsid w:val="002715AA"/>
    <w:rsid w:val="00273C80"/>
    <w:rsid w:val="00276984"/>
    <w:rsid w:val="0028374E"/>
    <w:rsid w:val="00283E24"/>
    <w:rsid w:val="002840BF"/>
    <w:rsid w:val="002842F2"/>
    <w:rsid w:val="00285337"/>
    <w:rsid w:val="00286CD5"/>
    <w:rsid w:val="00287664"/>
    <w:rsid w:val="00287B11"/>
    <w:rsid w:val="00292153"/>
    <w:rsid w:val="00292B69"/>
    <w:rsid w:val="00294330"/>
    <w:rsid w:val="00294993"/>
    <w:rsid w:val="002A042A"/>
    <w:rsid w:val="002A1838"/>
    <w:rsid w:val="002A1885"/>
    <w:rsid w:val="002A4249"/>
    <w:rsid w:val="002A52C3"/>
    <w:rsid w:val="002A5A64"/>
    <w:rsid w:val="002A758B"/>
    <w:rsid w:val="002A7BAE"/>
    <w:rsid w:val="002B0225"/>
    <w:rsid w:val="002B041C"/>
    <w:rsid w:val="002B0F2F"/>
    <w:rsid w:val="002B1AE5"/>
    <w:rsid w:val="002B1E75"/>
    <w:rsid w:val="002B2757"/>
    <w:rsid w:val="002B41A3"/>
    <w:rsid w:val="002B5377"/>
    <w:rsid w:val="002B6E2E"/>
    <w:rsid w:val="002B7823"/>
    <w:rsid w:val="002C30C8"/>
    <w:rsid w:val="002C32F0"/>
    <w:rsid w:val="002C3436"/>
    <w:rsid w:val="002C548A"/>
    <w:rsid w:val="002C7D80"/>
    <w:rsid w:val="002D09FB"/>
    <w:rsid w:val="002D1235"/>
    <w:rsid w:val="002D1557"/>
    <w:rsid w:val="002D2597"/>
    <w:rsid w:val="002D3227"/>
    <w:rsid w:val="002E2739"/>
    <w:rsid w:val="002E3523"/>
    <w:rsid w:val="002E409F"/>
    <w:rsid w:val="002E51B8"/>
    <w:rsid w:val="002E6022"/>
    <w:rsid w:val="002E669B"/>
    <w:rsid w:val="002E7B00"/>
    <w:rsid w:val="002F0424"/>
    <w:rsid w:val="002F1114"/>
    <w:rsid w:val="002F14A8"/>
    <w:rsid w:val="002F1E02"/>
    <w:rsid w:val="002F31A2"/>
    <w:rsid w:val="002F32CD"/>
    <w:rsid w:val="002F4570"/>
    <w:rsid w:val="002F49AA"/>
    <w:rsid w:val="002F6A79"/>
    <w:rsid w:val="002F72C6"/>
    <w:rsid w:val="00301427"/>
    <w:rsid w:val="003019BD"/>
    <w:rsid w:val="00301FC9"/>
    <w:rsid w:val="00302915"/>
    <w:rsid w:val="00303DCB"/>
    <w:rsid w:val="00306824"/>
    <w:rsid w:val="00306A16"/>
    <w:rsid w:val="00306C59"/>
    <w:rsid w:val="0030792D"/>
    <w:rsid w:val="0031039E"/>
    <w:rsid w:val="00312A18"/>
    <w:rsid w:val="003159D1"/>
    <w:rsid w:val="00316575"/>
    <w:rsid w:val="0031727D"/>
    <w:rsid w:val="00326989"/>
    <w:rsid w:val="0033018D"/>
    <w:rsid w:val="0033153A"/>
    <w:rsid w:val="00340105"/>
    <w:rsid w:val="0034137C"/>
    <w:rsid w:val="00342850"/>
    <w:rsid w:val="00342D2F"/>
    <w:rsid w:val="00345831"/>
    <w:rsid w:val="00345A60"/>
    <w:rsid w:val="00346C47"/>
    <w:rsid w:val="00346F2B"/>
    <w:rsid w:val="0034758F"/>
    <w:rsid w:val="00347B82"/>
    <w:rsid w:val="00351453"/>
    <w:rsid w:val="003521CE"/>
    <w:rsid w:val="0035236E"/>
    <w:rsid w:val="00352B51"/>
    <w:rsid w:val="0035300F"/>
    <w:rsid w:val="003534CC"/>
    <w:rsid w:val="003539B6"/>
    <w:rsid w:val="00354043"/>
    <w:rsid w:val="00354E73"/>
    <w:rsid w:val="00355E2F"/>
    <w:rsid w:val="00357764"/>
    <w:rsid w:val="003607D7"/>
    <w:rsid w:val="003612CC"/>
    <w:rsid w:val="0036646B"/>
    <w:rsid w:val="0037030F"/>
    <w:rsid w:val="00370547"/>
    <w:rsid w:val="00371C60"/>
    <w:rsid w:val="00371DA7"/>
    <w:rsid w:val="00371DC8"/>
    <w:rsid w:val="003722E7"/>
    <w:rsid w:val="00373857"/>
    <w:rsid w:val="0037455C"/>
    <w:rsid w:val="00374A3D"/>
    <w:rsid w:val="0037631C"/>
    <w:rsid w:val="003766A2"/>
    <w:rsid w:val="0037695B"/>
    <w:rsid w:val="00380F3C"/>
    <w:rsid w:val="00381127"/>
    <w:rsid w:val="003832E5"/>
    <w:rsid w:val="00383BAD"/>
    <w:rsid w:val="003852FF"/>
    <w:rsid w:val="00386DBD"/>
    <w:rsid w:val="00387B52"/>
    <w:rsid w:val="003923AB"/>
    <w:rsid w:val="003930D9"/>
    <w:rsid w:val="00397094"/>
    <w:rsid w:val="00397572"/>
    <w:rsid w:val="003A0F81"/>
    <w:rsid w:val="003A1468"/>
    <w:rsid w:val="003A46AA"/>
    <w:rsid w:val="003A4D1F"/>
    <w:rsid w:val="003A4E7D"/>
    <w:rsid w:val="003A66A7"/>
    <w:rsid w:val="003A6B81"/>
    <w:rsid w:val="003A7B58"/>
    <w:rsid w:val="003B0000"/>
    <w:rsid w:val="003B24C0"/>
    <w:rsid w:val="003B2583"/>
    <w:rsid w:val="003B271F"/>
    <w:rsid w:val="003B27D1"/>
    <w:rsid w:val="003B3EC3"/>
    <w:rsid w:val="003B3F0B"/>
    <w:rsid w:val="003B4A96"/>
    <w:rsid w:val="003B6C75"/>
    <w:rsid w:val="003C27FE"/>
    <w:rsid w:val="003C3143"/>
    <w:rsid w:val="003C6629"/>
    <w:rsid w:val="003D04AB"/>
    <w:rsid w:val="003D0797"/>
    <w:rsid w:val="003D0E71"/>
    <w:rsid w:val="003D1F12"/>
    <w:rsid w:val="003D5A40"/>
    <w:rsid w:val="003D622A"/>
    <w:rsid w:val="003D69B7"/>
    <w:rsid w:val="003D76C4"/>
    <w:rsid w:val="003E0EF6"/>
    <w:rsid w:val="003E14F4"/>
    <w:rsid w:val="003E1903"/>
    <w:rsid w:val="003E22EA"/>
    <w:rsid w:val="003E37E1"/>
    <w:rsid w:val="003E401B"/>
    <w:rsid w:val="003F009C"/>
    <w:rsid w:val="003F517C"/>
    <w:rsid w:val="003F5D06"/>
    <w:rsid w:val="003F5D89"/>
    <w:rsid w:val="003F7CB4"/>
    <w:rsid w:val="00400F25"/>
    <w:rsid w:val="00405893"/>
    <w:rsid w:val="004058F1"/>
    <w:rsid w:val="00406D7C"/>
    <w:rsid w:val="004070D6"/>
    <w:rsid w:val="00410700"/>
    <w:rsid w:val="00411712"/>
    <w:rsid w:val="004118E7"/>
    <w:rsid w:val="00412928"/>
    <w:rsid w:val="0041320B"/>
    <w:rsid w:val="00414274"/>
    <w:rsid w:val="0041522F"/>
    <w:rsid w:val="00416C98"/>
    <w:rsid w:val="0042083B"/>
    <w:rsid w:val="00422BA5"/>
    <w:rsid w:val="00426CAC"/>
    <w:rsid w:val="004312A4"/>
    <w:rsid w:val="004331BA"/>
    <w:rsid w:val="0043495C"/>
    <w:rsid w:val="004401C9"/>
    <w:rsid w:val="004405B2"/>
    <w:rsid w:val="00440BCD"/>
    <w:rsid w:val="00441CEC"/>
    <w:rsid w:val="00441D59"/>
    <w:rsid w:val="00441DA4"/>
    <w:rsid w:val="00442351"/>
    <w:rsid w:val="004453B8"/>
    <w:rsid w:val="00446F06"/>
    <w:rsid w:val="0044715A"/>
    <w:rsid w:val="004479AA"/>
    <w:rsid w:val="00451E96"/>
    <w:rsid w:val="00452228"/>
    <w:rsid w:val="0045351B"/>
    <w:rsid w:val="00454D13"/>
    <w:rsid w:val="00462FF4"/>
    <w:rsid w:val="00464F5E"/>
    <w:rsid w:val="00465EC6"/>
    <w:rsid w:val="004676A2"/>
    <w:rsid w:val="00467E5C"/>
    <w:rsid w:val="00470FB2"/>
    <w:rsid w:val="00471443"/>
    <w:rsid w:val="00471DFD"/>
    <w:rsid w:val="00471E42"/>
    <w:rsid w:val="00473BF6"/>
    <w:rsid w:val="0047455E"/>
    <w:rsid w:val="00474B98"/>
    <w:rsid w:val="00475086"/>
    <w:rsid w:val="00475945"/>
    <w:rsid w:val="004767D7"/>
    <w:rsid w:val="00476D6E"/>
    <w:rsid w:val="00477FFB"/>
    <w:rsid w:val="004816DF"/>
    <w:rsid w:val="0048229B"/>
    <w:rsid w:val="004823AE"/>
    <w:rsid w:val="004840F0"/>
    <w:rsid w:val="0048461C"/>
    <w:rsid w:val="00485F15"/>
    <w:rsid w:val="0048668A"/>
    <w:rsid w:val="00486C05"/>
    <w:rsid w:val="00490127"/>
    <w:rsid w:val="0049021A"/>
    <w:rsid w:val="00490BC9"/>
    <w:rsid w:val="0049159B"/>
    <w:rsid w:val="0049199F"/>
    <w:rsid w:val="004924EB"/>
    <w:rsid w:val="004935E3"/>
    <w:rsid w:val="00493A59"/>
    <w:rsid w:val="0049417A"/>
    <w:rsid w:val="00495BAE"/>
    <w:rsid w:val="00496636"/>
    <w:rsid w:val="004A1554"/>
    <w:rsid w:val="004A1713"/>
    <w:rsid w:val="004A18B7"/>
    <w:rsid w:val="004A2251"/>
    <w:rsid w:val="004A22D3"/>
    <w:rsid w:val="004A2635"/>
    <w:rsid w:val="004A2A5B"/>
    <w:rsid w:val="004A3E41"/>
    <w:rsid w:val="004A55C6"/>
    <w:rsid w:val="004A5AB3"/>
    <w:rsid w:val="004A7FA0"/>
    <w:rsid w:val="004B1422"/>
    <w:rsid w:val="004B1FAB"/>
    <w:rsid w:val="004B268A"/>
    <w:rsid w:val="004B46C2"/>
    <w:rsid w:val="004B4869"/>
    <w:rsid w:val="004B5290"/>
    <w:rsid w:val="004B5DD7"/>
    <w:rsid w:val="004B600A"/>
    <w:rsid w:val="004B71E0"/>
    <w:rsid w:val="004B750A"/>
    <w:rsid w:val="004C15F7"/>
    <w:rsid w:val="004C2F72"/>
    <w:rsid w:val="004C3CAA"/>
    <w:rsid w:val="004D32B9"/>
    <w:rsid w:val="004D37E1"/>
    <w:rsid w:val="004D77AC"/>
    <w:rsid w:val="004D7AAB"/>
    <w:rsid w:val="004D7D95"/>
    <w:rsid w:val="004E0168"/>
    <w:rsid w:val="004E03A2"/>
    <w:rsid w:val="004E0BAC"/>
    <w:rsid w:val="004E0E80"/>
    <w:rsid w:val="004E2E79"/>
    <w:rsid w:val="004E3CA4"/>
    <w:rsid w:val="004E48DF"/>
    <w:rsid w:val="004E5EF6"/>
    <w:rsid w:val="004F05F6"/>
    <w:rsid w:val="004F096C"/>
    <w:rsid w:val="004F1625"/>
    <w:rsid w:val="004F19A4"/>
    <w:rsid w:val="004F2564"/>
    <w:rsid w:val="004F38A7"/>
    <w:rsid w:val="004F4664"/>
    <w:rsid w:val="004F67C6"/>
    <w:rsid w:val="004F6F98"/>
    <w:rsid w:val="00503156"/>
    <w:rsid w:val="005031B1"/>
    <w:rsid w:val="00504516"/>
    <w:rsid w:val="00504648"/>
    <w:rsid w:val="00505A34"/>
    <w:rsid w:val="005113B6"/>
    <w:rsid w:val="00511726"/>
    <w:rsid w:val="00511977"/>
    <w:rsid w:val="0051224A"/>
    <w:rsid w:val="00512696"/>
    <w:rsid w:val="00513D0D"/>
    <w:rsid w:val="005147D1"/>
    <w:rsid w:val="00515082"/>
    <w:rsid w:val="00516F90"/>
    <w:rsid w:val="00517CD4"/>
    <w:rsid w:val="0052046B"/>
    <w:rsid w:val="00520884"/>
    <w:rsid w:val="005222D4"/>
    <w:rsid w:val="005233D9"/>
    <w:rsid w:val="00523A0F"/>
    <w:rsid w:val="00523DBD"/>
    <w:rsid w:val="00524009"/>
    <w:rsid w:val="00525A07"/>
    <w:rsid w:val="00525C90"/>
    <w:rsid w:val="00530065"/>
    <w:rsid w:val="00530983"/>
    <w:rsid w:val="00530D48"/>
    <w:rsid w:val="00531B3F"/>
    <w:rsid w:val="0053457C"/>
    <w:rsid w:val="00535E21"/>
    <w:rsid w:val="00536C50"/>
    <w:rsid w:val="00536F56"/>
    <w:rsid w:val="00536FB9"/>
    <w:rsid w:val="0053778C"/>
    <w:rsid w:val="00541E52"/>
    <w:rsid w:val="00543D97"/>
    <w:rsid w:val="00544539"/>
    <w:rsid w:val="005457F1"/>
    <w:rsid w:val="00547A5E"/>
    <w:rsid w:val="00547B64"/>
    <w:rsid w:val="0055066E"/>
    <w:rsid w:val="00550851"/>
    <w:rsid w:val="00550A05"/>
    <w:rsid w:val="00550C62"/>
    <w:rsid w:val="005526DB"/>
    <w:rsid w:val="0055534B"/>
    <w:rsid w:val="00556D9D"/>
    <w:rsid w:val="005603F4"/>
    <w:rsid w:val="00560543"/>
    <w:rsid w:val="00561D94"/>
    <w:rsid w:val="005629A2"/>
    <w:rsid w:val="00564125"/>
    <w:rsid w:val="00565EC7"/>
    <w:rsid w:val="0057035A"/>
    <w:rsid w:val="005705B7"/>
    <w:rsid w:val="00570A4F"/>
    <w:rsid w:val="00570B3F"/>
    <w:rsid w:val="00573333"/>
    <w:rsid w:val="005739BB"/>
    <w:rsid w:val="00580629"/>
    <w:rsid w:val="005815BE"/>
    <w:rsid w:val="0058257F"/>
    <w:rsid w:val="0058296B"/>
    <w:rsid w:val="0058361A"/>
    <w:rsid w:val="00586ABD"/>
    <w:rsid w:val="0059077C"/>
    <w:rsid w:val="005911F2"/>
    <w:rsid w:val="00594B37"/>
    <w:rsid w:val="00595F95"/>
    <w:rsid w:val="00597984"/>
    <w:rsid w:val="005A029F"/>
    <w:rsid w:val="005A0AE4"/>
    <w:rsid w:val="005A1A27"/>
    <w:rsid w:val="005A2E86"/>
    <w:rsid w:val="005A4AB8"/>
    <w:rsid w:val="005A584A"/>
    <w:rsid w:val="005A588D"/>
    <w:rsid w:val="005A5B31"/>
    <w:rsid w:val="005A6AFD"/>
    <w:rsid w:val="005A78C7"/>
    <w:rsid w:val="005B0A36"/>
    <w:rsid w:val="005B1123"/>
    <w:rsid w:val="005B1625"/>
    <w:rsid w:val="005B1658"/>
    <w:rsid w:val="005B3818"/>
    <w:rsid w:val="005B4AAF"/>
    <w:rsid w:val="005B4F15"/>
    <w:rsid w:val="005B5EC9"/>
    <w:rsid w:val="005B6B40"/>
    <w:rsid w:val="005B7140"/>
    <w:rsid w:val="005B7F7D"/>
    <w:rsid w:val="005C0884"/>
    <w:rsid w:val="005C1CAE"/>
    <w:rsid w:val="005C3DC1"/>
    <w:rsid w:val="005C5033"/>
    <w:rsid w:val="005C560B"/>
    <w:rsid w:val="005C6018"/>
    <w:rsid w:val="005C6564"/>
    <w:rsid w:val="005C6AC4"/>
    <w:rsid w:val="005D4B52"/>
    <w:rsid w:val="005D6E9F"/>
    <w:rsid w:val="005D6EB3"/>
    <w:rsid w:val="005E1BB2"/>
    <w:rsid w:val="005E2335"/>
    <w:rsid w:val="005E270C"/>
    <w:rsid w:val="005E3115"/>
    <w:rsid w:val="005E38FF"/>
    <w:rsid w:val="005E51B2"/>
    <w:rsid w:val="005E5B92"/>
    <w:rsid w:val="005F0EB7"/>
    <w:rsid w:val="005F3B62"/>
    <w:rsid w:val="005F6AAC"/>
    <w:rsid w:val="005F7203"/>
    <w:rsid w:val="005F748D"/>
    <w:rsid w:val="00600893"/>
    <w:rsid w:val="00600D09"/>
    <w:rsid w:val="00601DD1"/>
    <w:rsid w:val="00602632"/>
    <w:rsid w:val="006038BD"/>
    <w:rsid w:val="006047A3"/>
    <w:rsid w:val="00604FB6"/>
    <w:rsid w:val="00606443"/>
    <w:rsid w:val="006074B2"/>
    <w:rsid w:val="00611D7F"/>
    <w:rsid w:val="00613B39"/>
    <w:rsid w:val="0061766A"/>
    <w:rsid w:val="00617885"/>
    <w:rsid w:val="006231CB"/>
    <w:rsid w:val="0062383B"/>
    <w:rsid w:val="00623F38"/>
    <w:rsid w:val="006240CC"/>
    <w:rsid w:val="00625D65"/>
    <w:rsid w:val="00632266"/>
    <w:rsid w:val="00634765"/>
    <w:rsid w:val="00635CCB"/>
    <w:rsid w:val="00637F7C"/>
    <w:rsid w:val="00640025"/>
    <w:rsid w:val="00640350"/>
    <w:rsid w:val="006411CD"/>
    <w:rsid w:val="00641599"/>
    <w:rsid w:val="00641DA4"/>
    <w:rsid w:val="00642E19"/>
    <w:rsid w:val="006436E6"/>
    <w:rsid w:val="00643805"/>
    <w:rsid w:val="0064423E"/>
    <w:rsid w:val="006457D2"/>
    <w:rsid w:val="006458ED"/>
    <w:rsid w:val="00647DBF"/>
    <w:rsid w:val="00652F16"/>
    <w:rsid w:val="0065502C"/>
    <w:rsid w:val="0065521B"/>
    <w:rsid w:val="00656195"/>
    <w:rsid w:val="00656196"/>
    <w:rsid w:val="00656A6B"/>
    <w:rsid w:val="006571AD"/>
    <w:rsid w:val="0065761B"/>
    <w:rsid w:val="0065783B"/>
    <w:rsid w:val="00661598"/>
    <w:rsid w:val="00662618"/>
    <w:rsid w:val="00663B4B"/>
    <w:rsid w:val="00663DF6"/>
    <w:rsid w:val="0066575E"/>
    <w:rsid w:val="006665FD"/>
    <w:rsid w:val="00670021"/>
    <w:rsid w:val="006722BC"/>
    <w:rsid w:val="0067311C"/>
    <w:rsid w:val="00674102"/>
    <w:rsid w:val="006743E3"/>
    <w:rsid w:val="00674D05"/>
    <w:rsid w:val="00676828"/>
    <w:rsid w:val="00676BF1"/>
    <w:rsid w:val="006772BD"/>
    <w:rsid w:val="00677932"/>
    <w:rsid w:val="00680B8B"/>
    <w:rsid w:val="00682226"/>
    <w:rsid w:val="006825B7"/>
    <w:rsid w:val="00684BE9"/>
    <w:rsid w:val="00686472"/>
    <w:rsid w:val="00690A72"/>
    <w:rsid w:val="0069161E"/>
    <w:rsid w:val="00694B48"/>
    <w:rsid w:val="00695397"/>
    <w:rsid w:val="006A011B"/>
    <w:rsid w:val="006A1660"/>
    <w:rsid w:val="006A1CA2"/>
    <w:rsid w:val="006A2351"/>
    <w:rsid w:val="006A3923"/>
    <w:rsid w:val="006B08A5"/>
    <w:rsid w:val="006B3590"/>
    <w:rsid w:val="006B4B11"/>
    <w:rsid w:val="006B4F7C"/>
    <w:rsid w:val="006B5AA6"/>
    <w:rsid w:val="006B642C"/>
    <w:rsid w:val="006C4F1B"/>
    <w:rsid w:val="006C4F77"/>
    <w:rsid w:val="006C6BB8"/>
    <w:rsid w:val="006C72E3"/>
    <w:rsid w:val="006D037D"/>
    <w:rsid w:val="006D0D12"/>
    <w:rsid w:val="006D2214"/>
    <w:rsid w:val="006D3AE5"/>
    <w:rsid w:val="006D4DE8"/>
    <w:rsid w:val="006E1764"/>
    <w:rsid w:val="006E1BD4"/>
    <w:rsid w:val="006E2B7C"/>
    <w:rsid w:val="006E531C"/>
    <w:rsid w:val="006E688E"/>
    <w:rsid w:val="006E6BF7"/>
    <w:rsid w:val="006F0A8C"/>
    <w:rsid w:val="006F0F02"/>
    <w:rsid w:val="006F193C"/>
    <w:rsid w:val="006F2613"/>
    <w:rsid w:val="006F4346"/>
    <w:rsid w:val="006F50FA"/>
    <w:rsid w:val="00700C5F"/>
    <w:rsid w:val="007024E4"/>
    <w:rsid w:val="007047F9"/>
    <w:rsid w:val="007071C6"/>
    <w:rsid w:val="0071250D"/>
    <w:rsid w:val="00714C7E"/>
    <w:rsid w:val="00715243"/>
    <w:rsid w:val="0071575B"/>
    <w:rsid w:val="00717468"/>
    <w:rsid w:val="00720478"/>
    <w:rsid w:val="007229EB"/>
    <w:rsid w:val="0072337A"/>
    <w:rsid w:val="00723E19"/>
    <w:rsid w:val="00723F5E"/>
    <w:rsid w:val="00724480"/>
    <w:rsid w:val="00725CA6"/>
    <w:rsid w:val="0072664C"/>
    <w:rsid w:val="00726961"/>
    <w:rsid w:val="00726CDE"/>
    <w:rsid w:val="00727360"/>
    <w:rsid w:val="00730483"/>
    <w:rsid w:val="007304BB"/>
    <w:rsid w:val="0073124E"/>
    <w:rsid w:val="00731892"/>
    <w:rsid w:val="00731F89"/>
    <w:rsid w:val="00732D96"/>
    <w:rsid w:val="00733DDA"/>
    <w:rsid w:val="007349F3"/>
    <w:rsid w:val="00734D01"/>
    <w:rsid w:val="00735422"/>
    <w:rsid w:val="00735804"/>
    <w:rsid w:val="00735860"/>
    <w:rsid w:val="0073707D"/>
    <w:rsid w:val="00737E39"/>
    <w:rsid w:val="00737FFA"/>
    <w:rsid w:val="00740E89"/>
    <w:rsid w:val="00740FF4"/>
    <w:rsid w:val="00741601"/>
    <w:rsid w:val="007435A8"/>
    <w:rsid w:val="00743B0D"/>
    <w:rsid w:val="00744E76"/>
    <w:rsid w:val="00744F2A"/>
    <w:rsid w:val="007458AA"/>
    <w:rsid w:val="00747643"/>
    <w:rsid w:val="00751EBD"/>
    <w:rsid w:val="00752975"/>
    <w:rsid w:val="00753CE9"/>
    <w:rsid w:val="007545C8"/>
    <w:rsid w:val="0075487A"/>
    <w:rsid w:val="00754EE4"/>
    <w:rsid w:val="00755750"/>
    <w:rsid w:val="007568B5"/>
    <w:rsid w:val="00756C72"/>
    <w:rsid w:val="00760554"/>
    <w:rsid w:val="00760F3E"/>
    <w:rsid w:val="00761F12"/>
    <w:rsid w:val="0076206E"/>
    <w:rsid w:val="00763FF1"/>
    <w:rsid w:val="00764099"/>
    <w:rsid w:val="00764E8A"/>
    <w:rsid w:val="00764F69"/>
    <w:rsid w:val="00765CD0"/>
    <w:rsid w:val="00766170"/>
    <w:rsid w:val="0076683F"/>
    <w:rsid w:val="00766A90"/>
    <w:rsid w:val="00767C1F"/>
    <w:rsid w:val="0077133C"/>
    <w:rsid w:val="00771B7B"/>
    <w:rsid w:val="00774A0B"/>
    <w:rsid w:val="007755D7"/>
    <w:rsid w:val="00776818"/>
    <w:rsid w:val="007806CA"/>
    <w:rsid w:val="00780A71"/>
    <w:rsid w:val="00783ACD"/>
    <w:rsid w:val="00786407"/>
    <w:rsid w:val="00786ED8"/>
    <w:rsid w:val="007901A6"/>
    <w:rsid w:val="00790CCE"/>
    <w:rsid w:val="00792DE2"/>
    <w:rsid w:val="00794255"/>
    <w:rsid w:val="00795434"/>
    <w:rsid w:val="00795F32"/>
    <w:rsid w:val="007965BB"/>
    <w:rsid w:val="007969F1"/>
    <w:rsid w:val="007975AA"/>
    <w:rsid w:val="007A0BD3"/>
    <w:rsid w:val="007A1BD3"/>
    <w:rsid w:val="007A2AEC"/>
    <w:rsid w:val="007A36D3"/>
    <w:rsid w:val="007A3CAF"/>
    <w:rsid w:val="007A45D6"/>
    <w:rsid w:val="007A6A8F"/>
    <w:rsid w:val="007A7576"/>
    <w:rsid w:val="007B0516"/>
    <w:rsid w:val="007B0749"/>
    <w:rsid w:val="007B0C17"/>
    <w:rsid w:val="007B1C83"/>
    <w:rsid w:val="007B4AE4"/>
    <w:rsid w:val="007B4C0D"/>
    <w:rsid w:val="007B7D9C"/>
    <w:rsid w:val="007C180C"/>
    <w:rsid w:val="007C2382"/>
    <w:rsid w:val="007C3BE8"/>
    <w:rsid w:val="007C6063"/>
    <w:rsid w:val="007D02DA"/>
    <w:rsid w:val="007D0B48"/>
    <w:rsid w:val="007D1417"/>
    <w:rsid w:val="007D1744"/>
    <w:rsid w:val="007D255A"/>
    <w:rsid w:val="007D25C3"/>
    <w:rsid w:val="007D39BC"/>
    <w:rsid w:val="007D526B"/>
    <w:rsid w:val="007D5E5A"/>
    <w:rsid w:val="007E170A"/>
    <w:rsid w:val="007E1DDD"/>
    <w:rsid w:val="007E22F9"/>
    <w:rsid w:val="007E333B"/>
    <w:rsid w:val="007E39F8"/>
    <w:rsid w:val="007E4A63"/>
    <w:rsid w:val="007E66B4"/>
    <w:rsid w:val="007E76A0"/>
    <w:rsid w:val="007E7FD5"/>
    <w:rsid w:val="007F004D"/>
    <w:rsid w:val="007F0104"/>
    <w:rsid w:val="007F1894"/>
    <w:rsid w:val="007F2A7B"/>
    <w:rsid w:val="007F3D3D"/>
    <w:rsid w:val="007F41B5"/>
    <w:rsid w:val="007F4C8D"/>
    <w:rsid w:val="007F58E6"/>
    <w:rsid w:val="007F7D6A"/>
    <w:rsid w:val="0080019E"/>
    <w:rsid w:val="00801029"/>
    <w:rsid w:val="00802B53"/>
    <w:rsid w:val="0080636B"/>
    <w:rsid w:val="008066AE"/>
    <w:rsid w:val="00806A2F"/>
    <w:rsid w:val="0081059E"/>
    <w:rsid w:val="00810713"/>
    <w:rsid w:val="00810933"/>
    <w:rsid w:val="00810D97"/>
    <w:rsid w:val="0081535B"/>
    <w:rsid w:val="00815582"/>
    <w:rsid w:val="00815EB0"/>
    <w:rsid w:val="00816A88"/>
    <w:rsid w:val="00820C51"/>
    <w:rsid w:val="00822E93"/>
    <w:rsid w:val="0082341B"/>
    <w:rsid w:val="00823BE5"/>
    <w:rsid w:val="00825BFE"/>
    <w:rsid w:val="0082768C"/>
    <w:rsid w:val="008303A0"/>
    <w:rsid w:val="00830B71"/>
    <w:rsid w:val="00834045"/>
    <w:rsid w:val="00834C99"/>
    <w:rsid w:val="00836330"/>
    <w:rsid w:val="00836F73"/>
    <w:rsid w:val="0083764E"/>
    <w:rsid w:val="008432D0"/>
    <w:rsid w:val="0084428A"/>
    <w:rsid w:val="00845787"/>
    <w:rsid w:val="00845C44"/>
    <w:rsid w:val="008471BD"/>
    <w:rsid w:val="0084782A"/>
    <w:rsid w:val="00850C7B"/>
    <w:rsid w:val="008513CC"/>
    <w:rsid w:val="008514A3"/>
    <w:rsid w:val="00852D7E"/>
    <w:rsid w:val="00853AFF"/>
    <w:rsid w:val="008565E3"/>
    <w:rsid w:val="00856B4E"/>
    <w:rsid w:val="00857E44"/>
    <w:rsid w:val="0086077D"/>
    <w:rsid w:val="008607CE"/>
    <w:rsid w:val="0086249A"/>
    <w:rsid w:val="008627E4"/>
    <w:rsid w:val="00864FC5"/>
    <w:rsid w:val="00865415"/>
    <w:rsid w:val="00866710"/>
    <w:rsid w:val="0087030D"/>
    <w:rsid w:val="00870B19"/>
    <w:rsid w:val="0087675D"/>
    <w:rsid w:val="00877837"/>
    <w:rsid w:val="008826F1"/>
    <w:rsid w:val="008834CC"/>
    <w:rsid w:val="00883C8E"/>
    <w:rsid w:val="00884497"/>
    <w:rsid w:val="008854F8"/>
    <w:rsid w:val="00886F2A"/>
    <w:rsid w:val="00891D24"/>
    <w:rsid w:val="00893A6E"/>
    <w:rsid w:val="00894D2A"/>
    <w:rsid w:val="008966E8"/>
    <w:rsid w:val="008A0DBE"/>
    <w:rsid w:val="008A2967"/>
    <w:rsid w:val="008A30DB"/>
    <w:rsid w:val="008A3C45"/>
    <w:rsid w:val="008A4CEE"/>
    <w:rsid w:val="008A5569"/>
    <w:rsid w:val="008A7F3B"/>
    <w:rsid w:val="008B0BEB"/>
    <w:rsid w:val="008B105E"/>
    <w:rsid w:val="008B3EC9"/>
    <w:rsid w:val="008B40D9"/>
    <w:rsid w:val="008B4141"/>
    <w:rsid w:val="008B4A93"/>
    <w:rsid w:val="008C313E"/>
    <w:rsid w:val="008C3692"/>
    <w:rsid w:val="008C706F"/>
    <w:rsid w:val="008C77C8"/>
    <w:rsid w:val="008D0517"/>
    <w:rsid w:val="008D241D"/>
    <w:rsid w:val="008D27F0"/>
    <w:rsid w:val="008D42DA"/>
    <w:rsid w:val="008D4330"/>
    <w:rsid w:val="008D7741"/>
    <w:rsid w:val="008D7B2A"/>
    <w:rsid w:val="008D7BAA"/>
    <w:rsid w:val="008E1DF0"/>
    <w:rsid w:val="008E30B1"/>
    <w:rsid w:val="008E4592"/>
    <w:rsid w:val="008E4FB9"/>
    <w:rsid w:val="008F0F84"/>
    <w:rsid w:val="008F10AF"/>
    <w:rsid w:val="008F3305"/>
    <w:rsid w:val="008F38EB"/>
    <w:rsid w:val="008F468C"/>
    <w:rsid w:val="008F6533"/>
    <w:rsid w:val="00901016"/>
    <w:rsid w:val="00901CB0"/>
    <w:rsid w:val="00901D02"/>
    <w:rsid w:val="00902070"/>
    <w:rsid w:val="00902464"/>
    <w:rsid w:val="009027CD"/>
    <w:rsid w:val="00902F2E"/>
    <w:rsid w:val="00904206"/>
    <w:rsid w:val="00904AB7"/>
    <w:rsid w:val="00906DFB"/>
    <w:rsid w:val="00910194"/>
    <w:rsid w:val="00913814"/>
    <w:rsid w:val="00914650"/>
    <w:rsid w:val="00915BF6"/>
    <w:rsid w:val="00915C5C"/>
    <w:rsid w:val="00916E15"/>
    <w:rsid w:val="00917800"/>
    <w:rsid w:val="009229E8"/>
    <w:rsid w:val="009258ED"/>
    <w:rsid w:val="009300DD"/>
    <w:rsid w:val="0093140F"/>
    <w:rsid w:val="00932326"/>
    <w:rsid w:val="00932374"/>
    <w:rsid w:val="009344DC"/>
    <w:rsid w:val="00935D00"/>
    <w:rsid w:val="00936A63"/>
    <w:rsid w:val="009417B4"/>
    <w:rsid w:val="00941D6B"/>
    <w:rsid w:val="00943BBF"/>
    <w:rsid w:val="00946936"/>
    <w:rsid w:val="00946D16"/>
    <w:rsid w:val="00950C1A"/>
    <w:rsid w:val="00955114"/>
    <w:rsid w:val="00956E31"/>
    <w:rsid w:val="00957AD0"/>
    <w:rsid w:val="00960B23"/>
    <w:rsid w:val="00961B09"/>
    <w:rsid w:val="00962645"/>
    <w:rsid w:val="00963EAF"/>
    <w:rsid w:val="00964A91"/>
    <w:rsid w:val="00964E60"/>
    <w:rsid w:val="009651BC"/>
    <w:rsid w:val="0096607D"/>
    <w:rsid w:val="00967418"/>
    <w:rsid w:val="0097058B"/>
    <w:rsid w:val="00971411"/>
    <w:rsid w:val="0097161A"/>
    <w:rsid w:val="00972173"/>
    <w:rsid w:val="00972594"/>
    <w:rsid w:val="00972B70"/>
    <w:rsid w:val="009730DB"/>
    <w:rsid w:val="00975CA9"/>
    <w:rsid w:val="009765B9"/>
    <w:rsid w:val="00977E88"/>
    <w:rsid w:val="00980794"/>
    <w:rsid w:val="009843C4"/>
    <w:rsid w:val="00986434"/>
    <w:rsid w:val="00986565"/>
    <w:rsid w:val="00986764"/>
    <w:rsid w:val="00987695"/>
    <w:rsid w:val="00987DDE"/>
    <w:rsid w:val="00987EC7"/>
    <w:rsid w:val="00990142"/>
    <w:rsid w:val="00990DEF"/>
    <w:rsid w:val="00991B4F"/>
    <w:rsid w:val="00992714"/>
    <w:rsid w:val="00992BDE"/>
    <w:rsid w:val="009932DB"/>
    <w:rsid w:val="00995498"/>
    <w:rsid w:val="00995C15"/>
    <w:rsid w:val="0099790B"/>
    <w:rsid w:val="009A103B"/>
    <w:rsid w:val="009A3EA6"/>
    <w:rsid w:val="009A5D22"/>
    <w:rsid w:val="009A5FA0"/>
    <w:rsid w:val="009A7CD2"/>
    <w:rsid w:val="009B0579"/>
    <w:rsid w:val="009B11BF"/>
    <w:rsid w:val="009B3D01"/>
    <w:rsid w:val="009B3F88"/>
    <w:rsid w:val="009B3FFF"/>
    <w:rsid w:val="009B76DC"/>
    <w:rsid w:val="009B7F15"/>
    <w:rsid w:val="009C1975"/>
    <w:rsid w:val="009C1B32"/>
    <w:rsid w:val="009C1D77"/>
    <w:rsid w:val="009C225A"/>
    <w:rsid w:val="009C2C89"/>
    <w:rsid w:val="009C350E"/>
    <w:rsid w:val="009C38E5"/>
    <w:rsid w:val="009C437D"/>
    <w:rsid w:val="009C5065"/>
    <w:rsid w:val="009C6DB9"/>
    <w:rsid w:val="009D0281"/>
    <w:rsid w:val="009D02C5"/>
    <w:rsid w:val="009D0605"/>
    <w:rsid w:val="009D1E90"/>
    <w:rsid w:val="009D2B0D"/>
    <w:rsid w:val="009D41BC"/>
    <w:rsid w:val="009E0EFB"/>
    <w:rsid w:val="009E1E98"/>
    <w:rsid w:val="009E32A3"/>
    <w:rsid w:val="009E6B61"/>
    <w:rsid w:val="009F0181"/>
    <w:rsid w:val="009F1C0C"/>
    <w:rsid w:val="009F213D"/>
    <w:rsid w:val="009F6797"/>
    <w:rsid w:val="009F7DDB"/>
    <w:rsid w:val="00A0140E"/>
    <w:rsid w:val="00A03872"/>
    <w:rsid w:val="00A0495A"/>
    <w:rsid w:val="00A075C0"/>
    <w:rsid w:val="00A10E99"/>
    <w:rsid w:val="00A12A61"/>
    <w:rsid w:val="00A2069B"/>
    <w:rsid w:val="00A23986"/>
    <w:rsid w:val="00A239B2"/>
    <w:rsid w:val="00A23F46"/>
    <w:rsid w:val="00A3166B"/>
    <w:rsid w:val="00A31FA1"/>
    <w:rsid w:val="00A32541"/>
    <w:rsid w:val="00A35FB7"/>
    <w:rsid w:val="00A36AE0"/>
    <w:rsid w:val="00A37B92"/>
    <w:rsid w:val="00A40BE5"/>
    <w:rsid w:val="00A43096"/>
    <w:rsid w:val="00A4338A"/>
    <w:rsid w:val="00A43432"/>
    <w:rsid w:val="00A44161"/>
    <w:rsid w:val="00A44926"/>
    <w:rsid w:val="00A45CB5"/>
    <w:rsid w:val="00A462E8"/>
    <w:rsid w:val="00A470A1"/>
    <w:rsid w:val="00A47732"/>
    <w:rsid w:val="00A50F05"/>
    <w:rsid w:val="00A53116"/>
    <w:rsid w:val="00A5370C"/>
    <w:rsid w:val="00A618E7"/>
    <w:rsid w:val="00A62669"/>
    <w:rsid w:val="00A62E87"/>
    <w:rsid w:val="00A630A9"/>
    <w:rsid w:val="00A6425B"/>
    <w:rsid w:val="00A64C71"/>
    <w:rsid w:val="00A65234"/>
    <w:rsid w:val="00A65C0F"/>
    <w:rsid w:val="00A67BBE"/>
    <w:rsid w:val="00A711BC"/>
    <w:rsid w:val="00A721B6"/>
    <w:rsid w:val="00A727EC"/>
    <w:rsid w:val="00A7528F"/>
    <w:rsid w:val="00A753A2"/>
    <w:rsid w:val="00A7583D"/>
    <w:rsid w:val="00A75A46"/>
    <w:rsid w:val="00A76BF7"/>
    <w:rsid w:val="00A76F7F"/>
    <w:rsid w:val="00A77028"/>
    <w:rsid w:val="00A771CC"/>
    <w:rsid w:val="00A82086"/>
    <w:rsid w:val="00A835B7"/>
    <w:rsid w:val="00A83B4E"/>
    <w:rsid w:val="00A84949"/>
    <w:rsid w:val="00A84E38"/>
    <w:rsid w:val="00A851E3"/>
    <w:rsid w:val="00A85A03"/>
    <w:rsid w:val="00A85C79"/>
    <w:rsid w:val="00A86CF2"/>
    <w:rsid w:val="00A86EA1"/>
    <w:rsid w:val="00A87D6D"/>
    <w:rsid w:val="00A90097"/>
    <w:rsid w:val="00A9030B"/>
    <w:rsid w:val="00A91076"/>
    <w:rsid w:val="00A921AE"/>
    <w:rsid w:val="00A92F18"/>
    <w:rsid w:val="00A94911"/>
    <w:rsid w:val="00A97143"/>
    <w:rsid w:val="00AA0FA7"/>
    <w:rsid w:val="00AA200B"/>
    <w:rsid w:val="00AA2683"/>
    <w:rsid w:val="00AA27F2"/>
    <w:rsid w:val="00AA2B88"/>
    <w:rsid w:val="00AA4C01"/>
    <w:rsid w:val="00AA779E"/>
    <w:rsid w:val="00AA7C92"/>
    <w:rsid w:val="00AB0940"/>
    <w:rsid w:val="00AB098D"/>
    <w:rsid w:val="00AB0C33"/>
    <w:rsid w:val="00AB491F"/>
    <w:rsid w:val="00AB5033"/>
    <w:rsid w:val="00AB7307"/>
    <w:rsid w:val="00AC114E"/>
    <w:rsid w:val="00AC1240"/>
    <w:rsid w:val="00AC1688"/>
    <w:rsid w:val="00AC2ADB"/>
    <w:rsid w:val="00AC5216"/>
    <w:rsid w:val="00AC5267"/>
    <w:rsid w:val="00AC5DC8"/>
    <w:rsid w:val="00AC64BD"/>
    <w:rsid w:val="00AD1272"/>
    <w:rsid w:val="00AD316A"/>
    <w:rsid w:val="00AD36AE"/>
    <w:rsid w:val="00AD381E"/>
    <w:rsid w:val="00AD3D85"/>
    <w:rsid w:val="00AD495A"/>
    <w:rsid w:val="00AD73DB"/>
    <w:rsid w:val="00AE12E6"/>
    <w:rsid w:val="00AE24F1"/>
    <w:rsid w:val="00AE38F3"/>
    <w:rsid w:val="00AE7B2C"/>
    <w:rsid w:val="00AF090D"/>
    <w:rsid w:val="00AF0A27"/>
    <w:rsid w:val="00AF1459"/>
    <w:rsid w:val="00AF27E1"/>
    <w:rsid w:val="00AF35B8"/>
    <w:rsid w:val="00AF3627"/>
    <w:rsid w:val="00AF3EB5"/>
    <w:rsid w:val="00AF44E2"/>
    <w:rsid w:val="00AF610D"/>
    <w:rsid w:val="00AF626D"/>
    <w:rsid w:val="00AF79F0"/>
    <w:rsid w:val="00AF7D96"/>
    <w:rsid w:val="00B0030B"/>
    <w:rsid w:val="00B00564"/>
    <w:rsid w:val="00B01003"/>
    <w:rsid w:val="00B01D1F"/>
    <w:rsid w:val="00B02CC2"/>
    <w:rsid w:val="00B04B7D"/>
    <w:rsid w:val="00B06EA4"/>
    <w:rsid w:val="00B07CD1"/>
    <w:rsid w:val="00B11953"/>
    <w:rsid w:val="00B12712"/>
    <w:rsid w:val="00B1342D"/>
    <w:rsid w:val="00B15D35"/>
    <w:rsid w:val="00B2027B"/>
    <w:rsid w:val="00B216EE"/>
    <w:rsid w:val="00B22EA3"/>
    <w:rsid w:val="00B2317D"/>
    <w:rsid w:val="00B23E17"/>
    <w:rsid w:val="00B24810"/>
    <w:rsid w:val="00B25961"/>
    <w:rsid w:val="00B261D5"/>
    <w:rsid w:val="00B2654C"/>
    <w:rsid w:val="00B32547"/>
    <w:rsid w:val="00B35F3C"/>
    <w:rsid w:val="00B404DC"/>
    <w:rsid w:val="00B40B7A"/>
    <w:rsid w:val="00B41467"/>
    <w:rsid w:val="00B43692"/>
    <w:rsid w:val="00B44EC8"/>
    <w:rsid w:val="00B45721"/>
    <w:rsid w:val="00B46032"/>
    <w:rsid w:val="00B46302"/>
    <w:rsid w:val="00B47965"/>
    <w:rsid w:val="00B54B26"/>
    <w:rsid w:val="00B55886"/>
    <w:rsid w:val="00B55B03"/>
    <w:rsid w:val="00B5688C"/>
    <w:rsid w:val="00B605C3"/>
    <w:rsid w:val="00B60941"/>
    <w:rsid w:val="00B61219"/>
    <w:rsid w:val="00B614C1"/>
    <w:rsid w:val="00B6240D"/>
    <w:rsid w:val="00B65E9D"/>
    <w:rsid w:val="00B66F99"/>
    <w:rsid w:val="00B70CD3"/>
    <w:rsid w:val="00B70FA1"/>
    <w:rsid w:val="00B72426"/>
    <w:rsid w:val="00B72720"/>
    <w:rsid w:val="00B734EA"/>
    <w:rsid w:val="00B74AB5"/>
    <w:rsid w:val="00B75C2B"/>
    <w:rsid w:val="00B7609C"/>
    <w:rsid w:val="00B767C7"/>
    <w:rsid w:val="00B76AC9"/>
    <w:rsid w:val="00B80100"/>
    <w:rsid w:val="00B849F2"/>
    <w:rsid w:val="00B85302"/>
    <w:rsid w:val="00B90D81"/>
    <w:rsid w:val="00B91CBE"/>
    <w:rsid w:val="00B95247"/>
    <w:rsid w:val="00B958A6"/>
    <w:rsid w:val="00BA051A"/>
    <w:rsid w:val="00BA06E5"/>
    <w:rsid w:val="00BA1BF7"/>
    <w:rsid w:val="00BA3D41"/>
    <w:rsid w:val="00BA484A"/>
    <w:rsid w:val="00BA5755"/>
    <w:rsid w:val="00BA582A"/>
    <w:rsid w:val="00BA5AFB"/>
    <w:rsid w:val="00BB0891"/>
    <w:rsid w:val="00BB1802"/>
    <w:rsid w:val="00BB298C"/>
    <w:rsid w:val="00BB2BB2"/>
    <w:rsid w:val="00BB2FBF"/>
    <w:rsid w:val="00BB3D8B"/>
    <w:rsid w:val="00BB6899"/>
    <w:rsid w:val="00BB7ACD"/>
    <w:rsid w:val="00BC05DC"/>
    <w:rsid w:val="00BC0D8E"/>
    <w:rsid w:val="00BC49E7"/>
    <w:rsid w:val="00BC5577"/>
    <w:rsid w:val="00BD3241"/>
    <w:rsid w:val="00BD708B"/>
    <w:rsid w:val="00BD7994"/>
    <w:rsid w:val="00BE0253"/>
    <w:rsid w:val="00BE0BC3"/>
    <w:rsid w:val="00BE106B"/>
    <w:rsid w:val="00BE20B0"/>
    <w:rsid w:val="00BE2535"/>
    <w:rsid w:val="00BE3C74"/>
    <w:rsid w:val="00BE3E1E"/>
    <w:rsid w:val="00BE454E"/>
    <w:rsid w:val="00BE500F"/>
    <w:rsid w:val="00BE7CCF"/>
    <w:rsid w:val="00BF0A7F"/>
    <w:rsid w:val="00BF125D"/>
    <w:rsid w:val="00BF2E8B"/>
    <w:rsid w:val="00BF3E3C"/>
    <w:rsid w:val="00BF40A5"/>
    <w:rsid w:val="00BF5F2E"/>
    <w:rsid w:val="00BF68A2"/>
    <w:rsid w:val="00C0203E"/>
    <w:rsid w:val="00C026E8"/>
    <w:rsid w:val="00C03222"/>
    <w:rsid w:val="00C04126"/>
    <w:rsid w:val="00C06AF4"/>
    <w:rsid w:val="00C10011"/>
    <w:rsid w:val="00C105C5"/>
    <w:rsid w:val="00C10E48"/>
    <w:rsid w:val="00C11682"/>
    <w:rsid w:val="00C122A7"/>
    <w:rsid w:val="00C14191"/>
    <w:rsid w:val="00C15E34"/>
    <w:rsid w:val="00C16E09"/>
    <w:rsid w:val="00C2055B"/>
    <w:rsid w:val="00C22092"/>
    <w:rsid w:val="00C22F65"/>
    <w:rsid w:val="00C2362E"/>
    <w:rsid w:val="00C23EC6"/>
    <w:rsid w:val="00C248F9"/>
    <w:rsid w:val="00C24B01"/>
    <w:rsid w:val="00C25272"/>
    <w:rsid w:val="00C261FD"/>
    <w:rsid w:val="00C26A7F"/>
    <w:rsid w:val="00C26B6D"/>
    <w:rsid w:val="00C30FC7"/>
    <w:rsid w:val="00C32140"/>
    <w:rsid w:val="00C32E04"/>
    <w:rsid w:val="00C33699"/>
    <w:rsid w:val="00C36A95"/>
    <w:rsid w:val="00C41181"/>
    <w:rsid w:val="00C4133A"/>
    <w:rsid w:val="00C42E8E"/>
    <w:rsid w:val="00C44C90"/>
    <w:rsid w:val="00C4509B"/>
    <w:rsid w:val="00C4592A"/>
    <w:rsid w:val="00C504C7"/>
    <w:rsid w:val="00C52674"/>
    <w:rsid w:val="00C550EC"/>
    <w:rsid w:val="00C55219"/>
    <w:rsid w:val="00C577D1"/>
    <w:rsid w:val="00C57DC5"/>
    <w:rsid w:val="00C610E6"/>
    <w:rsid w:val="00C616C8"/>
    <w:rsid w:val="00C61823"/>
    <w:rsid w:val="00C61865"/>
    <w:rsid w:val="00C61DD3"/>
    <w:rsid w:val="00C62741"/>
    <w:rsid w:val="00C63B81"/>
    <w:rsid w:val="00C63BAF"/>
    <w:rsid w:val="00C64542"/>
    <w:rsid w:val="00C67DCB"/>
    <w:rsid w:val="00C71269"/>
    <w:rsid w:val="00C721EF"/>
    <w:rsid w:val="00C72D24"/>
    <w:rsid w:val="00C73C5D"/>
    <w:rsid w:val="00C73DA6"/>
    <w:rsid w:val="00C74EBE"/>
    <w:rsid w:val="00C75169"/>
    <w:rsid w:val="00C807EA"/>
    <w:rsid w:val="00C82357"/>
    <w:rsid w:val="00C83018"/>
    <w:rsid w:val="00C855DD"/>
    <w:rsid w:val="00C8691B"/>
    <w:rsid w:val="00C90BF3"/>
    <w:rsid w:val="00C90FF9"/>
    <w:rsid w:val="00C9202C"/>
    <w:rsid w:val="00C92EFD"/>
    <w:rsid w:val="00C93DF9"/>
    <w:rsid w:val="00C94818"/>
    <w:rsid w:val="00C94AE4"/>
    <w:rsid w:val="00C976DE"/>
    <w:rsid w:val="00CA1D51"/>
    <w:rsid w:val="00CA4458"/>
    <w:rsid w:val="00CA5596"/>
    <w:rsid w:val="00CA5B4B"/>
    <w:rsid w:val="00CA62F6"/>
    <w:rsid w:val="00CA6A5F"/>
    <w:rsid w:val="00CB0057"/>
    <w:rsid w:val="00CB16DB"/>
    <w:rsid w:val="00CB20AD"/>
    <w:rsid w:val="00CB2233"/>
    <w:rsid w:val="00CB3406"/>
    <w:rsid w:val="00CB3A07"/>
    <w:rsid w:val="00CB49BA"/>
    <w:rsid w:val="00CB79AA"/>
    <w:rsid w:val="00CC1E44"/>
    <w:rsid w:val="00CC329D"/>
    <w:rsid w:val="00CC3A31"/>
    <w:rsid w:val="00CC4935"/>
    <w:rsid w:val="00CC49AF"/>
    <w:rsid w:val="00CC5180"/>
    <w:rsid w:val="00CC57C8"/>
    <w:rsid w:val="00CD11E5"/>
    <w:rsid w:val="00CD13A6"/>
    <w:rsid w:val="00CD416C"/>
    <w:rsid w:val="00CD594F"/>
    <w:rsid w:val="00CD5954"/>
    <w:rsid w:val="00CD6ECA"/>
    <w:rsid w:val="00CD7AC0"/>
    <w:rsid w:val="00CE0E9F"/>
    <w:rsid w:val="00CE1019"/>
    <w:rsid w:val="00CE24DA"/>
    <w:rsid w:val="00CE36F5"/>
    <w:rsid w:val="00CE3CA3"/>
    <w:rsid w:val="00CE551E"/>
    <w:rsid w:val="00CE5EC2"/>
    <w:rsid w:val="00CE7CBA"/>
    <w:rsid w:val="00CF0FEE"/>
    <w:rsid w:val="00CF16FB"/>
    <w:rsid w:val="00CF32C8"/>
    <w:rsid w:val="00CF427F"/>
    <w:rsid w:val="00CF6D00"/>
    <w:rsid w:val="00CF7178"/>
    <w:rsid w:val="00CF758C"/>
    <w:rsid w:val="00CF763A"/>
    <w:rsid w:val="00CF795C"/>
    <w:rsid w:val="00CF7FE4"/>
    <w:rsid w:val="00D00456"/>
    <w:rsid w:val="00D008D0"/>
    <w:rsid w:val="00D01664"/>
    <w:rsid w:val="00D02AB6"/>
    <w:rsid w:val="00D02D46"/>
    <w:rsid w:val="00D077CC"/>
    <w:rsid w:val="00D100C7"/>
    <w:rsid w:val="00D12883"/>
    <w:rsid w:val="00D14C67"/>
    <w:rsid w:val="00D158ED"/>
    <w:rsid w:val="00D15D61"/>
    <w:rsid w:val="00D1704B"/>
    <w:rsid w:val="00D171D4"/>
    <w:rsid w:val="00D17654"/>
    <w:rsid w:val="00D17C13"/>
    <w:rsid w:val="00D2000F"/>
    <w:rsid w:val="00D25B5A"/>
    <w:rsid w:val="00D2709D"/>
    <w:rsid w:val="00D30089"/>
    <w:rsid w:val="00D30611"/>
    <w:rsid w:val="00D30812"/>
    <w:rsid w:val="00D31370"/>
    <w:rsid w:val="00D31768"/>
    <w:rsid w:val="00D33486"/>
    <w:rsid w:val="00D33701"/>
    <w:rsid w:val="00D35783"/>
    <w:rsid w:val="00D36AF1"/>
    <w:rsid w:val="00D374D1"/>
    <w:rsid w:val="00D37854"/>
    <w:rsid w:val="00D42B97"/>
    <w:rsid w:val="00D5338A"/>
    <w:rsid w:val="00D5428B"/>
    <w:rsid w:val="00D561D7"/>
    <w:rsid w:val="00D56987"/>
    <w:rsid w:val="00D57060"/>
    <w:rsid w:val="00D639F0"/>
    <w:rsid w:val="00D64174"/>
    <w:rsid w:val="00D6464B"/>
    <w:rsid w:val="00D64CD3"/>
    <w:rsid w:val="00D65B37"/>
    <w:rsid w:val="00D6646D"/>
    <w:rsid w:val="00D71105"/>
    <w:rsid w:val="00D71EF6"/>
    <w:rsid w:val="00D7240C"/>
    <w:rsid w:val="00D733E0"/>
    <w:rsid w:val="00D74C2C"/>
    <w:rsid w:val="00D750A0"/>
    <w:rsid w:val="00D752D3"/>
    <w:rsid w:val="00D755AC"/>
    <w:rsid w:val="00D76D9E"/>
    <w:rsid w:val="00D7753B"/>
    <w:rsid w:val="00D81C56"/>
    <w:rsid w:val="00D828C8"/>
    <w:rsid w:val="00D83737"/>
    <w:rsid w:val="00D838F6"/>
    <w:rsid w:val="00D8486D"/>
    <w:rsid w:val="00D86AF5"/>
    <w:rsid w:val="00D90F74"/>
    <w:rsid w:val="00D9109B"/>
    <w:rsid w:val="00D910C0"/>
    <w:rsid w:val="00D91696"/>
    <w:rsid w:val="00D945B1"/>
    <w:rsid w:val="00D95828"/>
    <w:rsid w:val="00D95CF2"/>
    <w:rsid w:val="00D96177"/>
    <w:rsid w:val="00D97515"/>
    <w:rsid w:val="00D978D4"/>
    <w:rsid w:val="00D97A81"/>
    <w:rsid w:val="00DA0034"/>
    <w:rsid w:val="00DA011B"/>
    <w:rsid w:val="00DA0B6F"/>
    <w:rsid w:val="00DA1C4D"/>
    <w:rsid w:val="00DA2464"/>
    <w:rsid w:val="00DA24D4"/>
    <w:rsid w:val="00DA2B8B"/>
    <w:rsid w:val="00DA2FF5"/>
    <w:rsid w:val="00DA300F"/>
    <w:rsid w:val="00DA45B1"/>
    <w:rsid w:val="00DB0DD1"/>
    <w:rsid w:val="00DB1E67"/>
    <w:rsid w:val="00DB1F6D"/>
    <w:rsid w:val="00DB2952"/>
    <w:rsid w:val="00DB2FC2"/>
    <w:rsid w:val="00DB31E8"/>
    <w:rsid w:val="00DB39EB"/>
    <w:rsid w:val="00DB3A0C"/>
    <w:rsid w:val="00DB426C"/>
    <w:rsid w:val="00DB5009"/>
    <w:rsid w:val="00DB7682"/>
    <w:rsid w:val="00DC071B"/>
    <w:rsid w:val="00DC0F3F"/>
    <w:rsid w:val="00DC1546"/>
    <w:rsid w:val="00DC1604"/>
    <w:rsid w:val="00DC1E5A"/>
    <w:rsid w:val="00DC1EBC"/>
    <w:rsid w:val="00DC2821"/>
    <w:rsid w:val="00DC31E1"/>
    <w:rsid w:val="00DC4F87"/>
    <w:rsid w:val="00DC5318"/>
    <w:rsid w:val="00DD101E"/>
    <w:rsid w:val="00DD2C95"/>
    <w:rsid w:val="00DD2D29"/>
    <w:rsid w:val="00DD3AD5"/>
    <w:rsid w:val="00DD4544"/>
    <w:rsid w:val="00DD46DA"/>
    <w:rsid w:val="00DD6850"/>
    <w:rsid w:val="00DD71A1"/>
    <w:rsid w:val="00DD72FA"/>
    <w:rsid w:val="00DD79F5"/>
    <w:rsid w:val="00DE3959"/>
    <w:rsid w:val="00DE3EC8"/>
    <w:rsid w:val="00DE5A13"/>
    <w:rsid w:val="00DE7C83"/>
    <w:rsid w:val="00DF103D"/>
    <w:rsid w:val="00DF37EB"/>
    <w:rsid w:val="00DF3C38"/>
    <w:rsid w:val="00DF4831"/>
    <w:rsid w:val="00E00D8E"/>
    <w:rsid w:val="00E021F0"/>
    <w:rsid w:val="00E0438F"/>
    <w:rsid w:val="00E04476"/>
    <w:rsid w:val="00E04AE6"/>
    <w:rsid w:val="00E07250"/>
    <w:rsid w:val="00E12D88"/>
    <w:rsid w:val="00E133D9"/>
    <w:rsid w:val="00E13E5A"/>
    <w:rsid w:val="00E15AF2"/>
    <w:rsid w:val="00E164A0"/>
    <w:rsid w:val="00E16731"/>
    <w:rsid w:val="00E16922"/>
    <w:rsid w:val="00E16954"/>
    <w:rsid w:val="00E219B8"/>
    <w:rsid w:val="00E2235F"/>
    <w:rsid w:val="00E23873"/>
    <w:rsid w:val="00E23F0E"/>
    <w:rsid w:val="00E26030"/>
    <w:rsid w:val="00E2670B"/>
    <w:rsid w:val="00E26BB2"/>
    <w:rsid w:val="00E3063F"/>
    <w:rsid w:val="00E30B7D"/>
    <w:rsid w:val="00E345B7"/>
    <w:rsid w:val="00E35BEF"/>
    <w:rsid w:val="00E35EC4"/>
    <w:rsid w:val="00E400C3"/>
    <w:rsid w:val="00E4274B"/>
    <w:rsid w:val="00E42E8F"/>
    <w:rsid w:val="00E42F12"/>
    <w:rsid w:val="00E431E0"/>
    <w:rsid w:val="00E4324C"/>
    <w:rsid w:val="00E45648"/>
    <w:rsid w:val="00E45CA0"/>
    <w:rsid w:val="00E45E5B"/>
    <w:rsid w:val="00E477FA"/>
    <w:rsid w:val="00E524A1"/>
    <w:rsid w:val="00E52625"/>
    <w:rsid w:val="00E52955"/>
    <w:rsid w:val="00E5598E"/>
    <w:rsid w:val="00E568E5"/>
    <w:rsid w:val="00E5691A"/>
    <w:rsid w:val="00E56F17"/>
    <w:rsid w:val="00E57B9E"/>
    <w:rsid w:val="00E60854"/>
    <w:rsid w:val="00E619D1"/>
    <w:rsid w:val="00E61F06"/>
    <w:rsid w:val="00E62E3C"/>
    <w:rsid w:val="00E630B1"/>
    <w:rsid w:val="00E6352E"/>
    <w:rsid w:val="00E65183"/>
    <w:rsid w:val="00E67C8B"/>
    <w:rsid w:val="00E701DC"/>
    <w:rsid w:val="00E70EE0"/>
    <w:rsid w:val="00E72716"/>
    <w:rsid w:val="00E72BF3"/>
    <w:rsid w:val="00E7324D"/>
    <w:rsid w:val="00E737D2"/>
    <w:rsid w:val="00E75414"/>
    <w:rsid w:val="00E761BD"/>
    <w:rsid w:val="00E77E88"/>
    <w:rsid w:val="00E814C3"/>
    <w:rsid w:val="00E82E2C"/>
    <w:rsid w:val="00E83612"/>
    <w:rsid w:val="00E84BE0"/>
    <w:rsid w:val="00E85661"/>
    <w:rsid w:val="00E85E5A"/>
    <w:rsid w:val="00E860F6"/>
    <w:rsid w:val="00E86722"/>
    <w:rsid w:val="00E869A6"/>
    <w:rsid w:val="00E87228"/>
    <w:rsid w:val="00E87A01"/>
    <w:rsid w:val="00E905EE"/>
    <w:rsid w:val="00E96829"/>
    <w:rsid w:val="00E97795"/>
    <w:rsid w:val="00E9784B"/>
    <w:rsid w:val="00EA1774"/>
    <w:rsid w:val="00EA1C39"/>
    <w:rsid w:val="00EA28BA"/>
    <w:rsid w:val="00EA2DF9"/>
    <w:rsid w:val="00EA5A40"/>
    <w:rsid w:val="00EA5C0A"/>
    <w:rsid w:val="00EB3D56"/>
    <w:rsid w:val="00EB6BB3"/>
    <w:rsid w:val="00EC07F7"/>
    <w:rsid w:val="00EC136C"/>
    <w:rsid w:val="00EC1E61"/>
    <w:rsid w:val="00EC26BF"/>
    <w:rsid w:val="00EC3B2C"/>
    <w:rsid w:val="00EC66D2"/>
    <w:rsid w:val="00EC67E9"/>
    <w:rsid w:val="00EC70BE"/>
    <w:rsid w:val="00ED0A3E"/>
    <w:rsid w:val="00ED3559"/>
    <w:rsid w:val="00ED3D36"/>
    <w:rsid w:val="00ED64C3"/>
    <w:rsid w:val="00ED6D83"/>
    <w:rsid w:val="00ED711A"/>
    <w:rsid w:val="00ED7514"/>
    <w:rsid w:val="00EE0509"/>
    <w:rsid w:val="00EE06C7"/>
    <w:rsid w:val="00EE1170"/>
    <w:rsid w:val="00EE148E"/>
    <w:rsid w:val="00EE1C1D"/>
    <w:rsid w:val="00EE203A"/>
    <w:rsid w:val="00EE4907"/>
    <w:rsid w:val="00EE56A8"/>
    <w:rsid w:val="00EF09D3"/>
    <w:rsid w:val="00EF0A05"/>
    <w:rsid w:val="00EF112E"/>
    <w:rsid w:val="00EF3F7F"/>
    <w:rsid w:val="00EF44C8"/>
    <w:rsid w:val="00EF4522"/>
    <w:rsid w:val="00EF4599"/>
    <w:rsid w:val="00EF51FA"/>
    <w:rsid w:val="00EF615C"/>
    <w:rsid w:val="00EF6EE4"/>
    <w:rsid w:val="00EF7B96"/>
    <w:rsid w:val="00F005D6"/>
    <w:rsid w:val="00F0069B"/>
    <w:rsid w:val="00F00BAB"/>
    <w:rsid w:val="00F016A0"/>
    <w:rsid w:val="00F01939"/>
    <w:rsid w:val="00F032FA"/>
    <w:rsid w:val="00F0453F"/>
    <w:rsid w:val="00F04BF6"/>
    <w:rsid w:val="00F06560"/>
    <w:rsid w:val="00F111F7"/>
    <w:rsid w:val="00F11AEB"/>
    <w:rsid w:val="00F135D3"/>
    <w:rsid w:val="00F13D9C"/>
    <w:rsid w:val="00F14871"/>
    <w:rsid w:val="00F15269"/>
    <w:rsid w:val="00F15B45"/>
    <w:rsid w:val="00F21A66"/>
    <w:rsid w:val="00F237BF"/>
    <w:rsid w:val="00F23AB7"/>
    <w:rsid w:val="00F262CA"/>
    <w:rsid w:val="00F269AB"/>
    <w:rsid w:val="00F27877"/>
    <w:rsid w:val="00F3048F"/>
    <w:rsid w:val="00F3064E"/>
    <w:rsid w:val="00F30C06"/>
    <w:rsid w:val="00F31BE8"/>
    <w:rsid w:val="00F36B4E"/>
    <w:rsid w:val="00F417A3"/>
    <w:rsid w:val="00F43DB9"/>
    <w:rsid w:val="00F47C10"/>
    <w:rsid w:val="00F504E9"/>
    <w:rsid w:val="00F51C36"/>
    <w:rsid w:val="00F51F01"/>
    <w:rsid w:val="00F52227"/>
    <w:rsid w:val="00F52600"/>
    <w:rsid w:val="00F5261A"/>
    <w:rsid w:val="00F53D47"/>
    <w:rsid w:val="00F546F2"/>
    <w:rsid w:val="00F549BD"/>
    <w:rsid w:val="00F553E3"/>
    <w:rsid w:val="00F556AA"/>
    <w:rsid w:val="00F55AFA"/>
    <w:rsid w:val="00F63753"/>
    <w:rsid w:val="00F63A5F"/>
    <w:rsid w:val="00F670E9"/>
    <w:rsid w:val="00F71021"/>
    <w:rsid w:val="00F73AC2"/>
    <w:rsid w:val="00F73E2E"/>
    <w:rsid w:val="00F74AF9"/>
    <w:rsid w:val="00F74CEB"/>
    <w:rsid w:val="00F75D7D"/>
    <w:rsid w:val="00F7603B"/>
    <w:rsid w:val="00F7622C"/>
    <w:rsid w:val="00F81F42"/>
    <w:rsid w:val="00F84BF4"/>
    <w:rsid w:val="00F84EE1"/>
    <w:rsid w:val="00F850DE"/>
    <w:rsid w:val="00F90FE1"/>
    <w:rsid w:val="00F93E31"/>
    <w:rsid w:val="00F96D3B"/>
    <w:rsid w:val="00F975B2"/>
    <w:rsid w:val="00F9772E"/>
    <w:rsid w:val="00F97FFC"/>
    <w:rsid w:val="00FA18E6"/>
    <w:rsid w:val="00FA1EA0"/>
    <w:rsid w:val="00FA2337"/>
    <w:rsid w:val="00FA3583"/>
    <w:rsid w:val="00FA6CDD"/>
    <w:rsid w:val="00FA6F3F"/>
    <w:rsid w:val="00FB14E8"/>
    <w:rsid w:val="00FB20FF"/>
    <w:rsid w:val="00FB2FB6"/>
    <w:rsid w:val="00FB33FE"/>
    <w:rsid w:val="00FB3411"/>
    <w:rsid w:val="00FB35FD"/>
    <w:rsid w:val="00FB6708"/>
    <w:rsid w:val="00FB7AF6"/>
    <w:rsid w:val="00FB7D78"/>
    <w:rsid w:val="00FC567F"/>
    <w:rsid w:val="00FC5D6D"/>
    <w:rsid w:val="00FD0B2D"/>
    <w:rsid w:val="00FD0BF8"/>
    <w:rsid w:val="00FD125B"/>
    <w:rsid w:val="00FD41CF"/>
    <w:rsid w:val="00FD60E6"/>
    <w:rsid w:val="00FD6CE6"/>
    <w:rsid w:val="00FD7103"/>
    <w:rsid w:val="00FE01CA"/>
    <w:rsid w:val="00FE0AE5"/>
    <w:rsid w:val="00FE13BC"/>
    <w:rsid w:val="00FE13C5"/>
    <w:rsid w:val="00FE155E"/>
    <w:rsid w:val="00FE171A"/>
    <w:rsid w:val="00FE1C2E"/>
    <w:rsid w:val="00FE214A"/>
    <w:rsid w:val="00FE43E3"/>
    <w:rsid w:val="00FE4C60"/>
    <w:rsid w:val="00FE795E"/>
    <w:rsid w:val="00FF02A4"/>
    <w:rsid w:val="00FF088C"/>
    <w:rsid w:val="00FF121D"/>
    <w:rsid w:val="00FF1689"/>
    <w:rsid w:val="00FF1D09"/>
    <w:rsid w:val="00FF2B0C"/>
    <w:rsid w:val="00FF4520"/>
    <w:rsid w:val="00FF48EE"/>
    <w:rsid w:val="00FF4C65"/>
    <w:rsid w:val="00FF5091"/>
    <w:rsid w:val="00FF53F0"/>
    <w:rsid w:val="00FF6422"/>
    <w:rsid w:val="01C127E1"/>
    <w:rsid w:val="01F2753D"/>
    <w:rsid w:val="032A0C00"/>
    <w:rsid w:val="03E847A6"/>
    <w:rsid w:val="04073A28"/>
    <w:rsid w:val="0446138B"/>
    <w:rsid w:val="04C97752"/>
    <w:rsid w:val="05175CB0"/>
    <w:rsid w:val="05B830D4"/>
    <w:rsid w:val="0788465B"/>
    <w:rsid w:val="086F1377"/>
    <w:rsid w:val="09AC48EF"/>
    <w:rsid w:val="09CD44CE"/>
    <w:rsid w:val="0A20245E"/>
    <w:rsid w:val="0A40100F"/>
    <w:rsid w:val="0A4F320E"/>
    <w:rsid w:val="0A817046"/>
    <w:rsid w:val="0A8E3AF2"/>
    <w:rsid w:val="0AD14F4A"/>
    <w:rsid w:val="0ADE26CB"/>
    <w:rsid w:val="0B161399"/>
    <w:rsid w:val="0B3E48F6"/>
    <w:rsid w:val="0C032502"/>
    <w:rsid w:val="0CAC0156"/>
    <w:rsid w:val="0E26206B"/>
    <w:rsid w:val="10316128"/>
    <w:rsid w:val="107E39A7"/>
    <w:rsid w:val="108205DF"/>
    <w:rsid w:val="11D95BD1"/>
    <w:rsid w:val="122907E8"/>
    <w:rsid w:val="12B80632"/>
    <w:rsid w:val="12C23BEA"/>
    <w:rsid w:val="134358DA"/>
    <w:rsid w:val="13DD188A"/>
    <w:rsid w:val="13E03A64"/>
    <w:rsid w:val="151F47F0"/>
    <w:rsid w:val="1583211E"/>
    <w:rsid w:val="15D171CD"/>
    <w:rsid w:val="16144628"/>
    <w:rsid w:val="16446531"/>
    <w:rsid w:val="16532632"/>
    <w:rsid w:val="16583A87"/>
    <w:rsid w:val="16730DB6"/>
    <w:rsid w:val="175005C5"/>
    <w:rsid w:val="17CD1C16"/>
    <w:rsid w:val="18D246ED"/>
    <w:rsid w:val="195C6635"/>
    <w:rsid w:val="1974012E"/>
    <w:rsid w:val="198C38D3"/>
    <w:rsid w:val="19DB488C"/>
    <w:rsid w:val="1AF000F5"/>
    <w:rsid w:val="1BCA6B98"/>
    <w:rsid w:val="1BDE669C"/>
    <w:rsid w:val="1C6568C1"/>
    <w:rsid w:val="1D474C36"/>
    <w:rsid w:val="1DDF0828"/>
    <w:rsid w:val="1DE33F41"/>
    <w:rsid w:val="1E6729E0"/>
    <w:rsid w:val="1E6A4663"/>
    <w:rsid w:val="1E780D27"/>
    <w:rsid w:val="1EC260BF"/>
    <w:rsid w:val="1F024892"/>
    <w:rsid w:val="1F4E188E"/>
    <w:rsid w:val="1F9F21F4"/>
    <w:rsid w:val="20BB2F90"/>
    <w:rsid w:val="21246D4B"/>
    <w:rsid w:val="2138748F"/>
    <w:rsid w:val="21511635"/>
    <w:rsid w:val="223B6FB4"/>
    <w:rsid w:val="226C6BFB"/>
    <w:rsid w:val="22AA14D2"/>
    <w:rsid w:val="249D12EE"/>
    <w:rsid w:val="24B93C4E"/>
    <w:rsid w:val="257F4BA7"/>
    <w:rsid w:val="270E3DDA"/>
    <w:rsid w:val="278A18D2"/>
    <w:rsid w:val="27C070C8"/>
    <w:rsid w:val="291458F7"/>
    <w:rsid w:val="2B4C581C"/>
    <w:rsid w:val="2BA03472"/>
    <w:rsid w:val="2BA230D5"/>
    <w:rsid w:val="2C31056E"/>
    <w:rsid w:val="2E4567ED"/>
    <w:rsid w:val="2F695895"/>
    <w:rsid w:val="32CE2FBA"/>
    <w:rsid w:val="3321610D"/>
    <w:rsid w:val="34285A1D"/>
    <w:rsid w:val="35021C06"/>
    <w:rsid w:val="356D6ABA"/>
    <w:rsid w:val="357240D1"/>
    <w:rsid w:val="35BD2D58"/>
    <w:rsid w:val="3852678F"/>
    <w:rsid w:val="38544E94"/>
    <w:rsid w:val="39CE47E2"/>
    <w:rsid w:val="39FA7ED0"/>
    <w:rsid w:val="3AD508FF"/>
    <w:rsid w:val="3AF8522A"/>
    <w:rsid w:val="3B665FE4"/>
    <w:rsid w:val="3BAC0116"/>
    <w:rsid w:val="3D4311FF"/>
    <w:rsid w:val="3E0F3DFA"/>
    <w:rsid w:val="3F514D57"/>
    <w:rsid w:val="406C6823"/>
    <w:rsid w:val="412C6F00"/>
    <w:rsid w:val="413A31F9"/>
    <w:rsid w:val="413E0889"/>
    <w:rsid w:val="415A335D"/>
    <w:rsid w:val="41C924BE"/>
    <w:rsid w:val="4392593E"/>
    <w:rsid w:val="439A35C1"/>
    <w:rsid w:val="43D16466"/>
    <w:rsid w:val="440A64FC"/>
    <w:rsid w:val="443338EB"/>
    <w:rsid w:val="44572BAD"/>
    <w:rsid w:val="45F621B4"/>
    <w:rsid w:val="47150D60"/>
    <w:rsid w:val="48A63035"/>
    <w:rsid w:val="48B268BC"/>
    <w:rsid w:val="49913EE5"/>
    <w:rsid w:val="49C80690"/>
    <w:rsid w:val="4A070E34"/>
    <w:rsid w:val="4A6873F9"/>
    <w:rsid w:val="4DD97DFE"/>
    <w:rsid w:val="4E796039"/>
    <w:rsid w:val="500E7377"/>
    <w:rsid w:val="506D3493"/>
    <w:rsid w:val="506D7517"/>
    <w:rsid w:val="53B35B89"/>
    <w:rsid w:val="53F464D0"/>
    <w:rsid w:val="549D0A75"/>
    <w:rsid w:val="56D4209E"/>
    <w:rsid w:val="57541431"/>
    <w:rsid w:val="578660ED"/>
    <w:rsid w:val="585148E1"/>
    <w:rsid w:val="585965FA"/>
    <w:rsid w:val="599124C8"/>
    <w:rsid w:val="59D625D1"/>
    <w:rsid w:val="5AD85ED5"/>
    <w:rsid w:val="5B164E85"/>
    <w:rsid w:val="5CA211EC"/>
    <w:rsid w:val="5CD06305"/>
    <w:rsid w:val="5D7A3273"/>
    <w:rsid w:val="5E6E102A"/>
    <w:rsid w:val="5F6652E9"/>
    <w:rsid w:val="5F8C403F"/>
    <w:rsid w:val="608B62B2"/>
    <w:rsid w:val="61B612BE"/>
    <w:rsid w:val="63DA0EDD"/>
    <w:rsid w:val="651A3F0B"/>
    <w:rsid w:val="655774EE"/>
    <w:rsid w:val="65B42D41"/>
    <w:rsid w:val="6653074D"/>
    <w:rsid w:val="67627252"/>
    <w:rsid w:val="6AB04778"/>
    <w:rsid w:val="6B330E59"/>
    <w:rsid w:val="6B655563"/>
    <w:rsid w:val="6CB4125F"/>
    <w:rsid w:val="6CBC7404"/>
    <w:rsid w:val="6DA5360D"/>
    <w:rsid w:val="6EF13C87"/>
    <w:rsid w:val="70137AA4"/>
    <w:rsid w:val="706856BC"/>
    <w:rsid w:val="707E3A8B"/>
    <w:rsid w:val="71A072F4"/>
    <w:rsid w:val="71D05D75"/>
    <w:rsid w:val="71F17B50"/>
    <w:rsid w:val="722F0678"/>
    <w:rsid w:val="723D3431"/>
    <w:rsid w:val="72763DC3"/>
    <w:rsid w:val="7334639B"/>
    <w:rsid w:val="73B13A3B"/>
    <w:rsid w:val="749F55EB"/>
    <w:rsid w:val="75E50365"/>
    <w:rsid w:val="75E86628"/>
    <w:rsid w:val="771234A5"/>
    <w:rsid w:val="77626189"/>
    <w:rsid w:val="781B78E5"/>
    <w:rsid w:val="792C76C0"/>
    <w:rsid w:val="79CE2867"/>
    <w:rsid w:val="79DA711C"/>
    <w:rsid w:val="7A6A04A0"/>
    <w:rsid w:val="7A9B3D65"/>
    <w:rsid w:val="7B082483"/>
    <w:rsid w:val="7BE9206A"/>
    <w:rsid w:val="7D2D3A06"/>
    <w:rsid w:val="7E372025"/>
    <w:rsid w:val="7F815F12"/>
    <w:rsid w:val="7FA4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textAlignment w:val="center"/>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9"/>
    <w:pPr>
      <w:keepNext/>
      <w:keepLines/>
      <w:spacing w:before="240" w:after="120" w:line="240" w:lineRule="auto"/>
      <w:ind w:firstLine="0" w:firstLineChars="0"/>
      <w:jc w:val="left"/>
      <w:outlineLvl w:val="0"/>
    </w:pPr>
    <w:rPr>
      <w:b/>
      <w:bCs/>
      <w:kern w:val="44"/>
      <w:sz w:val="28"/>
      <w:szCs w:val="44"/>
    </w:rPr>
  </w:style>
  <w:style w:type="paragraph" w:styleId="3">
    <w:name w:val="heading 2"/>
    <w:basedOn w:val="1"/>
    <w:next w:val="1"/>
    <w:link w:val="34"/>
    <w:unhideWhenUsed/>
    <w:qFormat/>
    <w:uiPriority w:val="9"/>
    <w:pPr>
      <w:keepNext/>
      <w:keepLines/>
      <w:spacing w:before="120" w:after="60" w:line="240" w:lineRule="auto"/>
      <w:ind w:firstLine="0" w:firstLineChars="0"/>
      <w:outlineLvl w:val="1"/>
    </w:pPr>
    <w:rPr>
      <w:rFonts w:cstheme="majorBidi"/>
      <w:b/>
      <w:bCs/>
      <w:szCs w:val="32"/>
    </w:rPr>
  </w:style>
  <w:style w:type="paragraph" w:styleId="4">
    <w:name w:val="heading 3"/>
    <w:basedOn w:val="1"/>
    <w:next w:val="1"/>
    <w:link w:val="38"/>
    <w:unhideWhenUsed/>
    <w:qFormat/>
    <w:uiPriority w:val="9"/>
    <w:pPr>
      <w:keepNext/>
      <w:keepLines/>
      <w:spacing w:before="120" w:after="60" w:line="240" w:lineRule="auto"/>
      <w:ind w:firstLine="0" w:firstLineChars="0"/>
      <w:outlineLvl w:val="2"/>
    </w:pPr>
    <w:rPr>
      <w:b/>
      <w:bCs/>
      <w:szCs w:val="32"/>
    </w:rPr>
  </w:style>
  <w:style w:type="paragraph" w:styleId="5">
    <w:name w:val="heading 4"/>
    <w:basedOn w:val="1"/>
    <w:next w:val="1"/>
    <w:link w:val="39"/>
    <w:unhideWhenUsed/>
    <w:qFormat/>
    <w:uiPriority w:val="9"/>
    <w:pPr>
      <w:keepNext/>
      <w:keepLines/>
      <w:spacing w:before="120" w:after="60" w:line="240" w:lineRule="auto"/>
      <w:ind w:firstLine="0" w:firstLineChars="0"/>
      <w:outlineLvl w:val="3"/>
    </w:pPr>
    <w:rPr>
      <w:rFonts w:cstheme="majorBidi"/>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84"/>
    <w:qFormat/>
    <w:uiPriority w:val="0"/>
    <w:pPr>
      <w:adjustRightInd w:val="0"/>
      <w:snapToGrid w:val="0"/>
      <w:ind w:firstLine="420"/>
      <w:textAlignment w:val="auto"/>
    </w:pPr>
    <w:rPr>
      <w:rFonts w:ascii="宋体" w:hAnsi="宋体" w:cs="Times New Roman"/>
      <w:sz w:val="28"/>
      <w:szCs w:val="20"/>
    </w:rPr>
  </w:style>
  <w:style w:type="paragraph" w:styleId="7">
    <w:name w:val="annotation text"/>
    <w:basedOn w:val="1"/>
    <w:link w:val="46"/>
    <w:unhideWhenUsed/>
    <w:qFormat/>
    <w:uiPriority w:val="0"/>
    <w:pPr>
      <w:jc w:val="left"/>
      <w:textAlignment w:val="auto"/>
    </w:pPr>
  </w:style>
  <w:style w:type="paragraph" w:styleId="8">
    <w:name w:val="Body Text"/>
    <w:basedOn w:val="1"/>
    <w:next w:val="1"/>
    <w:qFormat/>
    <w:uiPriority w:val="1"/>
    <w:rPr>
      <w:szCs w:val="24"/>
    </w:rPr>
  </w:style>
  <w:style w:type="paragraph" w:styleId="9">
    <w:name w:val="Body Text Indent"/>
    <w:basedOn w:val="1"/>
    <w:next w:val="10"/>
    <w:semiHidden/>
    <w:unhideWhenUsed/>
    <w:qFormat/>
    <w:uiPriority w:val="99"/>
    <w:pPr>
      <w:spacing w:after="120"/>
      <w:ind w:left="420" w:leftChars="200"/>
    </w:pPr>
  </w:style>
  <w:style w:type="paragraph" w:customStyle="1" w:styleId="10">
    <w:name w:val="样式 正文文本缩进 + 行距: 1.5 倍行距"/>
    <w:basedOn w:val="9"/>
    <w:qFormat/>
    <w:uiPriority w:val="0"/>
    <w:pPr>
      <w:ind w:firstLine="560"/>
    </w:pPr>
    <w:rPr>
      <w:rFonts w:cs="宋体"/>
      <w:sz w:val="28"/>
    </w:rPr>
  </w:style>
  <w:style w:type="paragraph" w:styleId="11">
    <w:name w:val="List 2"/>
    <w:basedOn w:val="1"/>
    <w:semiHidden/>
    <w:unhideWhenUsed/>
    <w:qFormat/>
    <w:uiPriority w:val="99"/>
    <w:pPr>
      <w:ind w:left="100" w:leftChars="200" w:hanging="200" w:hangingChars="200"/>
      <w:contextualSpacing/>
      <w:textAlignment w:val="auto"/>
    </w:pPr>
    <w:rPr>
      <w:rFonts w:cs="Times New Roman"/>
    </w:rPr>
  </w:style>
  <w:style w:type="paragraph" w:styleId="12">
    <w:name w:val="Date"/>
    <w:basedOn w:val="1"/>
    <w:next w:val="1"/>
    <w:link w:val="66"/>
    <w:semiHidden/>
    <w:unhideWhenUsed/>
    <w:qFormat/>
    <w:uiPriority w:val="99"/>
    <w:pPr>
      <w:ind w:left="100" w:leftChars="2500"/>
    </w:pPr>
  </w:style>
  <w:style w:type="paragraph" w:styleId="13">
    <w:name w:val="Balloon Text"/>
    <w:basedOn w:val="1"/>
    <w:link w:val="42"/>
    <w:semiHidden/>
    <w:unhideWhenUsed/>
    <w:qFormat/>
    <w:uiPriority w:val="99"/>
    <w:pPr>
      <w:spacing w:line="240" w:lineRule="auto"/>
    </w:pPr>
    <w:rPr>
      <w:sz w:val="18"/>
      <w:szCs w:val="18"/>
    </w:rPr>
  </w:style>
  <w:style w:type="paragraph" w:styleId="14">
    <w:name w:val="footer"/>
    <w:basedOn w:val="1"/>
    <w:link w:val="41"/>
    <w:unhideWhenUsed/>
    <w:qFormat/>
    <w:uiPriority w:val="0"/>
    <w:pPr>
      <w:tabs>
        <w:tab w:val="center" w:pos="4153"/>
        <w:tab w:val="right" w:pos="8306"/>
      </w:tabs>
      <w:snapToGrid w:val="0"/>
      <w:spacing w:line="240" w:lineRule="auto"/>
      <w:jc w:val="left"/>
    </w:pPr>
    <w:rPr>
      <w:sz w:val="18"/>
      <w:szCs w:val="18"/>
    </w:rPr>
  </w:style>
  <w:style w:type="paragraph" w:styleId="15">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Subtitle"/>
    <w:basedOn w:val="1"/>
    <w:next w:val="1"/>
    <w:link w:val="36"/>
    <w:qFormat/>
    <w:uiPriority w:val="11"/>
    <w:pPr>
      <w:spacing w:before="120" w:after="60" w:line="240" w:lineRule="auto"/>
      <w:ind w:firstLine="0" w:firstLineChars="0"/>
      <w:outlineLvl w:val="3"/>
    </w:pPr>
    <w:rPr>
      <w:b/>
      <w:bCs/>
      <w:kern w:val="28"/>
      <w:szCs w:val="32"/>
    </w:rPr>
  </w:style>
  <w:style w:type="paragraph" w:styleId="17">
    <w:name w:val="List"/>
    <w:basedOn w:val="1"/>
    <w:semiHidden/>
    <w:unhideWhenUsed/>
    <w:qFormat/>
    <w:uiPriority w:val="99"/>
    <w:pPr>
      <w:ind w:left="200" w:hanging="200" w:hangingChars="200"/>
      <w:contextualSpacing/>
    </w:pPr>
  </w:style>
  <w:style w:type="paragraph" w:styleId="18">
    <w:name w:val="Body Text Indent 3"/>
    <w:basedOn w:val="1"/>
    <w:link w:val="55"/>
    <w:semiHidden/>
    <w:unhideWhenUsed/>
    <w:qFormat/>
    <w:uiPriority w:val="99"/>
    <w:pPr>
      <w:ind w:left="359" w:leftChars="171" w:firstLine="420"/>
      <w:textAlignment w:val="auto"/>
    </w:pPr>
    <w:rPr>
      <w:rFonts w:cs="Times New Roman"/>
      <w:sz w:val="21"/>
      <w:szCs w:val="24"/>
    </w:rPr>
  </w:style>
  <w:style w:type="paragraph" w:styleId="19">
    <w:name w:val="Normal (Web)"/>
    <w:basedOn w:val="1"/>
    <w:semiHidden/>
    <w:unhideWhenUsed/>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paragraph" w:styleId="20">
    <w:name w:val="Title"/>
    <w:basedOn w:val="1"/>
    <w:next w:val="1"/>
    <w:link w:val="35"/>
    <w:qFormat/>
    <w:uiPriority w:val="10"/>
    <w:pPr>
      <w:spacing w:before="120" w:after="60" w:line="240" w:lineRule="auto"/>
      <w:ind w:firstLine="0" w:firstLineChars="0"/>
      <w:outlineLvl w:val="2"/>
    </w:pPr>
    <w:rPr>
      <w:rFonts w:cstheme="majorBidi"/>
      <w:b/>
      <w:bCs/>
      <w:szCs w:val="32"/>
    </w:rPr>
  </w:style>
  <w:style w:type="paragraph" w:styleId="21">
    <w:name w:val="annotation subject"/>
    <w:basedOn w:val="7"/>
    <w:next w:val="7"/>
    <w:link w:val="50"/>
    <w:semiHidden/>
    <w:unhideWhenUsed/>
    <w:qFormat/>
    <w:uiPriority w:val="99"/>
    <w:pPr>
      <w:textAlignment w:val="center"/>
    </w:pPr>
    <w:rPr>
      <w:b/>
      <w:bCs/>
    </w:rPr>
  </w:style>
  <w:style w:type="paragraph" w:styleId="22">
    <w:name w:val="Body Text First Indent"/>
    <w:basedOn w:val="8"/>
    <w:next w:val="1"/>
    <w:qFormat/>
    <w:uiPriority w:val="0"/>
    <w:pPr>
      <w:ind w:firstLine="420" w:firstLineChars="100"/>
    </w:pPr>
  </w:style>
  <w:style w:type="paragraph" w:styleId="23">
    <w:name w:val="Body Text First Indent 2"/>
    <w:basedOn w:val="9"/>
    <w:next w:val="1"/>
    <w:unhideWhenUsed/>
    <w:qFormat/>
    <w:uiPriority w:val="99"/>
    <w:pPr>
      <w:ind w:left="0" w:leftChars="0" w:firstLine="48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HTML Code"/>
    <w:basedOn w:val="26"/>
    <w:semiHidden/>
    <w:unhideWhenUsed/>
    <w:qFormat/>
    <w:uiPriority w:val="99"/>
    <w:rPr>
      <w:rFonts w:ascii="Courier New" w:hAnsi="Courier New"/>
      <w:sz w:val="20"/>
    </w:rPr>
  </w:style>
  <w:style w:type="character" w:styleId="31">
    <w:name w:val="annotation reference"/>
    <w:basedOn w:val="26"/>
    <w:semiHidden/>
    <w:unhideWhenUsed/>
    <w:qFormat/>
    <w:uiPriority w:val="99"/>
    <w:rPr>
      <w:sz w:val="21"/>
      <w:szCs w:val="21"/>
    </w:rPr>
  </w:style>
  <w:style w:type="paragraph" w:styleId="32">
    <w:name w:val="No Spacing"/>
    <w:basedOn w:val="17"/>
    <w:next w:val="1"/>
    <w:link w:val="49"/>
    <w:qFormat/>
    <w:uiPriority w:val="1"/>
    <w:pPr>
      <w:spacing w:line="240" w:lineRule="auto"/>
      <w:ind w:left="0" w:firstLine="0" w:firstLineChars="0"/>
      <w:jc w:val="center"/>
    </w:pPr>
    <w:rPr>
      <w:sz w:val="21"/>
    </w:rPr>
  </w:style>
  <w:style w:type="character" w:customStyle="1" w:styleId="33">
    <w:name w:val="标题 1 字符"/>
    <w:basedOn w:val="26"/>
    <w:link w:val="2"/>
    <w:qFormat/>
    <w:uiPriority w:val="9"/>
    <w:rPr>
      <w:rFonts w:ascii="Times New Roman" w:hAnsi="Times New Roman" w:eastAsia="宋体"/>
      <w:b/>
      <w:bCs/>
      <w:kern w:val="44"/>
      <w:sz w:val="28"/>
      <w:szCs w:val="44"/>
    </w:rPr>
  </w:style>
  <w:style w:type="character" w:customStyle="1" w:styleId="34">
    <w:name w:val="标题 2 字符"/>
    <w:basedOn w:val="26"/>
    <w:link w:val="3"/>
    <w:qFormat/>
    <w:uiPriority w:val="9"/>
    <w:rPr>
      <w:rFonts w:ascii="Times New Roman" w:hAnsi="Times New Roman" w:eastAsia="宋体" w:cstheme="majorBidi"/>
      <w:b/>
      <w:bCs/>
      <w:sz w:val="24"/>
      <w:szCs w:val="32"/>
    </w:rPr>
  </w:style>
  <w:style w:type="character" w:customStyle="1" w:styleId="35">
    <w:name w:val="标题 字符"/>
    <w:basedOn w:val="26"/>
    <w:link w:val="20"/>
    <w:qFormat/>
    <w:uiPriority w:val="10"/>
    <w:rPr>
      <w:rFonts w:ascii="Times New Roman" w:hAnsi="Times New Roman" w:eastAsia="宋体" w:cstheme="majorBidi"/>
      <w:b/>
      <w:bCs/>
      <w:sz w:val="24"/>
      <w:szCs w:val="32"/>
    </w:rPr>
  </w:style>
  <w:style w:type="character" w:customStyle="1" w:styleId="36">
    <w:name w:val="副标题 字符"/>
    <w:basedOn w:val="26"/>
    <w:link w:val="16"/>
    <w:qFormat/>
    <w:uiPriority w:val="11"/>
    <w:rPr>
      <w:rFonts w:ascii="Times New Roman" w:hAnsi="Times New Roman" w:eastAsia="宋体"/>
      <w:b/>
      <w:bCs/>
      <w:kern w:val="28"/>
      <w:sz w:val="24"/>
      <w:szCs w:val="32"/>
    </w:rPr>
  </w:style>
  <w:style w:type="paragraph" w:customStyle="1" w:styleId="37">
    <w:name w:val="表题"/>
    <w:basedOn w:val="1"/>
    <w:next w:val="1"/>
    <w:qFormat/>
    <w:uiPriority w:val="0"/>
    <w:pPr>
      <w:spacing w:before="50" w:beforeLines="50" w:line="240" w:lineRule="auto"/>
      <w:ind w:firstLine="0" w:firstLineChars="0"/>
      <w:jc w:val="center"/>
    </w:pPr>
    <w:rPr>
      <w:b/>
      <w:sz w:val="21"/>
    </w:rPr>
  </w:style>
  <w:style w:type="character" w:customStyle="1" w:styleId="38">
    <w:name w:val="标题 3 字符"/>
    <w:basedOn w:val="26"/>
    <w:link w:val="4"/>
    <w:qFormat/>
    <w:uiPriority w:val="9"/>
    <w:rPr>
      <w:rFonts w:ascii="Times New Roman" w:hAnsi="Times New Roman" w:eastAsia="宋体"/>
      <w:b/>
      <w:bCs/>
      <w:sz w:val="24"/>
      <w:szCs w:val="32"/>
    </w:rPr>
  </w:style>
  <w:style w:type="character" w:customStyle="1" w:styleId="39">
    <w:name w:val="标题 4 字符"/>
    <w:basedOn w:val="26"/>
    <w:link w:val="5"/>
    <w:qFormat/>
    <w:uiPriority w:val="9"/>
    <w:rPr>
      <w:rFonts w:ascii="Times New Roman" w:hAnsi="Times New Roman" w:eastAsia="宋体" w:cstheme="majorBidi"/>
      <w:b/>
      <w:bCs/>
      <w:sz w:val="24"/>
      <w:szCs w:val="28"/>
    </w:rPr>
  </w:style>
  <w:style w:type="character" w:customStyle="1" w:styleId="40">
    <w:name w:val="页眉 字符"/>
    <w:basedOn w:val="26"/>
    <w:link w:val="15"/>
    <w:qFormat/>
    <w:uiPriority w:val="99"/>
    <w:rPr>
      <w:rFonts w:ascii="Times New Roman" w:hAnsi="Times New Roman" w:eastAsia="宋体"/>
      <w:sz w:val="18"/>
      <w:szCs w:val="18"/>
    </w:rPr>
  </w:style>
  <w:style w:type="character" w:customStyle="1" w:styleId="41">
    <w:name w:val="页脚 字符"/>
    <w:basedOn w:val="26"/>
    <w:link w:val="14"/>
    <w:qFormat/>
    <w:uiPriority w:val="99"/>
    <w:rPr>
      <w:rFonts w:ascii="Times New Roman" w:hAnsi="Times New Roman" w:eastAsia="宋体"/>
      <w:sz w:val="18"/>
      <w:szCs w:val="18"/>
    </w:rPr>
  </w:style>
  <w:style w:type="character" w:customStyle="1" w:styleId="42">
    <w:name w:val="批注框文本 字符"/>
    <w:basedOn w:val="26"/>
    <w:link w:val="13"/>
    <w:semiHidden/>
    <w:qFormat/>
    <w:uiPriority w:val="99"/>
    <w:rPr>
      <w:rFonts w:ascii="Times New Roman" w:hAnsi="Times New Roman" w:eastAsia="宋体"/>
      <w:sz w:val="18"/>
      <w:szCs w:val="18"/>
    </w:rPr>
  </w:style>
  <w:style w:type="character" w:customStyle="1" w:styleId="43">
    <w:name w:val="表格文字2 Char"/>
    <w:link w:val="44"/>
    <w:qFormat/>
    <w:uiPriority w:val="0"/>
    <w:rPr>
      <w:rFonts w:ascii="宋体" w:hAnsi="宋体" w:eastAsia="宋体" w:cs="宋体"/>
      <w:bCs/>
      <w:spacing w:val="5"/>
      <w:kern w:val="0"/>
      <w:szCs w:val="21"/>
    </w:rPr>
  </w:style>
  <w:style w:type="paragraph" w:customStyle="1" w:styleId="44">
    <w:name w:val="表格文字2"/>
    <w:basedOn w:val="1"/>
    <w:link w:val="43"/>
    <w:qFormat/>
    <w:uiPriority w:val="0"/>
    <w:pPr>
      <w:tabs>
        <w:tab w:val="left" w:pos="277"/>
        <w:tab w:val="left" w:pos="600"/>
        <w:tab w:val="left" w:pos="780"/>
        <w:tab w:val="left" w:pos="2517"/>
      </w:tabs>
      <w:adjustRightInd w:val="0"/>
      <w:spacing w:before="60" w:line="240" w:lineRule="auto"/>
      <w:ind w:firstLine="0" w:firstLineChars="0"/>
      <w:jc w:val="center"/>
      <w:textAlignment w:val="auto"/>
    </w:pPr>
    <w:rPr>
      <w:rFonts w:ascii="宋体" w:hAnsi="宋体" w:cs="宋体"/>
      <w:bCs/>
      <w:spacing w:val="5"/>
      <w:kern w:val="0"/>
      <w:sz w:val="21"/>
      <w:szCs w:val="21"/>
    </w:rPr>
  </w:style>
  <w:style w:type="character" w:customStyle="1" w:styleId="45">
    <w:name w:val="showhidemsg"/>
    <w:basedOn w:val="26"/>
    <w:qFormat/>
    <w:uiPriority w:val="0"/>
  </w:style>
  <w:style w:type="character" w:customStyle="1" w:styleId="46">
    <w:name w:val="批注文字 字符"/>
    <w:basedOn w:val="26"/>
    <w:link w:val="7"/>
    <w:qFormat/>
    <w:uiPriority w:val="0"/>
    <w:rPr>
      <w:rFonts w:ascii="Times New Roman" w:hAnsi="Times New Roman" w:eastAsia="宋体"/>
      <w:sz w:val="24"/>
    </w:rPr>
  </w:style>
  <w:style w:type="character" w:customStyle="1" w:styleId="47">
    <w:name w:val="未处理的提及1"/>
    <w:basedOn w:val="26"/>
    <w:semiHidden/>
    <w:unhideWhenUsed/>
    <w:qFormat/>
    <w:uiPriority w:val="99"/>
    <w:rPr>
      <w:color w:val="605E5C"/>
      <w:shd w:val="clear" w:color="auto" w:fill="E1DFDD"/>
    </w:rPr>
  </w:style>
  <w:style w:type="paragraph" w:customStyle="1" w:styleId="48">
    <w:name w:val="无间隔1"/>
    <w:basedOn w:val="17"/>
    <w:next w:val="1"/>
    <w:qFormat/>
    <w:uiPriority w:val="1"/>
    <w:pPr>
      <w:spacing w:line="240" w:lineRule="auto"/>
      <w:ind w:left="0" w:firstLine="0" w:firstLineChars="0"/>
      <w:jc w:val="center"/>
      <w:textAlignment w:val="auto"/>
    </w:pPr>
    <w:rPr>
      <w:sz w:val="21"/>
    </w:rPr>
  </w:style>
  <w:style w:type="character" w:customStyle="1" w:styleId="49">
    <w:name w:val="无间隔 字符"/>
    <w:basedOn w:val="26"/>
    <w:link w:val="32"/>
    <w:qFormat/>
    <w:uiPriority w:val="1"/>
    <w:rPr>
      <w:rFonts w:ascii="Times New Roman" w:hAnsi="Times New Roman" w:eastAsia="宋体"/>
    </w:rPr>
  </w:style>
  <w:style w:type="character" w:customStyle="1" w:styleId="50">
    <w:name w:val="批注主题 字符"/>
    <w:basedOn w:val="46"/>
    <w:link w:val="21"/>
    <w:semiHidden/>
    <w:qFormat/>
    <w:uiPriority w:val="99"/>
    <w:rPr>
      <w:rFonts w:ascii="Times New Roman" w:hAnsi="Times New Roman" w:eastAsia="宋体"/>
      <w:b/>
      <w:bCs/>
      <w:sz w:val="24"/>
    </w:rPr>
  </w:style>
  <w:style w:type="paragraph" w:customStyle="1" w:styleId="51">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52">
    <w:name w:val="msonormal"/>
    <w:basedOn w:val="1"/>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character" w:customStyle="1" w:styleId="53">
    <w:name w:val="标题 字符1"/>
    <w:basedOn w:val="26"/>
    <w:qFormat/>
    <w:uiPriority w:val="10"/>
    <w:rPr>
      <w:rFonts w:asciiTheme="majorHAnsi" w:hAnsiTheme="majorHAnsi" w:eastAsiaTheme="majorEastAsia" w:cstheme="majorBidi"/>
      <w:b/>
      <w:bCs/>
      <w:sz w:val="32"/>
      <w:szCs w:val="32"/>
    </w:rPr>
  </w:style>
  <w:style w:type="character" w:customStyle="1" w:styleId="54">
    <w:name w:val="副标题 字符1"/>
    <w:basedOn w:val="26"/>
    <w:qFormat/>
    <w:uiPriority w:val="11"/>
    <w:rPr>
      <w:b/>
      <w:bCs/>
      <w:kern w:val="28"/>
      <w:sz w:val="32"/>
      <w:szCs w:val="32"/>
    </w:rPr>
  </w:style>
  <w:style w:type="character" w:customStyle="1" w:styleId="55">
    <w:name w:val="正文文本缩进 3 字符"/>
    <w:basedOn w:val="26"/>
    <w:link w:val="18"/>
    <w:semiHidden/>
    <w:qFormat/>
    <w:uiPriority w:val="99"/>
    <w:rPr>
      <w:rFonts w:ascii="Times New Roman" w:hAnsi="Times New Roman" w:eastAsia="宋体" w:cs="Times New Roman"/>
      <w:szCs w:val="24"/>
    </w:rPr>
  </w:style>
  <w:style w:type="paragraph" w:styleId="56">
    <w:name w:val="List Paragraph"/>
    <w:basedOn w:val="1"/>
    <w:qFormat/>
    <w:uiPriority w:val="34"/>
    <w:pPr>
      <w:ind w:firstLine="420"/>
      <w:textAlignment w:val="auto"/>
    </w:pPr>
    <w:rPr>
      <w:rFonts w:cs="Times New Roman"/>
    </w:rPr>
  </w:style>
  <w:style w:type="paragraph" w:customStyle="1" w:styleId="57">
    <w:name w:val="表格字体"/>
    <w:basedOn w:val="1"/>
    <w:qFormat/>
    <w:uiPriority w:val="99"/>
    <w:pPr>
      <w:adjustRightInd w:val="0"/>
      <w:spacing w:line="240" w:lineRule="auto"/>
      <w:ind w:firstLine="0" w:firstLineChars="0"/>
      <w:jc w:val="center"/>
      <w:textAlignment w:val="auto"/>
    </w:pPr>
    <w:rPr>
      <w:rFonts w:cs="Times New Roman"/>
      <w:sz w:val="21"/>
      <w:szCs w:val="21"/>
    </w:rPr>
  </w:style>
  <w:style w:type="character" w:customStyle="1" w:styleId="58">
    <w:name w:val="表内 字符"/>
    <w:link w:val="59"/>
    <w:qFormat/>
    <w:uiPriority w:val="0"/>
    <w:rPr>
      <w:bCs/>
      <w:color w:val="000000"/>
      <w:szCs w:val="21"/>
    </w:rPr>
  </w:style>
  <w:style w:type="paragraph" w:customStyle="1" w:styleId="59">
    <w:name w:val="表内"/>
    <w:basedOn w:val="11"/>
    <w:link w:val="58"/>
    <w:qFormat/>
    <w:uiPriority w:val="0"/>
    <w:pPr>
      <w:widowControl/>
      <w:spacing w:line="240" w:lineRule="auto"/>
      <w:ind w:left="0" w:leftChars="0" w:firstLine="0" w:firstLineChars="0"/>
      <w:jc w:val="center"/>
    </w:pPr>
    <w:rPr>
      <w:rFonts w:asciiTheme="minorHAnsi" w:hAnsiTheme="minorHAnsi" w:eastAsiaTheme="minorEastAsia" w:cstheme="minorBidi"/>
      <w:bCs/>
      <w:color w:val="000000"/>
      <w:sz w:val="21"/>
      <w:szCs w:val="21"/>
    </w:rPr>
  </w:style>
  <w:style w:type="paragraph" w:customStyle="1" w:styleId="60">
    <w:name w:val="Char Char Char Char Char Char Char Char Char"/>
    <w:basedOn w:val="1"/>
    <w:qFormat/>
    <w:uiPriority w:val="99"/>
    <w:pPr>
      <w:spacing w:line="240" w:lineRule="auto"/>
      <w:ind w:firstLine="0" w:firstLineChars="0"/>
      <w:textAlignment w:val="auto"/>
    </w:pPr>
    <w:rPr>
      <w:rFonts w:cs="Times New Roman"/>
      <w:sz w:val="21"/>
      <w:szCs w:val="24"/>
    </w:rPr>
  </w:style>
  <w:style w:type="character" w:styleId="61">
    <w:name w:val="Placeholder Text"/>
    <w:basedOn w:val="26"/>
    <w:semiHidden/>
    <w:qFormat/>
    <w:uiPriority w:val="99"/>
    <w:rPr>
      <w:color w:val="808080"/>
    </w:rPr>
  </w:style>
  <w:style w:type="character" w:customStyle="1" w:styleId="62">
    <w:name w:val="未处理的提及11"/>
    <w:basedOn w:val="26"/>
    <w:semiHidden/>
    <w:qFormat/>
    <w:uiPriority w:val="99"/>
    <w:rPr>
      <w:color w:val="605E5C"/>
      <w:shd w:val="clear" w:color="auto" w:fill="E1DFDD"/>
    </w:rPr>
  </w:style>
  <w:style w:type="character" w:customStyle="1" w:styleId="63">
    <w:name w:val="标题 1 Char Char Char"/>
    <w:qFormat/>
    <w:uiPriority w:val="0"/>
    <w:rPr>
      <w:rFonts w:hint="eastAsia" w:ascii="宋体" w:hAnsi="宋体" w:eastAsia="宋体"/>
      <w:bCs/>
      <w:sz w:val="28"/>
    </w:rPr>
  </w:style>
  <w:style w:type="character" w:customStyle="1" w:styleId="64">
    <w:name w:val="表格文字 Char Char"/>
    <w:qFormat/>
    <w:uiPriority w:val="0"/>
    <w:rPr>
      <w:szCs w:val="21"/>
    </w:rPr>
  </w:style>
  <w:style w:type="table" w:customStyle="1" w:styleId="65">
    <w:name w:val="网格型1"/>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日期 字符"/>
    <w:basedOn w:val="26"/>
    <w:link w:val="12"/>
    <w:semiHidden/>
    <w:qFormat/>
    <w:uiPriority w:val="99"/>
    <w:rPr>
      <w:rFonts w:ascii="Times New Roman" w:hAnsi="Times New Roman" w:eastAsia="宋体"/>
      <w:sz w:val="24"/>
    </w:rPr>
  </w:style>
  <w:style w:type="table" w:customStyle="1" w:styleId="67">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文本"/>
    <w:link w:val="74"/>
    <w:qFormat/>
    <w:uiPriority w:val="0"/>
    <w:pPr>
      <w:adjustRightInd w:val="0"/>
      <w:snapToGrid w:val="0"/>
      <w:spacing w:line="480" w:lineRule="exact"/>
      <w:ind w:firstLine="200" w:firstLineChars="200"/>
      <w:jc w:val="both"/>
    </w:pPr>
    <w:rPr>
      <w:rFonts w:ascii="宋体" w:hAnsi="Calibri" w:eastAsia="宋体" w:cs="Times New Roman"/>
      <w:spacing w:val="5"/>
      <w:sz w:val="25"/>
      <w:szCs w:val="22"/>
      <w:lang w:val="en-US" w:eastAsia="zh-CN" w:bidi="ar-SA"/>
    </w:rPr>
  </w:style>
  <w:style w:type="paragraph" w:customStyle="1" w:styleId="69">
    <w:name w:val="表内居中"/>
    <w:qFormat/>
    <w:uiPriority w:val="0"/>
    <w:pPr>
      <w:tabs>
        <w:tab w:val="right" w:leader="middleDot" w:pos="7938"/>
      </w:tabs>
      <w:adjustRightInd w:val="0"/>
      <w:snapToGrid w:val="0"/>
      <w:jc w:val="center"/>
    </w:pPr>
    <w:rPr>
      <w:rFonts w:ascii="宋体" w:hAnsi="宋体" w:eastAsia="宋体" w:cs="Times New Roman"/>
      <w:sz w:val="21"/>
      <w:lang w:val="en-US" w:eastAsia="zh-CN" w:bidi="ar-SA"/>
    </w:rPr>
  </w:style>
  <w:style w:type="paragraph" w:customStyle="1" w:styleId="70">
    <w:name w:val="表名称"/>
    <w:link w:val="72"/>
    <w:qFormat/>
    <w:uiPriority w:val="0"/>
    <w:pPr>
      <w:adjustRightInd w:val="0"/>
      <w:snapToGrid w:val="0"/>
      <w:ind w:firstLine="480"/>
      <w:jc w:val="center"/>
    </w:pPr>
    <w:rPr>
      <w:rFonts w:ascii="Times New Roman" w:hAnsi="Times New Roman" w:eastAsia="宋体" w:cs="Times New Roman"/>
      <w:b/>
      <w:kern w:val="2"/>
      <w:sz w:val="21"/>
      <w:szCs w:val="21"/>
      <w:lang w:val="en-US" w:eastAsia="zh-CN" w:bidi="ar-SA"/>
    </w:rPr>
  </w:style>
  <w:style w:type="paragraph" w:customStyle="1" w:styleId="71">
    <w:name w:val="表内两端"/>
    <w:link w:val="73"/>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72">
    <w:name w:val="表名称 Char"/>
    <w:link w:val="70"/>
    <w:qFormat/>
    <w:uiPriority w:val="0"/>
    <w:rPr>
      <w:b/>
      <w:kern w:val="2"/>
      <w:sz w:val="21"/>
      <w:szCs w:val="21"/>
    </w:rPr>
  </w:style>
  <w:style w:type="character" w:customStyle="1" w:styleId="73">
    <w:name w:val="表内两端 Char"/>
    <w:link w:val="71"/>
    <w:qFormat/>
    <w:uiPriority w:val="0"/>
    <w:rPr>
      <w:rFonts w:ascii="宋体" w:hAnsi="Times New Roman" w:eastAsia="宋体" w:cs="Times New Roman"/>
      <w:kern w:val="0"/>
      <w:szCs w:val="20"/>
    </w:rPr>
  </w:style>
  <w:style w:type="character" w:customStyle="1" w:styleId="74">
    <w:name w:val="文本 Char"/>
    <w:link w:val="68"/>
    <w:qFormat/>
    <w:uiPriority w:val="0"/>
    <w:rPr>
      <w:rFonts w:ascii="宋体" w:hAnsi="Calibri" w:eastAsia="宋体" w:cs="Times New Roman"/>
      <w:spacing w:val="5"/>
      <w:kern w:val="0"/>
      <w:sz w:val="25"/>
    </w:rPr>
  </w:style>
  <w:style w:type="character" w:customStyle="1" w:styleId="75">
    <w:name w:val="fontstyle21"/>
    <w:qFormat/>
    <w:uiPriority w:val="0"/>
    <w:rPr>
      <w:rFonts w:hint="default" w:ascii="Times New Roman" w:hAnsi="Times New Roman" w:cs="Times New Roman"/>
      <w:b/>
      <w:bCs/>
      <w:color w:val="000000"/>
      <w:sz w:val="24"/>
      <w:szCs w:val="24"/>
    </w:rPr>
  </w:style>
  <w:style w:type="paragraph" w:customStyle="1" w:styleId="76">
    <w:name w:val="_Style 5"/>
    <w:basedOn w:val="1"/>
    <w:qFormat/>
    <w:uiPriority w:val="0"/>
    <w:pPr>
      <w:ind w:firstLine="420"/>
    </w:pPr>
    <w:rPr>
      <w:rFonts w:ascii="Calibri" w:hAnsi="Calibri"/>
    </w:rPr>
  </w:style>
  <w:style w:type="paragraph" w:customStyle="1" w:styleId="77">
    <w:name w:val="lxy表头"/>
    <w:basedOn w:val="1"/>
    <w:qFormat/>
    <w:uiPriority w:val="0"/>
    <w:pPr>
      <w:autoSpaceDE w:val="0"/>
      <w:autoSpaceDN w:val="0"/>
      <w:adjustRightInd w:val="0"/>
      <w:snapToGrid w:val="0"/>
      <w:jc w:val="center"/>
    </w:pPr>
    <w:rPr>
      <w:rFonts w:ascii="宋体" w:hAnsi="宋体" w:cs="宋体"/>
      <w:b/>
      <w:color w:val="0000FF"/>
      <w:kern w:val="0"/>
    </w:rPr>
  </w:style>
  <w:style w:type="paragraph" w:customStyle="1" w:styleId="78">
    <w:name w:val="表内文字"/>
    <w:qFormat/>
    <w:uiPriority w:val="0"/>
    <w:pPr>
      <w:adjustRightInd w:val="0"/>
      <w:snapToGrid w:val="0"/>
      <w:jc w:val="center"/>
    </w:pPr>
    <w:rPr>
      <w:rFonts w:ascii="宋体" w:hAnsi="宋体" w:eastAsia="宋体" w:cs="Times New Roman"/>
      <w:spacing w:val="-10"/>
      <w:kern w:val="2"/>
      <w:sz w:val="23"/>
      <w:szCs w:val="22"/>
      <w:lang w:val="en-US" w:eastAsia="zh-CN" w:bidi="en-US"/>
    </w:rPr>
  </w:style>
  <w:style w:type="paragraph" w:customStyle="1" w:styleId="79">
    <w:name w:val="图表名称"/>
    <w:basedOn w:val="1"/>
    <w:link w:val="81"/>
    <w:qFormat/>
    <w:uiPriority w:val="0"/>
    <w:pPr>
      <w:tabs>
        <w:tab w:val="left" w:pos="3390"/>
      </w:tabs>
      <w:adjustRightInd w:val="0"/>
      <w:snapToGrid w:val="0"/>
      <w:spacing w:line="240" w:lineRule="auto"/>
      <w:ind w:firstLine="0" w:firstLineChars="0"/>
      <w:jc w:val="center"/>
      <w:textAlignment w:val="auto"/>
    </w:pPr>
    <w:rPr>
      <w:rFonts w:ascii="宋体" w:hAnsi="宋体" w:cs="宋体"/>
      <w:b/>
      <w:szCs w:val="25"/>
      <w:lang w:val="zh-CN" w:bidi="zh-CN"/>
    </w:rPr>
  </w:style>
  <w:style w:type="paragraph" w:customStyle="1" w:styleId="80">
    <w:name w:val="表中文字"/>
    <w:basedOn w:val="1"/>
    <w:qFormat/>
    <w:uiPriority w:val="0"/>
    <w:pPr>
      <w:tabs>
        <w:tab w:val="left" w:pos="2700"/>
      </w:tabs>
      <w:adjustRightInd w:val="0"/>
      <w:snapToGrid w:val="0"/>
      <w:spacing w:line="240" w:lineRule="auto"/>
      <w:ind w:firstLine="0" w:firstLineChars="0"/>
      <w:jc w:val="center"/>
    </w:pPr>
    <w:rPr>
      <w:sz w:val="21"/>
      <w:szCs w:val="21"/>
    </w:rPr>
  </w:style>
  <w:style w:type="character" w:customStyle="1" w:styleId="81">
    <w:name w:val="图表名称 Char"/>
    <w:link w:val="79"/>
    <w:qFormat/>
    <w:uiPriority w:val="0"/>
    <w:rPr>
      <w:rFonts w:ascii="宋体" w:hAnsi="宋体" w:eastAsia="宋体" w:cs="宋体"/>
      <w:b/>
      <w:kern w:val="2"/>
      <w:sz w:val="24"/>
      <w:szCs w:val="25"/>
      <w:lang w:val="zh-CN" w:bidi="zh-CN"/>
    </w:rPr>
  </w:style>
  <w:style w:type="paragraph" w:customStyle="1" w:styleId="82">
    <w:name w:val="主表格"/>
    <w:basedOn w:val="1"/>
    <w:qFormat/>
    <w:uiPriority w:val="0"/>
    <w:pPr>
      <w:spacing w:line="240" w:lineRule="auto"/>
      <w:ind w:firstLine="0" w:firstLineChars="0"/>
      <w:jc w:val="center"/>
    </w:pPr>
  </w:style>
  <w:style w:type="paragraph" w:customStyle="1" w:styleId="83">
    <w:name w:val="【表中文字】"/>
    <w:basedOn w:val="1"/>
    <w:qFormat/>
    <w:uiPriority w:val="0"/>
    <w:pPr>
      <w:spacing w:line="240" w:lineRule="auto"/>
      <w:ind w:firstLine="0" w:firstLineChars="0"/>
      <w:jc w:val="center"/>
      <w:textAlignment w:val="auto"/>
    </w:pPr>
    <w:rPr>
      <w:rFonts w:cs="Times New Roman"/>
      <w:kern w:val="0"/>
      <w:sz w:val="20"/>
      <w:szCs w:val="20"/>
    </w:rPr>
  </w:style>
  <w:style w:type="character" w:customStyle="1" w:styleId="84">
    <w:name w:val="正文缩进 字符"/>
    <w:link w:val="6"/>
    <w:qFormat/>
    <w:uiPriority w:val="0"/>
    <w:rPr>
      <w:rFonts w:ascii="宋体" w:hAnsi="宋体"/>
      <w:kern w:val="2"/>
      <w:sz w:val="28"/>
    </w:rPr>
  </w:style>
  <w:style w:type="character" w:customStyle="1" w:styleId="85">
    <w:name w:val="页脚 字符1"/>
    <w:qFormat/>
    <w:uiPriority w:val="0"/>
    <w:rPr>
      <w:rFonts w:ascii="Times New Roman" w:hAnsi="Times New Roman" w:eastAsia="宋体" w:cs="Times New Roman"/>
      <w:sz w:val="18"/>
    </w:rPr>
  </w:style>
  <w:style w:type="paragraph" w:customStyle="1" w:styleId="86">
    <w:name w:val="表头"/>
    <w:basedOn w:val="1"/>
    <w:next w:val="1"/>
    <w:qFormat/>
    <w:uiPriority w:val="0"/>
    <w:pPr>
      <w:autoSpaceDE w:val="0"/>
      <w:autoSpaceDN w:val="0"/>
      <w:adjustRightInd w:val="0"/>
      <w:spacing w:before="50" w:beforeLines="50" w:line="240" w:lineRule="auto"/>
      <w:ind w:firstLine="0" w:firstLineChars="0"/>
      <w:jc w:val="center"/>
      <w:textAlignment w:val="baseline"/>
    </w:pPr>
    <w:rPr>
      <w:rFonts w:cs="Times New Roman"/>
      <w:b/>
      <w:kern w:val="0"/>
      <w:sz w:val="21"/>
      <w:szCs w:val="20"/>
    </w:rPr>
  </w:style>
  <w:style w:type="paragraph" w:customStyle="1" w:styleId="87">
    <w:name w:val="Table Text"/>
    <w:basedOn w:val="1"/>
    <w:semiHidden/>
    <w:qFormat/>
    <w:uiPriority w:val="0"/>
    <w:pPr>
      <w:textAlignment w:val="auto"/>
    </w:pPr>
    <w:rPr>
      <w:rFonts w:ascii="宋体" w:hAnsi="宋体" w:cs="宋体"/>
      <w:sz w:val="20"/>
      <w:szCs w:val="20"/>
      <w:lang w:eastAsia="en-US"/>
    </w:rPr>
  </w:style>
  <w:style w:type="paragraph" w:customStyle="1" w:styleId="88">
    <w:name w:val="表内容       .."/>
    <w:basedOn w:val="1"/>
    <w:qFormat/>
    <w:uiPriority w:val="0"/>
    <w:pPr>
      <w:adjustRightInd w:val="0"/>
      <w:snapToGrid w:val="0"/>
      <w:spacing w:line="280" w:lineRule="exact"/>
      <w:jc w:val="center"/>
      <w:textAlignment w:val="baseline"/>
    </w:pPr>
    <w:rPr>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5cd92924-796e-4795-bf14-7d3ea2ea361d</errorID>
      <errorWord>，</errorWord>
      <group>L1_Format</group>
      <groupName>格式问题</groupName>
      <ability>L2_HalfPunc</ability>
      <abilityName>全半角检查</abilityName>
      <candidateList>
        <item>, </item>
      </candidateList>
      <explain>文本全半角错误。</explain>
      <paraID>19C8B765</paraID>
      <start>13</start>
      <end>15</end>
      <status>modified</status>
      <modifiedWord>, </modifiedWord>
      <trackRevisions>false</trackRevisions>
    </reviewItem>
    <reviewItem>
      <errorID>717cf289-6618-4788-a5f3-13dc3d6d6f38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36B30D81</paraID>
      <start>0</start>
      <end>2</end>
      <status>modified</status>
      <modifiedWord>1.</modifiedWord>
      <trackRevisions>false</trackRevisions>
    </reviewItem>
    <reviewItem>
      <errorID>4e0cf7a8-8307-4b79-890a-0044debc1a4e</errorID>
      <errorWord>…等</errorWord>
      <group>L1_Punc</group>
      <groupName>标点问题</groupName>
      <ability>L2_Punc</ability>
      <abilityName>标点符号检查</abilityName>
      <candidateList>
        <item>等</item>
      </candidateList>
      <explain>〈助〉❶〈书〉用在人称代词或指人的名词后面，表示复数：我～｜彼～。❷表示列举未尽（可以叠用）：北京、天津～地｜纸张文具～～。❸列举后煞尾：长江、黄河、黑龙江、珠江～四大河流。</explain>
      <paraID> E19D978</paraID>
      <start>100</start>
      <end>101</end>
      <status>modified</status>
      <modifiedWord>等</modifiedWord>
      <trackRevisions>false</trackRevisions>
    </reviewItem>
    <reviewItem>
      <errorID>19b14958-8064-4ac5-b3da-fb4cc3f079e7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10B88EA3</paraID>
      <start>0</start>
      <end>2</end>
      <status>modified</status>
      <modifiedWord>2.</modifiedWord>
      <trackRevisions>false</trackRevisions>
    </reviewItem>
    <reviewItem>
      <errorID>ddbc94e8-1cd3-4931-b737-816be5b807b8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78EE63C7</paraID>
      <start>0</start>
      <end>2</end>
      <status>modified</status>
      <modifiedWord>3.</modifiedWord>
      <trackRevisions>false</trackRevisions>
    </reviewItem>
    <reviewItem>
      <errorID>52e89241-9764-498f-8934-c09d8ca8d1b8</errorID>
      <errorWord>法律、法规</errorWord>
      <group>L1_Word</group>
      <groupName>字词问题</groupName>
      <ability>L2_Typo</ability>
      <abilityName>字词错误</abilityName>
      <candidateList>
        <item>法律法规</item>
      </candidateList>
      <explain/>
      <paraID>53A991BC</paraID>
      <start>141</start>
      <end>146</end>
      <status>ignored</status>
      <modifiedWord/>
      <trackRevisions>false</trackRevisions>
    </reviewItem>
    <reviewItem>
      <errorID>2c476e2b-44f6-4659-952f-5a2013d0c4f7</errorID>
      <errorWord>其它</errorWord>
      <group>L1_Word</group>
      <groupName>字词问题</groupName>
      <ability>L2_Alias</ability>
      <abilityName>也作/曾用词</abilityName>
      <candidateList>
        <item>其他</item>
      </candidateList>
      <explain>词汇[其它]为不规范表述或旧称，其规范书面表述为[其他]。</explain>
      <paraID>22996E86</paraID>
      <start>31</start>
      <end>33</end>
      <status>ignored</status>
      <modifiedWord/>
      <trackRevisions>false</trackRevisions>
    </reviewItem>
    <reviewItem>
      <errorID>a1c7cf8d-d31b-4ea0-a590-708daa358ad5</errorID>
      <errorWord>，</errorWord>
      <group>L1_Word</group>
      <groupName>字词问题</groupName>
      <ability>L2_Typo</ability>
      <abilityName>字词错误</abilityName>
      <candidateList>
        <item>，在</item>
      </candidateList>
      <explain/>
      <paraID>7331BFCD</paraID>
      <start>50</start>
      <end>51</end>
      <status>ignored</status>
      <modifiedWord/>
      <trackRevisions>false</trackRevisions>
    </reviewItem>
    <reviewItem>
      <errorID>65a0e407-02a0-46f3-bdb6-ce2f0ca7666f</errorID>
      <errorWord>法律、法规</errorWord>
      <group>L1_Word</group>
      <groupName>字词问题</groupName>
      <ability>L2_Typo</ability>
      <abilityName>字词错误</abilityName>
      <candidateList>
        <item>法律法规</item>
      </candidateList>
      <explain/>
      <paraID>7331BFCD</paraID>
      <start>64</start>
      <end>69</end>
      <status>ignored</status>
      <modifiedWord/>
      <trackRevisions>false</trackRevisions>
    </reviewItem>
    <reviewItem>
      <errorID>6f557748-4395-4848-80e0-d1ea14f356f1</errorID>
      <errorWord>联防联动机制</errorWord>
      <group>L1_Word</group>
      <groupName>字词问题</groupName>
      <ability>L2_Typo</ability>
      <abilityName>字词错误</abilityName>
      <candidateList>
        <item>联防联控机制</item>
      </candidateList>
      <explain/>
      <paraID>3C737391</paraID>
      <start>65</start>
      <end>71</end>
      <status>ignored</status>
      <modifiedWord/>
      <trackRevisions>false</trackRevisions>
    </reviewItem>
    <reviewItem>
      <errorID>28dff4a2-5475-45ed-a446-e0b5c854e953</errorID>
      <errorWord>小</errorWord>
      <group>L1_Word</group>
      <groupName>字词问题</groupName>
      <ability>L2_Typo</ability>
      <abilityName>字词错误</abilityName>
      <candidateList>
        <item>少</item>
      </candidateList>
      <explain>存在字形相近字词的误用。</explain>
      <paraID>2AC6CABC</paraID>
      <start>21</start>
      <end>22</end>
      <status>modified</status>
      <modifiedWord>少</modifiedWord>
      <trackRevisions>false</trackRevisions>
    </reviewItem>
    <reviewItem>
      <errorID>db5ded93-9524-4283-9b23-6287e2dd81b8</errorID>
      <errorWord>上线</errorWord>
      <group>L1_Word</group>
      <groupName>字词问题</groupName>
      <ability>L2_Typo</ability>
      <abilityName>字词错误</abilityName>
      <candidateList>
        <item>上限</item>
      </candidateList>
      <explain/>
      <paraID>751C5B29</paraID>
      <start>12</start>
      <end>14</end>
      <status>ignored</status>
      <modifiedWord/>
      <trackRevisions>false</trackRevisions>
    </reviewItem>
    <reviewItem>
      <errorID>252dacc3-5dd7-45a2-bd8c-7fe818d97c3f</errorID>
      <errorWord>有价</errorWord>
      <group>L1_Word</group>
      <groupName>字词问题</groupName>
      <ability>L2_Typo</ability>
      <abilityName>字词错误</abilityName>
      <candidateList>
        <item>有机</item>
      </candidateList>
      <explain/>
      <paraID>1451A394</paraID>
      <start>127</start>
      <end>129</end>
      <status>ignored</status>
      <modifiedWord/>
      <trackRevisions>false</trackRevisions>
    </reviewItem>
    <reviewItem>
      <errorID>0e045ca9-4622-4419-b9e1-2f46f77a6e15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397D53A9</paraID>
      <start>0</start>
      <end>2</end>
      <status>modified</status>
      <modifiedWord>4.</modifiedWord>
      <trackRevisions>false</trackRevisions>
    </reviewItem>
    <reviewItem>
      <errorID>08fcf4a3-42fa-4924-83b5-8fb010357b06</errorID>
      <errorWord>&lt;</errorWord>
      <group>L1_Format</group>
      <groupName>格式问题</groupName>
      <ability>L2_HalfPunc</ability>
      <abilityName>全半角检查</abilityName>
      <candidateList>
        <item>〈</item>
      </candidateList>
      <explain>文本全半角错误。</explain>
      <paraID>397D53A9</paraID>
      <start>11</start>
      <end>12</end>
      <status>modified</status>
      <modifiedWord>〈</modifiedWord>
      <trackRevisions>false</trackRevisions>
    </reviewItem>
    <reviewItem>
      <errorID>571e7edf-4801-4763-a98f-28be372f7c4a</errorID>
      <errorWord>&gt;</errorWord>
      <group>L1_Format</group>
      <groupName>格式问题</groupName>
      <ability>L2_HalfPunc</ability>
      <abilityName>全半角检查</abilityName>
      <candidateList>
        <item>〉</item>
      </candidateList>
      <explain>文本全半角错误。</explain>
      <paraID>397D53A9</paraID>
      <start>34</start>
      <end>35</end>
      <status>modified</status>
      <modifiedWord>〉</modifiedWord>
      <trackRevisions>false</trackRevisions>
    </reviewItem>
    <reviewItem>
      <errorID>25dec7da-8348-4f57-9517-a333af496ac4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101BB632</paraID>
      <start>0</start>
      <end>2</end>
      <status>modified</status>
      <modifiedWord>5.</modifiedWord>
      <trackRevisions>false</trackRevisions>
    </reviewItem>
    <reviewItem>
      <errorID>bf6e851f-6c48-4fdc-8f93-7bbf995ed13b</errorID>
      <errorWord>II类</errorWord>
      <group>L1_Knowledge</group>
      <groupName>知识性问题</groupName>
      <ability>L2_Knowledge</ability>
      <abilityName>其他知识</abilityName>
      <candidateList>
        <item>Ⅱ类</item>
      </candidateList>
      <explain/>
      <paraID>29C08064</paraID>
      <start>86</start>
      <end>88</end>
      <status>modified</status>
      <modifiedWord>Ⅱ类</modifiedWord>
      <trackRevisions>false</trackRevisions>
    </reviewItem>
    <reviewItem>
      <errorID>44640623-0a5f-4193-8eec-e1d00e4b5a79</errorID>
      <errorWord>碳达峰和碳中和</errorWord>
      <group>L1_Political</group>
      <groupName>政治性问题</groupName>
      <ability>L2_Keyword</ability>
      <abilityName>固定表述</abilityName>
      <candidateList>
        <item>碳达峰碳中和</item>
      </candidateList>
      <explain>词汇“碳达峰碳中和”在特定场景下为固定表述形式，请确认此处的“碳达峰和碳中和”是否存在不当。</explain>
      <paraID> AD44196</paraID>
      <start>73</start>
      <end>80</end>
      <status>ignored</status>
      <modifiedWord/>
      <trackRevisions>false</trackRevisions>
    </reviewItem>
    <reviewItem>
      <errorID>8cc21175-8b28-4653-b311-3fb5d76ba982</errorID>
      <errorWord>法律、法规</errorWord>
      <group>L1_Word</group>
      <groupName>字词问题</groupName>
      <ability>L2_Typo</ability>
      <abilityName>字词错误</abilityName>
      <candidateList>
        <item>法律法规</item>
      </candidateList>
      <explain/>
      <paraID>67568DE0</paraID>
      <start>141</start>
      <end>146</end>
      <status>ignored</status>
      <modifiedWord/>
      <trackRevisions>false</trackRevisions>
    </reviewItem>
    <reviewItem>
      <errorID>c9b4d7a6-bea5-4cb3-b79f-70e305c5af7c</errorID>
      <errorWord>其它</errorWord>
      <group>L1_Word</group>
      <groupName>字词问题</groupName>
      <ability>L2_Alias</ability>
      <abilityName>也作/曾用词</abilityName>
      <candidateList>
        <item>其他</item>
      </candidateList>
      <explain>词汇[其它]为不规范表述或旧称，其规范书面表述为[其他]。</explain>
      <paraID>20622449</paraID>
      <start>30</start>
      <end>32</end>
      <status>ignored</status>
      <modifiedWord/>
      <trackRevisions>false</trackRevisions>
    </reviewItem>
    <reviewItem>
      <errorID>6bfccdc3-5850-4bd1-93dc-475063d918e0</errorID>
      <errorWord>，</errorWord>
      <group>L1_Word</group>
      <groupName>字词问题</groupName>
      <ability>L2_Typo</ability>
      <abilityName>字词错误</abilityName>
      <candidateList>
        <item>，在</item>
      </candidateList>
      <explain/>
      <paraID>7016C57B</paraID>
      <start>50</start>
      <end>51</end>
      <status>ignored</status>
      <modifiedWord/>
      <trackRevisions>false</trackRevisions>
    </reviewItem>
    <reviewItem>
      <errorID>d528f94e-6ed0-4598-897e-6f820129e2fd</errorID>
      <errorWord>法律、法规</errorWord>
      <group>L1_Word</group>
      <groupName>字词问题</groupName>
      <ability>L2_Typo</ability>
      <abilityName>字词错误</abilityName>
      <candidateList>
        <item>法律法规</item>
      </candidateList>
      <explain/>
      <paraID>7016C57B</paraID>
      <start>64</start>
      <end>69</end>
      <status>ignored</status>
      <modifiedWord/>
      <trackRevisions>false</trackRevisions>
    </reviewItem>
    <reviewItem>
      <errorID>54249427-c22b-491a-b835-bd3aa38c7e7a</errorID>
      <errorWord>-</errorWord>
      <group>L1_Format</group>
      <groupName>格式问题</groupName>
      <ability>L2_HalfPunc</ability>
      <abilityName>全半角检查</abilityName>
      <candidateList>
        <item>－</item>
      </candidateList>
      <explain>文本全半角错误。</explain>
      <paraID>5141F883</paraID>
      <start>5</start>
      <end>6</end>
      <status>ignored</status>
      <modifiedWord/>
      <trackRevisions>false</trackRevisions>
    </reviewItem>
    <reviewItem>
      <errorID>d315026c-a681-4094-a246-0eeddabaae85</errorID>
      <errorWord>-</errorWord>
      <group>L1_Format</group>
      <groupName>格式问题</groupName>
      <ability>L2_HalfPunc</ability>
      <abilityName>全半角检查</abilityName>
      <candidateList>
        <item>－</item>
      </candidateList>
      <explain>文本全半角错误。</explain>
      <paraID>799FD723</paraID>
      <start>5</start>
      <end>6</end>
      <status>ignored</status>
      <modifiedWord/>
      <trackRevisions>false</trackRevisions>
    </reviewItem>
    <reviewItem>
      <errorID>90b10d33-c137-4993-9c76-099990f8a044</errorID>
      <errorWord>原住居民</errorWord>
      <group>L1_Sensitive</group>
      <groupName>敏感问题</groupName>
      <ability>L2_Violent</ability>
      <abilityName>暴恐词条</abilityName>
      <candidateList/>
      <explain>【暴恐词条】句中包含暴恐类敏感词条，请注意甄别。</explain>
      <paraID>520EDA32</paraID>
      <start>3</start>
      <end>7</end>
      <status>ignored</status>
      <modifiedWord/>
      <trackRevisions>false</trackRevisions>
    </reviewItem>
    <reviewItem>
      <errorID>1f4b3401-6f25-4624-a6d5-ef89cc6c1aa4</errorID>
      <errorWord>通视</errorWord>
      <group>L1_Word</group>
      <groupName>字词问题</groupName>
      <ability>L2_Typo</ability>
      <abilityName>字词错误</abilityName>
      <candidateList>
        <item>通</item>
      </candidateList>
      <explain/>
      <paraID>520EDA32</paraID>
      <start>800</start>
      <end>802</end>
      <status>ignored</status>
      <modifiedWord/>
      <trackRevisions>false</trackRevisions>
    </reviewItem>
    <reviewItem>
      <errorID>39143d83-5b59-441e-9c6c-175419e52800</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74837DD4</paraID>
      <start>109</start>
      <end>116</end>
      <status>ignored</status>
      <modifiedWord/>
      <trackRevisions>false</trackRevisions>
    </reviewItem>
    <reviewItem>
      <errorID>c9c9c48e-1e36-4db4-a4b6-7323782e00a3</errorID>
      <errorWord>，</errorWord>
      <group>L1_Word</group>
      <groupName>字词问题</groupName>
      <ability>L2_Typo</ability>
      <abilityName>字词错误</abilityName>
      <candidateList>
        <item>，对</item>
      </candidateList>
      <explain/>
      <paraID>6CB80E6B</paraID>
      <start>31</start>
      <end>32</end>
      <status>ignored</status>
      <modifiedWord/>
      <trackRevisions>false</trackRevisions>
    </reviewItem>
    <reviewItem>
      <errorID>da0a1352-3981-4908-b0fe-cdaed7ab162d</errorID>
      <errorWord>原住居民</errorWord>
      <group>L1_Sensitive</group>
      <groupName>敏感问题</groupName>
      <ability>L2_Violent</ability>
      <abilityName>暴恐词条</abilityName>
      <candidateList/>
      <explain>【暴恐词条】句中包含暴恐类敏感词条，请注意甄别。</explain>
      <paraID>522C9B01</paraID>
      <start>9</start>
      <end>13</end>
      <status>ignored</status>
      <modifiedWord/>
      <trackRevisions>false</trackRevisions>
    </reviewItem>
    <reviewItem>
      <errorID>ba8bee63-c173-455c-bc54-0d8001e24df7</errorID>
      <errorWord>原住居民</errorWord>
      <group>L1_Sensitive</group>
      <groupName>敏感问题</groupName>
      <ability>L2_Violent</ability>
      <abilityName>暴恐词条</abilityName>
      <candidateList/>
      <explain>【暴恐词条】句中包含暴恐类敏感词条，请注意甄别。</explain>
      <paraID> A3A51C1</paraID>
      <start>5</start>
      <end>9</end>
      <status>ignored</status>
      <modifiedWord/>
      <trackRevisions>false</trackRevisions>
    </reviewItem>
    <reviewItem>
      <errorID>b694cfd1-d670-4606-93de-8575e1c98e45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6D81E154</paraID>
      <start>4</start>
      <end>5</end>
      <status>ignored</status>
      <modifiedWord/>
      <trackRevisions>false</trackRevisions>
    </reviewItem>
    <reviewItem>
      <errorID>466ef258-3c9b-45b0-a400-c89f4df035cf</errorID>
      <errorWord>胜</errorWord>
      <group>L1_Word</group>
      <groupName>字词问题</groupName>
      <ability>L2_Typo</ability>
      <abilityName>字词错误</abilityName>
      <candidateList>
        <item>胜区</item>
      </candidateList>
      <explain/>
      <paraID>3CCC7A18</paraID>
      <start>60</start>
      <end>61</end>
      <status>ignored</status>
      <modifiedWord/>
      <trackRevisions>false</trackRevisions>
    </reviewItem>
    <reviewItem>
      <errorID>b1e8cbb8-7b0f-4b1d-a53a-091ba2687372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46438BB4</paraID>
      <start>0</start>
      <end>2</end>
      <status>ignored</status>
      <modifiedWord/>
      <trackRevisions>false</trackRevisions>
    </reviewItem>
    <reviewItem>
      <errorID>4af01e20-9d77-4545-b5a9-2878cc2be8d3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28535142</paraID>
      <start>0</start>
      <end>2</end>
      <status>ignored</status>
      <modifiedWord/>
      <trackRevisions>false</trackRevisions>
    </reviewItem>
    <reviewItem>
      <errorID>b044e017-02f9-42d7-aa80-96df3850b9e9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1F6114CA</paraID>
      <start>0</start>
      <end>2</end>
      <status>ignored</status>
      <modifiedWord/>
      <trackRevisions>false</trackRevisions>
    </reviewItem>
    <reviewItem>
      <errorID>81224796-8b04-47a2-9177-ae6d31e7921a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6A674B9E</paraID>
      <start>0</start>
      <end>2</end>
      <status>ignored</status>
      <modifiedWord/>
      <trackRevisions>false</trackRevisions>
    </reviewItem>
    <reviewItem>
      <errorID>786790da-b2c3-4b26-95bd-37269f4f6b45</errorID>
      <errorWord>法律、法规</errorWord>
      <group>L1_Word</group>
      <groupName>字词问题</groupName>
      <ability>L2_Typo</ability>
      <abilityName>字词错误</abilityName>
      <candidateList>
        <item>法律法规</item>
      </candidateList>
      <explain/>
      <paraID>4DD09D54</paraID>
      <start>171</start>
      <end>176</end>
      <status>ignored</status>
      <modifiedWord/>
      <trackRevisions>false</trackRevisions>
    </reviewItem>
    <reviewItem>
      <errorID>192acafc-c1e6-4516-a7d2-67eeda5c6121</errorID>
      <errorWord>景物</errorWord>
      <group>L1_Word</group>
      <groupName>字词问题</groupName>
      <ability>L2_Typo</ability>
      <abilityName>字词错误</abilityName>
      <candidateList>
        <item>景区</item>
      </candidateList>
      <explain/>
      <paraID>4573452E</paraID>
      <start>166</start>
      <end>168</end>
      <status>ignored</status>
      <modifiedWord/>
      <trackRevisions>false</trackRevisions>
    </reviewItem>
    <reviewItem>
      <errorID>f5ce56f6-4e34-417f-9ebb-c9bd63b618e1</errorID>
      <errorWord>法律、法规</errorWord>
      <group>L1_Word</group>
      <groupName>字词问题</groupName>
      <ability>L2_Typo</ability>
      <abilityName>字词错误</abilityName>
      <candidateList>
        <item>法律法规</item>
      </candidateList>
      <explain/>
      <paraID>4573452E</paraID>
      <start>211</start>
      <end>216</end>
      <status>ignored</status>
      <modifiedWord/>
      <trackRevisions>false</trackRevisions>
    </reviewItem>
    <reviewItem>
      <errorID>46b96669-d922-4969-9901-1fdd4af63dde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638055BB</paraID>
      <start>0</start>
      <end>2</end>
      <status>ignored</status>
      <modifiedWord/>
      <trackRevisions>false</trackRevisions>
    </reviewItem>
    <reviewItem>
      <errorID>37cf8c51-c9bd-40dc-ad2e-b000837de143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4D65CBB6</paraID>
      <start>0</start>
      <end>2</end>
      <status>ignored</status>
      <modifiedWord/>
      <trackRevisions>false</trackRevisions>
    </reviewItem>
    <reviewItem>
      <errorID>9f57dd95-1dd0-4b7f-9977-1f7e545f9249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5544EAB8</paraID>
      <start>0</start>
      <end>2</end>
      <status>ignored</status>
      <modifiedWord/>
      <trackRevisions>false</trackRevisions>
    </reviewItem>
    <reviewItem>
      <errorID>d29a33dc-b96e-47fa-b138-1330a5db94d5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4FED7A5F</paraID>
      <start>0</start>
      <end>2</end>
      <status>ignored</status>
      <modifiedWord/>
      <trackRevisions>false</trackRevisions>
    </reviewItem>
    <reviewItem>
      <errorID>4e9409ce-e871-4bdb-92ad-0a497a2d9cc0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647C6D12</paraID>
      <start>0</start>
      <end>2</end>
      <status>ignored</status>
      <modifiedWord/>
      <trackRevisions>false</trackRevisions>
    </reviewItem>
    <reviewItem>
      <errorID>27228b10-3002-453b-bc10-339e4b9eabef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14712E39</paraID>
      <start>0</start>
      <end>2</end>
      <status>ignored</status>
      <modifiedWord/>
      <trackRevisions>false</trackRevisions>
    </reviewItem>
    <reviewItem>
      <errorID>9dbe5bcb-4bdc-41e8-ad8c-0c5692553b69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5506FCA6</paraID>
      <start>0</start>
      <end>2</end>
      <status>ignored</status>
      <modifiedWord/>
      <trackRevisions>false</trackRevisions>
    </reviewItem>
    <reviewItem>
      <errorID>b73d2af0-d437-4104-b899-c5cace26c690</errorID>
      <errorWord>保育区</errorWord>
      <group>L1_Word</group>
      <groupName>字词问题</groupName>
      <ability>L2_Typo</ability>
      <abilityName>字词错误</abilityName>
      <candidateList>
        <item>保护区</item>
      </candidateList>
      <explain/>
      <paraID> 5F7E810</paraID>
      <start>177</start>
      <end>180</end>
      <status>unmodified</status>
      <modifiedWord/>
      <trackRevisions>false</trackRevisions>
    </reviewItem>
    <reviewItem>
      <errorID>8c9f125b-96ed-4da6-afd9-a2c502646ed9</errorID>
      <errorWord>区以</errorWord>
      <group>L1_Word</group>
      <groupName>字词问题</groupName>
      <ability>L2_Typo</ability>
      <abilityName>字词错误</abilityName>
      <candidateList>
        <item>区域</item>
      </candidateList>
      <explain>存在发音相近字词的误用。</explain>
      <paraID> 5F7E810</paraID>
      <start>203</start>
      <end>205</end>
      <status>ignored</status>
      <modifiedWord/>
      <trackRevisions>false</trackRevisions>
    </reviewItem>
    <reviewItem>
      <errorID>2558e93d-a6fa-4249-af43-4ab04e9080c7</errorID>
      <errorWord>他的</errorWord>
      <group>L1_Word</group>
      <groupName>字词问题</groupName>
      <ability>L2_Typo</ability>
      <abilityName>字词错误</abilityName>
      <candidateList>
        <item>他</item>
      </candidateList>
      <explain/>
      <paraID> 5F7E810</paraID>
      <start>556</start>
      <end>558</end>
      <status>ignored</status>
      <modifiedWord/>
      <trackRevisions>false</trackRevisions>
    </reviewItem>
    <reviewItem>
      <errorID>f6c24612-476b-426f-99ae-2b16fc54a4ab</errorID>
      <errorWord>他的</errorWord>
      <group>L1_Word</group>
      <groupName>字词问题</groupName>
      <ability>L2_Typo</ability>
      <abilityName>字词错误</abilityName>
      <candidateList>
        <item>他</item>
      </candidateList>
      <explain/>
      <paraID>128E4F4F</paraID>
      <start>195</start>
      <end>197</end>
      <status>ignored</status>
      <modifiedWord/>
      <trackRevisions>false</trackRevisions>
    </reviewItem>
    <reviewItem>
      <errorID>74439429-a2dc-4e92-bdcf-3cd3ff3a7e8d</errorID>
      <errorWord>（</errorWord>
      <group>L1_Word</group>
      <groupName>字词问题</groupName>
      <ability>L2_Typo</ability>
      <abilityName>字词错误</abilityName>
      <candidateList>
        <item>（以</item>
      </candidateList>
      <explain/>
      <paraID>41077723</paraID>
      <start>14</start>
      <end>15</end>
      <status>ignored</status>
      <modifiedWord/>
      <trackRevisions>false</trackRevisions>
    </reviewItem>
    <reviewItem>
      <errorID>b15bf153-6c30-40a1-ba84-7ad3d9fbba1c</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41077723</paraID>
      <start>46</start>
      <end>49</end>
      <status>ignored</status>
      <modifiedWord/>
      <trackRevisions>false</trackRevisions>
    </reviewItem>
    <reviewItem>
      <errorID>f4631727-70fb-44df-9ab6-5c5ce3c82009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7AA1F2FE</paraID>
      <start>160</start>
      <end>163</end>
      <status>ignored</status>
      <modifiedWord/>
      <trackRevisions>false</trackRevisions>
    </reviewItem>
    <reviewItem>
      <errorID>1bfc193d-6802-4ef7-b49b-8b9da810a7a6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5B9B4DAB</paraID>
      <start>0</start>
      <end>2</end>
      <status>ignored</status>
      <modifiedWord/>
      <trackRevisions>false</trackRevisions>
    </reviewItem>
    <reviewItem>
      <errorID>7a5321c5-f807-4d3a-b804-d0845086f7dd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6FFF6FE3</paraID>
      <start>0</start>
      <end>2</end>
      <status>ignored</status>
      <modifiedWord/>
      <trackRevisions>false</trackRevisions>
    </reviewItem>
    <reviewItem>
      <errorID>feb8ad30-879a-42bc-83b0-15a03591cf70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35743E58</paraID>
      <start>0</start>
      <end>2</end>
      <status>ignored</status>
      <modifiedWord/>
      <trackRevisions>false</trackRevisions>
    </reviewItem>
    <reviewItem>
      <errorID>2474b412-718a-4fa8-a69a-a26afe89d65c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47887894</paraID>
      <start>0</start>
      <end>2</end>
      <status>ignored</status>
      <modifiedWord/>
      <trackRevisions>false</trackRevisions>
    </reviewItem>
    <reviewItem>
      <errorID>fbe9c45f-a730-4338-87df-bfd9a771dab0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48DD2D1D</paraID>
      <start>0</start>
      <end>2</end>
      <status>ignored</status>
      <modifiedWord/>
      <trackRevisions>false</trackRevisions>
    </reviewItem>
    <reviewItem>
      <errorID>e42c73e4-4780-4d02-a9fc-2b31a050bd20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681897A9</paraID>
      <start>0</start>
      <end>2</end>
      <status>ignored</status>
      <modifiedWord/>
      <trackRevisions>false</trackRevisions>
    </reviewItem>
    <reviewItem>
      <errorID>2895f527-b12b-4108-a9f3-2c32b0571b3e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31BBB152</paraID>
      <start>0</start>
      <end>2</end>
      <status>ignored</status>
      <modifiedWord/>
      <trackRevisions>false</trackRevisions>
    </reviewItem>
    <reviewItem>
      <errorID>416be291-61d3-469d-afb9-e8879a3f96d9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88E55BC</paraID>
      <start>0</start>
      <end>2</end>
      <status>ignored</status>
      <modifiedWord/>
      <trackRevisions>false</trackRevisions>
    </reviewItem>
    <reviewItem>
      <errorID>1a4a8f30-0e61-451a-bc1a-928d6075823c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3F325989</paraID>
      <start>0</start>
      <end>2</end>
      <status>ignored</status>
      <modifiedWord/>
      <trackRevisions>false</trackRevisions>
    </reviewItem>
    <reviewItem>
      <errorID>3c0a423b-288c-4889-af23-20ad8ae47273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9A1BDF5</paraID>
      <start>0</start>
      <end>2</end>
      <status>ignored</status>
      <modifiedWord/>
      <trackRevisions>false</trackRevisions>
    </reviewItem>
    <reviewItem>
      <errorID>77d1e4c6-4bf7-4cb3-8294-031d03508351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1D0103AC</paraID>
      <start>0</start>
      <end>2</end>
      <status>ignored</status>
      <modifiedWord/>
      <trackRevisions>false</trackRevisions>
    </reviewItem>
    <reviewItem>
      <errorID>b4b1c0e0-d1c4-4824-9115-d0a766dddded</errorID>
      <errorWord>，</errorWord>
      <group>L1_Word</group>
      <groupName>字词问题</groupName>
      <ability>L2_Typo</ability>
      <abilityName>字词错误</abilityName>
      <candidateList>
        <item>，对</item>
      </candidateList>
      <explain/>
      <paraID>54C303A9</paraID>
      <start>34</start>
      <end>35</end>
      <status>unmodified</status>
      <modifiedWord/>
      <trackRevisions>false</trackRevisions>
    </reviewItem>
    <reviewItem>
      <errorID>bc80bb7d-f6f2-4f54-ba9c-e7ab01575eb4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2D118FC9</paraID>
      <start>0</start>
      <end>2</end>
      <status>ignored</status>
      <modifiedWord/>
      <trackRevisions>false</trackRevisions>
    </reviewItem>
    <reviewItem>
      <errorID>e5646241-1fc6-45ed-83c7-a5476d76e7e4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15C5CC8B</paraID>
      <start>0</start>
      <end>2</end>
      <status>unmodified</status>
      <modifiedWord/>
      <trackRevisions>false</trackRevisions>
    </reviewItem>
    <reviewItem>
      <errorID>100b6deb-df42-4053-96c5-200df15085d5</errorID>
      <errorWord>法律、法规</errorWord>
      <group>L1_Word</group>
      <groupName>字词问题</groupName>
      <ability>L2_Typo</ability>
      <abilityName>字词错误</abilityName>
      <candidateList>
        <item>法律法规</item>
      </candidateList>
      <explain/>
      <paraID>15C5CC8B</paraID>
      <start>31</start>
      <end>36</end>
      <status>unmodified</status>
      <modifiedWord/>
      <trackRevisions>false</trackRevisions>
    </reviewItem>
    <reviewItem>
      <errorID>8e598e57-8956-4c1c-a5f9-ca15644b8829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60449EA6</paraID>
      <start>0</start>
      <end>2</end>
      <status>unmodified</status>
      <modifiedWord/>
      <trackRevisions>false</trackRevisions>
    </reviewItem>
    <reviewItem>
      <errorID>2c62eb64-04ba-4862-bf23-872af7464917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43874250</paraID>
      <start>0</start>
      <end>2</end>
      <status>unmodified</status>
      <modifiedWord/>
      <trackRevisions>false</trackRevisions>
    </reviewItem>
    <reviewItem>
      <errorID>3707f56a-2f71-42ca-891e-f0d534f45169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3707C224</paraID>
      <start>0</start>
      <end>2</end>
      <status>unmodified</status>
      <modifiedWord/>
      <trackRevisions>false</trackRevisions>
    </reviewItem>
    <reviewItem>
      <errorID>65c70ccd-4cad-4134-9bd4-1c93747df449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3FAFB911</paraID>
      <start>0</start>
      <end>2</end>
      <status>unmodified</status>
      <modifiedWord/>
      <trackRevisions>false</trackRevisions>
    </reviewItem>
    <reviewItem>
      <errorID>dbc69405-4bf0-4f2c-aa2d-068837b8f7c9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53085B6F</paraID>
      <start>0</start>
      <end>2</end>
      <status>unmodified</status>
      <modifiedWord/>
      <trackRevisions>false</trackRevisions>
    </reviewItem>
    <reviewItem>
      <errorID>e4b3ee57-3a25-49e5-bcdf-a760b90ce74c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2A897AE</paraID>
      <start>0</start>
      <end>2</end>
      <status>unmodified</status>
      <modifiedWord/>
      <trackRevisions>false</trackRevisions>
    </reviewItem>
    <reviewItem>
      <errorID>5ed97153-1390-4bde-b32b-e899c7a3e4d6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546A42B2</paraID>
      <start>0</start>
      <end>2</end>
      <status>unmodified</status>
      <modifiedWord/>
      <trackRevisions>false</trackRevisions>
    </reviewItem>
    <reviewItem>
      <errorID>2ab204bc-9620-4be9-840c-88058ee473b8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506A90CF</paraID>
      <start>0</start>
      <end>2</end>
      <status>unmodified</status>
      <modifiedWord/>
      <trackRevisions>false</trackRevisions>
    </reviewItem>
    <reviewItem>
      <errorID>bf09fc18-b75f-4249-890f-d049d30e7db8</errorID>
      <errorWord>法律、法规</errorWord>
      <group>L1_Word</group>
      <groupName>字词问题</groupName>
      <ability>L2_Typo</ability>
      <abilityName>字词错误</abilityName>
      <candidateList>
        <item>法律法规</item>
      </candidateList>
      <explain/>
      <paraID>506A90CF</paraID>
      <start>92</start>
      <end>97</end>
      <status>unmodified</status>
      <modifiedWord/>
      <trackRevisions>false</trackRevisions>
    </reviewItem>
    <reviewItem>
      <errorID>547b2bfe-4d3d-465a-809f-70ebd0fe5a2e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5F453B96</paraID>
      <start>0</start>
      <end>2</end>
      <status>unmodified</status>
      <modifiedWord/>
      <trackRevisions>false</trackRevisions>
    </reviewItem>
    <reviewItem>
      <errorID>742848d0-dcfc-42f0-a661-1cdf39f2c34c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4894660</paraID>
      <start>0</start>
      <end>2</end>
      <status>unmodified</status>
      <modifiedWord/>
      <trackRevisions>false</trackRevisions>
    </reviewItem>
    <reviewItem>
      <errorID>b79a5bf4-d3fb-4a4e-a3dc-1f58d52d3346</errorID>
      <errorWord>法律、法规</errorWord>
      <group>L1_Word</group>
      <groupName>字词问题</groupName>
      <ability>L2_Typo</ability>
      <abilityName>字词错误</abilityName>
      <candidateList>
        <item>法律法规</item>
      </candidateList>
      <explain/>
      <paraID> 4894660</paraID>
      <start>88</start>
      <end>93</end>
      <status>unmodified</status>
      <modifiedWord/>
      <trackRevisions>false</trackRevisions>
    </reviewItem>
    <reviewItem>
      <errorID>a616d46c-97cc-4b6c-8ff5-bf2ce1913acd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10A0D7AA</paraID>
      <start>0</start>
      <end>2</end>
      <status>unmodified</status>
      <modifiedWord/>
      <trackRevisions>false</trackRevisions>
    </reviewItem>
    <reviewItem>
      <errorID>d904e7b5-45c7-4808-9f27-e41984138113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57E4A7C</paraID>
      <start>0</start>
      <end>2</end>
      <status>unmodified</status>
      <modifiedWord/>
      <trackRevisions>false</trackRevisions>
    </reviewItem>
    <reviewItem>
      <errorID>8fc9d189-ed44-4cd8-95de-0f68ad600db8</errorID>
      <errorWord>法律、法规</errorWord>
      <group>L1_Word</group>
      <groupName>字词问题</groupName>
      <ability>L2_Typo</ability>
      <abilityName>字词错误</abilityName>
      <candidateList>
        <item>法律法规</item>
      </candidateList>
      <explain/>
      <paraID> 57E4A7C</paraID>
      <start>88</start>
      <end>93</end>
      <status>unmodified</status>
      <modifiedWord/>
      <trackRevisions>false</trackRevisions>
    </reviewItem>
    <reviewItem>
      <errorID>257fb150-9994-4526-8940-310c3af2ca25</errorID>
      <errorWord>求</errorWord>
      <group>L1_Word</group>
      <groupName>字词问题</groupName>
      <ability>L2_Typo</ability>
      <abilityName>字词错误</abilityName>
      <candidateList>
        <item>求和</item>
      </candidateList>
      <explain/>
      <paraID>13735ABE</paraID>
      <start>53</start>
      <end>54</end>
      <status>unmodified</status>
      <modifiedWord/>
      <trackRevisions>false</trackRevisions>
    </reviewItem>
    <reviewItem>
      <errorID>c635df5c-901a-4343-b1e5-b4ab0952748e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1C335392</paraID>
      <start>0</start>
      <end>2</end>
      <status>unmodified</status>
      <modifiedWord/>
      <trackRevisions>false</trackRevisions>
    </reviewItem>
    <reviewItem>
      <errorID>c02b4bea-5cd9-4b42-8c95-22ac6b16f767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7819DA3B</paraID>
      <start>0</start>
      <end>2</end>
      <status>unmodified</status>
      <modifiedWord/>
      <trackRevisions>false</trackRevisions>
    </reviewItem>
    <reviewItem>
      <errorID>ed7c5fa9-f888-4ba8-91e7-5090e8eaff8c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12D6139B</paraID>
      <start>0</start>
      <end>2</end>
      <status>unmodified</status>
      <modifiedWord/>
      <trackRevisions>false</trackRevisions>
    </reviewItem>
    <reviewItem>
      <errorID>c3035e75-ff8c-473b-8b3f-e0d8ca3c8761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39BAD2B0</paraID>
      <start>0</start>
      <end>2</end>
      <status>unmodified</status>
      <modifiedWord/>
      <trackRevisions>false</trackRevisions>
    </reviewItem>
    <reviewItem>
      <errorID>9a8259d8-6a1d-4ed4-a1af-ae0d873550bc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1DB6BF0D</paraID>
      <start>0</start>
      <end>2</end>
      <status>unmodified</status>
      <modifiedWord/>
      <trackRevisions>false</trackRevisions>
    </reviewItem>
    <reviewItem>
      <errorID>4259b338-0f07-4ec1-b51d-6886e510158d</errorID>
      <errorWord>排水</errorWord>
      <group>L1_Word</group>
      <groupName>字词问题</groupName>
      <ability>L2_Typo</ability>
      <abilityName>字词错误</abilityName>
      <candidateList>
        <item>污水</item>
      </candidateList>
      <explain/>
      <paraID>1DB6BF0D</paraID>
      <start>179</start>
      <end>181</end>
      <status>unmodified</status>
      <modifiedWord/>
      <trackRevisions>false</trackRevisions>
    </reviewItem>
    <reviewItem>
      <errorID>47fd6fa0-b946-462d-b03d-624f506e3431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6CC0C80</paraID>
      <start>0</start>
      <end>2</end>
      <status>unmodified</status>
      <modifiedWord/>
      <trackRevisions>false</trackRevisions>
    </reviewItem>
    <reviewItem>
      <errorID>292ce9f6-a8cb-4e02-ad2d-e829dc4f07b4</errorID>
      <errorWord>期</errorWord>
      <group>L1_Word</group>
      <groupName>字词问题</groupName>
      <ability>L2_Typo</ability>
      <abilityName>字词错误</abilityName>
      <candidateList>
        <item>期间</item>
      </candidateList>
      <explain>〈名〉某个时期里面：农忙～｜春节～｜抗战～。</explain>
      <paraID>511E3B33</paraID>
      <start>2</start>
      <end>4</end>
      <status>modified</status>
      <modifiedWord>期间</modifiedWord>
      <trackRevisions>false</trackRevisions>
    </reviewItem>
    <reviewItem>
      <errorID>7502f63a-a51c-42d1-ae5b-469f449ec741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3885F532</paraID>
      <start>77</start>
      <end>80</end>
      <status>ignored</status>
      <modifiedWord/>
      <trackRevisions>false</trackRevisions>
    </reviewItem>
    <reviewItem>
      <errorID>2dc67066-517d-482b-915c-2d1ffbd5b5fc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3885F532</paraID>
      <start>87</start>
      <end>90</end>
      <status>ignored</status>
      <modifiedWord/>
      <trackRevisions>false</trackRevisions>
    </reviewItem>
    <reviewItem>
      <errorID>c3406e2e-90fa-4fac-b9e1-bb5723c6ef38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1EFD81D7</paraID>
      <start>0</start>
      <end>2</end>
      <status>unmodified</status>
      <modifiedWord/>
      <trackRevisions>false</trackRevisions>
    </reviewItem>
    <reviewItem>
      <errorID>23a547f0-573d-4f8a-bbcb-fec5e3131373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796DD898</paraID>
      <start>0</start>
      <end>2</end>
      <status>unmodified</status>
      <modifiedWord/>
      <trackRevisions>false</trackRevisions>
    </reviewItem>
    <reviewItem>
      <errorID>f7d92aa5-1804-4941-a1ab-5e267248b7c5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61B2ABF</paraID>
      <start>0</start>
      <end>2</end>
      <status>unmodified</status>
      <modifiedWord/>
      <trackRevisions>false</trackRevisions>
    </reviewItem>
    <reviewItem>
      <errorID>ed46ade3-3bbf-41a1-8540-4deed28bb517</errorID>
      <errorWord>法律、法规</errorWord>
      <group>L1_Word</group>
      <groupName>字词问题</groupName>
      <ability>L2_Typo</ability>
      <abilityName>字词错误</abilityName>
      <candidateList>
        <item>法律法规</item>
      </candidateList>
      <explain/>
      <paraID>1999E8FB</paraID>
      <start>3</start>
      <end>8</end>
      <status>unmodified</status>
      <modifiedWord/>
      <trackRevisions>false</trackRevisions>
    </reviewItem>
    <reviewItem>
      <errorID>1310e145-0cba-4661-af6f-58566c26633f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53EC4721</paraID>
      <start>0</start>
      <end>2</end>
      <status>unmodified</status>
      <modifiedWord/>
      <trackRevisions>false</trackRevisions>
    </reviewItem>
    <reviewItem>
      <errorID>366a4bd1-205b-4fc5-871e-6ac505bd2575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2A71A823</paraID>
      <start>0</start>
      <end>2</end>
      <status>unmodified</status>
      <modifiedWord/>
      <trackRevisions>false</trackRevisions>
    </reviewItem>
    <reviewItem>
      <errorID>3937c41d-ba32-4af9-b5c0-25d21325db69</errorID>
      <errorWord>,</errorWord>
      <group>L1_Format</group>
      <groupName>格式问题</groupName>
      <ability>L2_HalfPunc</ability>
      <abilityName>全半角检查</abilityName>
      <candidateList>
        <item>，</item>
      </candidateList>
      <explain>文本全半角错误。</explain>
      <paraID>2EF688CD</paraID>
      <start>84</start>
      <end>85</end>
      <status>unmodified</status>
      <modifiedWord/>
      <trackRevisions>false</trackRevisions>
    </reviewItem>
    <reviewItem>
      <errorID>05cb48c5-91be-43aa-8cee-b2da02b7dabb</errorID>
      <errorWord>噪音</errorWord>
      <group>L1_Word</group>
      <groupName>字词问题</groupName>
      <ability>L2_Alias</ability>
      <abilityName>也作/曾用词</abilityName>
      <candidateList>
        <item>噪声</item>
      </candidateList>
      <explain>词汇[噪音]为不规范表述或旧称，其规范书面表述为[噪声]。</explain>
      <paraID>41762D8B</paraID>
      <start>7</start>
      <end>9</end>
      <status>unmodified</status>
      <modifiedWord/>
      <trackRevisions>false</trackRevisions>
    </reviewItem>
    <reviewItem>
      <errorID>2238ab58-6595-4a4e-92ac-a6475fa70b79</errorID>
      <errorWord>程</errorWord>
      <group>L1_Word</group>
      <groupName>字词问题</groupName>
      <ability>L2_Typo</ability>
      <abilityName>字词错误</abilityName>
      <candidateList>
        <item>程中</item>
      </candidateList>
      <explain/>
      <paraID>3C34F1AF</paraID>
      <start>29</start>
      <end>30</end>
      <status>unmodified</status>
      <modifiedWord/>
      <trackRevisions>false</trackRevisions>
    </reviewItem>
    <reviewItem>
      <errorID>398932a9-bc2c-44c8-8133-c9dfe3d9fe16</errorID>
      <errorWord>程</errorWord>
      <group>L1_Word</group>
      <groupName>字词问题</groupName>
      <ability>L2_Typo</ability>
      <abilityName>字词错误</abilityName>
      <candidateList>
        <item>程中</item>
      </candidateList>
      <explain/>
      <paraID>3C34F1AF</paraID>
      <start>75</start>
      <end>76</end>
      <status>unmodified</status>
      <modifiedWord/>
      <trackRevisions>false</trackRevisions>
    </reviewItem>
    <reviewItem>
      <errorID>d1f7cb17-cfd2-48c7-aeeb-0ed9a6f34005</errorID>
      <errorWord>，</errorWord>
      <group>L1_Word</group>
      <groupName>字词问题</groupName>
      <ability>L2_Typo</ability>
      <abilityName>字词错误</abilityName>
      <candidateList>
        <item>，由</item>
      </candidateList>
      <explain/>
      <paraID>54B3D3D0</paraID>
      <start>21</start>
      <end>22</end>
      <status>unmodified</status>
      <modifiedWord/>
      <trackRevisions>false</trackRevisions>
    </reviewItem>
    <reviewItem>
      <errorID>2260cb14-4957-4f4f-9dc0-30dfe60e82db</errorID>
      <errorWord>-</errorWord>
      <group>L1_Format</group>
      <groupName>格式问题</groupName>
      <ability>L2_HalfPunc</ability>
      <abilityName>全半角检查</abilityName>
      <candidateList>
        <item>－</item>
      </candidateList>
      <explain>文本全半角错误。</explain>
      <paraID>28853671</paraID>
      <start>92</start>
      <end>93</end>
      <status>unmodified</status>
      <modifiedWord/>
      <trackRevisions>false</trackRevisions>
    </reviewItem>
    <reviewItem>
      <errorID>3f452e06-8aef-470a-8cb9-f65a1db9f808</errorID>
      <errorWord>-</errorWord>
      <group>L1_Format</group>
      <groupName>格式问题</groupName>
      <ability>L2_HalfPunc</ability>
      <abilityName>全半角检查</abilityName>
      <candidateList>
        <item>－</item>
      </candidateList>
      <explain>文本全半角错误。</explain>
      <paraID>28853671</paraID>
      <start>95</start>
      <end>96</end>
      <status>unmodified</status>
      <modifiedWord/>
      <trackRevisions>false</trackRevisions>
    </reviewItem>
    <reviewItem>
      <errorID>5fc5d5b5-828a-43d0-9e12-e01e8954738f</errorID>
      <errorWord>-</errorWord>
      <group>L1_Format</group>
      <groupName>格式问题</groupName>
      <ability>L2_HalfPunc</ability>
      <abilityName>全半角检查</abilityName>
      <candidateList>
        <item>－</item>
      </candidateList>
      <explain>文本全半角错误。</explain>
      <paraID>28853671</paraID>
      <start>98</start>
      <end>99</end>
      <status>unmodified</status>
      <modifiedWord/>
      <trackRevisions>false</trackRevisions>
    </reviewItem>
    <reviewItem>
      <errorID>63aaf447-f608-4fea-9b8b-c06250779264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7D4601A0</paraID>
      <start>0</start>
      <end>2</end>
      <status>unmodified</status>
      <modifiedWord/>
      <trackRevisions>false</trackRevisions>
    </reviewItem>
    <reviewItem>
      <errorID>27a02325-24e4-41f1-b9b6-68d5ab001c72</errorID>
      <errorWord>，</errorWord>
      <group>L1_Word</group>
      <groupName>字词问题</groupName>
      <ability>L2_Typo</ability>
      <abilityName>字词错误</abilityName>
      <candidateList>
        <item>，因</item>
      </candidateList>
      <explain/>
      <paraID>4DEAC9E6</paraID>
      <start>93</start>
      <end>94</end>
      <status>unmodified</status>
      <modifiedWord/>
      <trackRevisions>false</trackRevisions>
    </reviewItem>
    <reviewItem>
      <errorID>f0d199c7-5d63-4273-91fb-93674d59bce3</errorID>
      <errorWord>新疆维吾尔自治区环境保护条例</errorWord>
      <group>L1_Knowledge</group>
      <groupName>知识性问题</groupName>
      <ability>L2_Knowledge</ability>
      <abilityName>其他知识</abilityName>
      <candidateList>
        <item>《新疆维吾尔自治区环境保护条例》</item>
      </candidateList>
      <explain>完整法律法规名称需要加书名号，请注意检查。</explain>
      <paraID>47B3FBDB</paraID>
      <start>0</start>
      <end>14</end>
      <status>unmodified</status>
      <modifiedWord/>
      <trackRevisions>false</trackRevisions>
    </reviewItem>
    <reviewItem>
      <errorID>e6ca8274-f61a-44ec-858f-e7e0321279bc</errorID>
      <errorWord>项目标准</errorWord>
      <group>L1_Knowledge</group>
      <groupName>知识性问题</groupName>
      <ability>L2_Term</ability>
      <abilityName>专业术语</abilityName>
      <candidateList>
        <item>项目核准</item>
      </candidateList>
      <explain/>
      <paraID>1617417B</paraID>
      <start>105</start>
      <end>109</end>
      <status>unmodified</status>
      <modifiedWord/>
      <trackRevisions>false</trackRevisions>
    </reviewItem>
    <reviewItem>
      <errorID>d2fbedff-4406-4b56-bace-175e9fc23296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4131F0CF</paraID>
      <start>0</start>
      <end>2</end>
      <status>modified</status>
      <modifiedWord>1.</modifiedWord>
      <trackRevisions>false</trackRevisions>
    </reviewItem>
    <reviewItem>
      <errorID>fb67182a-efb5-47ba-ba8c-01755aa460c1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33F00EAA</paraID>
      <start>0</start>
      <end>2</end>
      <status>modified</status>
      <modifiedWord>2.</modifiedWord>
      <trackRevisions>false</trackRevisions>
    </reviewItem>
    <reviewItem>
      <errorID>88e5bd96-5271-4a0a-a590-64eb0603bfff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1B5E2CBA</paraID>
      <start>18</start>
      <end>19</end>
      <status>modified</status>
      <modifiedWord>—</modifiedWord>
      <trackRevisions>false</trackRevisions>
    </reviewItem>
    <reviewItem>
      <errorID>5b58633f-ae62-4b2c-b348-328d4e06ac8a</errorID>
      <errorWord>-</errorWord>
      <group>L1_Format</group>
      <groupName>格式问题</groupName>
      <ability>L2_HalfPunc</ability>
      <abilityName>全半角检查</abilityName>
      <candidateList>
        <item>－</item>
      </candidateList>
      <explain>文本全半角错误。</explain>
      <paraID> 6E69E2F</paraID>
      <start>110</start>
      <end>111</end>
      <status>modified</status>
      <modifiedWord>－</modifiedWord>
      <trackRevisions>false</trackRevisions>
    </reviewItem>
    <reviewItem>
      <errorID>b6e415a7-acec-48d1-a6f1-f37664617fa0</errorID>
      <errorWord>绿色发展的理念</errorWord>
      <group>L1_Political</group>
      <groupName>政治性问题</groupName>
      <ability>L2_Keyword</ability>
      <abilityName>固定表述</abilityName>
      <candidateList>
        <item>绿色发展理念</item>
      </candidateList>
      <explain>词汇“绿色发展理念”在特定场景下为固定表述形式，请确认此处的“绿色发展的理念”是否存在不当。</explain>
      <paraID>584F36E8</paraID>
      <start>63</start>
      <end>69</end>
      <status>modified</status>
      <modifiedWord>绿色发展理念</modifiedWord>
      <trackRevisions>false</trackRevisions>
    </reviewItem>
    <reviewItem>
      <errorID>dcf7097e-cc37-4da9-b7b1-2593b043d560</errorID>
      <errorWord>;</errorWord>
      <group>L1_Format</group>
      <groupName>格式问题</groupName>
      <ability>L2_HalfPunc</ability>
      <abilityName>全半角检查</abilityName>
      <candidateList>
        <item>；</item>
      </candidateList>
      <explain>文本全半角错误。</explain>
      <paraID>78B9BDF4</paraID>
      <start>78</start>
      <end>79</end>
      <status>modified</status>
      <modifiedWord>；</modifiedWord>
      <trackRevisions>false</trackRevisions>
    </reviewItem>
    <reviewItem>
      <errorID>ecf24ff8-0ed8-4911-aeb2-5cabdc54ef00</errorID>
      <errorWord>;</errorWord>
      <group>L1_Format</group>
      <groupName>格式问题</groupName>
      <ability>L2_HalfPunc</ability>
      <abilityName>全半角检查</abilityName>
      <candidateList>
        <item>；</item>
      </candidateList>
      <explain>文本全半角错误。</explain>
      <paraID>78B9BDF4</paraID>
      <start>110</start>
      <end>111</end>
      <status>modified</status>
      <modifiedWord>；</modifiedWord>
      <trackRevisions>false</trackRevisions>
    </reviewItem>
    <reviewItem>
      <errorID>cd580f15-2562-44ce-a8fe-601146dcab30</errorID>
      <errorWord>;</errorWord>
      <group>L1_Format</group>
      <groupName>格式问题</groupName>
      <ability>L2_HalfPunc</ability>
      <abilityName>全半角检查</abilityName>
      <candidateList>
        <item>；</item>
      </candidateList>
      <explain>文本全半角错误。</explain>
      <paraID>78B9BDF4</paraID>
      <start>158</start>
      <end>159</end>
      <status>modified</status>
      <modifiedWord>；</modifiedWord>
      <trackRevisions>false</trackRevisions>
    </reviewItem>
    <reviewItem>
      <errorID>235c9ad8-c428-413e-8abf-a82c9d1472a4</errorID>
      <errorWord>;</errorWord>
      <group>L1_Format</group>
      <groupName>格式问题</groupName>
      <ability>L2_HalfPunc</ability>
      <abilityName>全半角检查</abilityName>
      <candidateList>
        <item>；</item>
      </candidateList>
      <explain>文本全半角错误。</explain>
      <paraID>78B9BDF4</paraID>
      <start>228</start>
      <end>229</end>
      <status>modified</status>
      <modifiedWord>；</modifiedWord>
      <trackRevisions>false</trackRevisions>
    </reviewItem>
    <reviewItem>
      <errorID>e951e0af-f2e8-4ccb-9aee-2038498f0cb0</errorID>
      <errorWord>绿色发展的理念</errorWord>
      <group>L1_Political</group>
      <groupName>政治性问题</groupName>
      <ability>L2_Keyword</ability>
      <abilityName>固定表述</abilityName>
      <candidateList>
        <item>绿色发展理念</item>
      </candidateList>
      <explain>词汇“绿色发展理念”在特定场景下为固定表述形式，请确认此处的“绿色发展的理念”是否存在不当。</explain>
      <paraID> 18F4979</paraID>
      <start>166</start>
      <end>172</end>
      <status>modified</status>
      <modifiedWord>绿色发展理念</modifiedWord>
      <trackRevisions>false</trackRevisions>
    </reviewItem>
    <reviewItem>
      <errorID>e1d19e8d-f670-489a-a1bd-764369ec70be</errorID>
      <errorWord>》</errorWord>
      <group>L1_Word</group>
      <groupName>字词问题</groupName>
      <ability>L2_Typo</ability>
      <abilityName>字词错误</abilityName>
      <candidateList>
        <item>》和</item>
      </candidateList>
      <explain/>
      <paraID>76BAC119</paraID>
      <start>17</start>
      <end>19</end>
      <status>modified</status>
      <modifiedWord>》和</modifiedWord>
      <trackRevisions>false</trackRevisions>
    </reviewItem>
    <reviewItem>
      <errorID>db214609-3f98-46d6-a2e1-fcdf80eda27e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4CAABB78</paraID>
      <start>0</start>
      <end>2</end>
      <status>modified</status>
      <modifiedWord>1.</modifiedWord>
      <trackRevisions>false</trackRevisions>
    </reviewItem>
    <reviewItem>
      <errorID>fa7eae1f-8493-4a19-9704-045e0d1ec2b2</errorID>
      <errorWord>全面遮盖</errorWord>
      <group>L1_Political</group>
      <groupName>政治性问题</groupName>
      <ability>L2_Keyword</ability>
      <abilityName>固定表述</abilityName>
      <candidateList>
        <item>全面覆盖</item>
      </candidateList>
      <explain>词汇“全面覆盖”在特定场景下为固定表述形式，请确认此处的“全面遮盖”是否存在不当。</explain>
      <paraID> A45ECE6</paraID>
      <start>27</start>
      <end>31</end>
      <status>ignored</status>
      <modifiedWord/>
      <trackRevisions>false</trackRevisions>
    </reviewItem>
    <reviewItem>
      <errorID>11a02935-70b5-4b15-91bf-6294c0597fce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56A83A6E</paraID>
      <start>0</start>
      <end>2</end>
      <status>modified</status>
      <modifiedWord>2.</modifiedWord>
      <trackRevisions>false</trackRevisions>
    </reviewItem>
    <reviewItem>
      <errorID>1150bfe9-c427-4403-8f8a-2cad6975fda0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5A75123B</paraID>
      <start>4</start>
      <end>5</end>
      <status>modified</status>
      <modifiedWord>—</modifiedWord>
      <trackRevisions>false</trackRevisions>
    </reviewItem>
    <reviewItem>
      <errorID>cadcf57e-9913-434b-9505-d6528d65004e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23CE7EF5</paraID>
      <start>0</start>
      <end>2</end>
      <status>modified</status>
      <modifiedWord>3.</modifiedWord>
      <trackRevisions>false</trackRevisions>
    </reviewItem>
    <reviewItem>
      <errorID>e0905875-f0e7-4208-87ee-cd4a109f9b8e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1E8CD657</paraID>
      <start>0</start>
      <end>2</end>
      <status>modified</status>
      <modifiedWord>4.</modifiedWord>
      <trackRevisions>false</trackRevisions>
    </reviewItem>
    <reviewItem>
      <errorID>ce7bd724-a4cd-4932-b04e-2391e49eff9a</errorID>
      <errorWord>-</errorWord>
      <group>L1_Format</group>
      <groupName>格式问题</groupName>
      <ability>L2_HalfPunc</ability>
      <abilityName>全半角检查</abilityName>
      <candidateList>
        <item>－</item>
      </candidateList>
      <explain>文本全半角错误。</explain>
      <paraID>7B74FCF6</paraID>
      <start>35</start>
      <end>36</end>
      <status>modified</status>
      <modifiedWord>－</modifiedWord>
      <trackRevisions>false</trackRevisions>
    </reviewItem>
    <reviewItem>
      <errorID>2e06ff61-c374-4e1c-abbf-6ab9d0c3d1ef</errorID>
      <errorWord>具</errorWord>
      <group>L1_Word</group>
      <groupName>字词问题</groupName>
      <ability>L2_Typo</ability>
      <abilityName>字词错误</abilityName>
      <candidateList>
        <item>具有</item>
      </candidateList>
      <explain>〈动〉有（多用于抽象事物）：～信心｜～伟大的意义。</explain>
      <paraID>7B74FCF6</paraID>
      <start>161</start>
      <end>163</end>
      <status>modified</status>
      <modifiedWord>具有</modifiedWord>
      <trackRevisions>false</trackRevisions>
    </reviewItem>
    <reviewItem>
      <errorID>21b03374-07c8-4a5c-a320-c5fd96d9f7d5</errorID>
      <errorWord>1.0-2.5%</errorWord>
      <group>L1_Knowledge</group>
      <groupName>知识性问题</groupName>
      <ability>L2_Knowledge</ability>
      <abilityName>其他知识</abilityName>
      <candidateList>
        <item>1.0%—2.5%</item>
      </candidateList>
      <explain>1. “1.0-2.5%”中的单位“%”仅出现在后一个数字上，容易引起歧义；根据《现代汉语标点符号数字用法规范手册》，数字表示范围两边需要使用统一的格式。2. 根据标点国标 4.13 中的规则，数字、时间或地域连接符应使用（视觉上更长的）“—”或“～”。</explain>
      <paraID>73B26FCA</paraID>
      <start>26</start>
      <end>35</end>
      <status>modified</status>
      <modifiedWord>1.0%—2.5%</modifiedWord>
      <trackRevisions>false</trackRevisions>
    </reviewItem>
    <reviewItem>
      <errorID>6ba85a45-8465-4ad5-b442-91e5ec0c81b3</errorID>
      <errorWord>结品性</errorWord>
      <group>L1_Word</group>
      <groupName>字词问题</groupName>
      <ability>L2_Typo</ability>
      <abilityName>字词错误</abilityName>
      <candidateList>
        <item>结晶性</item>
      </candidateList>
      <explain/>
      <paraID>73B26FCA</paraID>
      <start>64</start>
      <end>67</end>
      <status>modified</status>
      <modifiedWord>结晶性</modifiedWord>
      <trackRevisions>false</trackRevisions>
    </reviewItem>
    <reviewItem>
      <errorID>8cb50206-1bac-42a5-bbc7-5cb3774ad7bd</errorID>
      <errorWord>1~4%</errorWord>
      <group>L1_Knowledge</group>
      <groupName>知识性问题</groupName>
      <ability>L2_Knowledge</ability>
      <abilityName>其他知识</abilityName>
      <candidateList>
        <item>1%～4%</item>
      </candidateList>
      <explain>1. “1~4%”中的单位“%”仅出现在后一个数字上，容易引起歧义；根据《现代汉语标点符号数字用法规范手册》，数字表示范围两边需要使用统一的格式。2. 根据标点国标 4.13 中的规则，数字、时间或地域连接符应使用（视觉上更长的）“—”或“～”。</explain>
      <paraID>73B26FCA</paraID>
      <start>123</start>
      <end>128</end>
      <status>modified</status>
      <modifiedWord>1%～4%</modifiedWord>
      <trackRevisions>false</trackRevisions>
    </reviewItem>
    <reviewItem>
      <errorID>85a68317-863e-4993-95d3-31ed57b8c226</errorID>
      <errorWord>结品</errorWord>
      <group>L1_Word</group>
      <groupName>字词问题</groupName>
      <ability>L2_Typo</ability>
      <abilityName>字词错误</abilityName>
      <candidateList>
        <item>结晶</item>
      </candidateList>
      <explain/>
      <paraID>73B26FCA</paraID>
      <start>377</start>
      <end>379</end>
      <status>modified</status>
      <modifiedWord>结晶</modifiedWord>
      <trackRevisions>false</trackRevisions>
    </reviewItem>
    <reviewItem>
      <errorID>b9f978ff-76d8-4283-9ad1-1221dbe9b3ae</errorID>
      <errorWord>1.8~2.5%</errorWord>
      <group>L1_Knowledge</group>
      <groupName>知识性问题</groupName>
      <ability>L2_Knowledge</ability>
      <abilityName>其他知识</abilityName>
      <candidateList>
        <item>1.8%～2.5%</item>
      </candidateList>
      <explain>1. “1.8~2.5%”中的单位“%”仅出现在后一个数字上，容易引起歧义；根据《现代汉语标点符号数字用法规范手册》，数字表示范围两边需要使用统一的格式。2. 根据标点国标 4.13 中的规则，数字、时间或地域连接符应使用（视觉上更长的）“—”或“～”。</explain>
      <paraID>73B26FCA</paraID>
      <start>393</start>
      <end>402</end>
      <status>modified</status>
      <modifiedWord>1.8%～2.5%</modifiedWord>
      <trackRevisions>false</trackRevisions>
    </reviewItem>
    <reviewItem>
      <errorID>b87d9453-9e04-42cc-ac53-5ec7dba359e5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4E3F5D09</paraID>
      <start>0</start>
      <end>2</end>
      <status>modified</status>
      <modifiedWord>3.</modifiedWord>
      <trackRevisions>false</trackRevisions>
    </reviewItem>
    <reviewItem>
      <errorID>d30fe551-2b7c-4249-be6d-1bd666272c3a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6E87F007</paraID>
      <start>79</start>
      <end>80</end>
      <status>modified</status>
      <modifiedWord>—</modifiedWord>
      <trackRevisions>false</trackRevisions>
    </reviewItem>
    <reviewItem>
      <errorID>411c630d-0635-4bf5-b313-9ca0ad0b1665</errorID>
      <errorWord>主要以废旧物资回收企业为主</errorWord>
      <group>L1_Word</group>
      <groupName>字词问题</groupName>
      <ability>L2_Typo</ability>
      <abilityName>字词错误</abilityName>
      <candidateList>
        <item>以废旧物资回收企业为主</item>
      </candidateList>
      <explain/>
      <paraID>3A86E807</paraID>
      <start>56</start>
      <end>67</end>
      <status>modified</status>
      <modifiedWord>以废旧物资回收企业为主</modifiedWord>
      <trackRevisions>false</trackRevisions>
    </reviewItem>
    <reviewItem>
      <errorID>de227942-023b-4fb6-b1a8-293184b3b555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7F883B27</paraID>
      <start>0</start>
      <end>2</end>
      <status>modified</status>
      <modifiedWord>1.</modifiedWord>
      <trackRevisions>false</trackRevisions>
    </reviewItem>
    <reviewItem>
      <errorID>95563e8c-9c75-4840-9bf7-4f01f513b2d2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7566B1D4</paraID>
      <start>0</start>
      <end>2</end>
      <status>modified</status>
      <modifiedWord>2.</modifiedWord>
      <trackRevisions>false</trackRevisions>
    </reviewItem>
    <reviewItem>
      <errorID>505c119a-74fe-4ec3-91d4-ccb78368b954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2A7ABBD3</paraID>
      <start>0</start>
      <end>2</end>
      <status>modified</status>
      <modifiedWord>3.</modifiedWord>
      <trackRevisions>false</trackRevisions>
    </reviewItem>
    <reviewItem>
      <errorID>160ef510-288f-461e-8259-704847aec5ae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A41DAF9</paraID>
      <start>0</start>
      <end>2</end>
      <status>modified</status>
      <modifiedWord>4.</modifiedWord>
      <trackRevisions>false</trackRevisions>
    </reviewItem>
    <reviewItem>
      <errorID>cdb4cbd5-770c-4184-97ea-8c2cdf52e00e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5A4FDEB5</paraID>
      <start>0</start>
      <end>2</end>
      <status>modified</status>
      <modifiedWord>1.</modifiedWord>
      <trackRevisions>false</trackRevisions>
    </reviewItem>
    <reviewItem>
      <errorID>0cc08e3a-3a44-46a5-a386-ca36ac04455c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76224333</paraID>
      <start>0</start>
      <end>2</end>
      <status>modified</status>
      <modifiedWord>2.</modifiedWord>
      <trackRevisions>false</trackRevisions>
    </reviewItem>
    <reviewItem>
      <errorID>6425e6cd-cba6-4cb8-98ee-d25a6392446f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1941C04F</paraID>
      <start>0</start>
      <end>2</end>
      <status>modified</status>
      <modifiedWord>3.</modifiedWord>
      <trackRevisions>false</trackRevisions>
    </reviewItem>
    <reviewItem>
      <errorID>946e6583-5463-4b90-aca5-f323b00daecb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3E7F53C5</paraID>
      <start>0</start>
      <end>2</end>
      <status>modified</status>
      <modifiedWord>4.</modifiedWord>
      <trackRevisions>false</trackRevisions>
    </reviewItem>
    <reviewItem>
      <errorID>58283438-bf90-429a-a903-3d627a890929</errorID>
      <errorWord>外逸</errorWord>
      <group>L1_Word</group>
      <groupName>字词问题</groupName>
      <ability>L2_Typo</ability>
      <abilityName>字词错误</abilityName>
      <candidateList>
        <item>外溢</item>
      </candidateList>
      <explain/>
      <paraID>6FF78884</paraID>
      <start>122</start>
      <end>124</end>
      <status>modified</status>
      <modifiedWord>外溢</modifiedWord>
      <trackRevisions>false</trackRevisions>
    </reviewItem>
    <reviewItem>
      <errorID>1f2dac9e-6cba-46aa-996c-44f2f631dbf7</errorID>
      <errorWord>生活废水</errorWord>
      <group>L1_Knowledge</group>
      <groupName>知识性问题</groupName>
      <ability>L2_Term</ability>
      <abilityName>专业术语</abilityName>
      <candidateList>
        <item>生活污水</item>
      </candidateList>
      <explain/>
      <paraID>4B6041C2</paraID>
      <start>3</start>
      <end>7</end>
      <status>modified</status>
      <modifiedWord>生活污水</modifiedWord>
      <trackRevisions>false</trackRevisions>
    </reviewItem>
    <reviewItem>
      <errorID>435a0cf1-f093-4aa5-ad7a-b1b8d2138a80</errorID>
      <errorWord>噪音</errorWord>
      <group>L1_Word</group>
      <groupName>字词问题</groupName>
      <ability>L2_Alias</ability>
      <abilityName>也作/曾用词</abilityName>
      <candidateList>
        <item>噪声</item>
      </candidateList>
      <explain>词汇[噪音]为不规范表述或旧称，其规范书面表述为[噪声]。</explain>
      <paraID>2312F9E1</paraID>
      <start>25</start>
      <end>27</end>
      <status>modified</status>
      <modifiedWord>噪声</modifiedWord>
      <trackRevisions>false</trackRevisions>
    </reviewItem>
    <reviewItem>
      <errorID>c0b1e11c-6b69-46a4-9766-cbbdc7ed0714</errorID>
      <errorWord>-</errorWord>
      <group>L1_Format</group>
      <groupName>格式问题</groupName>
      <ability>L2_HalfPunc</ability>
      <abilityName>全半角检查</abilityName>
      <candidateList>
        <item>－</item>
      </candidateList>
      <explain>文本全半角错误。</explain>
      <paraID>5D056452</paraID>
      <start>97</start>
      <end>98</end>
      <status>modified</status>
      <modifiedWord>－</modifiedWord>
      <trackRevisions>false</trackRevisions>
    </reviewItem>
    <reviewItem>
      <errorID>33b6d142-bf89-4d4e-86e8-43d930500f0d</errorID>
      <errorWord>的颗粒物</errorWord>
      <group>L1_Knowledge</group>
      <groupName>知识性问题</groupName>
      <ability>L2_Term</ability>
      <abilityName>专业术语</abilityName>
      <candidateList>
        <item>细颗粒物</item>
      </candidateList>
      <explain/>
      <paraID>5217642A</paraID>
      <start>6</start>
      <end>10</end>
      <status>ignored</status>
      <modifiedWord/>
      <trackRevisions>false</trackRevisions>
    </reviewItem>
    <reviewItem>
      <errorID>9ce3b8c1-f189-4f9e-bc59-5b454d9d2193</errorID>
      <errorWord>部分</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2DB74B78</paraID>
      <start>23</start>
      <end>25</end>
      <status>modified</status>
      <modifiedWord>部门</modifiedWord>
      <trackRevisions>false</trackRevisions>
    </reviewItem>
    <reviewItem>
      <errorID>4d6c99a2-3aec-45c5-9542-e1b6c632388a</errorID>
      <errorWord>)</errorWord>
      <group>L1_Format</group>
      <groupName>格式问题</groupName>
      <ability>L2_HalfPunc</ability>
      <abilityName>全半角检查</abilityName>
      <candidateList>
        <item>）</item>
      </candidateList>
      <explain>文本全半角错误。</explain>
      <paraID>3A92593D</paraID>
      <start>122</start>
      <end>123</end>
      <status>modified</status>
      <modifiedWord>）</modifiedWord>
      <trackRevisions>false</trackRevisions>
    </reviewItem>
    <reviewItem>
      <errorID>8df7f226-69d4-4d8f-b099-dda91dbf6c15</errorID>
      <errorWord>源源</errorWord>
      <group>L1_Word</group>
      <groupName>字词问题</groupName>
      <ability>L2_Typo</ability>
      <abilityName>字词错误</abilityName>
      <candidateList>
        <item>源</item>
      </candidateList>
      <explain/>
      <paraID>2269E1D9</paraID>
      <start>1</start>
      <end>3</end>
      <status>ignored</status>
      <modifiedWord/>
      <trackRevisions>false</trackRevisions>
    </reviewItem>
    <reviewItem>
      <errorID>94288226-786b-45bc-8ee5-4a4fd4f2db75</errorID>
      <errorWord>（</errorWord>
      <group>L1_Punc</group>
      <groupName>标点问题</groupName>
      <ability>L2_Punc</ability>
      <abilityName>标点符号检查</abilityName>
      <candidateList>
        <item/>
      </candidateList>
      <explain>同一形式括号套用。</explain>
      <paraID>2114D360</paraID>
      <start>4</start>
      <end>5</end>
      <status>unmodified</status>
      <modifiedWord/>
      <trackRevisions>false</trackRevisions>
    </reviewItem>
    <reviewItem>
      <errorID>9b61919f-27f5-463e-8d8c-af1d09d37759</errorID>
      <errorWord>)</errorWord>
      <group>L1_Punc</group>
      <groupName>标点问题</groupName>
      <ability>L2_Punc</ability>
      <abilityName>标点符号检查</abilityName>
      <candidateList/>
      <explain>同一形式括号套用。</explain>
      <paraID>2114D360</paraID>
      <start>9</start>
      <end>10</end>
      <status>unmodified</status>
      <modifiedWord/>
      <trackRevisions>false</trackRevisions>
    </reviewItem>
    <reviewItem>
      <errorID>37e61a5e-8fcc-451f-ba98-66d43de08bd3</errorID>
      <errorWord>）</errorWord>
      <group>L1_Punc</group>
      <groupName>标点问题</groupName>
      <ability>L2_Punc</ability>
      <abilityName>标点符号检查</abilityName>
      <candidateList/>
      <explain>同一形式括号套用。</explain>
      <paraID>2114D360</paraID>
      <start>10</start>
      <end>11</end>
      <status>unmodified</status>
      <modifiedWord/>
      <trackRevisions>false</trackRevisions>
    </reviewItem>
    <reviewItem>
      <errorID>715d87d2-32d2-4931-bf0a-d3a0f52deebf</errorID>
      <errorWord>，</errorWord>
      <group>L1_Format</group>
      <groupName>格式问题</groupName>
      <ability>L2_HalfPunc</ability>
      <abilityName>全半角检查</abilityName>
      <candidateList>
        <item>, </item>
      </candidateList>
      <explain>文本全半角错误。</explain>
      <paraID>46D0542B</paraID>
      <start>1</start>
      <end>3</end>
      <status>modified</status>
      <modifiedWord>, </modifiedWord>
      <trackRevisions>false</trackRevisions>
    </reviewItem>
    <reviewItem>
      <errorID>89701ead-f089-40d4-9b00-398953cc469f</errorID>
      <errorWord>，</errorWord>
      <group>L1_Format</group>
      <groupName>格式问题</groupName>
      <ability>L2_HalfPunc</ability>
      <abilityName>全半角检查</abilityName>
      <candidateList>
        <item>, </item>
      </candidateList>
      <explain>文本全半角错误。</explain>
      <paraID>2D328424</paraID>
      <start>1</start>
      <end>3</end>
      <status>modified</status>
      <modifiedWord>, </modifiedWord>
      <trackRevisions>false</trackRevisions>
    </reviewItem>
    <reviewItem>
      <errorID>299764d8-beb9-4a88-84b6-3b7c4999c504</errorID>
      <errorWord>法律、法规</errorWord>
      <group>L1_Word</group>
      <groupName>字词问题</groupName>
      <ability>L2_Typo</ability>
      <abilityName>字词错误</abilityName>
      <candidateList>
        <item>法律法规</item>
      </candidateList>
      <explain/>
      <paraID>528BDD03</paraID>
      <start>39</start>
      <end>43</end>
      <status>modified</status>
      <modifiedWord>法律法规</modifiedWord>
      <trackRevisions>false</trackRevisions>
    </reviewItem>
    <reviewItem>
      <errorID>4a519faf-2116-44ec-95c2-6fd8fbd4b72a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A4D458A</paraID>
      <start>99</start>
      <end>101</end>
      <status>modified</status>
      <modifiedWord>》《</modifiedWord>
      <trackRevisions>false</trackRevisions>
    </reviewItem>
    <reviewItem>
      <errorID>f168c69e-b722-4c99-8e13-a3702bd3eee5</errorID>
      <errorWord>要求来</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B3D7A35</paraID>
      <start>29</start>
      <end>31</end>
      <status>modified</status>
      <modifiedWord>要求</modifiedWord>
      <trackRevisions>false</trackRevisions>
    </reviewItem>
    <reviewItem>
      <errorID>43207bca-6894-40fd-829a-098616302806</errorID>
      <errorWord>建</errorWord>
      <group>L1_Word</group>
      <groupName>字词问题</groupName>
      <ability>L2_Typo</ability>
      <abilityName>字词错误</abilityName>
      <candidateList>
        <item>建设</item>
      </candidateList>
      <explain>〈动〉创立新事业；增加新设施：经济～｜～家园｜～现代化强国◇组织～｜思想～。</explain>
      <paraID>5085E87E</paraID>
      <start>2</start>
      <end>4</end>
      <status>modified</status>
      <modifiedWord>建设</modifiedWord>
      <trackRevisions>false</trackRevisions>
    </reviewItem>
    <reviewItem>
      <errorID>b041be3f-cd19-4b73-8462-48098b0f2a17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584FD319</paraID>
      <start>0</start>
      <end>2</end>
      <status>modified</status>
      <modifiedWord>1.</modifiedWord>
      <trackRevisions>false</trackRevisions>
    </reviewItem>
    <reviewItem>
      <errorID>48589b11-cff0-4c86-a8c8-17c3d469747c</errorID>
      <errorWord>;</errorWord>
      <group>L1_Format</group>
      <groupName>格式问题</groupName>
      <ability>L2_HalfPunc</ability>
      <abilityName>全半角检查</abilityName>
      <candidateList>
        <item>；</item>
      </candidateList>
      <explain>文本全半角错误。</explain>
      <paraID>584FD319</paraID>
      <start>12</start>
      <end>13</end>
      <status>modified</status>
      <modifiedWord>；</modifiedWord>
      <trackRevisions>false</trackRevisions>
    </reviewItem>
    <reviewItem>
      <errorID>c16965b9-90c4-4181-aa89-e1ac5a474f8f</errorID>
      <errorWord>:</errorWord>
      <group>L1_Format</group>
      <groupName>格式问题</groupName>
      <ability>L2_HalfPunc</ability>
      <abilityName>全半角检查</abilityName>
      <candidateList>
        <item>：</item>
      </candidateList>
      <explain>文本全半角错误。</explain>
      <paraID>584FD319</paraID>
      <start>15</start>
      <end>16</end>
      <status>modified</status>
      <modifiedWord>：</modifiedWord>
      <trackRevisions>false</trackRevisions>
    </reviewItem>
    <reviewItem>
      <errorID>5e208b9c-6afb-4211-8b45-0d6b92d1d103</errorID>
      <errorWord>:</errorWord>
      <group>L1_Format</group>
      <groupName>格式问题</groupName>
      <ability>L2_HalfPunc</ability>
      <abilityName>全半角检查</abilityName>
      <candidateList>
        <item>：</item>
      </candidateList>
      <explain>文本全半角错误。</explain>
      <paraID> 96239C8</paraID>
      <start>2</start>
      <end>3</end>
      <status>modified</status>
      <modifiedWord>：</modifiedWord>
      <trackRevisions>false</trackRevisions>
    </reviewItem>
    <reviewItem>
      <errorID>156889ca-8963-4b1d-9f27-3bc9bc6d45f0</errorID>
      <errorWord>:</errorWord>
      <group>L1_Format</group>
      <groupName>格式问题</groupName>
      <ability>L2_HalfPunc</ability>
      <abilityName>全半角检查</abilityName>
      <candidateList>
        <item>：</item>
      </candidateList>
      <explain>文本全半角错误。</explain>
      <paraID> 96239C8</paraID>
      <start>11</start>
      <end>12</end>
      <status>modified</status>
      <modifiedWord>：</modifiedWord>
      <trackRevisions>false</trackRevisions>
    </reviewItem>
    <reviewItem>
      <errorID>fe9cb79b-df09-4c84-bf71-4964aa8760a2</errorID>
      <errorWord>:</errorWord>
      <group>L1_Format</group>
      <groupName>格式问题</groupName>
      <ability>L2_HalfPunc</ability>
      <abilityName>全半角检查</abilityName>
      <candidateList>
        <item>：</item>
      </candidateList>
      <explain>文本全半角错误。</explain>
      <paraID> 96239C8</paraID>
      <start>19</start>
      <end>20</end>
      <status>modified</status>
      <modifiedWord>：</modifiedWord>
      <trackRevisions>false</trackRevisions>
    </reviewItem>
    <reviewItem>
      <errorID>921bbc7b-743f-4144-9be5-bbd709df42b3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184F5D04</paraID>
      <start>0</start>
      <end>2</end>
      <status>modified</status>
      <modifiedWord>2.</modifiedWord>
      <trackRevisions>false</trackRevisions>
    </reviewItem>
    <reviewItem>
      <errorID>a4f9d659-6736-46c8-a7ec-1e72a1ba3847</errorID>
      <errorWord>:</errorWord>
      <group>L1_Format</group>
      <groupName>格式问题</groupName>
      <ability>L2_HalfPunc</ability>
      <abilityName>全半角检查</abilityName>
      <candidateList>
        <item>：</item>
      </candidateList>
      <explain>文本全半角错误。</explain>
      <paraID>184F5D04</paraID>
      <start>6</start>
      <end>7</end>
      <status>modified</status>
      <modifiedWord>：</modifiedWord>
      <trackRevisions>false</trackRevisions>
    </reviewItem>
    <reviewItem>
      <errorID>792b7f2f-9a43-4289-bc9d-fa9a457236ea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61E9043C</paraID>
      <start>0</start>
      <end>2</end>
      <status>modified</status>
      <modifiedWord>1.</modifiedWord>
      <trackRevisions>false</trackRevisions>
    </reviewItem>
    <reviewItem>
      <errorID>4e612478-307e-4450-8d77-d61acc3c54d7</errorID>
      <errorWord>(</errorWord>
      <group>L1_Format</group>
      <groupName>格式问题</groupName>
      <ability>L2_HalfPunc</ability>
      <abilityName>全半角检查</abilityName>
      <candidateList>
        <item>（</item>
      </candidateList>
      <explain>文本全半角错误。</explain>
      <paraID>61E9043C</paraID>
      <start>26</start>
      <end>27</end>
      <status>modified</status>
      <modifiedWord>（</modifiedWord>
      <trackRevisions>false</trackRevisions>
    </reviewItem>
    <reviewItem>
      <errorID>20a9afdb-1f60-4494-a4cb-6734131323a5</errorID>
      <errorWord>)</errorWord>
      <group>L1_Format</group>
      <groupName>格式问题</groupName>
      <ability>L2_HalfPunc</ability>
      <abilityName>全半角检查</abilityName>
      <candidateList>
        <item>）</item>
      </candidateList>
      <explain>文本全半角错误。</explain>
      <paraID>61E9043C</paraID>
      <start>35</start>
      <end>36</end>
      <status>modified</status>
      <modifiedWord>）</modifiedWord>
      <trackRevisions>false</trackRevisions>
    </reviewItem>
    <reviewItem>
      <errorID>2d089e5d-58c4-416a-8224-920377d25922</errorID>
      <errorWord>(</errorWord>
      <group>L1_Format</group>
      <groupName>格式问题</groupName>
      <ability>L2_HalfPunc</ability>
      <abilityName>全半角检查</abilityName>
      <candidateList>
        <item>（</item>
      </candidateList>
      <explain>文本全半角错误。</explain>
      <paraID>61E9043C</paraID>
      <start>60</start>
      <end>61</end>
      <status>modified</status>
      <modifiedWord>（</modifiedWord>
      <trackRevisions>false</trackRevisions>
    </reviewItem>
    <reviewItem>
      <errorID>b64637b3-a1dd-4067-a815-2e4db00e3ff0</errorID>
      <errorWord>)</errorWord>
      <group>L1_Format</group>
      <groupName>格式问题</groupName>
      <ability>L2_HalfPunc</ability>
      <abilityName>全半角检查</abilityName>
      <candidateList>
        <item>）</item>
      </candidateList>
      <explain>文本全半角错误。</explain>
      <paraID>61E9043C</paraID>
      <start>70</start>
      <end>71</end>
      <status>modified</status>
      <modifiedWord>）</modifiedWord>
      <trackRevisions>false</trackRevisions>
    </reviewItem>
    <reviewItem>
      <errorID>a6968c19-bc77-4614-b126-930ed58867d6</errorID>
      <errorWord>(</errorWord>
      <group>L1_Format</group>
      <groupName>格式问题</groupName>
      <ability>L2_HalfPunc</ability>
      <abilityName>全半角检查</abilityName>
      <candidateList>
        <item>（</item>
      </candidateList>
      <explain>文本全半角错误。</explain>
      <paraID>61E9043C</paraID>
      <start>87</start>
      <end>88</end>
      <status>modified</status>
      <modifiedWord>（</modifiedWord>
      <trackRevisions>false</trackRevisions>
    </reviewItem>
    <reviewItem>
      <errorID>87eef429-1ce4-42a0-8011-91260c1b8939</errorID>
      <errorWord>)</errorWord>
      <group>L1_Format</group>
      <groupName>格式问题</groupName>
      <ability>L2_HalfPunc</ability>
      <abilityName>全半角检查</abilityName>
      <candidateList>
        <item>）</item>
      </candidateList>
      <explain>文本全半角错误。</explain>
      <paraID>61E9043C</paraID>
      <start>93</start>
      <end>94</end>
      <status>modified</status>
      <modifiedWord>）</modifiedWord>
      <trackRevisions>false</trackRevisions>
    </reviewItem>
    <reviewItem>
      <errorID>0e3a400b-ca78-4f9f-bb64-afe91fe3f245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4354597F</paraID>
      <start>0</start>
      <end>2</end>
      <status>modified</status>
      <modifiedWord>2.</modifiedWord>
      <trackRevisions>false</trackRevisions>
    </reviewItem>
    <reviewItem>
      <errorID>b52527fb-d901-4873-92d7-2e4630d3d04a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15FA45F7</paraID>
      <start>0</start>
      <end>2</end>
      <status>modified</status>
      <modifiedWord>3.</modifiedWord>
      <trackRevisions>false</trackRevisions>
    </reviewItem>
    <reviewItem>
      <errorID>90834cca-c134-49ec-ab35-493eb2b9bd0e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3D5ACCA1</paraID>
      <start>0</start>
      <end>2</end>
      <status>modified</status>
      <modifiedWord>4.</modifiedWord>
      <trackRevisions>false</trackRevisions>
    </reviewItem>
    <reviewItem>
      <errorID>2e00159a-34e2-425e-966e-f5ba34f2c5ba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4A47CF37</paraID>
      <start>0</start>
      <end>2</end>
      <status>modified</status>
      <modifiedWord>1.</modifiedWord>
      <trackRevisions>false</trackRevisions>
    </reviewItem>
    <reviewItem>
      <errorID>4128b791-5060-4c37-93aa-4539feaeb18e</errorID>
      <errorWord>(</errorWord>
      <group>L1_Format</group>
      <groupName>格式问题</groupName>
      <ability>L2_HalfPunc</ability>
      <abilityName>全半角检查</abilityName>
      <candidateList>
        <item>（</item>
      </candidateList>
      <explain>文本全半角错误。</explain>
      <paraID>3FE55BD4</paraID>
      <start>24</start>
      <end>25</end>
      <status>modified</status>
      <modifiedWord>（</modifiedWord>
      <trackRevisions>false</trackRevisions>
    </reviewItem>
    <reviewItem>
      <errorID>932ce88f-ed15-4ca6-87c8-35d710aae920</errorID>
      <errorWord>)</errorWord>
      <group>L1_Format</group>
      <groupName>格式问题</groupName>
      <ability>L2_HalfPunc</ability>
      <abilityName>全半角检查</abilityName>
      <candidateList>
        <item>）</item>
      </candidateList>
      <explain>文本全半角错误。</explain>
      <paraID>3FE55BD4</paraID>
      <start>34</start>
      <end>35</end>
      <status>modified</status>
      <modifiedWord>）</modifiedWord>
      <trackRevisions>false</trackRevisions>
    </reviewItem>
    <reviewItem>
      <errorID>32bd7555-64d0-4906-8f90-9cf3fafb687f</errorID>
      <errorWord>(</errorWord>
      <group>L1_Format</group>
      <groupName>格式问题</groupName>
      <ability>L2_HalfPunc</ability>
      <abilityName>全半角检查</abilityName>
      <candidateList>
        <item>（</item>
      </candidateList>
      <explain>文本全半角错误。</explain>
      <paraID>3FE55BD4</paraID>
      <start>54</start>
      <end>55</end>
      <status>modified</status>
      <modifiedWord>（</modifiedWord>
      <trackRevisions>false</trackRevisions>
    </reviewItem>
    <reviewItem>
      <errorID>37ee4e76-9a24-4dca-b94a-5e41a7bfd22d</errorID>
      <errorWord>)</errorWord>
      <group>L1_Format</group>
      <groupName>格式问题</groupName>
      <ability>L2_HalfPunc</ability>
      <abilityName>全半角检查</abilityName>
      <candidateList>
        <item>）</item>
      </candidateList>
      <explain>文本全半角错误。</explain>
      <paraID>3FE55BD4</paraID>
      <start>60</start>
      <end>61</end>
      <status>modified</status>
      <modifiedWord>）</modifiedWord>
      <trackRevisions>false</trackRevisions>
    </reviewItem>
    <reviewItem>
      <errorID>ef46723b-5161-4116-9439-8ed1d196d660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5D00AE9A</paraID>
      <start>0</start>
      <end>2</end>
      <status>modified</status>
      <modifiedWord>2.</modifiedWord>
      <trackRevisions>false</trackRevisions>
    </reviewItem>
    <reviewItem>
      <errorID>c08d3ae0-09e4-42d1-8401-af814ef611ca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27DCDFBB</paraID>
      <start>0</start>
      <end>2</end>
      <status>modified</status>
      <modifiedWord>3.</modifiedWord>
      <trackRevisions>false</trackRevisions>
    </reviewItem>
    <reviewItem>
      <errorID>64fb9d15-90db-4dec-824f-998d9f31c34d</errorID>
      <errorWord>(</errorWord>
      <group>L1_Format</group>
      <groupName>格式问题</groupName>
      <ability>L2_HalfPunc</ability>
      <abilityName>全半角检查</abilityName>
      <candidateList>
        <item>（</item>
      </candidateList>
      <explain>文本全半角错误。</explain>
      <paraID>5F7FDAFA</paraID>
      <start>10</start>
      <end>11</end>
      <status>modified</status>
      <modifiedWord>（</modifiedWord>
      <trackRevisions>false</trackRevisions>
    </reviewItem>
    <reviewItem>
      <errorID>069a7b8e-a788-407f-a358-97d5bc1e18c1</errorID>
      <errorWord>)</errorWord>
      <group>L1_Format</group>
      <groupName>格式问题</groupName>
      <ability>L2_HalfPunc</ability>
      <abilityName>全半角检查</abilityName>
      <candidateList>
        <item>）</item>
      </candidateList>
      <explain>文本全半角错误。</explain>
      <paraID>5F7FDAFA</paraID>
      <start>25</start>
      <end>26</end>
      <status>modified</status>
      <modifiedWord>）</modifiedWord>
      <trackRevisions>false</trackRevisions>
    </reviewItem>
    <reviewItem>
      <errorID>f5e53bc6-94ee-4303-b35d-8cca4c602098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4700A50D</paraID>
      <start>0</start>
      <end>2</end>
      <status>modified</status>
      <modifiedWord>4.</modifiedWord>
      <trackRevisions>false</trackRevisions>
    </reviewItem>
    <reviewItem>
      <errorID>719bc158-e6c1-4b5d-9199-fe4c589b0871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3DD65</paraID>
      <start>0</start>
      <end>2</end>
      <status>modified</status>
      <modifiedWord>1.</modifiedWord>
      <trackRevisions>false</trackRevisions>
    </reviewItem>
    <reviewItem>
      <errorID>9409bee9-64a7-4303-974f-f02a85e778c5</errorID>
      <errorWord>(</errorWord>
      <group>L1_Format</group>
      <groupName>格式问题</groupName>
      <ability>L2_HalfPunc</ability>
      <abilityName>全半角检查</abilityName>
      <candidateList>
        <item>（</item>
      </candidateList>
      <explain>文本全半角错误。</explain>
      <paraID>   3DD65</paraID>
      <start>28</start>
      <end>29</end>
      <status>modified</status>
      <modifiedWord>（</modifiedWord>
      <trackRevisions>false</trackRevisions>
    </reviewItem>
    <reviewItem>
      <errorID>8d93afc4-0de9-4f55-adca-bdacc47fe11f</errorID>
      <errorWord>)</errorWord>
      <group>L1_Format</group>
      <groupName>格式问题</groupName>
      <ability>L2_HalfPunc</ability>
      <abilityName>全半角检查</abilityName>
      <candidateList>
        <item>）</item>
      </candidateList>
      <explain>文本全半角错误。</explain>
      <paraID>   3DD65</paraID>
      <start>38</start>
      <end>39</end>
      <status>modified</status>
      <modifiedWord>）</modifiedWord>
      <trackRevisions>false</trackRevisions>
    </reviewItem>
    <reviewItem>
      <errorID>9a27a9ac-f211-4a09-85f8-bd467d3c2671</errorID>
      <errorWord>(</errorWord>
      <group>L1_Format</group>
      <groupName>格式问题</groupName>
      <ability>L2_HalfPunc</ability>
      <abilityName>全半角检查</abilityName>
      <candidateList>
        <item>（</item>
      </candidateList>
      <explain>文本全半角错误。</explain>
      <paraID>   3DD65</paraID>
      <start>60</start>
      <end>61</end>
      <status>modified</status>
      <modifiedWord>（</modifiedWord>
      <trackRevisions>false</trackRevisions>
    </reviewItem>
    <reviewItem>
      <errorID>0cf31a5a-802d-46af-8fec-07c65b6f0171</errorID>
      <errorWord>)</errorWord>
      <group>L1_Format</group>
      <groupName>格式问题</groupName>
      <ability>L2_HalfPunc</ability>
      <abilityName>全半角检查</abilityName>
      <candidateList>
        <item>）</item>
      </candidateList>
      <explain>文本全半角错误。</explain>
      <paraID>   3DD65</paraID>
      <start>66</start>
      <end>67</end>
      <status>modified</status>
      <modifiedWord>）</modifiedWord>
      <trackRevisions>false</trackRevisions>
    </reviewItem>
    <reviewItem>
      <errorID>fbc9aae8-c679-4af6-8617-70c5732cc860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2F510B8A</paraID>
      <start>0</start>
      <end>2</end>
      <status>modified</status>
      <modifiedWord>2.</modifiedWord>
      <trackRevisions>false</trackRevisions>
    </reviewItem>
    <reviewItem>
      <errorID>ba3ad3c3-c8f1-4a21-b160-29408d1810b2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5334682D</paraID>
      <start>0</start>
      <end>2</end>
      <status>modified</status>
      <modifiedWord>3.</modifiedWord>
      <trackRevisions>false</trackRevisions>
    </reviewItem>
    <reviewItem>
      <errorID>09d23045-ef66-4d81-a878-94570e7570ab</errorID>
      <errorWord>:</errorWord>
      <group>L1_Format</group>
      <groupName>格式问题</groupName>
      <ability>L2_HalfPunc</ability>
      <abilityName>全半角检查</abilityName>
      <candidateList>
        <item>：</item>
      </candidateList>
      <explain>文本全半角错误。</explain>
      <paraID>5334682D</paraID>
      <start>4</start>
      <end>5</end>
      <status>modified</status>
      <modifiedWord>：</modifiedWord>
      <trackRevisions>false</trackRevisions>
    </reviewItem>
    <reviewItem>
      <errorID>355b8409-9542-4bcc-8968-8b3bcda85555</errorID>
      <errorWord>)</errorWord>
      <group>L1_Format</group>
      <groupName>格式问题</groupName>
      <ability>L2_HalfPunc</ability>
      <abilityName>全半角检查</abilityName>
      <candidateList>
        <item>）</item>
      </candidateList>
      <explain>文本全半角错误。</explain>
      <paraID>1C8D731C</paraID>
      <start>10</start>
      <end>11</end>
      <status>modified</status>
      <modifiedWord>）</modifiedWord>
      <trackRevisions>false</trackRevisions>
    </reviewItem>
    <reviewItem>
      <errorID>7e3e6921-35e4-4e65-ad29-326e4f2107fb</errorID>
      <errorWord>～</errorWord>
      <group>L1_Format</group>
      <groupName>格式问题</groupName>
      <ability>L2_HalfPunc</ability>
      <abilityName>全半角检查</abilityName>
      <candidateList>
        <item>~</item>
      </candidateList>
      <explain>文本全半角错误。</explain>
      <paraID>574BEE03</paraID>
      <start>3</start>
      <end>4</end>
      <status>modified</status>
      <modifiedWord>~</modifiedWord>
      <trackRevisions>false</trackRevisions>
    </reviewItem>
    <reviewItem>
      <errorID>12b4d597-c442-484e-91e3-84fa0b31be9f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5BB3913C</paraID>
      <start>0</start>
      <end>2</end>
      <status>modified</status>
      <modifiedWord>3.</modifiedWord>
      <trackRevisions>false</trackRevisions>
    </reviewItem>
    <reviewItem>
      <errorID>6fb31ada-f53b-489f-a874-ef20a90ab6a3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73277A71</paraID>
      <start>0</start>
      <end>2</end>
      <status>modified</status>
      <modifiedWord>4.</modifiedWord>
      <trackRevisions>false</trackRevisions>
    </reviewItem>
    <reviewItem>
      <errorID>361739b0-cfdf-4f56-8dd0-3d3f7cd5d2c3</errorID>
      <errorWord>须</errorWord>
      <group>L1_Word</group>
      <groupName>字词问题</groupName>
      <ability>L2_Typo</ability>
      <abilityName>字词错误</abilityName>
      <candidateList>
        <item>须以</item>
      </candidateList>
      <explain/>
      <paraID> D2A44B0</paraID>
      <start>6</start>
      <end>8</end>
      <status>modified</status>
      <modifiedWord>须以</modifiedWord>
      <trackRevisions>false</trackRevisions>
    </reviewItem>
    <reviewItem>
      <errorID>3a8cb5f1-0bfa-4db1-be3f-ff163e1fdc5c</errorID>
      <errorWord>管理要</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2E3E2B84</paraID>
      <start>5</start>
      <end>7</end>
      <status>modified</status>
      <modifiedWord>管理</modifiedWord>
      <trackRevisions>false</trackRevisions>
    </reviewItem>
    <reviewItem>
      <errorID>57434610-e395-4901-a065-9ec73570409a</errorID>
      <errorWord>部</errorWord>
      <group>L1_Word</group>
      <groupName>字词问题</groupName>
      <ability>L2_Typo</ability>
      <abilityName>字词错误</abilityName>
      <candidateList>
        <item/>
      </candidateList>
      <explain/>
      <paraID>5413926C</paraID>
      <start>51</start>
      <end>52</end>
      <status>ignored</status>
      <modifiedWord/>
      <trackRevisions>false</trackRevisions>
    </reviewItem>
    <reviewItem>
      <errorID>74bda38a-9f61-4e50-8110-f10ef10131a3</errorID>
      <errorWord>接受</errorWord>
      <group>L1_Word</group>
      <groupName>字词问题</groupName>
      <ability>L2_Typo</ability>
      <abilityName>字词错误</abilityName>
      <candidateList>
        <item>接收</item>
      </candidateList>
      <explain>存在发音相同字词的误用。</explain>
      <paraID>365611C9</paraID>
      <start>1</start>
      <end>3</end>
      <status>ignored</status>
      <modifiedWord/>
      <trackRevisions>false</trackRevisions>
    </reviewItem>
    <reviewItem>
      <errorID>d8930c4b-0c0a-4b5e-8087-174ed731c36b</errorID>
      <errorWord>接受</errorWord>
      <group>L1_Word</group>
      <groupName>字词问题</groupName>
      <ability>L2_Typo</ability>
      <abilityName>字词错误</abilityName>
      <candidateList>
        <item>接收</item>
      </candidateList>
      <explain>存在发音相同字词的误用。</explain>
      <paraID>365611C9</paraID>
      <start>23</start>
      <end>25</end>
      <status>unmodified</status>
      <modifiedWord/>
      <trackRevisions>false</trackRevisions>
    </reviewItem>
    <reviewItem>
      <errorID>5e4b4081-bfe7-49e4-ba7f-7c4957a64a4a</errorID>
      <errorWord>接受</errorWord>
      <group>L1_Word</group>
      <groupName>字词问题</groupName>
      <ability>L2_Typo</ability>
      <abilityName>字词错误</abilityName>
      <candidateList>
        <item>接收</item>
      </candidateList>
      <explain>存在发音相同字词的误用。</explain>
      <paraID>365611C9</paraID>
      <start>42</start>
      <end>44</end>
      <status>unmodified</status>
      <modifiedWord/>
      <trackRevisions>false</trackRevisions>
    </reviewItem>
    <reviewItem>
      <errorID>5aff2c59-c2d6-4f04-8437-a4ea0fd2f850</errorID>
      <errorWord>接受</errorWord>
      <group>L1_Word</group>
      <groupName>字词问题</groupName>
      <ability>L2_Typo</ability>
      <abilityName>字词错误</abilityName>
      <candidateList>
        <item>接收</item>
      </candidateList>
      <explain>存在发音相同字词的误用。</explain>
      <paraID>1EF52DBA</paraID>
      <start>47</start>
      <end>49</end>
      <status>unmodified</status>
      <modifiedWord/>
      <trackRevisions>false</trackRevisions>
    </reviewItem>
    <reviewItem>
      <errorID>07abda4f-4711-461c-a351-1929942f33ed</errorID>
      <errorWord>撒漏</errorWord>
      <group>L1_Word</group>
      <groupName>字词问题</groupName>
      <ability>L2_Typo</ability>
      <abilityName>字词错误</abilityName>
      <candidateList>
        <item>泄漏</item>
      </candidateList>
      <explain/>
      <paraID>6A337A75</paraID>
      <start>32</start>
      <end>34</end>
      <status>modified</status>
      <modifiedWord>泄漏</modifiedWord>
      <trackRevisions>false</trackRevisions>
    </reviewItem>
    <reviewItem>
      <errorID>bb10ac97-b85f-409d-a210-844a75d0ba09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68AFC69E</paraID>
      <start>73</start>
      <end>74</end>
      <status>modified</status>
      <modifiedWord>—</modifiedWord>
      <trackRevisions>false</trackRevisions>
    </reviewItem>
    <reviewItem>
      <errorID>e11e16ea-1b3b-4282-be85-43e8af943057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965FFFA</paraID>
      <start>0</start>
      <end>2</end>
      <status>modified</status>
      <modifiedWord>1.</modifiedWord>
      <trackRevisions>false</trackRevisions>
    </reviewItem>
    <reviewItem>
      <errorID>26050984-cbfc-49b0-a748-cd06ea4faebf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5C0B639E</paraID>
      <start>0</start>
      <end>2</end>
      <status>modified</status>
      <modifiedWord>2.</modifiedWord>
      <trackRevisions>false</trackRevisions>
    </reviewItem>
    <reviewItem>
      <errorID>6622c1bd-526f-439b-aba7-72ebd301229f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7185ECA0</paraID>
      <start>0</start>
      <end>2</end>
      <status>modified</status>
      <modifiedWord>3.</modifiedWord>
      <trackRevisions>false</trackRevisions>
    </reviewItem>
    <reviewItem>
      <errorID>d75a4842-a29f-4b13-949d-dce3baad1b27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8C1B4F4</paraID>
      <start>0</start>
      <end>2</end>
      <status>modified</status>
      <modifiedWord>4.</modifiedWord>
      <trackRevisions>false</trackRevisions>
    </reviewItem>
    <reviewItem>
      <errorID>e4436881-2ba3-4e4d-b93d-3c305e355515</errorID>
      <errorWord>，</errorWord>
      <group>L1_Word</group>
      <groupName>字词问题</groupName>
      <ability>L2_Typo</ability>
      <abilityName>字词错误</abilityName>
      <candidateList>
        <item>，对</item>
      </candidateList>
      <explain/>
      <paraID>  E207B5</paraID>
      <start>115</start>
      <end>117</end>
      <status>modified</status>
      <modifiedWord>，对</modifiedWord>
      <trackRevisions>false</trackRevisions>
    </reviewItem>
    <reviewItem>
      <errorID>0dbd4c2a-1033-46d6-8485-c8dc5ad1edac</errorID>
      <errorWord>泄露</errorWord>
      <group>L1_Word</group>
      <groupName>字词问题</groupName>
      <ability>L2_Typo</ability>
      <abilityName>字词错误</abilityName>
      <candidateList>
        <item>泄漏</item>
      </candidateList>
      <explain>存在发音相同字词的误用。</explain>
      <paraID>2F8222EF</paraID>
      <start>66</start>
      <end>68</end>
      <status>modified</status>
      <modifiedWord>泄漏</modifiedWord>
      <trackRevisions>false</trackRevisions>
    </reviewItem>
    <reviewItem>
      <errorID>795a061e-f892-4db4-9e9f-56f338c6edf8</errorID>
      <errorWord>应付</errorWord>
      <group>L1_Word</group>
      <groupName>字词问题</groupName>
      <ability>L2_Typo</ability>
      <abilityName>字词错误</abilityName>
      <candidateList>
        <item>应对</item>
      </candidateList>
      <explain/>
      <paraID>70BEBD4D</paraID>
      <start>168</start>
      <end>170</end>
      <status>modified</status>
      <modifiedWord>应对</modifiedWord>
      <trackRevisions>false</trackRevisions>
    </reviewItem>
    <reviewItem>
      <errorID>b957de28-e32f-47c3-81cb-78e0a9fdbacc</errorID>
      <errorWord>(</errorWord>
      <group>L1_Format</group>
      <groupName>格式问题</groupName>
      <ability>L2_HalfPunc</ability>
      <abilityName>全半角检查</abilityName>
      <candidateList>
        <item>（</item>
      </candidateList>
      <explain>文本全半角错误。</explain>
      <paraID>3FBB957E</paraID>
      <start>3</start>
      <end>4</end>
      <status>modified</status>
      <modifiedWord>（</modifiedWord>
      <trackRevisions>false</trackRevisions>
    </reviewItem>
    <reviewItem>
      <errorID>1d2c0103-e43a-4ee7-a174-76d1ca6513d7</errorID>
      <errorWord>)</errorWord>
      <group>L1_Format</group>
      <groupName>格式问题</groupName>
      <ability>L2_HalfPunc</ability>
      <abilityName>全半角检查</abilityName>
      <candidateList>
        <item>）</item>
      </candidateList>
      <explain>文本全半角错误。</explain>
      <paraID>3FBB957E</paraID>
      <start>9</start>
      <end>10</end>
      <status>modified</status>
      <modifiedWord>）</modifiedWord>
      <trackRevisions>false</trackRevisions>
    </reviewItem>
    <reviewItem>
      <errorID>5273064d-9889-4096-980e-9a5c170f7979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630B2D9C</paraID>
      <start>83</start>
      <end>85</end>
      <status>modified</status>
      <modifiedWord>可以</modifiedWord>
      <trackRevisions>false</trackRevisions>
    </reviewItem>
    <reviewItem>
      <errorID>cb5a6780-4e4b-40bb-8125-b157bfc5bb89</errorID>
      <errorWord>法律、法规</errorWord>
      <group>L1_Word</group>
      <groupName>字词问题</groupName>
      <ability>L2_Typo</ability>
      <abilityName>字词错误</abilityName>
      <candidateList>
        <item>法律法规</item>
      </candidateList>
      <explain/>
      <paraID>14EC5D2F</paraID>
      <start>24</start>
      <end>28</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71F5D-9C92-44C6-BC70-2AD070C02023}">
  <ds:schemaRefs/>
</ds:datastoreItem>
</file>

<file path=customXml/itemProps3.xml><?xml version="1.0" encoding="utf-8"?>
<ds:datastoreItem xmlns:ds="http://schemas.openxmlformats.org/officeDocument/2006/customXml" ds:itemID="{C55B1870-EC49-489B-9513-BF2807B3B293}">
  <ds:schemaRefs/>
</ds:datastoreItem>
</file>

<file path=docProps/app.xml><?xml version="1.0" encoding="utf-8"?>
<Properties xmlns="http://schemas.openxmlformats.org/officeDocument/2006/extended-properties" xmlns:vt="http://schemas.openxmlformats.org/officeDocument/2006/docPropsVTypes">
  <Template>Normal</Template>
  <Pages>99</Pages>
  <Words>12044</Words>
  <Characters>68657</Characters>
  <Lines>572</Lines>
  <Paragraphs>161</Paragraphs>
  <TotalTime>214</TotalTime>
  <ScaleCrop>false</ScaleCrop>
  <LinksUpToDate>false</LinksUpToDate>
  <CharactersWithSpaces>80540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2025-11-19T08:55:00Z</dcterms:created>
  <dc:creator>鲍 宏岩</dc:creator>
  <cp:lastModifiedBy>Administrator</cp:lastModifiedBy>
  <cp:lastPrinted>2026-01-04T11:42:00Z</cp:lastPrinted>
  <dcterms:modified xsi:type="dcterms:W3CDTF">2026-01-09T08:16:16Z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41920F5FD95B4D20A67CAE18231E12DA_13</vt:lpwstr>
  </property>
  <property fmtid="{D5CDD505-2E9C-101B-9397-08002B2CF9AE}" pid="4" name="KSOTemplateDocerSaveRecord">
    <vt:lpwstr>eyJoZGlkIjoiMTZmZGQ1YjY3YWE4ZjQxNzM3Mjc0MGM1ZTljYWMwNWUiLCJ1c2VySWQiOiIxNzMxMTIxNzk1In0=</vt:lpwstr>
  </property>
</Properties>
</file>