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9164E">
      <w:pPr>
        <w:adjustRightInd w:val="0"/>
        <w:snapToGrid w:val="0"/>
        <w:ind w:left="0" w:leftChars="0" w:firstLine="0" w:firstLineChars="0"/>
        <w:outlineLvl w:val="0"/>
        <w:rPr>
          <w:rFonts w:hint="eastAsia" w:ascii="方正小标宋_GBK" w:eastAsia="方正小标宋_GBK"/>
          <w:bCs/>
          <w:sz w:val="72"/>
          <w:szCs w:val="72"/>
          <w:highlight w:val="none"/>
        </w:rPr>
      </w:pPr>
    </w:p>
    <w:p w14:paraId="017C0340">
      <w:pPr>
        <w:pStyle w:val="10"/>
        <w:keepNext w:val="0"/>
        <w:keepLines w:val="0"/>
        <w:pageBreakBefore w:val="0"/>
        <w:kinsoku/>
        <w:wordWrap/>
        <w:overflowPunct/>
        <w:topLinePunct w:val="0"/>
        <w:autoSpaceDE/>
        <w:autoSpaceDN/>
        <w:bidi w:val="0"/>
        <w:snapToGrid w:val="0"/>
        <w:ind w:firstLine="0" w:firstLineChars="0"/>
        <w:textAlignment w:val="auto"/>
        <w:rPr>
          <w:rFonts w:hint="eastAsia"/>
        </w:rPr>
      </w:pPr>
    </w:p>
    <w:p w14:paraId="2AA94323">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rPr>
          <w:rFonts w:hint="eastAsia" w:ascii="楷体_GB2312" w:eastAsia="楷体_GB2312"/>
          <w:sz w:val="36"/>
          <w:szCs w:val="36"/>
          <w:highlight w:val="none"/>
        </w:rPr>
      </w:pPr>
    </w:p>
    <w:p w14:paraId="056F8110">
      <w:pPr>
        <w:adjustRightInd w:val="0"/>
        <w:snapToGrid w:val="0"/>
        <w:spacing w:line="288" w:lineRule="auto"/>
        <w:ind w:firstLine="1040"/>
        <w:rPr>
          <w:rFonts w:ascii="仿宋_GB2312" w:eastAsia="仿宋_GB2312"/>
          <w:sz w:val="36"/>
          <w:szCs w:val="36"/>
          <w:highlight w:val="none"/>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eastAsia" w:ascii="方正小标宋_GBK" w:eastAsia="方正小标宋_GBK"/>
          <w:bCs/>
          <w:sz w:val="72"/>
          <w:szCs w:val="72"/>
          <w:highlight w:val="none"/>
        </w:rPr>
        <w:drawing>
          <wp:anchor distT="0" distB="0" distL="114300" distR="114300" simplePos="0" relativeHeight="251659264" behindDoc="0" locked="0" layoutInCell="1" allowOverlap="1">
            <wp:simplePos x="0" y="0"/>
            <wp:positionH relativeFrom="column">
              <wp:posOffset>184150</wp:posOffset>
            </wp:positionH>
            <wp:positionV relativeFrom="paragraph">
              <wp:posOffset>-332105</wp:posOffset>
            </wp:positionV>
            <wp:extent cx="5248275" cy="697230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48275" cy="6972300"/>
                    </a:xfrm>
                    <a:prstGeom prst="rect">
                      <a:avLst/>
                    </a:prstGeom>
                    <a:noFill/>
                    <a:ln>
                      <a:noFill/>
                    </a:ln>
                  </pic:spPr>
                </pic:pic>
              </a:graphicData>
            </a:graphic>
          </wp:anchor>
        </w:drawing>
      </w:r>
    </w:p>
    <w:p w14:paraId="698B8B3B">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黑体" w:hAnsi="黑体" w:eastAsia="黑体"/>
          <w:snapToGrid w:val="0"/>
          <w:color w:val="000000"/>
          <w:sz w:val="30"/>
          <w:szCs w:val="30"/>
          <w:highlight w:val="none"/>
        </w:rPr>
      </w:pPr>
      <w:r>
        <w:rPr>
          <w:rFonts w:hint="eastAsia" w:ascii="黑体" w:hAnsi="黑体" w:eastAsia="黑体"/>
          <w:snapToGrid w:val="0"/>
          <w:color w:val="000000"/>
          <w:sz w:val="30"/>
          <w:szCs w:val="30"/>
          <w:highlight w:val="none"/>
        </w:rPr>
        <w:t>一、建设项目基本情况</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863"/>
        <w:gridCol w:w="750"/>
        <w:gridCol w:w="2430"/>
        <w:gridCol w:w="1525"/>
        <w:gridCol w:w="3307"/>
      </w:tblGrid>
      <w:tr w14:paraId="0C8D11F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613" w:type="dxa"/>
            <w:gridSpan w:val="2"/>
            <w:noWrap w:val="0"/>
            <w:tcMar>
              <w:top w:w="16" w:type="dxa"/>
              <w:left w:w="16" w:type="dxa"/>
              <w:right w:w="16" w:type="dxa"/>
            </w:tcMar>
            <w:vAlign w:val="center"/>
          </w:tcPr>
          <w:p w14:paraId="00C2E4D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ascii="宋体" w:hAnsi="宋体" w:cs="宋体"/>
                <w:sz w:val="21"/>
                <w:szCs w:val="21"/>
              </w:rPr>
              <w:t>建设</w:t>
            </w:r>
            <w:r>
              <w:rPr>
                <w:rFonts w:hint="eastAsia" w:cs="宋体"/>
                <w:color w:val="000000"/>
                <w:sz w:val="21"/>
                <w:szCs w:val="21"/>
                <w:highlight w:val="none"/>
              </w:rPr>
              <w:t>项目名称</w:t>
            </w:r>
          </w:p>
        </w:tc>
        <w:tc>
          <w:tcPr>
            <w:tcW w:w="7262" w:type="dxa"/>
            <w:gridSpan w:val="3"/>
            <w:noWrap w:val="0"/>
            <w:vAlign w:val="center"/>
          </w:tcPr>
          <w:p w14:paraId="55F2FF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eastAsia="宋体" w:cs="宋体"/>
                <w:color w:val="000000"/>
                <w:sz w:val="21"/>
                <w:szCs w:val="21"/>
                <w:highlight w:val="none"/>
                <w:lang w:eastAsia="zh-CN"/>
              </w:rPr>
            </w:pPr>
            <w:r>
              <w:rPr>
                <w:rFonts w:hint="eastAsia" w:cs="宋体"/>
                <w:b w:val="0"/>
                <w:bCs w:val="0"/>
                <w:color w:val="000000"/>
                <w:sz w:val="21"/>
                <w:szCs w:val="21"/>
                <w:highlight w:val="none"/>
                <w:lang w:val="en-US" w:eastAsia="zh-CN"/>
              </w:rPr>
              <w:t>巴州旭阳建材有限公司年生产加工3万吨U型板渠项目</w:t>
            </w:r>
          </w:p>
        </w:tc>
      </w:tr>
      <w:tr w14:paraId="654452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1" w:hRule="atLeast"/>
          <w:jc w:val="center"/>
        </w:trPr>
        <w:tc>
          <w:tcPr>
            <w:tcW w:w="1613" w:type="dxa"/>
            <w:gridSpan w:val="2"/>
            <w:noWrap w:val="0"/>
            <w:tcMar>
              <w:top w:w="16" w:type="dxa"/>
              <w:left w:w="16" w:type="dxa"/>
              <w:right w:w="16" w:type="dxa"/>
            </w:tcMar>
            <w:vAlign w:val="center"/>
          </w:tcPr>
          <w:p w14:paraId="2F06358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项目代码</w:t>
            </w:r>
          </w:p>
        </w:tc>
        <w:tc>
          <w:tcPr>
            <w:tcW w:w="7262" w:type="dxa"/>
            <w:gridSpan w:val="3"/>
            <w:noWrap w:val="0"/>
            <w:vAlign w:val="center"/>
          </w:tcPr>
          <w:p w14:paraId="501369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p>
        </w:tc>
      </w:tr>
      <w:tr w14:paraId="0C9392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613" w:type="dxa"/>
            <w:gridSpan w:val="2"/>
            <w:noWrap w:val="0"/>
            <w:tcMar>
              <w:top w:w="16" w:type="dxa"/>
              <w:left w:w="16" w:type="dxa"/>
              <w:right w:w="16" w:type="dxa"/>
            </w:tcMar>
            <w:vAlign w:val="center"/>
          </w:tcPr>
          <w:p w14:paraId="1775F8A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建设单位联系人</w:t>
            </w:r>
          </w:p>
        </w:tc>
        <w:tc>
          <w:tcPr>
            <w:tcW w:w="2430" w:type="dxa"/>
            <w:noWrap w:val="0"/>
            <w:vAlign w:val="center"/>
          </w:tcPr>
          <w:p w14:paraId="70717D0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p>
        </w:tc>
        <w:tc>
          <w:tcPr>
            <w:tcW w:w="1525" w:type="dxa"/>
            <w:noWrap w:val="0"/>
            <w:vAlign w:val="center"/>
          </w:tcPr>
          <w:p w14:paraId="3C9EE9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p>
        </w:tc>
        <w:tc>
          <w:tcPr>
            <w:tcW w:w="3307" w:type="dxa"/>
            <w:noWrap w:val="0"/>
            <w:vAlign w:val="center"/>
          </w:tcPr>
          <w:p w14:paraId="2D95A16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p>
        </w:tc>
      </w:tr>
      <w:tr w14:paraId="21CF6A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613" w:type="dxa"/>
            <w:gridSpan w:val="2"/>
            <w:noWrap w:val="0"/>
            <w:tcMar>
              <w:top w:w="16" w:type="dxa"/>
              <w:left w:w="16" w:type="dxa"/>
              <w:right w:w="16" w:type="dxa"/>
            </w:tcMar>
            <w:vAlign w:val="center"/>
          </w:tcPr>
          <w:p w14:paraId="0FF9D42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建设地点</w:t>
            </w:r>
          </w:p>
        </w:tc>
        <w:tc>
          <w:tcPr>
            <w:tcW w:w="7262" w:type="dxa"/>
            <w:gridSpan w:val="3"/>
            <w:noWrap w:val="0"/>
            <w:vAlign w:val="center"/>
          </w:tcPr>
          <w:p w14:paraId="5125C753">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cs="宋体"/>
                <w:color w:val="000000"/>
                <w:sz w:val="21"/>
                <w:szCs w:val="21"/>
                <w:highlight w:val="none"/>
                <w:lang w:val="en-US"/>
              </w:rPr>
            </w:pPr>
          </w:p>
        </w:tc>
      </w:tr>
      <w:tr w14:paraId="775F53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613" w:type="dxa"/>
            <w:gridSpan w:val="2"/>
            <w:noWrap w:val="0"/>
            <w:tcMar>
              <w:top w:w="16" w:type="dxa"/>
              <w:left w:w="16" w:type="dxa"/>
              <w:right w:w="16" w:type="dxa"/>
            </w:tcMar>
            <w:vAlign w:val="center"/>
          </w:tcPr>
          <w:p w14:paraId="481392D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地理坐标</w:t>
            </w:r>
          </w:p>
        </w:tc>
        <w:tc>
          <w:tcPr>
            <w:tcW w:w="7262" w:type="dxa"/>
            <w:gridSpan w:val="3"/>
            <w:noWrap w:val="0"/>
            <w:vAlign w:val="center"/>
          </w:tcPr>
          <w:p w14:paraId="19077679">
            <w:pPr>
              <w:keepNext w:val="0"/>
              <w:keepLines w:val="0"/>
              <w:pageBreakBefore w:val="0"/>
              <w:widowControl w:val="0"/>
              <w:suppressLineNumbers w:val="0"/>
              <w:kinsoku/>
              <w:wordWrap/>
              <w:overflowPunct/>
              <w:topLinePunct w:val="0"/>
              <w:bidi w:val="0"/>
              <w:spacing w:before="0" w:beforeAutospacing="0" w:after="0" w:afterAutospacing="0" w:line="240" w:lineRule="auto"/>
              <w:ind w:left="0" w:right="0" w:firstLine="0" w:firstLineChars="0"/>
              <w:jc w:val="center"/>
              <w:textAlignment w:val="auto"/>
              <w:outlineLvl w:val="0"/>
              <w:rPr>
                <w:rFonts w:hint="default" w:eastAsia="宋体" w:cs="宋体"/>
                <w:color w:val="000000"/>
                <w:sz w:val="21"/>
                <w:szCs w:val="21"/>
                <w:highlight w:val="none"/>
                <w:lang w:val="en-US" w:eastAsia="zh-CN"/>
              </w:rPr>
            </w:pPr>
          </w:p>
        </w:tc>
      </w:tr>
      <w:tr w14:paraId="27F8FF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61" w:hRule="atLeast"/>
          <w:jc w:val="center"/>
        </w:trPr>
        <w:tc>
          <w:tcPr>
            <w:tcW w:w="1613" w:type="dxa"/>
            <w:gridSpan w:val="2"/>
            <w:noWrap w:val="0"/>
            <w:tcMar>
              <w:top w:w="16" w:type="dxa"/>
              <w:left w:w="16" w:type="dxa"/>
              <w:right w:w="16" w:type="dxa"/>
            </w:tcMar>
            <w:vAlign w:val="center"/>
          </w:tcPr>
          <w:p w14:paraId="1595408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国民经济</w:t>
            </w:r>
          </w:p>
          <w:p w14:paraId="4E91B3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行业类别</w:t>
            </w:r>
          </w:p>
        </w:tc>
        <w:tc>
          <w:tcPr>
            <w:tcW w:w="2430" w:type="dxa"/>
            <w:noWrap w:val="0"/>
            <w:vAlign w:val="center"/>
          </w:tcPr>
          <w:p w14:paraId="2EB71218">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C3021水泥制品制造</w:t>
            </w:r>
          </w:p>
        </w:tc>
        <w:tc>
          <w:tcPr>
            <w:tcW w:w="1525" w:type="dxa"/>
            <w:noWrap w:val="0"/>
            <w:vAlign w:val="center"/>
          </w:tcPr>
          <w:p w14:paraId="0510CB7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bookmarkStart w:id="0" w:name="_Hlk49843745"/>
            <w:r>
              <w:rPr>
                <w:rFonts w:hint="eastAsia" w:cs="宋体"/>
                <w:color w:val="000000"/>
                <w:sz w:val="21"/>
                <w:szCs w:val="21"/>
                <w:highlight w:val="none"/>
              </w:rPr>
              <w:t>建设项目</w:t>
            </w:r>
          </w:p>
          <w:p w14:paraId="12FE8FE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行业类别</w:t>
            </w:r>
            <w:bookmarkEnd w:id="0"/>
          </w:p>
        </w:tc>
        <w:tc>
          <w:tcPr>
            <w:tcW w:w="3307" w:type="dxa"/>
            <w:noWrap w:val="0"/>
            <w:vAlign w:val="center"/>
          </w:tcPr>
          <w:p w14:paraId="57F6346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cs="宋体"/>
                <w:color w:val="000000"/>
                <w:sz w:val="21"/>
                <w:szCs w:val="21"/>
                <w:highlight w:val="none"/>
              </w:rPr>
            </w:pPr>
            <w:r>
              <w:rPr>
                <w:rFonts w:hint="eastAsia" w:cs="宋体"/>
                <w:color w:val="000000"/>
                <w:sz w:val="21"/>
                <w:szCs w:val="21"/>
                <w:highlight w:val="none"/>
              </w:rPr>
              <w:t>二十七、非金属矿物制品业-55石膏、水泥制品及类似制品制造中水泥制品制造</w:t>
            </w:r>
          </w:p>
        </w:tc>
      </w:tr>
      <w:tr w14:paraId="4AA9F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19" w:hRule="atLeast"/>
          <w:jc w:val="center"/>
        </w:trPr>
        <w:tc>
          <w:tcPr>
            <w:tcW w:w="1613" w:type="dxa"/>
            <w:gridSpan w:val="2"/>
            <w:noWrap w:val="0"/>
            <w:tcMar>
              <w:top w:w="16" w:type="dxa"/>
              <w:left w:w="16" w:type="dxa"/>
              <w:right w:w="16" w:type="dxa"/>
            </w:tcMar>
            <w:vAlign w:val="center"/>
          </w:tcPr>
          <w:p w14:paraId="05C2B56E">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建设性质</w:t>
            </w:r>
          </w:p>
        </w:tc>
        <w:tc>
          <w:tcPr>
            <w:tcW w:w="2430" w:type="dxa"/>
            <w:noWrap w:val="0"/>
            <w:vAlign w:val="center"/>
          </w:tcPr>
          <w:p w14:paraId="7B22D78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☑新建（迁建）</w:t>
            </w:r>
          </w:p>
          <w:p w14:paraId="69F2A57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□改建</w:t>
            </w:r>
          </w:p>
          <w:p w14:paraId="2699980B">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□扩建</w:t>
            </w:r>
          </w:p>
          <w:p w14:paraId="4B41F86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□技术改造</w:t>
            </w:r>
          </w:p>
        </w:tc>
        <w:tc>
          <w:tcPr>
            <w:tcW w:w="1525" w:type="dxa"/>
            <w:noWrap w:val="0"/>
            <w:vAlign w:val="center"/>
          </w:tcPr>
          <w:p w14:paraId="252B154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建设项目</w:t>
            </w:r>
          </w:p>
          <w:p w14:paraId="51A0FD3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申报情形</w:t>
            </w:r>
          </w:p>
        </w:tc>
        <w:tc>
          <w:tcPr>
            <w:tcW w:w="3307" w:type="dxa"/>
            <w:noWrap w:val="0"/>
            <w:vAlign w:val="center"/>
          </w:tcPr>
          <w:p w14:paraId="249282D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☑首次申报项目</w:t>
            </w:r>
          </w:p>
          <w:p w14:paraId="6465AFF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□不予批准后再次申报项目</w:t>
            </w:r>
          </w:p>
          <w:p w14:paraId="1FF8BE17">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□超五年重新审核项目</w:t>
            </w:r>
          </w:p>
          <w:p w14:paraId="5B1E4E4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rPr>
              <w:t>□重大变动重新报批项目</w:t>
            </w:r>
          </w:p>
        </w:tc>
      </w:tr>
      <w:tr w14:paraId="7307B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851" w:hRule="atLeast"/>
          <w:jc w:val="center"/>
        </w:trPr>
        <w:tc>
          <w:tcPr>
            <w:tcW w:w="1613" w:type="dxa"/>
            <w:gridSpan w:val="2"/>
            <w:noWrap w:val="0"/>
            <w:tcMar>
              <w:top w:w="16" w:type="dxa"/>
              <w:left w:w="16" w:type="dxa"/>
              <w:right w:w="16" w:type="dxa"/>
            </w:tcMar>
            <w:vAlign w:val="center"/>
          </w:tcPr>
          <w:p w14:paraId="6E3EB88D">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项目审批（核准/备案）部门（选填）</w:t>
            </w:r>
          </w:p>
        </w:tc>
        <w:tc>
          <w:tcPr>
            <w:tcW w:w="2430" w:type="dxa"/>
            <w:noWrap w:val="0"/>
            <w:vAlign w:val="center"/>
          </w:tcPr>
          <w:p w14:paraId="39F7420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r>
              <w:rPr>
                <w:rFonts w:hint="eastAsia" w:cs="宋体"/>
                <w:color w:val="000000"/>
                <w:sz w:val="21"/>
                <w:szCs w:val="21"/>
                <w:highlight w:val="none"/>
                <w:lang w:val="en-US" w:eastAsia="zh-CN"/>
              </w:rPr>
              <w:t>和静县发展和改革委员会</w:t>
            </w:r>
          </w:p>
        </w:tc>
        <w:tc>
          <w:tcPr>
            <w:tcW w:w="1525" w:type="dxa"/>
            <w:noWrap w:val="0"/>
            <w:vAlign w:val="center"/>
          </w:tcPr>
          <w:p w14:paraId="7C9DA8C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项目审批（核准/</w:t>
            </w:r>
          </w:p>
          <w:p w14:paraId="69EA28A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备案）文号（选填）</w:t>
            </w:r>
          </w:p>
        </w:tc>
        <w:tc>
          <w:tcPr>
            <w:tcW w:w="3307" w:type="dxa"/>
            <w:noWrap w:val="0"/>
            <w:vAlign w:val="center"/>
          </w:tcPr>
          <w:p w14:paraId="0EB41310">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cs="宋体"/>
                <w:color w:val="000000"/>
                <w:sz w:val="21"/>
                <w:szCs w:val="21"/>
                <w:highlight w:val="none"/>
                <w:lang w:val="en-US"/>
              </w:rPr>
            </w:pPr>
            <w:r>
              <w:rPr>
                <w:rFonts w:hint="default" w:cs="宋体"/>
                <w:color w:val="000000"/>
                <w:sz w:val="21"/>
                <w:szCs w:val="21"/>
                <w:highlight w:val="none"/>
                <w:lang w:val="en-US" w:eastAsia="zh-CN"/>
              </w:rPr>
              <w:t>2604141108652827000147</w:t>
            </w:r>
          </w:p>
        </w:tc>
      </w:tr>
      <w:tr w14:paraId="7A918E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1613" w:type="dxa"/>
            <w:gridSpan w:val="2"/>
            <w:noWrap w:val="0"/>
            <w:tcMar>
              <w:top w:w="16" w:type="dxa"/>
              <w:left w:w="16" w:type="dxa"/>
              <w:right w:w="16" w:type="dxa"/>
            </w:tcMar>
            <w:vAlign w:val="center"/>
          </w:tcPr>
          <w:p w14:paraId="1C222F6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总投资（万元）</w:t>
            </w:r>
          </w:p>
        </w:tc>
        <w:tc>
          <w:tcPr>
            <w:tcW w:w="2430" w:type="dxa"/>
            <w:noWrap w:val="0"/>
            <w:vAlign w:val="center"/>
          </w:tcPr>
          <w:p w14:paraId="765263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r>
              <w:rPr>
                <w:rFonts w:hint="eastAsia" w:cs="宋体"/>
                <w:color w:val="000000"/>
                <w:sz w:val="21"/>
                <w:szCs w:val="21"/>
                <w:highlight w:val="none"/>
                <w:lang w:val="en-US" w:eastAsia="zh-CN"/>
              </w:rPr>
              <w:t>64</w:t>
            </w:r>
          </w:p>
        </w:tc>
        <w:tc>
          <w:tcPr>
            <w:tcW w:w="1525" w:type="dxa"/>
            <w:noWrap w:val="0"/>
            <w:tcMar>
              <w:top w:w="16" w:type="dxa"/>
              <w:left w:w="16" w:type="dxa"/>
              <w:right w:w="16" w:type="dxa"/>
            </w:tcMar>
            <w:vAlign w:val="center"/>
          </w:tcPr>
          <w:p w14:paraId="102A79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环保投资（万元）</w:t>
            </w:r>
          </w:p>
        </w:tc>
        <w:tc>
          <w:tcPr>
            <w:tcW w:w="3307" w:type="dxa"/>
            <w:noWrap w:val="0"/>
            <w:vAlign w:val="center"/>
          </w:tcPr>
          <w:p w14:paraId="3ACA6B1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r>
              <w:rPr>
                <w:rFonts w:hint="eastAsia" w:eastAsia="宋体" w:cs="宋体"/>
                <w:color w:val="000000"/>
                <w:sz w:val="21"/>
                <w:szCs w:val="21"/>
                <w:highlight w:val="none"/>
                <w:lang w:val="en-US" w:eastAsia="zh-CN"/>
              </w:rPr>
              <w:t>9</w:t>
            </w:r>
          </w:p>
        </w:tc>
      </w:tr>
      <w:tr w14:paraId="5C35C2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527" w:hRule="atLeast"/>
          <w:jc w:val="center"/>
        </w:trPr>
        <w:tc>
          <w:tcPr>
            <w:tcW w:w="1613" w:type="dxa"/>
            <w:gridSpan w:val="2"/>
            <w:noWrap w:val="0"/>
            <w:tcMar>
              <w:top w:w="16" w:type="dxa"/>
              <w:left w:w="16" w:type="dxa"/>
              <w:right w:w="16" w:type="dxa"/>
            </w:tcMar>
            <w:vAlign w:val="center"/>
          </w:tcPr>
          <w:p w14:paraId="5162ED1F">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环保投资占比</w:t>
            </w:r>
          </w:p>
        </w:tc>
        <w:tc>
          <w:tcPr>
            <w:tcW w:w="2430" w:type="dxa"/>
            <w:noWrap w:val="0"/>
            <w:vAlign w:val="center"/>
          </w:tcPr>
          <w:p w14:paraId="46DFAB6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r>
              <w:rPr>
                <w:rFonts w:hint="eastAsia" w:cs="宋体"/>
                <w:color w:val="000000"/>
                <w:sz w:val="21"/>
                <w:szCs w:val="21"/>
                <w:highlight w:val="none"/>
                <w:lang w:val="en-US" w:eastAsia="zh-CN"/>
              </w:rPr>
              <w:t>14.06%</w:t>
            </w:r>
          </w:p>
        </w:tc>
        <w:tc>
          <w:tcPr>
            <w:tcW w:w="1525" w:type="dxa"/>
            <w:noWrap w:val="0"/>
            <w:tcMar>
              <w:top w:w="16" w:type="dxa"/>
              <w:left w:w="16" w:type="dxa"/>
              <w:right w:w="16" w:type="dxa"/>
            </w:tcMar>
            <w:vAlign w:val="center"/>
          </w:tcPr>
          <w:p w14:paraId="31FD59D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施工工期</w:t>
            </w:r>
          </w:p>
        </w:tc>
        <w:tc>
          <w:tcPr>
            <w:tcW w:w="3307" w:type="dxa"/>
            <w:noWrap w:val="0"/>
            <w:vAlign w:val="center"/>
          </w:tcPr>
          <w:p w14:paraId="1D505286">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r>
              <w:rPr>
                <w:rFonts w:hint="eastAsia" w:cs="宋体"/>
                <w:color w:val="000000"/>
                <w:sz w:val="21"/>
                <w:szCs w:val="21"/>
                <w:highlight w:val="none"/>
                <w:lang w:val="en-US" w:eastAsia="zh-CN"/>
              </w:rPr>
              <w:t>5个月</w:t>
            </w:r>
          </w:p>
        </w:tc>
      </w:tr>
      <w:tr w14:paraId="6369359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772" w:hRule="atLeast"/>
          <w:jc w:val="center"/>
        </w:trPr>
        <w:tc>
          <w:tcPr>
            <w:tcW w:w="1613" w:type="dxa"/>
            <w:gridSpan w:val="2"/>
            <w:noWrap w:val="0"/>
            <w:tcMar>
              <w:top w:w="16" w:type="dxa"/>
              <w:left w:w="16" w:type="dxa"/>
              <w:right w:w="16" w:type="dxa"/>
            </w:tcMar>
            <w:vAlign w:val="center"/>
          </w:tcPr>
          <w:p w14:paraId="7E7558F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是否开工建设</w:t>
            </w:r>
          </w:p>
        </w:tc>
        <w:tc>
          <w:tcPr>
            <w:tcW w:w="2430" w:type="dxa"/>
            <w:noWrap w:val="0"/>
            <w:vAlign w:val="center"/>
          </w:tcPr>
          <w:p w14:paraId="6C8199FA">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eastAsia" w:cs="宋体"/>
                <w:color w:val="000000"/>
                <w:sz w:val="21"/>
                <w:szCs w:val="21"/>
                <w:highlight w:val="none"/>
              </w:rPr>
            </w:pPr>
            <w:r>
              <w:rPr>
                <w:rFonts w:hint="eastAsia" w:cs="宋体"/>
                <w:color w:val="000000"/>
                <w:sz w:val="21"/>
                <w:szCs w:val="21"/>
                <w:highlight w:val="none"/>
                <w:lang w:eastAsia="zh-CN"/>
              </w:rPr>
              <w:t>□</w:t>
            </w:r>
            <w:r>
              <w:rPr>
                <w:rFonts w:hint="eastAsia" w:cs="宋体"/>
                <w:color w:val="000000"/>
                <w:sz w:val="21"/>
                <w:szCs w:val="21"/>
                <w:highlight w:val="none"/>
              </w:rPr>
              <w:t>否</w:t>
            </w:r>
          </w:p>
          <w:p w14:paraId="05CEA17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textAlignment w:val="auto"/>
              <w:rPr>
                <w:rFonts w:hint="default" w:cs="宋体"/>
                <w:color w:val="000000"/>
                <w:sz w:val="21"/>
                <w:szCs w:val="21"/>
                <w:highlight w:val="none"/>
                <w:lang w:val="en-US"/>
              </w:rPr>
            </w:pPr>
            <w:r>
              <w:rPr>
                <w:rFonts w:hint="eastAsia" w:cs="宋体"/>
                <w:color w:val="000000"/>
                <w:sz w:val="21"/>
                <w:szCs w:val="21"/>
                <w:highlight w:val="none"/>
                <w:lang w:eastAsia="zh-CN"/>
              </w:rPr>
              <w:t>☑</w:t>
            </w:r>
            <w:r>
              <w:rPr>
                <w:rFonts w:hint="eastAsia" w:cs="宋体"/>
                <w:color w:val="000000"/>
                <w:sz w:val="21"/>
                <w:szCs w:val="21"/>
                <w:highlight w:val="none"/>
              </w:rPr>
              <w:t>是：</w:t>
            </w:r>
            <w:r>
              <w:rPr>
                <w:rFonts w:hint="eastAsia" w:cs="宋体"/>
                <w:color w:val="000000"/>
                <w:sz w:val="21"/>
                <w:szCs w:val="21"/>
                <w:highlight w:val="none"/>
                <w:lang w:val="en-US" w:eastAsia="zh-CN"/>
              </w:rPr>
              <w:t>项目水泥制品生产线、搅拌设备1台及配套附属设施均已基本建设完成，已依法缴纳行政处罚款。</w:t>
            </w:r>
          </w:p>
        </w:tc>
        <w:tc>
          <w:tcPr>
            <w:tcW w:w="1525" w:type="dxa"/>
            <w:noWrap w:val="0"/>
            <w:tcMar>
              <w:top w:w="16" w:type="dxa"/>
              <w:left w:w="16" w:type="dxa"/>
              <w:right w:w="16" w:type="dxa"/>
            </w:tcMar>
            <w:vAlign w:val="center"/>
          </w:tcPr>
          <w:p w14:paraId="33CE0AC2">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用地</w:t>
            </w:r>
          </w:p>
          <w:p w14:paraId="13061484">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（用海）</w:t>
            </w:r>
          </w:p>
          <w:p w14:paraId="29313CE9">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sz w:val="21"/>
                <w:szCs w:val="21"/>
                <w:highlight w:val="none"/>
              </w:rPr>
            </w:pPr>
            <w:r>
              <w:rPr>
                <w:rFonts w:hint="eastAsia" w:cs="宋体"/>
                <w:color w:val="000000"/>
                <w:sz w:val="21"/>
                <w:szCs w:val="21"/>
                <w:highlight w:val="none"/>
              </w:rPr>
              <w:t>面积（m</w:t>
            </w:r>
            <w:r>
              <w:rPr>
                <w:rFonts w:hint="eastAsia" w:cs="宋体"/>
                <w:color w:val="000000"/>
                <w:sz w:val="21"/>
                <w:szCs w:val="21"/>
                <w:highlight w:val="none"/>
                <w:vertAlign w:val="superscript"/>
              </w:rPr>
              <w:t>2</w:t>
            </w:r>
            <w:r>
              <w:rPr>
                <w:rFonts w:hint="eastAsia" w:cs="宋体"/>
                <w:color w:val="000000"/>
                <w:sz w:val="21"/>
                <w:szCs w:val="21"/>
                <w:highlight w:val="none"/>
              </w:rPr>
              <w:t>）</w:t>
            </w:r>
          </w:p>
        </w:tc>
        <w:tc>
          <w:tcPr>
            <w:tcW w:w="3307" w:type="dxa"/>
            <w:noWrap w:val="0"/>
            <w:vAlign w:val="center"/>
          </w:tcPr>
          <w:p w14:paraId="11A86215">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default" w:eastAsia="宋体" w:cs="宋体"/>
                <w:color w:val="000000"/>
                <w:sz w:val="21"/>
                <w:szCs w:val="21"/>
                <w:highlight w:val="none"/>
                <w:lang w:val="en-US" w:eastAsia="zh-CN"/>
              </w:rPr>
            </w:pPr>
            <w:r>
              <w:rPr>
                <w:rFonts w:hint="eastAsia" w:cs="宋体"/>
                <w:color w:val="000000"/>
                <w:sz w:val="21"/>
                <w:szCs w:val="21"/>
                <w:highlight w:val="none"/>
                <w:lang w:val="en-US" w:eastAsia="zh-CN"/>
              </w:rPr>
              <w:t>13045.5</w:t>
            </w:r>
          </w:p>
        </w:tc>
      </w:tr>
      <w:tr w14:paraId="4B4B6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83" w:hRule="atLeast"/>
          <w:jc w:val="center"/>
        </w:trPr>
        <w:tc>
          <w:tcPr>
            <w:tcW w:w="1613" w:type="dxa"/>
            <w:gridSpan w:val="2"/>
            <w:noWrap w:val="0"/>
            <w:vAlign w:val="center"/>
          </w:tcPr>
          <w:p w14:paraId="60EC48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cs="宋体"/>
                <w:color w:val="000000"/>
                <w:kern w:val="0"/>
                <w:sz w:val="21"/>
                <w:szCs w:val="21"/>
                <w:highlight w:val="none"/>
              </w:rPr>
            </w:pPr>
            <w:r>
              <w:rPr>
                <w:rFonts w:hint="eastAsia" w:cs="宋体"/>
                <w:color w:val="000000"/>
                <w:kern w:val="0"/>
                <w:sz w:val="21"/>
                <w:szCs w:val="21"/>
                <w:highlight w:val="none"/>
              </w:rPr>
              <w:t>专项评价设置情况</w:t>
            </w:r>
          </w:p>
        </w:tc>
        <w:tc>
          <w:tcPr>
            <w:tcW w:w="7262" w:type="dxa"/>
            <w:gridSpan w:val="3"/>
            <w:noWrap w:val="0"/>
            <w:vAlign w:val="center"/>
          </w:tcPr>
          <w:p w14:paraId="4A3F15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cs="宋体"/>
                <w:color w:val="000000"/>
                <w:kern w:val="0"/>
                <w:sz w:val="21"/>
                <w:szCs w:val="21"/>
                <w:highlight w:val="none"/>
              </w:rPr>
            </w:pPr>
            <w:r>
              <w:rPr>
                <w:rFonts w:hint="eastAsia" w:cs="宋体"/>
                <w:color w:val="000000"/>
                <w:kern w:val="0"/>
                <w:sz w:val="21"/>
                <w:szCs w:val="21"/>
                <w:highlight w:val="none"/>
              </w:rPr>
              <w:t>无</w:t>
            </w:r>
          </w:p>
        </w:tc>
      </w:tr>
      <w:tr w14:paraId="7FBBC4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jc w:val="center"/>
        </w:trPr>
        <w:tc>
          <w:tcPr>
            <w:tcW w:w="1613" w:type="dxa"/>
            <w:gridSpan w:val="2"/>
            <w:noWrap w:val="0"/>
            <w:vAlign w:val="center"/>
          </w:tcPr>
          <w:p w14:paraId="274E21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kern w:val="0"/>
                <w:sz w:val="21"/>
                <w:szCs w:val="21"/>
                <w:highlight w:val="none"/>
              </w:rPr>
            </w:pPr>
            <w:r>
              <w:rPr>
                <w:rFonts w:hint="eastAsia" w:cs="宋体"/>
                <w:color w:val="000000"/>
                <w:sz w:val="21"/>
                <w:szCs w:val="21"/>
                <w:highlight w:val="none"/>
              </w:rPr>
              <w:t>规划情况</w:t>
            </w:r>
          </w:p>
        </w:tc>
        <w:tc>
          <w:tcPr>
            <w:tcW w:w="7262" w:type="dxa"/>
            <w:gridSpan w:val="3"/>
            <w:noWrap w:val="0"/>
            <w:vAlign w:val="center"/>
          </w:tcPr>
          <w:p w14:paraId="10EBE6B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规划文件：《和静县国土空间总体规划（2021—2035年）》；</w:t>
            </w:r>
          </w:p>
          <w:p w14:paraId="19FE7D1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审批机关：巴州人民政府；</w:t>
            </w:r>
          </w:p>
          <w:p w14:paraId="114F40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left"/>
              <w:textAlignment w:val="auto"/>
              <w:rPr>
                <w:rFonts w:hint="default" w:ascii="Times New Roman" w:hAnsi="Times New Roman" w:eastAsia="宋体" w:cs="Times New Roman"/>
                <w:color w:val="000000"/>
                <w:kern w:val="0"/>
                <w:sz w:val="21"/>
                <w:szCs w:val="21"/>
                <w:highlight w:val="none"/>
                <w:lang w:val="en-US" w:eastAsia="zh-CN"/>
              </w:rPr>
            </w:pPr>
            <w:r>
              <w:rPr>
                <w:rFonts w:hint="default" w:ascii="Times New Roman" w:hAnsi="Times New Roman" w:cs="Times New Roman"/>
                <w:color w:val="000000"/>
                <w:kern w:val="0"/>
                <w:sz w:val="21"/>
                <w:szCs w:val="21"/>
                <w:highlight w:val="none"/>
                <w:lang w:val="en-US" w:eastAsia="zh-CN"/>
              </w:rPr>
              <w:t>审批文件名称及文号：关于《和静县国土空间总体规划（2021—2035年）》的批复（巴政函〔2024〕112号）</w:t>
            </w:r>
          </w:p>
        </w:tc>
      </w:tr>
      <w:tr w14:paraId="37603B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5" w:hRule="atLeast"/>
          <w:jc w:val="center"/>
        </w:trPr>
        <w:tc>
          <w:tcPr>
            <w:tcW w:w="1613" w:type="dxa"/>
            <w:gridSpan w:val="2"/>
            <w:noWrap w:val="0"/>
            <w:vAlign w:val="center"/>
          </w:tcPr>
          <w:p w14:paraId="63078B71">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center"/>
              <w:textAlignment w:val="auto"/>
              <w:rPr>
                <w:rFonts w:hint="eastAsia" w:cs="宋体"/>
                <w:color w:val="000000"/>
                <w:kern w:val="0"/>
                <w:sz w:val="21"/>
                <w:szCs w:val="21"/>
                <w:highlight w:val="none"/>
              </w:rPr>
            </w:pPr>
            <w:r>
              <w:rPr>
                <w:rFonts w:hint="eastAsia" w:cs="宋体"/>
                <w:color w:val="000000"/>
                <w:sz w:val="21"/>
                <w:szCs w:val="21"/>
                <w:highlight w:val="none"/>
              </w:rPr>
              <w:t>规划环境影响评价情况</w:t>
            </w:r>
          </w:p>
        </w:tc>
        <w:tc>
          <w:tcPr>
            <w:tcW w:w="7262" w:type="dxa"/>
            <w:gridSpan w:val="3"/>
            <w:noWrap w:val="0"/>
            <w:vAlign w:val="center"/>
          </w:tcPr>
          <w:p w14:paraId="76A517A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0" w:firstLineChars="0"/>
              <w:jc w:val="center"/>
              <w:textAlignment w:val="auto"/>
              <w:rPr>
                <w:rFonts w:hint="default" w:ascii="Times New Roman" w:hAnsi="Times New Roman" w:cs="Times New Roman"/>
                <w:color w:val="000000"/>
                <w:sz w:val="21"/>
                <w:szCs w:val="21"/>
                <w:highlight w:val="none"/>
                <w:lang w:val="en-US" w:eastAsia="zh-CN"/>
              </w:rPr>
            </w:pPr>
            <w:r>
              <w:rPr>
                <w:rFonts w:hint="eastAsia" w:cs="Times New Roman"/>
                <w:color w:val="000000"/>
                <w:sz w:val="21"/>
                <w:szCs w:val="21"/>
                <w:highlight w:val="none"/>
                <w:lang w:val="en-US" w:eastAsia="zh-CN"/>
              </w:rPr>
              <w:t>无</w:t>
            </w:r>
          </w:p>
        </w:tc>
      </w:tr>
      <w:tr w14:paraId="719208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jc w:val="center"/>
        </w:trPr>
        <w:tc>
          <w:tcPr>
            <w:tcW w:w="863" w:type="dxa"/>
            <w:noWrap w:val="0"/>
            <w:vAlign w:val="center"/>
          </w:tcPr>
          <w:p w14:paraId="094857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cs="宋体"/>
                <w:color w:val="000000"/>
                <w:kern w:val="0"/>
                <w:sz w:val="28"/>
                <w:szCs w:val="28"/>
                <w:highlight w:val="none"/>
              </w:rPr>
            </w:pPr>
            <w:r>
              <w:rPr>
                <w:rFonts w:hint="eastAsia" w:ascii="Times New Roman" w:hAnsi="Times New Roman" w:cs="宋体"/>
                <w:color w:val="000000"/>
                <w:sz w:val="21"/>
                <w:szCs w:val="21"/>
                <w:highlight w:val="none"/>
              </w:rPr>
              <w:t>规划及规划环境影响评价符合性分析</w:t>
            </w:r>
          </w:p>
        </w:tc>
        <w:tc>
          <w:tcPr>
            <w:tcW w:w="8012" w:type="dxa"/>
            <w:gridSpan w:val="4"/>
            <w:noWrap w:val="0"/>
            <w:vAlign w:val="center"/>
          </w:tcPr>
          <w:p w14:paraId="7A73F404">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《和静县国土空间总体规划（2021—2035年）》符合性分析</w:t>
            </w:r>
          </w:p>
          <w:p w14:paraId="29D275ED">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《关于〈和静县国土空间总体规划（2021—2035年）〉的批复》中明确要求：</w:t>
            </w:r>
            <w:r>
              <w:rPr>
                <w:rFonts w:hint="default"/>
                <w:lang w:val="en-US" w:eastAsia="zh-CN"/>
              </w:rPr>
              <w:t>筑牢安全发展的空间基础。到2035年，和静县耕地保有量面积不低于378.21平方千米（56.73万亩），其中永久基本农田保护面积不低于304.56平方千米（45.68万亩）；生态保护红线面积不低于21715.80平方千米；城镇开发边界扩展倍数控制在基于2020年城镇建设用地规模的1.27倍以内。明确自然灾害风险重点防控区域，划定洪涝等风险控制线，落实战略性矿产资源、历史文化保护等安全保障空间，全面锚固高质量发展的空间底线。</w:t>
            </w:r>
          </w:p>
          <w:p w14:paraId="6A098A09">
            <w:pPr>
              <w:keepNext w:val="0"/>
              <w:keepLines w:val="0"/>
              <w:suppressLineNumbers w:val="0"/>
              <w:bidi w:val="0"/>
              <w:spacing w:before="0" w:beforeAutospacing="0" w:after="0" w:afterAutospacing="0"/>
              <w:ind w:left="0" w:right="0"/>
              <w:rPr>
                <w:rFonts w:hint="eastAsia" w:eastAsia="宋体" w:cs="宋体"/>
                <w:color w:val="000000"/>
                <w:kern w:val="0"/>
                <w:szCs w:val="28"/>
                <w:highlight w:val="none"/>
                <w:lang w:val="en-US" w:eastAsia="zh-CN"/>
              </w:rPr>
            </w:pPr>
            <w:r>
              <w:rPr>
                <w:rFonts w:hint="eastAsia"/>
                <w:lang w:val="en-US" w:eastAsia="zh-CN"/>
              </w:rPr>
              <w:t>项目选址位于新疆巴音郭楞蒙古自治州和静县迎风路以西南华国商贸城4号维修仓储车间，占地面积为13045.5m</w:t>
            </w:r>
            <w:r>
              <w:rPr>
                <w:rFonts w:hint="eastAsia"/>
                <w:vertAlign w:val="superscript"/>
                <w:lang w:val="en-US" w:eastAsia="zh-CN"/>
              </w:rPr>
              <w:t>2</w:t>
            </w:r>
            <w:r>
              <w:rPr>
                <w:rFonts w:hint="eastAsia"/>
                <w:lang w:val="en-US" w:eastAsia="zh-CN"/>
              </w:rPr>
              <w:t>，已与和静县中天城建有限公司签订《房屋租赁合同》，项目用地属于工业用地，根据《关于巴州旭阳建材有限公司年生产加工3万吨U型板渠项目符合国土空间总体规划的情况说明》，项目选址符合《和静县国土空间总体规划（2021—2035年）》要求。</w:t>
            </w:r>
          </w:p>
        </w:tc>
      </w:tr>
      <w:tr w14:paraId="79F653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noWrap w:val="0"/>
            <w:vAlign w:val="center"/>
          </w:tcPr>
          <w:p w14:paraId="28BF5035">
            <w:pPr>
              <w:pStyle w:val="7"/>
              <w:keepNext w:val="0"/>
              <w:keepLines w:val="0"/>
              <w:suppressLineNumbers w:val="0"/>
              <w:bidi w:val="0"/>
              <w:spacing w:before="0" w:beforeAutospacing="0" w:after="0" w:afterAutospacing="0"/>
              <w:ind w:left="0" w:right="0"/>
              <w:rPr>
                <w:rFonts w:hint="eastAsia"/>
              </w:rPr>
            </w:pPr>
            <w:r>
              <w:rPr>
                <w:rFonts w:hint="eastAsia"/>
              </w:rPr>
              <w:t>其他符合性分析</w:t>
            </w:r>
          </w:p>
        </w:tc>
        <w:tc>
          <w:tcPr>
            <w:tcW w:w="8012" w:type="dxa"/>
            <w:gridSpan w:val="4"/>
            <w:noWrap w:val="0"/>
            <w:vAlign w:val="center"/>
          </w:tcPr>
          <w:p w14:paraId="4CFA34AB">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 产业政策符合性</w:t>
            </w:r>
          </w:p>
          <w:p w14:paraId="19E6CC15">
            <w:pPr>
              <w:pStyle w:val="3"/>
              <w:keepLines w:val="0"/>
              <w:suppressLineNumbers w:val="0"/>
              <w:bidi w:val="0"/>
              <w:spacing w:before="0" w:beforeAutospacing="0" w:after="0" w:afterAutospacing="0"/>
              <w:ind w:right="0"/>
              <w:rPr>
                <w:rFonts w:hint="eastAsia"/>
                <w:b w:val="0"/>
                <w:bCs w:val="0"/>
                <w:color w:val="000000"/>
                <w:kern w:val="0"/>
                <w:sz w:val="24"/>
                <w:szCs w:val="24"/>
                <w:highlight w:val="none"/>
                <w:lang w:val="en-US" w:eastAsia="zh-CN"/>
              </w:rPr>
            </w:pPr>
            <w:r>
              <w:rPr>
                <w:rFonts w:hint="eastAsia"/>
                <w:b w:val="0"/>
                <w:bCs w:val="0"/>
                <w:color w:val="000000"/>
                <w:kern w:val="0"/>
                <w:sz w:val="24"/>
                <w:szCs w:val="24"/>
                <w:highlight w:val="none"/>
                <w:lang w:val="en-US" w:eastAsia="zh-CN"/>
              </w:rPr>
              <w:t>根据《国民经济行业分类》（GB/T4754—2017），本项目属于C3021水泥制品制造，根据《产业结构调整指导目录（2024年本）》本项目不属于鼓励类、限制类、淘汰类；为允许类，因此项目的建设符合国家产业政策。</w:t>
            </w:r>
          </w:p>
          <w:p w14:paraId="779F0CEA">
            <w:pPr>
              <w:pStyle w:val="3"/>
              <w:keepLines w:val="0"/>
              <w:suppressLineNumbers w:val="0"/>
              <w:bidi w:val="0"/>
              <w:spacing w:before="0" w:beforeAutospacing="0" w:after="0" w:afterAutospacing="0"/>
              <w:ind w:right="0"/>
              <w:rPr>
                <w:rFonts w:hint="eastAsia"/>
                <w:color w:val="000000"/>
                <w:kern w:val="0"/>
                <w:sz w:val="24"/>
                <w:szCs w:val="24"/>
                <w:highlight w:val="none"/>
                <w:lang w:val="en-US" w:eastAsia="zh-CN"/>
              </w:rPr>
            </w:pPr>
            <w:r>
              <w:rPr>
                <w:rFonts w:hint="eastAsia"/>
                <w:lang w:val="en-US" w:eastAsia="zh-CN"/>
              </w:rPr>
              <w:t xml:space="preserve">2 </w:t>
            </w:r>
            <w:r>
              <w:rPr>
                <w:rFonts w:hint="eastAsia" w:ascii="宋体" w:hAnsi="宋体" w:eastAsia="宋体" w:cs="宋体"/>
                <w:lang w:val="en-US" w:eastAsia="zh-CN"/>
              </w:rPr>
              <w:t>“生态环境分区管控要求”</w:t>
            </w:r>
            <w:r>
              <w:rPr>
                <w:rFonts w:hint="eastAsia"/>
                <w:lang w:val="en-US" w:eastAsia="zh-CN"/>
              </w:rPr>
              <w:t>的</w:t>
            </w:r>
            <w:r>
              <w:rPr>
                <w:rFonts w:hint="default"/>
                <w:lang w:val="en-US" w:eastAsia="zh-CN"/>
              </w:rPr>
              <w:t>符合性分析</w:t>
            </w:r>
          </w:p>
          <w:p w14:paraId="26C59705">
            <w:pPr>
              <w:keepNext w:val="0"/>
              <w:keepLines w:val="0"/>
              <w:suppressLineNumbers w:val="0"/>
              <w:autoSpaceDE w:val="0"/>
              <w:autoSpaceDN w:val="0"/>
              <w:adjustRightInd w:val="0"/>
              <w:snapToGrid w:val="0"/>
              <w:spacing w:before="0" w:beforeAutospacing="0" w:after="0" w:afterAutospacing="0" w:line="520" w:lineRule="exact"/>
              <w:ind w:left="0" w:right="0" w:firstLine="480" w:firstLineChars="200"/>
              <w:rPr>
                <w:rFonts w:hint="eastAsia"/>
                <w:color w:val="000000"/>
                <w:kern w:val="0"/>
                <w:sz w:val="24"/>
                <w:szCs w:val="24"/>
                <w:highlight w:val="none"/>
                <w:lang w:val="en-US" w:eastAsia="zh-CN"/>
              </w:rPr>
            </w:pPr>
            <w:r>
              <w:rPr>
                <w:rFonts w:hint="eastAsia"/>
                <w:color w:val="000000"/>
                <w:kern w:val="0"/>
                <w:sz w:val="24"/>
                <w:szCs w:val="24"/>
                <w:highlight w:val="none"/>
                <w:lang w:val="en-US" w:eastAsia="zh-CN"/>
              </w:rPr>
              <w:t>（1）《关于印发〈新疆维吾尔自治区生态环境分区管控动态更新成果〉的通知》（新环环评发〔2024〕157号）符合性分析</w:t>
            </w:r>
          </w:p>
          <w:p w14:paraId="4D5471F7">
            <w:pPr>
              <w:keepNext w:val="0"/>
              <w:keepLines w:val="0"/>
              <w:suppressLineNumbers w:val="0"/>
              <w:autoSpaceDE w:val="0"/>
              <w:autoSpaceDN w:val="0"/>
              <w:adjustRightInd w:val="0"/>
              <w:snapToGrid w:val="0"/>
              <w:spacing w:before="0" w:beforeAutospacing="0" w:after="0" w:afterAutospacing="0" w:line="520" w:lineRule="exact"/>
              <w:ind w:left="0" w:right="0" w:firstLine="480" w:firstLineChars="200"/>
              <w:rPr>
                <w:rFonts w:hint="eastAsia"/>
                <w:color w:val="000000"/>
                <w:kern w:val="0"/>
                <w:sz w:val="24"/>
                <w:szCs w:val="24"/>
                <w:highlight w:val="none"/>
                <w:lang w:val="en-US" w:eastAsia="zh-CN"/>
              </w:rPr>
            </w:pPr>
            <w:r>
              <w:rPr>
                <w:rFonts w:hint="eastAsia"/>
                <w:color w:val="000000"/>
                <w:kern w:val="0"/>
                <w:sz w:val="24"/>
                <w:szCs w:val="24"/>
                <w:highlight w:val="none"/>
                <w:lang w:val="en-US" w:eastAsia="zh-CN"/>
              </w:rPr>
              <w:t>项目与《关于印发〈新疆维吾尔自治区生态环境分区管控动态更新成果〉的通知》（新环环评发〔2024〕157号）符合性分析详见下表。</w:t>
            </w:r>
          </w:p>
          <w:p w14:paraId="2B173206">
            <w:pPr>
              <w:pStyle w:val="5"/>
              <w:suppressLineNumbers w:val="0"/>
              <w:bidi w:val="0"/>
              <w:spacing w:before="0" w:beforeAutospacing="0" w:after="0" w:afterAutospacing="0"/>
              <w:ind w:left="0" w:right="0"/>
              <w:rPr>
                <w:rFonts w:hint="eastAsia"/>
                <w:lang w:val="en-US" w:eastAsia="zh-CN"/>
              </w:rPr>
            </w:pPr>
            <w:r>
              <w:rPr>
                <w:rFonts w:hint="eastAsia"/>
                <w:lang w:val="en-US" w:eastAsia="zh-CN"/>
              </w:rPr>
              <w:t>表1-1  《新疆维吾尔自治区生态环境分区管控动态更新成果》符合性分析</w:t>
            </w:r>
          </w:p>
          <w:tbl>
            <w:tblPr>
              <w:tblStyle w:val="3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52"/>
              <w:gridCol w:w="2913"/>
              <w:gridCol w:w="2726"/>
              <w:gridCol w:w="764"/>
            </w:tblGrid>
            <w:tr w14:paraId="6C6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4" w:type="pct"/>
                  <w:gridSpan w:val="2"/>
                  <w:noWrap w:val="0"/>
                  <w:vAlign w:val="center"/>
                </w:tcPr>
                <w:p w14:paraId="3DF49762">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管控要求</w:t>
                  </w:r>
                </w:p>
              </w:tc>
              <w:tc>
                <w:tcPr>
                  <w:tcW w:w="1872" w:type="pct"/>
                  <w:noWrap w:val="0"/>
                  <w:vAlign w:val="center"/>
                </w:tcPr>
                <w:p w14:paraId="28A95F27">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部分环境管理政策有关要求</w:t>
                  </w:r>
                </w:p>
              </w:tc>
              <w:tc>
                <w:tcPr>
                  <w:tcW w:w="1751" w:type="pct"/>
                  <w:noWrap w:val="0"/>
                  <w:vAlign w:val="center"/>
                </w:tcPr>
                <w:p w14:paraId="0D64E027">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本项目情况</w:t>
                  </w:r>
                </w:p>
              </w:tc>
              <w:tc>
                <w:tcPr>
                  <w:tcW w:w="491" w:type="pct"/>
                  <w:noWrap w:val="0"/>
                  <w:vAlign w:val="center"/>
                </w:tcPr>
                <w:p w14:paraId="21F6CCA3">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符合性</w:t>
                  </w:r>
                </w:p>
              </w:tc>
            </w:tr>
            <w:tr w14:paraId="0662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restart"/>
                  <w:noWrap w:val="0"/>
                  <w:vAlign w:val="center"/>
                </w:tcPr>
                <w:p w14:paraId="2C014DB8">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A1空间布局约束</w:t>
                  </w:r>
                </w:p>
              </w:tc>
              <w:tc>
                <w:tcPr>
                  <w:tcW w:w="354" w:type="pct"/>
                  <w:vMerge w:val="restart"/>
                  <w:noWrap w:val="0"/>
                  <w:vAlign w:val="center"/>
                </w:tcPr>
                <w:p w14:paraId="3DD0F25A">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A1.1禁止开发建设的活动</w:t>
                  </w:r>
                </w:p>
              </w:tc>
              <w:tc>
                <w:tcPr>
                  <w:tcW w:w="1872" w:type="pct"/>
                  <w:noWrap w:val="0"/>
                  <w:vAlign w:val="center"/>
                </w:tcPr>
                <w:p w14:paraId="34767068">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〔A1.1-1〕禁止新建、扩建《产业结构调整指导目录（2024年本）》中淘汰类项目。禁止引入《市场准入负面清单（2022年版）》禁止准入类事项。</w:t>
                  </w:r>
                </w:p>
              </w:tc>
              <w:tc>
                <w:tcPr>
                  <w:tcW w:w="1751" w:type="pct"/>
                  <w:noWrap w:val="0"/>
                  <w:vAlign w:val="center"/>
                </w:tcPr>
                <w:p w14:paraId="43A9E870">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本项目不属于鼓励类、限制类与淘汰类，因此属于允许类，符合国家产业政策；不属于《市场准入负面清单（2025年版）》的项目。符合相关要求。</w:t>
                  </w:r>
                </w:p>
              </w:tc>
              <w:tc>
                <w:tcPr>
                  <w:tcW w:w="491" w:type="pct"/>
                  <w:noWrap w:val="0"/>
                  <w:vAlign w:val="center"/>
                </w:tcPr>
                <w:p w14:paraId="0F187422">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符合</w:t>
                  </w:r>
                </w:p>
              </w:tc>
            </w:tr>
            <w:tr w14:paraId="15E53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vMerge w:val="continue"/>
                  <w:noWrap w:val="0"/>
                  <w:vAlign w:val="center"/>
                </w:tcPr>
                <w:p w14:paraId="45152BA8">
                  <w:pPr>
                    <w:pStyle w:val="7"/>
                    <w:keepNext w:val="0"/>
                    <w:keepLines w:val="0"/>
                    <w:suppressLineNumbers w:val="0"/>
                    <w:bidi w:val="0"/>
                    <w:spacing w:before="0" w:beforeAutospacing="0" w:after="0" w:afterAutospacing="0"/>
                    <w:ind w:left="0" w:right="0"/>
                    <w:rPr>
                      <w:rFonts w:hint="eastAsia"/>
                      <w:lang w:val="en-US" w:eastAsia="zh-CN"/>
                    </w:rPr>
                  </w:pPr>
                </w:p>
              </w:tc>
              <w:tc>
                <w:tcPr>
                  <w:tcW w:w="354" w:type="pct"/>
                  <w:vMerge w:val="continue"/>
                  <w:noWrap w:val="0"/>
                  <w:vAlign w:val="center"/>
                </w:tcPr>
                <w:p w14:paraId="00909F02">
                  <w:pPr>
                    <w:pStyle w:val="7"/>
                    <w:keepNext w:val="0"/>
                    <w:keepLines w:val="0"/>
                    <w:suppressLineNumbers w:val="0"/>
                    <w:bidi w:val="0"/>
                    <w:spacing w:before="0" w:beforeAutospacing="0" w:after="0" w:afterAutospacing="0"/>
                    <w:ind w:left="0" w:right="0"/>
                    <w:rPr>
                      <w:rFonts w:hint="eastAsia"/>
                      <w:lang w:val="en-US" w:eastAsia="zh-CN"/>
                    </w:rPr>
                  </w:pPr>
                </w:p>
              </w:tc>
              <w:tc>
                <w:tcPr>
                  <w:tcW w:w="1872" w:type="pct"/>
                  <w:noWrap w:val="0"/>
                  <w:vAlign w:val="center"/>
                </w:tcPr>
                <w:p w14:paraId="198659ED">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1.1-6〕禁止在自治区行政区域内引进能（水）耗不符合相关国家标准中准入要求且污染物排放和环境风险防控不符合国家（地方）标准及有关产业准入条件的高污染（排放）、高能（水）耗、高环境风险的工业项目。</w:t>
                  </w:r>
                </w:p>
              </w:tc>
              <w:tc>
                <w:tcPr>
                  <w:tcW w:w="1751" w:type="pct"/>
                  <w:noWrap w:val="0"/>
                  <w:vAlign w:val="center"/>
                </w:tcPr>
                <w:p w14:paraId="5D573D0F">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本项目属于水泥制品制造，不属于高污染（排放）、高能（水）耗、高环境风险的工业项目。</w:t>
                  </w:r>
                </w:p>
              </w:tc>
              <w:tc>
                <w:tcPr>
                  <w:tcW w:w="491" w:type="pct"/>
                  <w:noWrap w:val="0"/>
                  <w:vAlign w:val="center"/>
                </w:tcPr>
                <w:p w14:paraId="52188EF0">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符合</w:t>
                  </w:r>
                </w:p>
              </w:tc>
            </w:tr>
            <w:tr w14:paraId="5F3E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noWrap w:val="0"/>
                  <w:vAlign w:val="center"/>
                </w:tcPr>
                <w:p w14:paraId="3ED9E9A4">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A2污染物排放管控</w:t>
                  </w:r>
                </w:p>
              </w:tc>
              <w:tc>
                <w:tcPr>
                  <w:tcW w:w="354" w:type="pct"/>
                  <w:noWrap w:val="0"/>
                  <w:vAlign w:val="center"/>
                </w:tcPr>
                <w:p w14:paraId="54AF0FC8">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A2.2污染控制措施要求</w:t>
                  </w:r>
                </w:p>
              </w:tc>
              <w:tc>
                <w:tcPr>
                  <w:tcW w:w="1872" w:type="pct"/>
                  <w:noWrap w:val="0"/>
                  <w:vAlign w:val="center"/>
                </w:tcPr>
                <w:p w14:paraId="17DDEBA8">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2.2-3〕强化重点区域大气污染联防联控，合理确定产业布局，推动区域内统一产业准入和排放标准。实施水泥行业错峰生产，推进散煤整治、挥发性有机污染物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tc>
              <w:tc>
                <w:tcPr>
                  <w:tcW w:w="1751" w:type="pct"/>
                  <w:noWrap w:val="0"/>
                  <w:vAlign w:val="center"/>
                </w:tcPr>
                <w:p w14:paraId="2EADD715">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本项目产生的废气经相应的环保设施处理后能够达标排放，对环境空气质量影响较小，不会降低区域环境空气质量。</w:t>
                  </w:r>
                </w:p>
                <w:p w14:paraId="3A51CDBE">
                  <w:pPr>
                    <w:pStyle w:val="7"/>
                    <w:keepNext w:val="0"/>
                    <w:keepLines w:val="0"/>
                    <w:suppressLineNumbers w:val="0"/>
                    <w:bidi w:val="0"/>
                    <w:spacing w:before="0" w:beforeAutospacing="0" w:after="0" w:afterAutospacing="0"/>
                    <w:ind w:left="0" w:right="0"/>
                    <w:rPr>
                      <w:rFonts w:hint="eastAsia"/>
                      <w:highlight w:val="none"/>
                      <w:lang w:val="en-US" w:eastAsia="zh-CN"/>
                    </w:rPr>
                  </w:pPr>
                  <w:r>
                    <w:rPr>
                      <w:rFonts w:hint="eastAsia"/>
                      <w:highlight w:val="none"/>
                      <w:lang w:val="en-US" w:eastAsia="zh-CN"/>
                    </w:rPr>
                    <w:t>本项目设备清洗废水、模具清洗废水经沉淀收集后，用于成品养护，不外排；生活污水拉运至和静县污水处理厂处置，不会影响区域水环境质量。</w:t>
                  </w:r>
                </w:p>
                <w:p w14:paraId="5097BB0E">
                  <w:pPr>
                    <w:pStyle w:val="7"/>
                    <w:keepNext w:val="0"/>
                    <w:keepLines w:val="0"/>
                    <w:suppressLineNumbers w:val="0"/>
                    <w:bidi w:val="0"/>
                    <w:spacing w:before="0" w:beforeAutospacing="0" w:after="0" w:afterAutospacing="0"/>
                    <w:ind w:left="0" w:right="0"/>
                    <w:rPr>
                      <w:rFonts w:hint="eastAsia"/>
                      <w:lang w:val="en-US" w:eastAsia="zh-CN"/>
                    </w:rPr>
                  </w:pPr>
                  <w:r>
                    <w:rPr>
                      <w:rFonts w:hint="eastAsia"/>
                      <w:highlight w:val="none"/>
                      <w:lang w:val="en-US" w:eastAsia="zh-CN"/>
                    </w:rPr>
                    <w:t>水泥筒仓滤筒式过滤器拦截的粉尘、上料口设置除尘器收集的粉尘、混凝土残渣沉淀池底泥回用于生产；废布袋、废滤芯交由厂家回收处理；生活垃圾分类收集后委托环卫部门及时清运；废润滑油、废润滑油桶储存于危废贮存点后交由有资质单位处理。</w:t>
                  </w:r>
                </w:p>
              </w:tc>
              <w:tc>
                <w:tcPr>
                  <w:tcW w:w="491" w:type="pct"/>
                  <w:noWrap w:val="0"/>
                  <w:vAlign w:val="center"/>
                </w:tcPr>
                <w:p w14:paraId="0F41D5F5">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符合</w:t>
                  </w:r>
                </w:p>
              </w:tc>
            </w:tr>
            <w:tr w14:paraId="1402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pct"/>
                  <w:noWrap w:val="0"/>
                  <w:vAlign w:val="center"/>
                </w:tcPr>
                <w:p w14:paraId="07C4C904">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A3环境风险防控</w:t>
                  </w:r>
                </w:p>
              </w:tc>
              <w:tc>
                <w:tcPr>
                  <w:tcW w:w="354" w:type="pct"/>
                  <w:noWrap w:val="0"/>
                  <w:vAlign w:val="center"/>
                </w:tcPr>
                <w:p w14:paraId="413B2718">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A3.2联防联控要求</w:t>
                  </w:r>
                </w:p>
              </w:tc>
              <w:tc>
                <w:tcPr>
                  <w:tcW w:w="1872" w:type="pct"/>
                  <w:noWrap w:val="0"/>
                  <w:vAlign w:val="center"/>
                </w:tcPr>
                <w:p w14:paraId="34F8AF66">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3.2-5〕强化生态环境应急管理。实施企业突发生态环境应急预案电子化备案，完成县级以上政府突发环境事件应急预案修编。完善区域和企业应急处置物资储备系统，结合新疆各地特征污染物的特性，加强应急物资储备及应急物资信息化建设，掌握社会应急物资储备动态信息，妥善应对各类突发生态环境事件。加强应急监测装备配置，定期开展应急演练，增强实战能力。</w:t>
                  </w:r>
                </w:p>
              </w:tc>
              <w:tc>
                <w:tcPr>
                  <w:tcW w:w="1751" w:type="pct"/>
                  <w:noWrap w:val="0"/>
                  <w:vAlign w:val="center"/>
                </w:tcPr>
                <w:p w14:paraId="14E7C6EB">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本项目通过建立环境突发事件应急管理领导机构、完善环境突发应急预案体系、配备完善应急物资等手段来加强环境风险防控，加强应急物资储备及应急物资信息化建设，增强实战能力。</w:t>
                  </w:r>
                </w:p>
              </w:tc>
              <w:tc>
                <w:tcPr>
                  <w:tcW w:w="491" w:type="pct"/>
                  <w:noWrap w:val="0"/>
                  <w:vAlign w:val="center"/>
                </w:tcPr>
                <w:p w14:paraId="0DAB94B3">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符合</w:t>
                  </w:r>
                </w:p>
              </w:tc>
            </w:tr>
            <w:tr w14:paraId="13DE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0" w:type="pct"/>
                  <w:noWrap w:val="0"/>
                  <w:vAlign w:val="center"/>
                </w:tcPr>
                <w:p w14:paraId="224D29A4">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A4资源利用要求</w:t>
                  </w:r>
                </w:p>
              </w:tc>
              <w:tc>
                <w:tcPr>
                  <w:tcW w:w="354" w:type="pct"/>
                  <w:noWrap w:val="0"/>
                  <w:vAlign w:val="center"/>
                </w:tcPr>
                <w:p w14:paraId="18EA1FA5">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A4.3能源利用</w:t>
                  </w:r>
                </w:p>
              </w:tc>
              <w:tc>
                <w:tcPr>
                  <w:tcW w:w="1872" w:type="pct"/>
                  <w:noWrap w:val="0"/>
                  <w:vAlign w:val="center"/>
                </w:tcPr>
                <w:p w14:paraId="3BFCE138">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〔A4.3-5〕以碳达峰碳中和工作为引领，着力提高能源资源利用效率。引导重点行业深入实施清洁生产改造，钢铁、建材、石油化工等重点行业以及其他行业重点用能单位持续开展节能降耗。</w:t>
                  </w:r>
                </w:p>
              </w:tc>
              <w:tc>
                <w:tcPr>
                  <w:tcW w:w="1751" w:type="pct"/>
                  <w:noWrap w:val="0"/>
                  <w:vAlign w:val="center"/>
                </w:tcPr>
                <w:p w14:paraId="5B470DAB">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本项目营运期生产废水用于成品养护，不外排，实现了其资源化利用。</w:t>
                  </w:r>
                </w:p>
              </w:tc>
              <w:tc>
                <w:tcPr>
                  <w:tcW w:w="491" w:type="pct"/>
                  <w:noWrap w:val="0"/>
                  <w:vAlign w:val="center"/>
                </w:tcPr>
                <w:p w14:paraId="38C3ABA6">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符合</w:t>
                  </w:r>
                </w:p>
              </w:tc>
            </w:tr>
          </w:tbl>
          <w:p w14:paraId="68998A3A">
            <w:pPr>
              <w:keepNext w:val="0"/>
              <w:keepLines w:val="0"/>
              <w:suppressLineNumbers w:val="0"/>
              <w:autoSpaceDE w:val="0"/>
              <w:autoSpaceDN w:val="0"/>
              <w:adjustRightInd w:val="0"/>
              <w:snapToGrid w:val="0"/>
              <w:spacing w:before="0" w:beforeAutospacing="0" w:after="0" w:afterAutospacing="0" w:line="520" w:lineRule="exact"/>
              <w:ind w:left="0" w:right="0" w:firstLine="480" w:firstLineChars="200"/>
              <w:rPr>
                <w:rFonts w:hint="default"/>
                <w:color w:val="auto"/>
                <w:sz w:val="24"/>
                <w:szCs w:val="24"/>
                <w:highlight w:val="none"/>
              </w:rPr>
            </w:pPr>
            <w:r>
              <w:rPr>
                <w:rFonts w:hint="eastAsia"/>
                <w:color w:val="000000"/>
                <w:kern w:val="0"/>
                <w:sz w:val="24"/>
                <w:szCs w:val="24"/>
                <w:highlight w:val="none"/>
                <w:lang w:eastAsia="zh-CN"/>
              </w:rPr>
              <w:t>（</w:t>
            </w:r>
            <w:r>
              <w:rPr>
                <w:rFonts w:hint="eastAsia"/>
                <w:color w:val="000000"/>
                <w:kern w:val="0"/>
                <w:sz w:val="24"/>
                <w:szCs w:val="24"/>
                <w:highlight w:val="none"/>
                <w:lang w:val="en-US" w:eastAsia="zh-CN"/>
              </w:rPr>
              <w:t>2</w:t>
            </w:r>
            <w:r>
              <w:rPr>
                <w:rFonts w:hint="eastAsia"/>
                <w:color w:val="000000"/>
                <w:kern w:val="0"/>
                <w:sz w:val="24"/>
                <w:szCs w:val="24"/>
                <w:highlight w:val="none"/>
                <w:lang w:eastAsia="zh-CN"/>
              </w:rPr>
              <w:t>）</w:t>
            </w:r>
            <w:r>
              <w:rPr>
                <w:rFonts w:hint="eastAsia"/>
                <w:color w:val="000000"/>
                <w:kern w:val="0"/>
                <w:sz w:val="24"/>
                <w:szCs w:val="24"/>
                <w:highlight w:val="none"/>
              </w:rPr>
              <w:t>根</w:t>
            </w:r>
            <w:r>
              <w:rPr>
                <w:rFonts w:hint="eastAsia"/>
                <w:color w:val="auto"/>
                <w:kern w:val="0"/>
                <w:sz w:val="24"/>
                <w:szCs w:val="24"/>
                <w:highlight w:val="none"/>
              </w:rPr>
              <w:t>据《巴音郭楞蒙古自治州生态环境准入清单（2023年）》，本项目属于</w:t>
            </w:r>
            <w:r>
              <w:rPr>
                <w:rFonts w:hint="eastAsia"/>
                <w:color w:val="auto"/>
                <w:kern w:val="0"/>
                <w:sz w:val="24"/>
                <w:szCs w:val="24"/>
                <w:highlight w:val="none"/>
                <w:lang w:val="en-US" w:eastAsia="zh-CN"/>
              </w:rPr>
              <w:t>重点</w:t>
            </w:r>
            <w:r>
              <w:rPr>
                <w:rFonts w:hint="eastAsia"/>
                <w:color w:val="auto"/>
                <w:kern w:val="0"/>
                <w:sz w:val="24"/>
                <w:szCs w:val="24"/>
                <w:highlight w:val="none"/>
              </w:rPr>
              <w:t>管控单元，</w:t>
            </w:r>
            <w:r>
              <w:rPr>
                <w:rFonts w:hint="default"/>
                <w:color w:val="auto"/>
                <w:kern w:val="0"/>
                <w:sz w:val="24"/>
                <w:szCs w:val="24"/>
                <w:highlight w:val="none"/>
              </w:rPr>
              <w:t>环境管控单元名称</w:t>
            </w:r>
            <w:r>
              <w:rPr>
                <w:rFonts w:hint="eastAsia"/>
                <w:color w:val="auto"/>
                <w:kern w:val="0"/>
                <w:sz w:val="24"/>
                <w:szCs w:val="24"/>
                <w:highlight w:val="none"/>
              </w:rPr>
              <w:t>为</w:t>
            </w:r>
            <w:r>
              <w:rPr>
                <w:rFonts w:hint="eastAsia"/>
                <w:color w:val="auto"/>
                <w:kern w:val="0"/>
                <w:sz w:val="24"/>
                <w:szCs w:val="24"/>
                <w:highlight w:val="none"/>
                <w:lang w:val="en-US" w:eastAsia="zh-CN"/>
              </w:rPr>
              <w:t>和静县城镇集中建设区</w:t>
            </w:r>
            <w:r>
              <w:rPr>
                <w:rFonts w:hint="eastAsia"/>
                <w:color w:val="auto"/>
                <w:kern w:val="0"/>
                <w:sz w:val="24"/>
                <w:szCs w:val="24"/>
                <w:highlight w:val="none"/>
              </w:rPr>
              <w:t>，</w:t>
            </w:r>
            <w:r>
              <w:rPr>
                <w:rFonts w:hint="default"/>
                <w:color w:val="auto"/>
                <w:kern w:val="0"/>
                <w:sz w:val="24"/>
                <w:szCs w:val="24"/>
                <w:highlight w:val="none"/>
              </w:rPr>
              <w:t>环境管控单元代码</w:t>
            </w:r>
            <w:r>
              <w:rPr>
                <w:rFonts w:hint="eastAsia"/>
                <w:color w:val="auto"/>
                <w:kern w:val="0"/>
                <w:sz w:val="24"/>
                <w:szCs w:val="24"/>
                <w:highlight w:val="none"/>
              </w:rPr>
              <w:t>为</w:t>
            </w:r>
            <w:r>
              <w:rPr>
                <w:rFonts w:hint="eastAsia"/>
                <w:color w:val="auto"/>
                <w:kern w:val="0"/>
                <w:sz w:val="24"/>
                <w:szCs w:val="24"/>
                <w:highlight w:val="none"/>
                <w:lang w:val="en-US" w:eastAsia="zh-CN"/>
              </w:rPr>
              <w:t>ZH65282720010</w:t>
            </w:r>
            <w:r>
              <w:rPr>
                <w:rFonts w:hint="eastAsia"/>
                <w:color w:val="auto"/>
                <w:kern w:val="0"/>
                <w:sz w:val="24"/>
                <w:szCs w:val="24"/>
                <w:highlight w:val="none"/>
              </w:rPr>
              <w:t>。</w:t>
            </w:r>
          </w:p>
          <w:p w14:paraId="4EEF4C55">
            <w:pPr>
              <w:pStyle w:val="5"/>
              <w:suppressLineNumbers w:val="0"/>
              <w:bidi w:val="0"/>
              <w:spacing w:before="0" w:beforeAutospacing="0" w:after="0" w:afterAutospacing="0"/>
              <w:ind w:left="0" w:right="0"/>
              <w:rPr>
                <w:rFonts w:hint="eastAsia"/>
                <w:lang w:val="en-US" w:eastAsia="zh-CN"/>
              </w:rPr>
            </w:pPr>
            <w:r>
              <w:rPr>
                <w:rFonts w:hint="eastAsia"/>
                <w:lang w:val="en-US" w:eastAsia="zh-CN"/>
              </w:rPr>
              <w:t>表1-2  本项目与重点管控单元符合性分析</w:t>
            </w:r>
          </w:p>
          <w:tbl>
            <w:tblPr>
              <w:tblStyle w:val="33"/>
              <w:tblW w:w="4996"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2"/>
              <w:gridCol w:w="681"/>
              <w:gridCol w:w="3646"/>
              <w:gridCol w:w="2282"/>
              <w:gridCol w:w="437"/>
              <w:gridCol w:w="12"/>
            </w:tblGrid>
            <w:tr w14:paraId="028DF3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gridAfter w:val="1"/>
                <w:wAfter w:w="7" w:type="pct"/>
                <w:trHeight w:val="285" w:hRule="atLeast"/>
              </w:trPr>
              <w:tc>
                <w:tcPr>
                  <w:tcW w:w="464" w:type="pct"/>
                  <w:noWrap/>
                  <w:vAlign w:val="center"/>
                </w:tcPr>
                <w:p w14:paraId="0EB6FC89">
                  <w:pPr>
                    <w:pStyle w:val="27"/>
                    <w:keepNext w:val="0"/>
                    <w:keepLines w:val="0"/>
                    <w:suppressLineNumbers w:val="0"/>
                    <w:bidi w:val="0"/>
                    <w:spacing w:before="0" w:beforeAutospacing="0" w:after="0" w:afterAutospacing="0"/>
                    <w:ind w:left="0" w:right="0"/>
                    <w:rPr>
                      <w:rFonts w:hint="default"/>
                    </w:rPr>
                  </w:pPr>
                  <w:r>
                    <w:rPr>
                      <w:rFonts w:hint="default"/>
                    </w:rPr>
                    <w:t>管控单元类别</w:t>
                  </w:r>
                </w:p>
              </w:tc>
              <w:tc>
                <w:tcPr>
                  <w:tcW w:w="2780" w:type="pct"/>
                  <w:gridSpan w:val="2"/>
                  <w:noWrap/>
                  <w:vAlign w:val="center"/>
                </w:tcPr>
                <w:p w14:paraId="6F328670">
                  <w:pPr>
                    <w:pStyle w:val="27"/>
                    <w:keepNext w:val="0"/>
                    <w:keepLines w:val="0"/>
                    <w:suppressLineNumbers w:val="0"/>
                    <w:bidi w:val="0"/>
                    <w:spacing w:before="0" w:beforeAutospacing="0" w:after="0" w:afterAutospacing="0"/>
                    <w:ind w:left="0" w:right="0"/>
                    <w:rPr>
                      <w:rFonts w:hint="default"/>
                    </w:rPr>
                  </w:pPr>
                  <w:r>
                    <w:rPr>
                      <w:rFonts w:hint="default"/>
                    </w:rPr>
                    <w:t>管控要求</w:t>
                  </w:r>
                </w:p>
              </w:tc>
              <w:tc>
                <w:tcPr>
                  <w:tcW w:w="1466" w:type="pct"/>
                  <w:noWrap/>
                  <w:vAlign w:val="center"/>
                </w:tcPr>
                <w:p w14:paraId="3418B3E9">
                  <w:pPr>
                    <w:pStyle w:val="27"/>
                    <w:keepNext w:val="0"/>
                    <w:keepLines w:val="0"/>
                    <w:suppressLineNumbers w:val="0"/>
                    <w:bidi w:val="0"/>
                    <w:spacing w:before="0" w:beforeAutospacing="0" w:after="0" w:afterAutospacing="0"/>
                    <w:ind w:left="0" w:right="0"/>
                    <w:rPr>
                      <w:rFonts w:hint="default"/>
                    </w:rPr>
                  </w:pPr>
                  <w:r>
                    <w:rPr>
                      <w:rFonts w:hint="default"/>
                    </w:rPr>
                    <w:t>本项目</w:t>
                  </w:r>
                </w:p>
              </w:tc>
              <w:tc>
                <w:tcPr>
                  <w:tcW w:w="280" w:type="pct"/>
                  <w:noWrap/>
                  <w:vAlign w:val="center"/>
                </w:tcPr>
                <w:p w14:paraId="4E656CC0">
                  <w:pPr>
                    <w:pStyle w:val="27"/>
                    <w:keepNext w:val="0"/>
                    <w:keepLines w:val="0"/>
                    <w:suppressLineNumbers w:val="0"/>
                    <w:bidi w:val="0"/>
                    <w:spacing w:before="0" w:beforeAutospacing="0" w:after="0" w:afterAutospacing="0"/>
                    <w:ind w:left="0" w:right="0"/>
                    <w:rPr>
                      <w:rFonts w:hint="eastAsia"/>
                    </w:rPr>
                  </w:pPr>
                  <w:r>
                    <w:rPr>
                      <w:rFonts w:hint="eastAsia"/>
                    </w:rPr>
                    <w:t>符合性</w:t>
                  </w:r>
                </w:p>
              </w:tc>
            </w:tr>
            <w:tr w14:paraId="429C7F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464" w:type="pct"/>
                  <w:vMerge w:val="restart"/>
                  <w:noWrap/>
                  <w:vAlign w:val="center"/>
                </w:tcPr>
                <w:p w14:paraId="6DB697FB">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和静县城镇集中建设区</w:t>
                  </w:r>
                </w:p>
                <w:p w14:paraId="4EF5563F">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(ZH65282720010)</w:t>
                  </w:r>
                </w:p>
                <w:p w14:paraId="1B072548">
                  <w:pPr>
                    <w:pStyle w:val="27"/>
                    <w:keepNext w:val="0"/>
                    <w:keepLines w:val="0"/>
                    <w:suppressLineNumbers w:val="0"/>
                    <w:bidi w:val="0"/>
                    <w:spacing w:before="0" w:beforeAutospacing="0" w:after="0" w:afterAutospacing="0"/>
                    <w:ind w:left="0" w:right="0"/>
                    <w:rPr>
                      <w:rFonts w:hint="default"/>
                    </w:rPr>
                  </w:pPr>
                </w:p>
              </w:tc>
              <w:tc>
                <w:tcPr>
                  <w:tcW w:w="437" w:type="pct"/>
                  <w:noWrap/>
                  <w:vAlign w:val="center"/>
                </w:tcPr>
                <w:p w14:paraId="0E005CC8">
                  <w:pPr>
                    <w:pStyle w:val="27"/>
                    <w:keepNext w:val="0"/>
                    <w:keepLines w:val="0"/>
                    <w:suppressLineNumbers w:val="0"/>
                    <w:bidi w:val="0"/>
                    <w:spacing w:before="0" w:beforeAutospacing="0" w:after="0" w:afterAutospacing="0"/>
                    <w:ind w:left="0" w:right="0"/>
                    <w:rPr>
                      <w:rFonts w:hint="default"/>
                    </w:rPr>
                  </w:pPr>
                  <w:r>
                    <w:rPr>
                      <w:rFonts w:hint="default"/>
                    </w:rPr>
                    <w:t>空间布局约束</w:t>
                  </w:r>
                </w:p>
              </w:tc>
              <w:tc>
                <w:tcPr>
                  <w:tcW w:w="2343" w:type="pct"/>
                  <w:noWrap w:val="0"/>
                  <w:vAlign w:val="center"/>
                </w:tcPr>
                <w:p w14:paraId="116E715B">
                  <w:pPr>
                    <w:pStyle w:val="27"/>
                    <w:keepNext w:val="0"/>
                    <w:keepLines w:val="0"/>
                    <w:suppressLineNumbers w:val="0"/>
                    <w:bidi w:val="0"/>
                    <w:spacing w:before="0" w:beforeAutospacing="0" w:after="0" w:afterAutospacing="0"/>
                    <w:ind w:left="0" w:right="0"/>
                    <w:rPr>
                      <w:rFonts w:hint="default"/>
                    </w:rPr>
                  </w:pPr>
                  <w:r>
                    <w:rPr>
                      <w:rFonts w:hint="default"/>
                      <w:lang w:val="en-US" w:eastAsia="zh-CN"/>
                    </w:rPr>
                    <w:t>禁止新建、改建、扩建严重污染大气环境的项目。</w:t>
                  </w:r>
                </w:p>
              </w:tc>
              <w:tc>
                <w:tcPr>
                  <w:tcW w:w="1466" w:type="pct"/>
                  <w:noWrap w:val="0"/>
                  <w:vAlign w:val="center"/>
                </w:tcPr>
                <w:p w14:paraId="48D2D420">
                  <w:pPr>
                    <w:pStyle w:val="27"/>
                    <w:keepNext w:val="0"/>
                    <w:keepLines w:val="0"/>
                    <w:suppressLineNumbers w:val="0"/>
                    <w:bidi w:val="0"/>
                    <w:spacing w:before="0" w:beforeAutospacing="0" w:after="0" w:afterAutospacing="0"/>
                    <w:ind w:left="0" w:right="0"/>
                    <w:rPr>
                      <w:rFonts w:hint="default"/>
                    </w:rPr>
                  </w:pPr>
                  <w:r>
                    <w:rPr>
                      <w:rFonts w:hint="default"/>
                    </w:rPr>
                    <w:t>本项目为水泥制品制造项目，</w:t>
                  </w:r>
                  <w:r>
                    <w:rPr>
                      <w:rFonts w:hint="default"/>
                      <w:lang w:val="en-US" w:eastAsia="zh-CN"/>
                    </w:rPr>
                    <w:t>所有污染物均可达标，不属于严重污染大气环境的项目。</w:t>
                  </w:r>
                </w:p>
              </w:tc>
              <w:tc>
                <w:tcPr>
                  <w:tcW w:w="288" w:type="pct"/>
                  <w:gridSpan w:val="2"/>
                  <w:noWrap/>
                  <w:vAlign w:val="center"/>
                </w:tcPr>
                <w:p w14:paraId="2F7AD57F">
                  <w:pPr>
                    <w:pStyle w:val="27"/>
                    <w:keepNext w:val="0"/>
                    <w:keepLines w:val="0"/>
                    <w:suppressLineNumbers w:val="0"/>
                    <w:bidi w:val="0"/>
                    <w:spacing w:before="0" w:beforeAutospacing="0" w:after="0" w:afterAutospacing="0"/>
                    <w:ind w:left="0" w:right="0"/>
                    <w:rPr>
                      <w:rFonts w:hint="eastAsia"/>
                    </w:rPr>
                  </w:pPr>
                  <w:r>
                    <w:rPr>
                      <w:rFonts w:hint="eastAsia"/>
                    </w:rPr>
                    <w:t>符合</w:t>
                  </w:r>
                </w:p>
              </w:tc>
            </w:tr>
            <w:tr w14:paraId="3A2CA1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4" w:type="pct"/>
                  <w:vMerge w:val="continue"/>
                  <w:noWrap/>
                  <w:vAlign w:val="center"/>
                </w:tcPr>
                <w:p w14:paraId="4F43E8AE">
                  <w:pPr>
                    <w:pStyle w:val="27"/>
                    <w:keepNext w:val="0"/>
                    <w:keepLines w:val="0"/>
                    <w:suppressLineNumbers w:val="0"/>
                    <w:bidi w:val="0"/>
                    <w:spacing w:before="0" w:beforeAutospacing="0" w:after="0" w:afterAutospacing="0"/>
                    <w:ind w:left="0" w:right="0"/>
                    <w:rPr>
                      <w:rFonts w:hint="default"/>
                    </w:rPr>
                  </w:pPr>
                </w:p>
              </w:tc>
              <w:tc>
                <w:tcPr>
                  <w:tcW w:w="437" w:type="pct"/>
                  <w:noWrap/>
                  <w:vAlign w:val="center"/>
                </w:tcPr>
                <w:p w14:paraId="0B9386FB">
                  <w:pPr>
                    <w:pStyle w:val="27"/>
                    <w:keepNext w:val="0"/>
                    <w:keepLines w:val="0"/>
                    <w:suppressLineNumbers w:val="0"/>
                    <w:bidi w:val="0"/>
                    <w:spacing w:before="0" w:beforeAutospacing="0" w:after="0" w:afterAutospacing="0"/>
                    <w:ind w:left="0" w:right="0"/>
                    <w:rPr>
                      <w:rFonts w:hint="default"/>
                    </w:rPr>
                  </w:pPr>
                  <w:r>
                    <w:rPr>
                      <w:rFonts w:hint="default"/>
                    </w:rPr>
                    <w:t>污染排放管控</w:t>
                  </w:r>
                </w:p>
              </w:tc>
              <w:tc>
                <w:tcPr>
                  <w:tcW w:w="2343" w:type="pct"/>
                  <w:noWrap w:val="0"/>
                  <w:vAlign w:val="center"/>
                </w:tcPr>
                <w:p w14:paraId="4CCEC3D3">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1.加大城区餐饮服务经营场所使用清洁能源力度，安装高效油烟净化设施。淘汰和搬迁污染严重的</w:t>
                  </w:r>
                  <w:r>
                    <w:rPr>
                      <w:rFonts w:hint="eastAsia" w:ascii="宋体" w:hAnsi="宋体" w:eastAsia="宋体" w:cs="宋体"/>
                      <w:lang w:val="en-US" w:eastAsia="zh-CN"/>
                    </w:rPr>
                    <w:t>“散、乱、小、污”</w:t>
                  </w:r>
                  <w:r>
                    <w:rPr>
                      <w:rFonts w:hint="default"/>
                      <w:lang w:val="en-US" w:eastAsia="zh-CN"/>
                    </w:rPr>
                    <w:t>企业，对拒不整改的企业实施断电、断水等措施。</w:t>
                  </w:r>
                </w:p>
                <w:p w14:paraId="369671C9">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结合安居富民、定居兴牧、新农村建设、小城镇建设等相关民生工程，以城镇周边村庄、集中连片村庄、环境问题突出村庄为重点，因地制宜开展集中连片与分散治理相结合的农村环境综合整治工程，重点开展农村饮用水水源地保护和生活垃圾、污水处理，加大畜禽和水产养殖污染防治力度。</w:t>
                  </w:r>
                </w:p>
                <w:p w14:paraId="7E72E141">
                  <w:pPr>
                    <w:pStyle w:val="27"/>
                    <w:keepNext w:val="0"/>
                    <w:keepLines w:val="0"/>
                    <w:suppressLineNumbers w:val="0"/>
                    <w:bidi w:val="0"/>
                    <w:spacing w:before="0" w:beforeAutospacing="0" w:after="0" w:afterAutospacing="0"/>
                    <w:ind w:left="0" w:right="0"/>
                    <w:rPr>
                      <w:rFonts w:hint="default"/>
                    </w:rPr>
                  </w:pPr>
                  <w:r>
                    <w:rPr>
                      <w:rFonts w:hint="default"/>
                      <w:lang w:val="en-US" w:eastAsia="zh-CN"/>
                    </w:rPr>
                    <w:t>3.控制扬尘污染。加大城市扬尘综合整治力度。加强施工扬尘监管，积极推进绿色施工。各类建筑施工、道路施工、市政工程等工地和构筑物拆除场地施工现场应满足全封闭设置围挡墙、湿法作业、物料覆盖、道路硬化、进出车辆冲洗、物料密闭运输等</w:t>
                  </w:r>
                  <w:r>
                    <w:rPr>
                      <w:rFonts w:hint="eastAsia" w:ascii="宋体" w:hAnsi="宋体" w:eastAsia="宋体" w:cs="宋体"/>
                      <w:lang w:val="en-US" w:eastAsia="zh-CN"/>
                    </w:rPr>
                    <w:t>“六个百分之百”</w:t>
                  </w:r>
                  <w:r>
                    <w:rPr>
                      <w:rFonts w:hint="default"/>
                      <w:lang w:val="en-US" w:eastAsia="zh-CN"/>
                    </w:rPr>
                    <w:t>措施，施工面积大于住建部门要求的应安装扬尘和噪声监测系统并联网。渣土运输车辆采取密闭措施，逐步安装卫星定位系统；大型煤堆、料堆实行全封闭存储。提高城市道路机械化湿法清扫率，及时修复破损路面，加强道路两侧绿化。城区道路适时开展道路洒水抑尘。</w:t>
                  </w:r>
                </w:p>
              </w:tc>
              <w:tc>
                <w:tcPr>
                  <w:tcW w:w="1466" w:type="pct"/>
                  <w:noWrap w:val="0"/>
                  <w:vAlign w:val="center"/>
                </w:tcPr>
                <w:p w14:paraId="41F50302">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1.本项目实施后，所有污染物均可达标排放，不属于严重的</w:t>
                  </w:r>
                  <w:r>
                    <w:rPr>
                      <w:rFonts w:hint="eastAsia" w:ascii="宋体" w:hAnsi="宋体" w:eastAsia="宋体" w:cs="宋体"/>
                      <w:lang w:val="en-US" w:eastAsia="zh-CN"/>
                    </w:rPr>
                    <w:t>“散、乱、小、污”</w:t>
                  </w:r>
                  <w:r>
                    <w:rPr>
                      <w:rFonts w:hint="default"/>
                      <w:lang w:val="en-US" w:eastAsia="zh-CN"/>
                    </w:rPr>
                    <w:t>企业。</w:t>
                  </w:r>
                </w:p>
                <w:p w14:paraId="3D1F5D1B">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2.本项目不涉及。</w:t>
                  </w:r>
                </w:p>
                <w:p w14:paraId="292BA2D5">
                  <w:pPr>
                    <w:pStyle w:val="27"/>
                    <w:keepNext w:val="0"/>
                    <w:keepLines w:val="0"/>
                    <w:suppressLineNumbers w:val="0"/>
                    <w:bidi w:val="0"/>
                    <w:spacing w:before="0" w:beforeAutospacing="0" w:after="0" w:afterAutospacing="0"/>
                    <w:ind w:left="0" w:right="0"/>
                    <w:rPr>
                      <w:rFonts w:hint="default"/>
                    </w:rPr>
                  </w:pPr>
                  <w:r>
                    <w:rPr>
                      <w:rFonts w:hint="default"/>
                      <w:lang w:val="en-US" w:eastAsia="zh-CN"/>
                    </w:rPr>
                    <w:t>3.项目依托已建成</w:t>
                  </w:r>
                  <w:r>
                    <w:rPr>
                      <w:rFonts w:hint="eastAsia"/>
                      <w:lang w:val="en-US" w:eastAsia="zh-CN"/>
                    </w:rPr>
                    <w:t>工业厂房</w:t>
                  </w:r>
                  <w:r>
                    <w:rPr>
                      <w:rFonts w:hint="default"/>
                      <w:lang w:val="en-US" w:eastAsia="zh-CN"/>
                    </w:rPr>
                    <w:t>进行装修、设备安装，施工产污环节均位于室内，不会对周边大气环境造成较大影响。</w:t>
                  </w:r>
                </w:p>
              </w:tc>
              <w:tc>
                <w:tcPr>
                  <w:tcW w:w="288" w:type="pct"/>
                  <w:gridSpan w:val="2"/>
                  <w:noWrap/>
                  <w:vAlign w:val="center"/>
                </w:tcPr>
                <w:p w14:paraId="2DDC31F8">
                  <w:pPr>
                    <w:pStyle w:val="27"/>
                    <w:keepNext w:val="0"/>
                    <w:keepLines w:val="0"/>
                    <w:suppressLineNumbers w:val="0"/>
                    <w:bidi w:val="0"/>
                    <w:spacing w:before="0" w:beforeAutospacing="0" w:after="0" w:afterAutospacing="0"/>
                    <w:ind w:left="0" w:right="0"/>
                    <w:rPr>
                      <w:rFonts w:hint="eastAsia"/>
                    </w:rPr>
                  </w:pPr>
                  <w:r>
                    <w:rPr>
                      <w:rFonts w:hint="eastAsia"/>
                    </w:rPr>
                    <w:t>符合</w:t>
                  </w:r>
                </w:p>
              </w:tc>
            </w:tr>
            <w:tr w14:paraId="25D09C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0" w:hRule="atLeast"/>
              </w:trPr>
              <w:tc>
                <w:tcPr>
                  <w:tcW w:w="464" w:type="pct"/>
                  <w:vMerge w:val="continue"/>
                  <w:noWrap/>
                  <w:vAlign w:val="center"/>
                </w:tcPr>
                <w:p w14:paraId="196604D7">
                  <w:pPr>
                    <w:pStyle w:val="27"/>
                    <w:keepNext w:val="0"/>
                    <w:keepLines w:val="0"/>
                    <w:suppressLineNumbers w:val="0"/>
                    <w:bidi w:val="0"/>
                    <w:spacing w:before="0" w:beforeAutospacing="0" w:after="0" w:afterAutospacing="0"/>
                    <w:ind w:left="0" w:right="0"/>
                    <w:rPr>
                      <w:rFonts w:hint="default"/>
                    </w:rPr>
                  </w:pPr>
                </w:p>
              </w:tc>
              <w:tc>
                <w:tcPr>
                  <w:tcW w:w="437" w:type="pct"/>
                  <w:noWrap w:val="0"/>
                  <w:vAlign w:val="center"/>
                </w:tcPr>
                <w:p w14:paraId="2BBD5879">
                  <w:pPr>
                    <w:pStyle w:val="27"/>
                    <w:keepNext w:val="0"/>
                    <w:keepLines w:val="0"/>
                    <w:suppressLineNumbers w:val="0"/>
                    <w:bidi w:val="0"/>
                    <w:spacing w:before="0" w:beforeAutospacing="0" w:after="0" w:afterAutospacing="0"/>
                    <w:ind w:left="0" w:right="0"/>
                    <w:rPr>
                      <w:rFonts w:hint="default"/>
                    </w:rPr>
                  </w:pPr>
                  <w:r>
                    <w:rPr>
                      <w:rFonts w:hint="default"/>
                    </w:rPr>
                    <w:t>环境风险管控</w:t>
                  </w:r>
                </w:p>
              </w:tc>
              <w:tc>
                <w:tcPr>
                  <w:tcW w:w="2343" w:type="pct"/>
                  <w:noWrap w:val="0"/>
                  <w:vAlign w:val="center"/>
                </w:tcPr>
                <w:p w14:paraId="3516D543">
                  <w:pPr>
                    <w:pStyle w:val="27"/>
                    <w:keepNext w:val="0"/>
                    <w:keepLines w:val="0"/>
                    <w:suppressLineNumbers w:val="0"/>
                    <w:bidi w:val="0"/>
                    <w:spacing w:before="0" w:beforeAutospacing="0" w:after="0" w:afterAutospacing="0"/>
                    <w:ind w:left="0" w:right="0"/>
                    <w:rPr>
                      <w:rFonts w:hint="default"/>
                    </w:rPr>
                  </w:pPr>
                  <w:r>
                    <w:rPr>
                      <w:rFonts w:hint="default"/>
                      <w:lang w:val="en-US" w:eastAsia="zh-CN"/>
                    </w:rPr>
                    <w:t>医疗、教育、交通、应急管理等重点部门按照部门分预案开展应急管理工作，对发生或者可能发生危害人体健康和安全的重污染天气，应当启动应急方案。</w:t>
                  </w:r>
                </w:p>
              </w:tc>
              <w:tc>
                <w:tcPr>
                  <w:tcW w:w="1466" w:type="pct"/>
                  <w:noWrap w:val="0"/>
                  <w:vAlign w:val="center"/>
                </w:tcPr>
                <w:p w14:paraId="3645D644">
                  <w:pPr>
                    <w:pStyle w:val="27"/>
                    <w:keepNext w:val="0"/>
                    <w:keepLines w:val="0"/>
                    <w:suppressLineNumbers w:val="0"/>
                    <w:bidi w:val="0"/>
                    <w:spacing w:before="0" w:beforeAutospacing="0" w:after="0" w:afterAutospacing="0"/>
                    <w:ind w:left="0" w:right="0"/>
                    <w:rPr>
                      <w:rFonts w:hint="default"/>
                    </w:rPr>
                  </w:pPr>
                  <w:r>
                    <w:rPr>
                      <w:rFonts w:hint="default"/>
                      <w:lang w:val="en-US" w:eastAsia="zh-CN"/>
                    </w:rPr>
                    <w:t>本项目要求建设单位编制突发环境事件应急预案并配备应急物资，做好环境风险的防范工作，防止污染事故的发生。</w:t>
                  </w:r>
                </w:p>
              </w:tc>
              <w:tc>
                <w:tcPr>
                  <w:tcW w:w="288" w:type="pct"/>
                  <w:gridSpan w:val="2"/>
                  <w:noWrap w:val="0"/>
                  <w:vAlign w:val="center"/>
                </w:tcPr>
                <w:p w14:paraId="7923B160">
                  <w:pPr>
                    <w:pStyle w:val="27"/>
                    <w:keepNext w:val="0"/>
                    <w:keepLines w:val="0"/>
                    <w:suppressLineNumbers w:val="0"/>
                    <w:bidi w:val="0"/>
                    <w:spacing w:before="0" w:beforeAutospacing="0" w:after="0" w:afterAutospacing="0"/>
                    <w:ind w:left="0" w:right="0"/>
                    <w:rPr>
                      <w:rFonts w:hint="eastAsia"/>
                    </w:rPr>
                  </w:pPr>
                  <w:r>
                    <w:rPr>
                      <w:rFonts w:hint="eastAsia"/>
                    </w:rPr>
                    <w:t>符合</w:t>
                  </w:r>
                </w:p>
              </w:tc>
            </w:tr>
            <w:tr w14:paraId="0151C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64" w:type="pct"/>
                  <w:vMerge w:val="continue"/>
                  <w:noWrap/>
                  <w:vAlign w:val="center"/>
                </w:tcPr>
                <w:p w14:paraId="38CD1CAD">
                  <w:pPr>
                    <w:pStyle w:val="27"/>
                    <w:keepNext w:val="0"/>
                    <w:keepLines w:val="0"/>
                    <w:suppressLineNumbers w:val="0"/>
                    <w:bidi w:val="0"/>
                    <w:spacing w:before="0" w:beforeAutospacing="0" w:after="0" w:afterAutospacing="0"/>
                    <w:ind w:left="0" w:right="0"/>
                    <w:rPr>
                      <w:rFonts w:hint="default"/>
                    </w:rPr>
                  </w:pPr>
                </w:p>
              </w:tc>
              <w:tc>
                <w:tcPr>
                  <w:tcW w:w="437" w:type="pct"/>
                  <w:noWrap w:val="0"/>
                  <w:vAlign w:val="center"/>
                </w:tcPr>
                <w:p w14:paraId="36B7B3D8">
                  <w:pPr>
                    <w:pStyle w:val="27"/>
                    <w:keepNext w:val="0"/>
                    <w:keepLines w:val="0"/>
                    <w:suppressLineNumbers w:val="0"/>
                    <w:bidi w:val="0"/>
                    <w:spacing w:before="0" w:beforeAutospacing="0" w:after="0" w:afterAutospacing="0"/>
                    <w:ind w:left="0" w:right="0"/>
                    <w:rPr>
                      <w:rFonts w:hint="default"/>
                    </w:rPr>
                  </w:pPr>
                  <w:r>
                    <w:rPr>
                      <w:rFonts w:hint="default"/>
                    </w:rPr>
                    <w:t>资源利用效率</w:t>
                  </w:r>
                </w:p>
              </w:tc>
              <w:tc>
                <w:tcPr>
                  <w:tcW w:w="2343" w:type="pct"/>
                  <w:noWrap w:val="0"/>
                  <w:vAlign w:val="center"/>
                </w:tcPr>
                <w:p w14:paraId="7C4AD839">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1.统筹做好节水、蓄水、调水文章，统筹考虑枢纽工程、引水调水、河流整治、大中型灌区等水利设施建设，实行最严格的水资源管理制度，以水定产、以水定地、以水定城，建设节水型社会。</w:t>
                  </w:r>
                </w:p>
                <w:p w14:paraId="2F358921">
                  <w:pPr>
                    <w:pStyle w:val="27"/>
                    <w:keepNext w:val="0"/>
                    <w:keepLines w:val="0"/>
                    <w:suppressLineNumbers w:val="0"/>
                    <w:bidi w:val="0"/>
                    <w:spacing w:before="0" w:beforeAutospacing="0" w:after="0" w:afterAutospacing="0"/>
                    <w:ind w:left="0" w:right="0"/>
                    <w:rPr>
                      <w:rFonts w:hint="default"/>
                    </w:rPr>
                  </w:pPr>
                  <w:r>
                    <w:rPr>
                      <w:rFonts w:hint="default"/>
                      <w:lang w:val="en-US" w:eastAsia="zh-CN"/>
                    </w:rPr>
                    <w:t>2.在集中供热未覆盖的区域，鼓励使用清洁能源替代，推广使用高效节能环保型锅炉。</w:t>
                  </w:r>
                </w:p>
              </w:tc>
              <w:tc>
                <w:tcPr>
                  <w:tcW w:w="1466" w:type="pct"/>
                  <w:noWrap w:val="0"/>
                  <w:vAlign w:val="center"/>
                </w:tcPr>
                <w:p w14:paraId="64BAD655">
                  <w:pPr>
                    <w:pStyle w:val="27"/>
                    <w:keepNext w:val="0"/>
                    <w:keepLines w:val="0"/>
                    <w:suppressLineNumbers w:val="0"/>
                    <w:bidi w:val="0"/>
                    <w:spacing w:before="0" w:beforeAutospacing="0" w:after="0" w:afterAutospacing="0"/>
                    <w:ind w:left="0" w:right="0"/>
                    <w:rPr>
                      <w:rFonts w:hint="default"/>
                    </w:rPr>
                  </w:pPr>
                  <w:r>
                    <w:rPr>
                      <w:rFonts w:hint="eastAsia"/>
                      <w:lang w:val="en-US" w:eastAsia="zh-CN"/>
                    </w:rPr>
                    <w:t>本项目为</w:t>
                  </w:r>
                  <w:r>
                    <w:rPr>
                      <w:rFonts w:hint="default"/>
                      <w:lang w:val="en-US" w:eastAsia="zh-CN"/>
                    </w:rPr>
                    <w:t>水泥制品项目</w:t>
                  </w:r>
                  <w:r>
                    <w:rPr>
                      <w:rFonts w:hint="eastAsia"/>
                      <w:lang w:val="en-US" w:eastAsia="zh-CN"/>
                    </w:rPr>
                    <w:t>，项目摒弃锅炉烘干工艺，采用太阳蒸发实现制品干燥，</w:t>
                  </w:r>
                  <w:r>
                    <w:rPr>
                      <w:rFonts w:hint="default"/>
                      <w:lang w:val="en-US" w:eastAsia="zh-CN"/>
                    </w:rPr>
                    <w:t>项目搅拌设备清洗废水</w:t>
                  </w:r>
                  <w:r>
                    <w:rPr>
                      <w:rFonts w:hint="eastAsia"/>
                      <w:lang w:val="en-US" w:eastAsia="zh-CN"/>
                    </w:rPr>
                    <w:t>和模具清洗废水</w:t>
                  </w:r>
                  <w:r>
                    <w:rPr>
                      <w:rFonts w:hint="default"/>
                      <w:lang w:val="en-US" w:eastAsia="zh-CN"/>
                    </w:rPr>
                    <w:t>排入沉淀池沉淀后，用于</w:t>
                  </w:r>
                  <w:r>
                    <w:rPr>
                      <w:rFonts w:hint="eastAsia"/>
                      <w:lang w:val="en-US" w:eastAsia="zh-CN"/>
                    </w:rPr>
                    <w:t>成品养护，</w:t>
                  </w:r>
                  <w:r>
                    <w:rPr>
                      <w:rFonts w:hint="default"/>
                      <w:lang w:val="en-US" w:eastAsia="zh-CN"/>
                    </w:rPr>
                    <w:t>不外排。</w:t>
                  </w:r>
                </w:p>
              </w:tc>
              <w:tc>
                <w:tcPr>
                  <w:tcW w:w="288" w:type="pct"/>
                  <w:gridSpan w:val="2"/>
                  <w:noWrap w:val="0"/>
                  <w:vAlign w:val="center"/>
                </w:tcPr>
                <w:p w14:paraId="6E891471">
                  <w:pPr>
                    <w:pStyle w:val="27"/>
                    <w:keepNext w:val="0"/>
                    <w:keepLines w:val="0"/>
                    <w:suppressLineNumbers w:val="0"/>
                    <w:bidi w:val="0"/>
                    <w:spacing w:before="0" w:beforeAutospacing="0" w:after="0" w:afterAutospacing="0"/>
                    <w:ind w:left="0" w:right="0"/>
                    <w:rPr>
                      <w:rFonts w:hint="eastAsia"/>
                    </w:rPr>
                  </w:pPr>
                  <w:r>
                    <w:rPr>
                      <w:rFonts w:hint="eastAsia"/>
                    </w:rPr>
                    <w:t>符合</w:t>
                  </w:r>
                </w:p>
              </w:tc>
            </w:tr>
          </w:tbl>
          <w:p w14:paraId="58074D95">
            <w:pPr>
              <w:keepNext w:val="0"/>
              <w:keepLines w:val="0"/>
              <w:suppressLineNumbers w:val="0"/>
              <w:bidi w:val="0"/>
              <w:spacing w:before="0" w:beforeAutospacing="0" w:after="0" w:afterAutospacing="0"/>
              <w:ind w:left="0" w:right="0"/>
              <w:rPr>
                <w:rFonts w:hint="eastAsia"/>
              </w:rPr>
            </w:pPr>
            <w:r>
              <w:rPr>
                <w:rFonts w:hint="default"/>
              </w:rPr>
              <w:t>综上所述，本项目建设符合</w:t>
            </w:r>
            <w:r>
              <w:rPr>
                <w:rFonts w:hint="eastAsia"/>
              </w:rPr>
              <w:t>生态环境准入清单</w:t>
            </w:r>
            <w:r>
              <w:rPr>
                <w:rFonts w:hint="default"/>
              </w:rPr>
              <w:t>要求</w:t>
            </w:r>
            <w:r>
              <w:rPr>
                <w:rFonts w:hint="eastAsia"/>
              </w:rPr>
              <w:t>。</w:t>
            </w:r>
            <w:r>
              <w:rPr>
                <w:rFonts w:hint="default"/>
              </w:rPr>
              <w:t>综上所述，本项目建设符合</w:t>
            </w:r>
            <w:r>
              <w:rPr>
                <w:rFonts w:hint="eastAsia"/>
              </w:rPr>
              <w:t>“</w:t>
            </w:r>
            <w:r>
              <w:rPr>
                <w:rFonts w:hint="default"/>
              </w:rPr>
              <w:t>三线一单</w:t>
            </w:r>
            <w:r>
              <w:rPr>
                <w:rFonts w:hint="eastAsia"/>
              </w:rPr>
              <w:t>”</w:t>
            </w:r>
            <w:r>
              <w:rPr>
                <w:rFonts w:hint="default"/>
              </w:rPr>
              <w:t>要求。</w:t>
            </w:r>
          </w:p>
          <w:p w14:paraId="7CF46D40">
            <w:pPr>
              <w:pStyle w:val="3"/>
              <w:keepLines w:val="0"/>
              <w:suppressLineNumbers w:val="0"/>
              <w:bidi w:val="0"/>
              <w:spacing w:before="0" w:beforeAutospacing="0" w:after="0" w:afterAutospacing="0"/>
              <w:ind w:right="0"/>
              <w:rPr>
                <w:rFonts w:hint="default" w:ascii="Times New Roman" w:hAnsi="Times New Roman" w:eastAsia="宋体" w:cs="Times New Roman"/>
                <w:b/>
                <w:bCs/>
                <w:color w:val="auto"/>
                <w:kern w:val="2"/>
                <w:sz w:val="24"/>
                <w:szCs w:val="24"/>
                <w:lang w:val="en-US" w:eastAsia="zh-CN" w:bidi="ar"/>
              </w:rPr>
            </w:pPr>
            <w:r>
              <w:rPr>
                <w:rFonts w:hint="eastAsia" w:cs="Times New Roman"/>
                <w:b/>
                <w:bCs w:val="0"/>
                <w:sz w:val="24"/>
                <w:szCs w:val="24"/>
                <w:highlight w:val="none"/>
                <w:lang w:val="en-US" w:eastAsia="zh-CN"/>
              </w:rPr>
              <w:t xml:space="preserve">3 </w:t>
            </w:r>
            <w:r>
              <w:rPr>
                <w:rFonts w:hint="default" w:ascii="Times New Roman" w:hAnsi="Times New Roman" w:eastAsia="宋体" w:cs="Times New Roman"/>
                <w:b/>
                <w:bCs/>
                <w:color w:val="auto"/>
                <w:kern w:val="2"/>
                <w:sz w:val="24"/>
                <w:szCs w:val="24"/>
                <w:lang w:val="en-US" w:eastAsia="zh-CN" w:bidi="ar"/>
              </w:rPr>
              <w:t>生态环境保护规划符合性分析</w:t>
            </w:r>
          </w:p>
          <w:p w14:paraId="557A84BE">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本工程与《巴音郭楞蒙古自治州生态环境</w:t>
            </w:r>
            <w:r>
              <w:rPr>
                <w:rFonts w:hint="eastAsia" w:ascii="宋体" w:hAnsi="宋体" w:eastAsia="宋体" w:cs="宋体"/>
                <w:lang w:val="en-US" w:eastAsia="zh-CN"/>
              </w:rPr>
              <w:t>“十四五”</w:t>
            </w:r>
            <w:r>
              <w:rPr>
                <w:rFonts w:hint="default"/>
                <w:lang w:val="en-US" w:eastAsia="zh-CN"/>
              </w:rPr>
              <w:t>规划》符合性分析详细情况见表1-3。</w:t>
            </w:r>
          </w:p>
          <w:p w14:paraId="5C858208">
            <w:pPr>
              <w:pStyle w:val="5"/>
              <w:suppressLineNumbers w:val="0"/>
              <w:bidi w:val="0"/>
              <w:spacing w:before="0" w:beforeAutospacing="0" w:after="0" w:afterAutospacing="0"/>
              <w:ind w:left="0" w:right="0"/>
              <w:rPr>
                <w:rFonts w:hint="default"/>
                <w:lang w:val="en-US" w:eastAsia="zh-CN"/>
              </w:rPr>
            </w:pPr>
            <w:r>
              <w:rPr>
                <w:rFonts w:hint="default"/>
                <w:lang w:val="en-US" w:eastAsia="zh-CN"/>
              </w:rPr>
              <w:t>表1-3  《巴音郭楞蒙古自治州生态环境</w:t>
            </w:r>
            <w:r>
              <w:rPr>
                <w:rFonts w:hint="eastAsia" w:ascii="宋体" w:hAnsi="宋体" w:eastAsia="宋体" w:cs="宋体"/>
                <w:lang w:val="en-US" w:eastAsia="zh-CN"/>
              </w:rPr>
              <w:t>“十四五”</w:t>
            </w:r>
            <w:r>
              <w:rPr>
                <w:rFonts w:hint="default"/>
                <w:lang w:val="en-US" w:eastAsia="zh-CN"/>
              </w:rPr>
              <w:t>规划》符合性分析</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5"/>
              <w:gridCol w:w="2920"/>
              <w:gridCol w:w="708"/>
            </w:tblGrid>
            <w:tr w14:paraId="4D09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noWrap w:val="0"/>
                  <w:vAlign w:val="center"/>
                </w:tcPr>
                <w:p w14:paraId="635A8077">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规划要求</w:t>
                  </w:r>
                </w:p>
              </w:tc>
              <w:tc>
                <w:tcPr>
                  <w:tcW w:w="2920" w:type="dxa"/>
                  <w:noWrap w:val="0"/>
                  <w:vAlign w:val="center"/>
                </w:tcPr>
                <w:p w14:paraId="7055F53B">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本项目情况</w:t>
                  </w:r>
                </w:p>
              </w:tc>
              <w:tc>
                <w:tcPr>
                  <w:tcW w:w="708" w:type="dxa"/>
                  <w:noWrap w:val="0"/>
                  <w:vAlign w:val="center"/>
                </w:tcPr>
                <w:p w14:paraId="326BBB33">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符合性</w:t>
                  </w:r>
                </w:p>
              </w:tc>
            </w:tr>
            <w:tr w14:paraId="35B0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noWrap w:val="0"/>
                  <w:vAlign w:val="center"/>
                </w:tcPr>
                <w:p w14:paraId="07EED06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强化大气污染分区控制和分类管理，加强污染源解析，实行差异化控制要求，制定有针对性的污染防治措施。库尔勒等大气复合型污染区域，重点针对不同时段PM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、O</w:t>
                  </w:r>
                  <w:r>
                    <w:rPr>
                      <w:rFonts w:hint="default"/>
                      <w:vertAlign w:val="subscript"/>
                      <w:lang w:val="en-US" w:eastAsia="zh-CN"/>
                    </w:rPr>
                    <w:t>3</w:t>
                  </w:r>
                  <w:r>
                    <w:rPr>
                      <w:rFonts w:hint="default"/>
                      <w:lang w:val="en-US" w:eastAsia="zh-CN"/>
                    </w:rPr>
                    <w:t>等突出问题，加强采暖季燃煤污染控制以及机动车、VOCs（挥发性有机物）污染防治；库尉轮地区及且若区域沙尘污染严重区，重点做好防风固沙、生态环境保护修复等工作，同时持续加强传统煤烟型、扬尘污染的控制，实现空气质量持续改善。</w:t>
                  </w:r>
                </w:p>
              </w:tc>
              <w:tc>
                <w:tcPr>
                  <w:tcW w:w="2920" w:type="dxa"/>
                  <w:noWrap w:val="0"/>
                  <w:vAlign w:val="center"/>
                </w:tcPr>
                <w:p w14:paraId="2F793818">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本项目产生的废气经相应的环保设施处理后能够达标排放，对环境空气质量影响较小，不会降低区域环境空气质量。</w:t>
                  </w:r>
                </w:p>
              </w:tc>
              <w:tc>
                <w:tcPr>
                  <w:tcW w:w="708" w:type="dxa"/>
                  <w:noWrap w:val="0"/>
                  <w:vAlign w:val="center"/>
                </w:tcPr>
                <w:p w14:paraId="78861AAB">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14:paraId="0321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noWrap w:val="0"/>
                  <w:vAlign w:val="center"/>
                </w:tcPr>
                <w:p w14:paraId="67E0BFB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加强环境噪声污染防控。加强噪声污染源监管，继续强化和深入推进交通运输、建筑施工、社会生活、工业企业、机场周边噪声污染防治，推进工业企业噪声纳入排污许可管理。优化重点区域声环境质量监测点位，加强城市环境、道路交通、功能区噪声例行监测与评价，推动库尔勒市功能区声环境质量自动监测，强化声环境功能区管理，适时调整完善声环境功能区。</w:t>
                  </w:r>
                </w:p>
              </w:tc>
              <w:tc>
                <w:tcPr>
                  <w:tcW w:w="2920" w:type="dxa"/>
                  <w:noWrap w:val="0"/>
                  <w:vAlign w:val="center"/>
                </w:tcPr>
                <w:p w14:paraId="7563D272">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噪声主要是机械、运输设备噪声。采用低噪声设备、合理布置设备位置，基础减震等措施，噪声可以达标排放；项目建设完成后，建设单位将按照排污许可管理办法，在排污行为发生之前，完成排污许可申报。</w:t>
                  </w:r>
                </w:p>
              </w:tc>
              <w:tc>
                <w:tcPr>
                  <w:tcW w:w="708" w:type="dxa"/>
                  <w:noWrap w:val="0"/>
                  <w:vAlign w:val="center"/>
                </w:tcPr>
                <w:p w14:paraId="4DC49BD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14:paraId="4C55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noWrap w:val="0"/>
                  <w:vAlign w:val="center"/>
                </w:tcPr>
                <w:p w14:paraId="01B1F1A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加强固体废物处置。加强固体废物源头减量和资源化利用，最大限度减少填埋量。持续开展固体废物非法转移和倾倒排查整治，推动开展塑料行业专项清理，持续推进废塑料加工利用行业整治，加强废塑料回收、利用、处置等环节的环境监管，降低污染风险。加强工业固体废物堆存场所环境整治。持续推进工业固体废物综合利用和环境整治，不断提高大宗工业固体废物资源化利用水平。</w:t>
                  </w:r>
                </w:p>
              </w:tc>
              <w:tc>
                <w:tcPr>
                  <w:tcW w:w="2920" w:type="dxa"/>
                  <w:noWrap w:val="0"/>
                  <w:vAlign w:val="center"/>
                </w:tcPr>
                <w:p w14:paraId="613BB8F7">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水泥筒仓滤筒式过滤器拦截的粉尘、上料口设置除尘器收集的粉尘、混凝土残渣沉淀池底泥回用于生产；废布袋、废滤芯交由厂家回收处理；生活垃圾分类收集后委托环卫部门及时清运；废润滑油、废润滑油桶储存于危废贮存点后交由有资质单位处理。</w:t>
                  </w:r>
                </w:p>
              </w:tc>
              <w:tc>
                <w:tcPr>
                  <w:tcW w:w="708" w:type="dxa"/>
                  <w:noWrap w:val="0"/>
                  <w:vAlign w:val="center"/>
                </w:tcPr>
                <w:p w14:paraId="6B3E3708">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14:paraId="1AA16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shd w:val="clear" w:color="auto" w:fill="auto"/>
                  <w:noWrap w:val="0"/>
                  <w:vAlign w:val="center"/>
                </w:tcPr>
                <w:p w14:paraId="3CFA42A4">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严格落实突发环境事件应急预案制度，提升涉危险废物突发环境事件应急处置水平。</w:t>
                  </w:r>
                </w:p>
              </w:tc>
              <w:tc>
                <w:tcPr>
                  <w:tcW w:w="2920" w:type="dxa"/>
                  <w:shd w:val="clear" w:color="auto" w:fill="auto"/>
                  <w:noWrap w:val="0"/>
                  <w:vAlign w:val="center"/>
                </w:tcPr>
                <w:p w14:paraId="60AF5A2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本环评要求建设单位编制突发环境事件应急预案，并上报生态环境主管部门进行备案，同时配备必要的应急措施和物资，并定期组织应急演练。</w:t>
                  </w:r>
                </w:p>
              </w:tc>
              <w:tc>
                <w:tcPr>
                  <w:tcW w:w="708" w:type="dxa"/>
                  <w:shd w:val="clear" w:color="auto" w:fill="auto"/>
                  <w:noWrap w:val="0"/>
                  <w:vAlign w:val="center"/>
                </w:tcPr>
                <w:p w14:paraId="2E23EEBD">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bl>
          <w:p w14:paraId="23D1239B">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4 法律法规政策符合性分析</w:t>
            </w:r>
          </w:p>
          <w:p w14:paraId="371083E2">
            <w:pPr>
              <w:pStyle w:val="5"/>
              <w:suppressLineNumbers w:val="0"/>
              <w:bidi w:val="0"/>
              <w:spacing w:before="0" w:beforeAutospacing="0" w:after="0" w:afterAutospacing="0"/>
              <w:ind w:left="0" w:right="0"/>
              <w:rPr>
                <w:rFonts w:hint="default"/>
                <w:lang w:val="en-US" w:eastAsia="zh-CN"/>
              </w:rPr>
            </w:pPr>
            <w:r>
              <w:rPr>
                <w:rFonts w:hint="default"/>
                <w:lang w:val="en-US" w:eastAsia="zh-CN"/>
              </w:rPr>
              <w:t>表1-</w:t>
            </w:r>
            <w:r>
              <w:rPr>
                <w:rFonts w:hint="eastAsia"/>
                <w:lang w:val="en-US" w:eastAsia="zh-CN"/>
              </w:rPr>
              <w:t>4</w:t>
            </w:r>
            <w:r>
              <w:rPr>
                <w:rFonts w:hint="default"/>
                <w:lang w:val="en-US" w:eastAsia="zh-CN"/>
              </w:rPr>
              <w:t xml:space="preserve">  法律法规政策符合性分析</w:t>
            </w:r>
          </w:p>
          <w:tbl>
            <w:tblPr>
              <w:tblStyle w:val="34"/>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7"/>
              <w:gridCol w:w="3144"/>
              <w:gridCol w:w="2573"/>
              <w:gridCol w:w="402"/>
            </w:tblGrid>
            <w:tr w14:paraId="4291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noWrap w:val="0"/>
                  <w:vAlign w:val="center"/>
                </w:tcPr>
                <w:p w14:paraId="361459B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文件</w:t>
                  </w:r>
                </w:p>
              </w:tc>
              <w:tc>
                <w:tcPr>
                  <w:tcW w:w="2042" w:type="pct"/>
                  <w:noWrap w:val="0"/>
                  <w:vAlign w:val="center"/>
                </w:tcPr>
                <w:p w14:paraId="21AB1FC2">
                  <w:pPr>
                    <w:pStyle w:val="7"/>
                    <w:keepNext w:val="0"/>
                    <w:keepLines w:val="0"/>
                    <w:suppressLineNumbers w:val="0"/>
                    <w:bidi w:val="0"/>
                    <w:spacing w:before="0" w:beforeAutospacing="0" w:after="0" w:afterAutospacing="0"/>
                    <w:ind w:left="0" w:right="0"/>
                    <w:rPr>
                      <w:rFonts w:hint="default"/>
                    </w:rPr>
                  </w:pPr>
                  <w:r>
                    <w:rPr>
                      <w:rFonts w:hint="default"/>
                    </w:rPr>
                    <w:t>环境管理政策要求</w:t>
                  </w:r>
                </w:p>
              </w:tc>
              <w:tc>
                <w:tcPr>
                  <w:tcW w:w="1671" w:type="pct"/>
                  <w:noWrap w:val="0"/>
                  <w:vAlign w:val="center"/>
                </w:tcPr>
                <w:p w14:paraId="62878F34">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本项目情况</w:t>
                  </w:r>
                </w:p>
              </w:tc>
              <w:tc>
                <w:tcPr>
                  <w:tcW w:w="261" w:type="pct"/>
                  <w:noWrap w:val="0"/>
                  <w:vAlign w:val="center"/>
                </w:tcPr>
                <w:p w14:paraId="73AF51B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符合性</w:t>
                  </w:r>
                </w:p>
              </w:tc>
            </w:tr>
            <w:tr w14:paraId="63AF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noWrap w:val="0"/>
                  <w:vAlign w:val="center"/>
                </w:tcPr>
                <w:p w14:paraId="63555EEF">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eastAsia="zh-CN"/>
                    </w:rPr>
                  </w:pPr>
                  <w:r>
                    <w:rPr>
                      <w:rFonts w:hint="default"/>
                    </w:rPr>
                    <w:t>《</w:t>
                  </w:r>
                  <w:r>
                    <w:rPr>
                      <w:rFonts w:hint="default"/>
                      <w:lang w:eastAsia="zh-CN"/>
                    </w:rPr>
                    <w:t>中华人民共和国</w:t>
                  </w:r>
                  <w:r>
                    <w:rPr>
                      <w:rFonts w:hint="default"/>
                    </w:rPr>
                    <w:t>大气污染防治法》</w:t>
                  </w:r>
                  <w:r>
                    <w:rPr>
                      <w:rFonts w:hint="default"/>
                      <w:lang w:eastAsia="zh-CN"/>
                    </w:rPr>
                    <w:t>（</w:t>
                  </w:r>
                  <w:r>
                    <w:rPr>
                      <w:rFonts w:hint="default"/>
                      <w:lang w:val="en-US" w:eastAsia="zh-CN"/>
                    </w:rPr>
                    <w:t>2018-11-13</w:t>
                  </w:r>
                  <w:r>
                    <w:rPr>
                      <w:rFonts w:hint="default"/>
                      <w:lang w:eastAsia="zh-CN"/>
                    </w:rPr>
                    <w:t>）</w:t>
                  </w:r>
                </w:p>
              </w:tc>
              <w:tc>
                <w:tcPr>
                  <w:tcW w:w="2042" w:type="pct"/>
                  <w:noWrap w:val="0"/>
                  <w:vAlign w:val="center"/>
                </w:tcPr>
                <w:p w14:paraId="4DAD14BC">
                  <w:pPr>
                    <w:pStyle w:val="7"/>
                    <w:keepNext w:val="0"/>
                    <w:keepLines w:val="0"/>
                    <w:suppressLineNumbers w:val="0"/>
                    <w:bidi w:val="0"/>
                    <w:spacing w:before="0" w:beforeAutospacing="0" w:after="0" w:afterAutospacing="0"/>
                    <w:ind w:left="0" w:right="0"/>
                    <w:rPr>
                      <w:rFonts w:hint="default"/>
                      <w:lang w:eastAsia="zh-CN"/>
                    </w:rPr>
                  </w:pPr>
                  <w:r>
                    <w:rPr>
                      <w:rFonts w:hint="default"/>
                    </w:rPr>
                    <w:t>第七条：企业事业单位和其他生产经营者，应当采取有效措施，防止、减少大气污染，对所造成的损害依法承担责任</w:t>
                  </w:r>
                  <w:r>
                    <w:rPr>
                      <w:rFonts w:hint="default"/>
                      <w:lang w:eastAsia="zh-CN"/>
                    </w:rPr>
                    <w:t>。</w:t>
                  </w:r>
                </w:p>
              </w:tc>
              <w:tc>
                <w:tcPr>
                  <w:tcW w:w="1671" w:type="pct"/>
                  <w:noWrap w:val="0"/>
                  <w:vAlign w:val="center"/>
                </w:tcPr>
                <w:p w14:paraId="49CC6605">
                  <w:pPr>
                    <w:pStyle w:val="7"/>
                    <w:keepNext w:val="0"/>
                    <w:keepLines w:val="0"/>
                    <w:suppressLineNumbers w:val="0"/>
                    <w:bidi w:val="0"/>
                    <w:spacing w:before="0" w:beforeAutospacing="0" w:after="0" w:afterAutospacing="0"/>
                    <w:ind w:left="0" w:right="0"/>
                    <w:rPr>
                      <w:rFonts w:hint="default"/>
                      <w:highlight w:val="yellow"/>
                      <w:lang w:eastAsia="zh-CN"/>
                    </w:rPr>
                  </w:pPr>
                  <w:r>
                    <w:rPr>
                      <w:rFonts w:hint="default"/>
                      <w:highlight w:val="none"/>
                    </w:rPr>
                    <w:t>本项目原料堆放在封闭式物料仓库内，</w:t>
                  </w:r>
                  <w:r>
                    <w:rPr>
                      <w:rFonts w:hint="default"/>
                      <w:highlight w:val="none"/>
                      <w:lang w:val="en-US" w:eastAsia="zh-CN"/>
                    </w:rPr>
                    <w:t>上料</w:t>
                  </w:r>
                  <w:r>
                    <w:rPr>
                      <w:rFonts w:hint="default"/>
                      <w:highlight w:val="none"/>
                      <w:lang w:eastAsia="zh-CN"/>
                    </w:rPr>
                    <w:t>过程中产生的颗粒物经袋式除尘器处理后经15m高排气筒进行达标排放。</w:t>
                  </w:r>
                  <w:r>
                    <w:rPr>
                      <w:rFonts w:hint="default"/>
                      <w:highlight w:val="none"/>
                      <w:lang w:val="en-US" w:eastAsia="zh-CN"/>
                    </w:rPr>
                    <w:t>本项目产生的无组织颗粒物通过厂房密闭和洒水抑尘的措施，有效降低无组织颗粒物的排放。</w:t>
                  </w:r>
                </w:p>
              </w:tc>
              <w:tc>
                <w:tcPr>
                  <w:tcW w:w="261" w:type="pct"/>
                  <w:noWrap w:val="0"/>
                  <w:vAlign w:val="center"/>
                </w:tcPr>
                <w:p w14:paraId="64994A84">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14:paraId="226D5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noWrap w:val="0"/>
                  <w:vAlign w:val="center"/>
                </w:tcPr>
                <w:p w14:paraId="647DE3D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eastAsia="zh-CN"/>
                    </w:rPr>
                  </w:pPr>
                  <w:r>
                    <w:rPr>
                      <w:rFonts w:hint="default"/>
                    </w:rPr>
                    <w:t>《中华人民共和国噪声污染防治法》</w:t>
                  </w:r>
                  <w:r>
                    <w:rPr>
                      <w:rFonts w:hint="default"/>
                      <w:lang w:eastAsia="zh-CN"/>
                    </w:rPr>
                    <w:t>（</w:t>
                  </w:r>
                  <w:r>
                    <w:rPr>
                      <w:rFonts w:hint="default"/>
                      <w:lang w:val="en-US" w:eastAsia="zh-CN"/>
                    </w:rPr>
                    <w:t>2021-12-25</w:t>
                  </w:r>
                  <w:r>
                    <w:rPr>
                      <w:rFonts w:hint="default"/>
                      <w:lang w:eastAsia="zh-CN"/>
                    </w:rPr>
                    <w:t>）</w:t>
                  </w:r>
                </w:p>
              </w:tc>
              <w:tc>
                <w:tcPr>
                  <w:tcW w:w="2042" w:type="pct"/>
                  <w:noWrap w:val="0"/>
                  <w:vAlign w:val="center"/>
                </w:tcPr>
                <w:p w14:paraId="381EE351">
                  <w:pPr>
                    <w:pStyle w:val="7"/>
                    <w:keepNext w:val="0"/>
                    <w:keepLines w:val="0"/>
                    <w:suppressLineNumbers w:val="0"/>
                    <w:bidi w:val="0"/>
                    <w:spacing w:before="0" w:beforeAutospacing="0" w:after="0" w:afterAutospacing="0"/>
                    <w:ind w:left="0" w:right="0"/>
                    <w:rPr>
                      <w:rFonts w:hint="default"/>
                    </w:rPr>
                  </w:pPr>
                  <w:r>
                    <w:rPr>
                      <w:rFonts w:hint="default"/>
                    </w:rPr>
                    <w:t>第三十六条</w:t>
                  </w:r>
                  <w:r>
                    <w:rPr>
                      <w:rFonts w:hint="default"/>
                      <w:lang w:eastAsia="zh-CN"/>
                    </w:rPr>
                    <w:t>：</w:t>
                  </w:r>
                  <w:r>
                    <w:rPr>
                      <w:rFonts w:hint="default"/>
                    </w:rPr>
                    <w:t>排放工业噪声的企业事业单位和其他生产经营者，应当采取有效措施，减少振动、降低噪声，依法取得排污许可证或者填报排污登记表。</w:t>
                  </w:r>
                </w:p>
              </w:tc>
              <w:tc>
                <w:tcPr>
                  <w:tcW w:w="1671" w:type="pct"/>
                  <w:noWrap w:val="0"/>
                  <w:vAlign w:val="center"/>
                </w:tcPr>
                <w:p w14:paraId="68DF6038">
                  <w:pPr>
                    <w:pStyle w:val="7"/>
                    <w:keepNext w:val="0"/>
                    <w:keepLines w:val="0"/>
                    <w:suppressLineNumbers w:val="0"/>
                    <w:bidi w:val="0"/>
                    <w:spacing w:before="0" w:beforeAutospacing="0" w:after="0" w:afterAutospacing="0"/>
                    <w:ind w:left="0" w:right="0"/>
                    <w:rPr>
                      <w:rFonts w:hint="default"/>
                      <w:highlight w:val="yellow"/>
                      <w:lang w:val="en-US" w:eastAsia="zh-CN"/>
                    </w:rPr>
                  </w:pPr>
                  <w:r>
                    <w:rPr>
                      <w:rFonts w:hint="default"/>
                      <w:highlight w:val="none"/>
                    </w:rPr>
                    <w:t>对各类主要噪声源采用低噪声源设备、并采取减振、隔声等措施</w:t>
                  </w:r>
                  <w:r>
                    <w:rPr>
                      <w:rFonts w:hint="default"/>
                      <w:highlight w:val="none"/>
                      <w:lang w:eastAsia="zh-CN"/>
                    </w:rPr>
                    <w:t>，</w:t>
                  </w:r>
                  <w:r>
                    <w:rPr>
                      <w:rFonts w:hint="default"/>
                      <w:highlight w:val="none"/>
                      <w:lang w:val="en-US" w:eastAsia="zh-CN"/>
                    </w:rPr>
                    <w:t>可正常使用，符合相关标准。企业在生产前完成排污许可证的申请。</w:t>
                  </w:r>
                </w:p>
              </w:tc>
              <w:tc>
                <w:tcPr>
                  <w:tcW w:w="261" w:type="pct"/>
                  <w:noWrap w:val="0"/>
                  <w:vAlign w:val="center"/>
                </w:tcPr>
                <w:p w14:paraId="0127EA4F">
                  <w:pPr>
                    <w:pStyle w:val="7"/>
                    <w:keepNext w:val="0"/>
                    <w:keepLines w:val="0"/>
                    <w:suppressLineNumbers w:val="0"/>
                    <w:bidi w:val="0"/>
                    <w:spacing w:before="0" w:beforeAutospacing="0" w:after="0" w:afterAutospacing="0"/>
                    <w:ind w:left="0" w:right="0"/>
                    <w:rPr>
                      <w:rFonts w:hint="default"/>
                    </w:rPr>
                  </w:pPr>
                  <w:r>
                    <w:rPr>
                      <w:rFonts w:hint="default"/>
                      <w:lang w:val="en-US" w:eastAsia="zh-CN"/>
                    </w:rPr>
                    <w:t>符合</w:t>
                  </w:r>
                </w:p>
              </w:tc>
            </w:tr>
            <w:tr w14:paraId="4FB8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noWrap w:val="0"/>
                  <w:vAlign w:val="center"/>
                </w:tcPr>
                <w:p w14:paraId="31EC39E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eastAsia="zh-CN"/>
                    </w:rPr>
                  </w:pPr>
                  <w:r>
                    <w:rPr>
                      <w:rFonts w:hint="default"/>
                    </w:rPr>
                    <w:t>《中华人民共和国固体废物污染环境防治法》</w:t>
                  </w:r>
                  <w:r>
                    <w:rPr>
                      <w:rFonts w:hint="default"/>
                      <w:lang w:eastAsia="zh-CN"/>
                    </w:rPr>
                    <w:t>（</w:t>
                  </w:r>
                  <w:r>
                    <w:rPr>
                      <w:rFonts w:hint="default"/>
                      <w:lang w:val="en-US" w:eastAsia="zh-CN"/>
                    </w:rPr>
                    <w:t>2020-04-30</w:t>
                  </w:r>
                  <w:r>
                    <w:rPr>
                      <w:rFonts w:hint="default"/>
                      <w:lang w:eastAsia="zh-CN"/>
                    </w:rPr>
                    <w:t>）</w:t>
                  </w:r>
                </w:p>
              </w:tc>
              <w:tc>
                <w:tcPr>
                  <w:tcW w:w="2042" w:type="pct"/>
                  <w:noWrap w:val="0"/>
                  <w:vAlign w:val="center"/>
                </w:tcPr>
                <w:p w14:paraId="39F6930A">
                  <w:pPr>
                    <w:pStyle w:val="7"/>
                    <w:keepNext w:val="0"/>
                    <w:keepLines w:val="0"/>
                    <w:suppressLineNumbers w:val="0"/>
                    <w:bidi w:val="0"/>
                    <w:spacing w:before="0" w:beforeAutospacing="0" w:after="0" w:afterAutospacing="0"/>
                    <w:ind w:left="0" w:right="0"/>
                    <w:rPr>
                      <w:rFonts w:hint="default"/>
                    </w:rPr>
                  </w:pPr>
                  <w:r>
                    <w:rPr>
                      <w:rFonts w:hint="default"/>
                    </w:rPr>
                    <w:t>第十九条：收集、贮存、运输、利用、处置固体废物的单位和其他生产经营者，应当加强对相关设施、设备和场所的管理和维护，保证其正常运行和使用。</w:t>
                  </w:r>
                </w:p>
              </w:tc>
              <w:tc>
                <w:tcPr>
                  <w:tcW w:w="1671" w:type="pct"/>
                  <w:noWrap w:val="0"/>
                  <w:vAlign w:val="center"/>
                </w:tcPr>
                <w:p w14:paraId="2E88D4A5">
                  <w:pPr>
                    <w:pStyle w:val="7"/>
                    <w:keepNext w:val="0"/>
                    <w:keepLines w:val="0"/>
                    <w:suppressLineNumbers w:val="0"/>
                    <w:bidi w:val="0"/>
                    <w:spacing w:before="0" w:beforeAutospacing="0" w:after="0" w:afterAutospacing="0"/>
                    <w:ind w:left="0" w:right="0"/>
                    <w:rPr>
                      <w:rFonts w:hint="default"/>
                      <w:highlight w:val="yellow"/>
                      <w:lang w:val="en-US" w:eastAsia="zh-CN"/>
                    </w:rPr>
                  </w:pPr>
                  <w:r>
                    <w:rPr>
                      <w:rFonts w:hint="default"/>
                      <w:highlight w:val="none"/>
                      <w:lang w:val="en-US" w:eastAsia="zh-CN"/>
                    </w:rPr>
                    <w:t>水泥筒仓滤筒式过滤器拦截的粉尘、上料口设置除尘器收集的粉尘、混凝土残渣沉淀池底泥回用于生产；废布袋、废滤芯交由厂家回收处理；生活垃圾分类收集后委托环卫部门及时清运；废润滑油、废润滑油桶储存于危废贮存点后交由有资质单位处理。</w:t>
                  </w:r>
                </w:p>
              </w:tc>
              <w:tc>
                <w:tcPr>
                  <w:tcW w:w="261" w:type="pct"/>
                  <w:noWrap w:val="0"/>
                  <w:vAlign w:val="center"/>
                </w:tcPr>
                <w:p w14:paraId="27297694">
                  <w:pPr>
                    <w:pStyle w:val="7"/>
                    <w:keepNext w:val="0"/>
                    <w:keepLines w:val="0"/>
                    <w:suppressLineNumbers w:val="0"/>
                    <w:bidi w:val="0"/>
                    <w:spacing w:before="0" w:beforeAutospacing="0" w:after="0" w:afterAutospacing="0"/>
                    <w:ind w:left="0" w:right="0"/>
                    <w:rPr>
                      <w:rFonts w:hint="default"/>
                    </w:rPr>
                  </w:pPr>
                  <w:r>
                    <w:rPr>
                      <w:rFonts w:hint="default"/>
                      <w:lang w:val="en-US" w:eastAsia="zh-CN"/>
                    </w:rPr>
                    <w:t>符合</w:t>
                  </w:r>
                </w:p>
              </w:tc>
            </w:tr>
            <w:tr w14:paraId="78807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noWrap w:val="0"/>
                  <w:vAlign w:val="center"/>
                </w:tcPr>
                <w:p w14:paraId="0A51065F">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eastAsia="zh-CN"/>
                    </w:rPr>
                  </w:pPr>
                  <w:r>
                    <w:rPr>
                      <w:rFonts w:hint="default"/>
                    </w:rPr>
                    <w:t>《中华人民共和国水污染防治法》</w:t>
                  </w:r>
                  <w:r>
                    <w:rPr>
                      <w:rFonts w:hint="default"/>
                      <w:lang w:eastAsia="zh-CN"/>
                    </w:rPr>
                    <w:t>（</w:t>
                  </w:r>
                  <w:r>
                    <w:rPr>
                      <w:rFonts w:hint="default"/>
                      <w:lang w:val="en-US" w:eastAsia="zh-CN"/>
                    </w:rPr>
                    <w:t>2018-01-01</w:t>
                  </w:r>
                  <w:r>
                    <w:rPr>
                      <w:rFonts w:hint="default"/>
                      <w:lang w:eastAsia="zh-CN"/>
                    </w:rPr>
                    <w:t>）</w:t>
                  </w:r>
                </w:p>
              </w:tc>
              <w:tc>
                <w:tcPr>
                  <w:tcW w:w="2042" w:type="pct"/>
                  <w:noWrap w:val="0"/>
                  <w:vAlign w:val="center"/>
                </w:tcPr>
                <w:p w14:paraId="196A1A6F">
                  <w:pPr>
                    <w:pStyle w:val="7"/>
                    <w:keepNext w:val="0"/>
                    <w:keepLines w:val="0"/>
                    <w:suppressLineNumbers w:val="0"/>
                    <w:bidi w:val="0"/>
                    <w:spacing w:before="0" w:beforeAutospacing="0" w:after="0" w:afterAutospacing="0"/>
                    <w:ind w:left="0" w:right="0"/>
                    <w:rPr>
                      <w:rFonts w:hint="default"/>
                    </w:rPr>
                  </w:pPr>
                  <w:r>
                    <w:rPr>
                      <w:rFonts w:hint="default"/>
                    </w:rPr>
                    <w:t>第五十条</w:t>
                  </w:r>
                  <w:r>
                    <w:rPr>
                      <w:rFonts w:hint="default"/>
                      <w:lang w:eastAsia="zh-CN"/>
                    </w:rPr>
                    <w:t>：</w:t>
                  </w:r>
                  <w:r>
                    <w:rPr>
                      <w:rFonts w:hint="default"/>
                    </w:rPr>
                    <w:t>向城镇污水集中处理设施排放水污染物，应当符合国家或者地方规定的水污染物排放标准。</w:t>
                  </w:r>
                </w:p>
              </w:tc>
              <w:tc>
                <w:tcPr>
                  <w:tcW w:w="1671" w:type="pct"/>
                  <w:noWrap w:val="0"/>
                  <w:vAlign w:val="center"/>
                </w:tcPr>
                <w:p w14:paraId="390A7055">
                  <w:pPr>
                    <w:pStyle w:val="7"/>
                    <w:keepNext w:val="0"/>
                    <w:keepLines w:val="0"/>
                    <w:suppressLineNumbers w:val="0"/>
                    <w:bidi w:val="0"/>
                    <w:spacing w:before="0" w:beforeAutospacing="0" w:after="0" w:afterAutospacing="0"/>
                    <w:ind w:left="0" w:right="0"/>
                    <w:rPr>
                      <w:rFonts w:hint="default"/>
                      <w:highlight w:val="yellow"/>
                      <w:lang w:val="en-US" w:eastAsia="zh-CN"/>
                    </w:rPr>
                  </w:pPr>
                  <w:r>
                    <w:rPr>
                      <w:rFonts w:hint="default"/>
                      <w:highlight w:val="none"/>
                      <w:lang w:val="en-US" w:eastAsia="zh-CN"/>
                    </w:rPr>
                    <w:t>项目设备清洗废水、模具清洗废水经沉淀收集后，用于成品养护，不外排；生活污水拉运至</w:t>
                  </w:r>
                  <w:r>
                    <w:rPr>
                      <w:rFonts w:hint="eastAsia"/>
                      <w:highlight w:val="none"/>
                      <w:lang w:val="en-US" w:eastAsia="zh-CN"/>
                    </w:rPr>
                    <w:t>和静县污水处理厂</w:t>
                  </w:r>
                  <w:r>
                    <w:rPr>
                      <w:rFonts w:hint="default"/>
                      <w:highlight w:val="none"/>
                      <w:lang w:val="en-US" w:eastAsia="zh-CN"/>
                    </w:rPr>
                    <w:t>处置</w:t>
                  </w:r>
                  <w:r>
                    <w:rPr>
                      <w:rFonts w:hint="eastAsia"/>
                      <w:highlight w:val="none"/>
                      <w:lang w:val="en-US" w:eastAsia="zh-CN"/>
                    </w:rPr>
                    <w:t>。</w:t>
                  </w:r>
                </w:p>
              </w:tc>
              <w:tc>
                <w:tcPr>
                  <w:tcW w:w="261" w:type="pct"/>
                  <w:noWrap w:val="0"/>
                  <w:vAlign w:val="center"/>
                </w:tcPr>
                <w:p w14:paraId="0EA9A231">
                  <w:pPr>
                    <w:pStyle w:val="7"/>
                    <w:keepNext w:val="0"/>
                    <w:keepLines w:val="0"/>
                    <w:suppressLineNumbers w:val="0"/>
                    <w:bidi w:val="0"/>
                    <w:spacing w:before="0" w:beforeAutospacing="0" w:after="0" w:afterAutospacing="0"/>
                    <w:ind w:left="0" w:right="0"/>
                    <w:rPr>
                      <w:rFonts w:hint="default"/>
                    </w:rPr>
                  </w:pPr>
                  <w:r>
                    <w:rPr>
                      <w:rFonts w:hint="default"/>
                      <w:lang w:val="en-US" w:eastAsia="zh-CN"/>
                    </w:rPr>
                    <w:t>符合</w:t>
                  </w:r>
                </w:p>
              </w:tc>
            </w:tr>
            <w:tr w14:paraId="55C95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noWrap w:val="0"/>
                  <w:vAlign w:val="center"/>
                </w:tcPr>
                <w:p w14:paraId="1C023E04">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《新疆维吾尔自治区2025年</w:t>
                  </w:r>
                </w:p>
                <w:p w14:paraId="6BCACC9F">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空气质量持续改善行动实施方案》</w:t>
                  </w:r>
                </w:p>
              </w:tc>
              <w:tc>
                <w:tcPr>
                  <w:tcW w:w="2042" w:type="pct"/>
                  <w:noWrap w:val="0"/>
                  <w:vAlign w:val="center"/>
                </w:tcPr>
                <w:p w14:paraId="238F93F8">
                  <w:pPr>
                    <w:pStyle w:val="7"/>
                    <w:keepNext w:val="0"/>
                    <w:keepLines w:val="0"/>
                    <w:suppressLineNumbers w:val="0"/>
                    <w:bidi w:val="0"/>
                    <w:spacing w:before="0" w:beforeAutospacing="0" w:after="0" w:afterAutospacing="0"/>
                    <w:ind w:left="0" w:right="0"/>
                    <w:rPr>
                      <w:rFonts w:hint="default"/>
                      <w:lang w:eastAsia="zh-CN"/>
                    </w:rPr>
                  </w:pPr>
                  <w:r>
                    <w:rPr>
                      <w:rFonts w:hint="default"/>
                      <w:lang w:eastAsia="zh-CN"/>
                    </w:rPr>
                    <w:t>（一）坚决遏制高耗能、高排放、低水平项目盲目上马。（</w:t>
                  </w:r>
                  <w:r>
                    <w:rPr>
                      <w:rFonts w:hint="default"/>
                      <w:lang w:val="en-US" w:eastAsia="zh-CN"/>
                    </w:rPr>
                    <w:t>二</w:t>
                  </w:r>
                  <w:r>
                    <w:rPr>
                      <w:rFonts w:hint="default"/>
                      <w:lang w:eastAsia="zh-CN"/>
                    </w:rPr>
                    <w:t>）持续开展重点行业污染深度治理。高质量推进钢铁、水泥、焦化等行业超低排放改造，到2025年底，全区钢铁行业80%的产能完成超低排放改造，联防联控区水泥、焦化行业基本完成超低排放改造。</w:t>
                  </w:r>
                </w:p>
              </w:tc>
              <w:tc>
                <w:tcPr>
                  <w:tcW w:w="1671" w:type="pct"/>
                  <w:noWrap w:val="0"/>
                  <w:vAlign w:val="center"/>
                </w:tcPr>
                <w:p w14:paraId="5B056688">
                  <w:pPr>
                    <w:pStyle w:val="7"/>
                    <w:keepNext w:val="0"/>
                    <w:keepLines w:val="0"/>
                    <w:suppressLineNumbers w:val="0"/>
                    <w:bidi w:val="0"/>
                    <w:spacing w:before="0" w:beforeAutospacing="0" w:after="0" w:afterAutospacing="0"/>
                    <w:ind w:left="0" w:right="0"/>
                    <w:rPr>
                      <w:rFonts w:hint="default"/>
                      <w:highlight w:val="yellow"/>
                      <w:lang w:val="en-US"/>
                    </w:rPr>
                  </w:pPr>
                  <w:r>
                    <w:rPr>
                      <w:rFonts w:hint="default"/>
                      <w:highlight w:val="none"/>
                      <w:lang w:val="en-US" w:eastAsia="zh-CN"/>
                    </w:rPr>
                    <w:t>本项目为水泥制品制造，不属于高耗能、高排放、低水平项目。</w:t>
                  </w:r>
                </w:p>
              </w:tc>
              <w:tc>
                <w:tcPr>
                  <w:tcW w:w="261" w:type="pct"/>
                  <w:noWrap w:val="0"/>
                  <w:vAlign w:val="center"/>
                </w:tcPr>
                <w:p w14:paraId="46F8F02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14:paraId="49EF3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noWrap w:val="0"/>
                  <w:vAlign w:val="center"/>
                </w:tcPr>
                <w:p w14:paraId="0222283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eastAsia="zh-CN"/>
                    </w:rPr>
                  </w:pPr>
                  <w:r>
                    <w:rPr>
                      <w:rFonts w:hint="default"/>
                    </w:rPr>
                    <w:t>《巴音郭楞蒙古自治州大气污染防治</w:t>
                  </w:r>
                  <w:r>
                    <w:rPr>
                      <w:rFonts w:hint="default"/>
                      <w:lang w:val="en-US" w:eastAsia="zh-CN"/>
                    </w:rPr>
                    <w:t>办</w:t>
                  </w:r>
                  <w:r>
                    <w:rPr>
                      <w:rFonts w:hint="default"/>
                    </w:rPr>
                    <w:t>法》</w:t>
                  </w:r>
                  <w:r>
                    <w:rPr>
                      <w:rFonts w:hint="default"/>
                      <w:lang w:eastAsia="zh-CN"/>
                    </w:rPr>
                    <w:t>（</w:t>
                  </w:r>
                  <w:r>
                    <w:rPr>
                      <w:rFonts w:hint="default"/>
                      <w:lang w:val="en-US" w:eastAsia="zh-CN"/>
                    </w:rPr>
                    <w:t>2019年10月1日起施行</w:t>
                  </w:r>
                  <w:r>
                    <w:rPr>
                      <w:rFonts w:hint="default"/>
                      <w:lang w:eastAsia="zh-CN"/>
                    </w:rPr>
                    <w:t>）</w:t>
                  </w:r>
                </w:p>
              </w:tc>
              <w:tc>
                <w:tcPr>
                  <w:tcW w:w="2042" w:type="pct"/>
                  <w:noWrap w:val="0"/>
                  <w:vAlign w:val="center"/>
                </w:tcPr>
                <w:p w14:paraId="576D84A1">
                  <w:pPr>
                    <w:pStyle w:val="7"/>
                    <w:keepNext w:val="0"/>
                    <w:keepLines w:val="0"/>
                    <w:suppressLineNumbers w:val="0"/>
                    <w:bidi w:val="0"/>
                    <w:spacing w:before="0" w:beforeAutospacing="0" w:after="0" w:afterAutospacing="0"/>
                    <w:ind w:left="0" w:right="0"/>
                    <w:rPr>
                      <w:rFonts w:hint="default"/>
                    </w:rPr>
                  </w:pPr>
                  <w:r>
                    <w:rPr>
                      <w:rFonts w:hint="default"/>
                    </w:rPr>
                    <w:t>第十八条</w:t>
                  </w:r>
                  <w:r>
                    <w:rPr>
                      <w:rFonts w:hint="default"/>
                      <w:lang w:eastAsia="zh-CN"/>
                    </w:rPr>
                    <w:t>：</w:t>
                  </w:r>
                  <w:r>
                    <w:rPr>
                      <w:rFonts w:hint="default"/>
                    </w:rPr>
                    <w:t>堆放易产生扬尘污染物料的堆场以及预拌混凝土和预拌砂浆等生产企业应当符合下列要求：</w:t>
                  </w:r>
                </w:p>
                <w:p w14:paraId="4053D68B">
                  <w:pPr>
                    <w:pStyle w:val="7"/>
                    <w:keepNext w:val="0"/>
                    <w:keepLines w:val="0"/>
                    <w:suppressLineNumbers w:val="0"/>
                    <w:bidi w:val="0"/>
                    <w:spacing w:before="0" w:beforeAutospacing="0" w:after="0" w:afterAutospacing="0"/>
                    <w:ind w:left="0" w:right="0"/>
                    <w:rPr>
                      <w:rFonts w:hint="default"/>
                    </w:rPr>
                  </w:pPr>
                  <w:r>
                    <w:rPr>
                      <w:rFonts w:hint="default"/>
                      <w:lang w:eastAsia="zh-CN"/>
                    </w:rPr>
                    <w:t>（</w:t>
                  </w:r>
                  <w:r>
                    <w:rPr>
                      <w:rFonts w:hint="default"/>
                    </w:rPr>
                    <w:t>一</w:t>
                  </w:r>
                  <w:r>
                    <w:rPr>
                      <w:rFonts w:hint="default"/>
                      <w:lang w:eastAsia="zh-CN"/>
                    </w:rPr>
                    <w:t>）</w:t>
                  </w:r>
                  <w:r>
                    <w:rPr>
                      <w:rFonts w:hint="default"/>
                    </w:rPr>
                    <w:t>采用围挡或者其他封闭仓储设施，配备喷淋或者其他抑尘设备；</w:t>
                  </w:r>
                  <w:r>
                    <w:rPr>
                      <w:rFonts w:hint="default"/>
                      <w:lang w:eastAsia="zh-CN"/>
                    </w:rPr>
                    <w:t>（</w:t>
                  </w:r>
                  <w:r>
                    <w:rPr>
                      <w:rFonts w:hint="default"/>
                    </w:rPr>
                    <w:t>二</w:t>
                  </w:r>
                  <w:r>
                    <w:rPr>
                      <w:rFonts w:hint="default"/>
                      <w:lang w:eastAsia="zh-CN"/>
                    </w:rPr>
                    <w:t>）</w:t>
                  </w:r>
                  <w:r>
                    <w:rPr>
                      <w:rFonts w:hint="default"/>
                    </w:rPr>
                    <w:t>生产用原料需要频繁装卸作业的，在密闭车间进行，堆场露天装卸作业的，采取洒水等抑尘措施；</w:t>
                  </w:r>
                  <w:r>
                    <w:rPr>
                      <w:rFonts w:hint="default"/>
                      <w:lang w:eastAsia="zh-CN"/>
                    </w:rPr>
                    <w:t>（</w:t>
                  </w:r>
                  <w:r>
                    <w:rPr>
                      <w:rFonts w:hint="default"/>
                    </w:rPr>
                    <w:t>三</w:t>
                  </w:r>
                  <w:r>
                    <w:rPr>
                      <w:rFonts w:hint="default"/>
                      <w:lang w:eastAsia="zh-CN"/>
                    </w:rPr>
                    <w:t>）</w:t>
                  </w:r>
                  <w:r>
                    <w:rPr>
                      <w:rFonts w:hint="default"/>
                    </w:rPr>
                    <w:t>采用密闭输送设备作业的，在装料､卸料处配备吸尘、喷淋等防尘设施，并保持防尘设施的正常使用。</w:t>
                  </w:r>
                </w:p>
              </w:tc>
              <w:tc>
                <w:tcPr>
                  <w:tcW w:w="1671" w:type="pct"/>
                  <w:noWrap w:val="0"/>
                  <w:vAlign w:val="center"/>
                </w:tcPr>
                <w:p w14:paraId="28B6525B">
                  <w:pPr>
                    <w:pStyle w:val="7"/>
                    <w:keepNext w:val="0"/>
                    <w:keepLines w:val="0"/>
                    <w:suppressLineNumbers w:val="0"/>
                    <w:bidi w:val="0"/>
                    <w:spacing w:before="0" w:beforeAutospacing="0" w:after="0" w:afterAutospacing="0"/>
                    <w:ind w:left="0" w:right="0"/>
                    <w:rPr>
                      <w:rFonts w:hint="default"/>
                      <w:highlight w:val="yellow"/>
                      <w:lang w:val="en-US" w:eastAsia="zh-CN"/>
                    </w:rPr>
                  </w:pPr>
                  <w:r>
                    <w:rPr>
                      <w:rFonts w:hint="default"/>
                      <w:highlight w:val="none"/>
                    </w:rPr>
                    <w:t>本项目原料堆放在封闭式物料仓库内，</w:t>
                  </w:r>
                  <w:r>
                    <w:rPr>
                      <w:rFonts w:hint="default"/>
                      <w:highlight w:val="none"/>
                      <w:lang w:val="en-US" w:eastAsia="zh-CN"/>
                    </w:rPr>
                    <w:t>上料</w:t>
                  </w:r>
                  <w:r>
                    <w:rPr>
                      <w:rFonts w:hint="default"/>
                      <w:highlight w:val="none"/>
                      <w:lang w:eastAsia="zh-CN"/>
                    </w:rPr>
                    <w:t>过程中产生的颗粒物经袋式除尘器处理后经15m高排气筒进行达标排放。</w:t>
                  </w:r>
                  <w:r>
                    <w:rPr>
                      <w:rFonts w:hint="default"/>
                      <w:highlight w:val="none"/>
                      <w:lang w:val="en-US" w:eastAsia="zh-CN"/>
                    </w:rPr>
                    <w:t>本项目产生的无组织颗粒物通过厂房密闭和洒水抑尘的措施，有效降低无组织颗粒物的排放。</w:t>
                  </w:r>
                </w:p>
              </w:tc>
              <w:tc>
                <w:tcPr>
                  <w:tcW w:w="261" w:type="pct"/>
                  <w:noWrap w:val="0"/>
                  <w:vAlign w:val="center"/>
                </w:tcPr>
                <w:p w14:paraId="54A158CB">
                  <w:pPr>
                    <w:pStyle w:val="7"/>
                    <w:keepNext w:val="0"/>
                    <w:keepLines w:val="0"/>
                    <w:suppressLineNumbers w:val="0"/>
                    <w:bidi w:val="0"/>
                    <w:spacing w:before="0" w:beforeAutospacing="0" w:after="0" w:afterAutospacing="0"/>
                    <w:ind w:left="0" w:right="0"/>
                    <w:rPr>
                      <w:rFonts w:hint="default"/>
                    </w:rPr>
                  </w:pPr>
                  <w:r>
                    <w:rPr>
                      <w:rFonts w:hint="default"/>
                      <w:lang w:val="en-US" w:eastAsia="zh-CN"/>
                    </w:rPr>
                    <w:t>符合</w:t>
                  </w:r>
                </w:p>
              </w:tc>
            </w:tr>
            <w:tr w14:paraId="2B01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noWrap w:val="0"/>
                  <w:vAlign w:val="center"/>
                </w:tcPr>
                <w:p w14:paraId="0D3DEAA9">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lang w:val="en-US" w:eastAsia="zh-CN"/>
                    </w:rPr>
                    <w:t>《自治州大气污染防治三年攻坚行动方案》（2023-2025年）</w:t>
                  </w:r>
                </w:p>
              </w:tc>
              <w:tc>
                <w:tcPr>
                  <w:tcW w:w="2042" w:type="pct"/>
                  <w:noWrap w:val="0"/>
                  <w:vAlign w:val="center"/>
                </w:tcPr>
                <w:p w14:paraId="5B61C31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严格项目准入关。坚决遏制高耗能、高排放、低水平项目盲目发展，严把高耗能高排放项目准入关口，依法依规淘汰落后产能和化解过剩产能。严禁新增水泥熟料、平板玻璃等产能。</w:t>
                  </w:r>
                </w:p>
              </w:tc>
              <w:tc>
                <w:tcPr>
                  <w:tcW w:w="1671" w:type="pct"/>
                  <w:noWrap w:val="0"/>
                  <w:vAlign w:val="center"/>
                </w:tcPr>
                <w:p w14:paraId="03DBF4AE">
                  <w:pPr>
                    <w:pStyle w:val="7"/>
                    <w:keepNext w:val="0"/>
                    <w:keepLines w:val="0"/>
                    <w:suppressLineNumbers w:val="0"/>
                    <w:bidi w:val="0"/>
                    <w:spacing w:before="0" w:beforeAutospacing="0" w:after="0" w:afterAutospacing="0"/>
                    <w:ind w:left="0" w:right="0"/>
                    <w:rPr>
                      <w:rFonts w:hint="default"/>
                      <w:highlight w:val="yellow"/>
                    </w:rPr>
                  </w:pPr>
                  <w:r>
                    <w:rPr>
                      <w:rFonts w:hint="default"/>
                      <w:highlight w:val="none"/>
                      <w:lang w:val="en-US" w:eastAsia="zh-CN"/>
                    </w:rPr>
                    <w:t>本工程不属于《产业结构调整指导目录（2024年本）》中鼓励类、限制类与淘汰类，为允许类；不属于高耗水、高污染、高耗能项目。</w:t>
                  </w:r>
                </w:p>
              </w:tc>
              <w:tc>
                <w:tcPr>
                  <w:tcW w:w="261" w:type="pct"/>
                  <w:noWrap w:val="0"/>
                  <w:vAlign w:val="center"/>
                </w:tcPr>
                <w:p w14:paraId="4787097F">
                  <w:pPr>
                    <w:pStyle w:val="7"/>
                    <w:keepNext w:val="0"/>
                    <w:keepLines w:val="0"/>
                    <w:suppressLineNumbers w:val="0"/>
                    <w:bidi w:val="0"/>
                    <w:spacing w:before="0" w:beforeAutospacing="0" w:after="0" w:afterAutospacing="0"/>
                    <w:ind w:left="0" w:right="0"/>
                    <w:rPr>
                      <w:rFonts w:hint="default"/>
                    </w:rPr>
                  </w:pPr>
                  <w:r>
                    <w:rPr>
                      <w:rFonts w:hint="default"/>
                      <w:lang w:val="en-US" w:eastAsia="zh-CN"/>
                    </w:rPr>
                    <w:t>符合</w:t>
                  </w:r>
                </w:p>
              </w:tc>
            </w:tr>
            <w:tr w14:paraId="4CD9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4" w:type="pct"/>
                  <w:noWrap w:val="0"/>
                  <w:vAlign w:val="center"/>
                </w:tcPr>
                <w:p w14:paraId="49FFAF7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lang w:val="en-US" w:eastAsia="zh-CN"/>
                    </w:rPr>
                    <w:t>国务院关于印</w:t>
                  </w:r>
                  <w:r>
                    <w:rPr>
                      <w:rFonts w:hint="eastAsia"/>
                      <w:lang w:val="en-US" w:eastAsia="zh-CN"/>
                    </w:rPr>
                    <w:t>发</w:t>
                  </w:r>
                  <w:r>
                    <w:rPr>
                      <w:rFonts w:hint="default"/>
                      <w:lang w:val="en-US" w:eastAsia="zh-CN"/>
                    </w:rPr>
                    <w:t>《空气质量持续改善行动计划》的通知（国发〔2023〕24号）</w:t>
                  </w:r>
                </w:p>
              </w:tc>
              <w:tc>
                <w:tcPr>
                  <w:tcW w:w="2042" w:type="pct"/>
                  <w:noWrap w:val="0"/>
                  <w:vAlign w:val="center"/>
                </w:tcPr>
                <w:p w14:paraId="32E636FC">
                  <w:pPr>
                    <w:pStyle w:val="7"/>
                    <w:keepNext w:val="0"/>
                    <w:keepLines w:val="0"/>
                    <w:suppressLineNumbers w:val="0"/>
                    <w:bidi w:val="0"/>
                    <w:spacing w:before="0" w:beforeAutospacing="0" w:after="0" w:afterAutospacing="0"/>
                    <w:ind w:left="0" w:right="0"/>
                    <w:rPr>
                      <w:rFonts w:hint="default"/>
                    </w:rPr>
                  </w:pPr>
                  <w:r>
                    <w:rPr>
                      <w:rFonts w:hint="default"/>
                    </w:rPr>
                    <w:t>（四）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671" w:type="pct"/>
                  <w:noWrap w:val="0"/>
                  <w:vAlign w:val="center"/>
                </w:tcPr>
                <w:p w14:paraId="0490267C">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本项目</w:t>
                  </w:r>
                  <w:r>
                    <w:rPr>
                      <w:rFonts w:hint="default"/>
                      <w:highlight w:val="none"/>
                      <w:lang w:val="en-US" w:eastAsia="zh-CN"/>
                    </w:rPr>
                    <w:t>为水泥制品制造，不属于高耗能、高排放、低水平项目</w:t>
                  </w:r>
                  <w:r>
                    <w:rPr>
                      <w:rFonts w:hint="default"/>
                      <w:highlight w:val="none"/>
                    </w:rPr>
                    <w:t>。</w:t>
                  </w:r>
                </w:p>
              </w:tc>
              <w:tc>
                <w:tcPr>
                  <w:tcW w:w="261" w:type="pct"/>
                  <w:noWrap w:val="0"/>
                  <w:vAlign w:val="center"/>
                </w:tcPr>
                <w:p w14:paraId="2EBE901F">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r w14:paraId="07E8B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pct"/>
                  <w:noWrap w:val="0"/>
                  <w:vAlign w:val="center"/>
                </w:tcPr>
                <w:p w14:paraId="77CD40A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lang w:val="en-US" w:eastAsia="zh-CN"/>
                    </w:rPr>
                    <w:t>《工业料堆场扬尘整治规范》（DB 65/T4061-2017）</w:t>
                  </w:r>
                </w:p>
              </w:tc>
              <w:tc>
                <w:tcPr>
                  <w:tcW w:w="2042" w:type="pct"/>
                  <w:noWrap w:val="0"/>
                  <w:vAlign w:val="center"/>
                </w:tcPr>
                <w:p w14:paraId="3B5A6F8F">
                  <w:pPr>
                    <w:pStyle w:val="7"/>
                    <w:keepNext w:val="0"/>
                    <w:keepLines w:val="0"/>
                    <w:suppressLineNumbers w:val="0"/>
                    <w:bidi w:val="0"/>
                    <w:spacing w:before="0" w:beforeAutospacing="0" w:after="0" w:afterAutospacing="0"/>
                    <w:ind w:left="0" w:right="0"/>
                    <w:rPr>
                      <w:rFonts w:hint="default"/>
                    </w:rPr>
                  </w:pPr>
                  <w:r>
                    <w:rPr>
                      <w:rFonts w:hint="default"/>
                      <w:lang w:val="en-US" w:eastAsia="zh-CN"/>
                    </w:rPr>
                    <w:t>重点控制区、规模300</w:t>
                  </w:r>
                  <w:r>
                    <w:rPr>
                      <w:rFonts w:hint="eastAsia"/>
                      <w:lang w:val="en-US" w:eastAsia="zh-CN"/>
                    </w:rPr>
                    <w:t>～</w:t>
                  </w:r>
                  <w:r>
                    <w:rPr>
                      <w:rFonts w:hint="default"/>
                      <w:lang w:val="en-US" w:eastAsia="zh-CN"/>
                    </w:rPr>
                    <w:t>10000m³，风速2</w:t>
                  </w:r>
                  <w:r>
                    <w:rPr>
                      <w:rFonts w:hint="eastAsia"/>
                      <w:lang w:val="en-US" w:eastAsia="zh-CN"/>
                    </w:rPr>
                    <w:t>～</w:t>
                  </w:r>
                  <w:r>
                    <w:rPr>
                      <w:rFonts w:hint="default"/>
                      <w:lang w:val="en-US" w:eastAsia="zh-CN"/>
                    </w:rPr>
                    <w:t>4m/s，粒径：粉体≤0.5mm</w:t>
                  </w:r>
                  <w:r>
                    <w:rPr>
                      <w:rFonts w:hint="eastAsia"/>
                      <w:lang w:val="en-US" w:eastAsia="zh-CN"/>
                    </w:rPr>
                    <w:t xml:space="preserve"> </w:t>
                  </w:r>
                  <w:r>
                    <w:rPr>
                      <w:rFonts w:hint="default"/>
                      <w:lang w:val="en-US" w:eastAsia="zh-CN"/>
                    </w:rPr>
                    <w:t>Ⅰ类堆场；颗粒：0.5</w:t>
                  </w:r>
                  <w:r>
                    <w:rPr>
                      <w:rFonts w:hint="eastAsia"/>
                      <w:lang w:val="en-US" w:eastAsia="zh-CN"/>
                    </w:rPr>
                    <w:t>～</w:t>
                  </w:r>
                  <w:r>
                    <w:rPr>
                      <w:rFonts w:hint="default"/>
                      <w:lang w:val="en-US" w:eastAsia="zh-CN"/>
                    </w:rPr>
                    <w:t>13mm</w:t>
                  </w:r>
                  <w:r>
                    <w:rPr>
                      <w:rFonts w:hint="eastAsia"/>
                      <w:lang w:val="en-US" w:eastAsia="zh-CN"/>
                    </w:rPr>
                    <w:t xml:space="preserve"> </w:t>
                  </w:r>
                  <w:r>
                    <w:rPr>
                      <w:rFonts w:hint="default"/>
                      <w:lang w:val="en-US" w:eastAsia="zh-CN"/>
                    </w:rPr>
                    <w:t>Ⅰ类堆场；块体：≥13mmⅡ类堆场；Ⅰ类料堆场：（1）筒仓；（2）圆形料仓；（3）其他全封闭性仓库</w:t>
                  </w:r>
                  <w:r>
                    <w:rPr>
                      <w:rFonts w:hint="eastAsia"/>
                      <w:lang w:val="en-US" w:eastAsia="zh-CN"/>
                    </w:rPr>
                    <w:t>。</w:t>
                  </w:r>
                </w:p>
              </w:tc>
              <w:tc>
                <w:tcPr>
                  <w:tcW w:w="1671" w:type="pct"/>
                  <w:noWrap w:val="0"/>
                  <w:vAlign w:val="center"/>
                </w:tcPr>
                <w:p w14:paraId="7935F1CF">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本项目涉及Ⅰ类堆场。本项目设置全封闭原料堆场。</w:t>
                  </w:r>
                </w:p>
              </w:tc>
              <w:tc>
                <w:tcPr>
                  <w:tcW w:w="261" w:type="pct"/>
                  <w:noWrap w:val="0"/>
                  <w:vAlign w:val="center"/>
                </w:tcPr>
                <w:p w14:paraId="5CAED311">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符合</w:t>
                  </w:r>
                </w:p>
              </w:tc>
            </w:tr>
          </w:tbl>
          <w:p w14:paraId="3FA6690C">
            <w:pPr>
              <w:keepNext w:val="0"/>
              <w:keepLines w:val="0"/>
              <w:pageBreakBefore w:val="0"/>
              <w:widowControl w:val="0"/>
              <w:suppressLineNumbers w:val="0"/>
              <w:kinsoku/>
              <w:wordWrap/>
              <w:overflowPunct/>
              <w:topLinePunct w:val="0"/>
              <w:autoSpaceDN/>
              <w:bidi w:val="0"/>
              <w:snapToGrid/>
              <w:spacing w:before="0" w:beforeAutospacing="0" w:after="0" w:afterAutospacing="0" w:line="520" w:lineRule="exact"/>
              <w:ind w:left="0" w:leftChars="0" w:right="0" w:firstLine="0" w:firstLineChars="0"/>
              <w:textAlignment w:val="auto"/>
              <w:rPr>
                <w:rFonts w:hint="eastAsia" w:eastAsia="宋体" w:cs="宋体"/>
                <w:color w:val="000000"/>
                <w:kern w:val="0"/>
                <w:sz w:val="28"/>
                <w:szCs w:val="28"/>
                <w:highlight w:val="none"/>
                <w:lang w:eastAsia="zh-CN"/>
              </w:rPr>
            </w:pPr>
          </w:p>
        </w:tc>
      </w:tr>
    </w:tbl>
    <w:p w14:paraId="596FC814">
      <w:pPr>
        <w:spacing w:line="360" w:lineRule="auto"/>
        <w:outlineLvl w:val="0"/>
        <w:rPr>
          <w:rFonts w:eastAsia="黑体"/>
          <w:color w:val="000000"/>
          <w:sz w:val="30"/>
          <w:highlight w:val="none"/>
        </w:rPr>
        <w:sectPr>
          <w:headerReference r:id="rId7" w:type="default"/>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6A11A7BA">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000000"/>
          <w:sz w:val="30"/>
          <w:szCs w:val="30"/>
          <w:highlight w:val="none"/>
        </w:rPr>
      </w:pPr>
      <w:r>
        <w:rPr>
          <w:rFonts w:hint="eastAsia" w:ascii="黑体" w:hAnsi="黑体" w:eastAsia="黑体"/>
          <w:snapToGrid w:val="0"/>
          <w:color w:val="000000"/>
          <w:sz w:val="30"/>
          <w:szCs w:val="30"/>
          <w:highlight w:val="none"/>
        </w:rPr>
        <w:t>二、建设项目工程分析</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2"/>
        <w:gridCol w:w="7988"/>
      </w:tblGrid>
      <w:tr w14:paraId="7DF734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1072" w:type="dxa"/>
            <w:noWrap w:val="0"/>
            <w:vAlign w:val="center"/>
          </w:tcPr>
          <w:p w14:paraId="558272FB">
            <w:pPr>
              <w:pStyle w:val="7"/>
              <w:keepNext w:val="0"/>
              <w:keepLines w:val="0"/>
              <w:suppressLineNumbers w:val="0"/>
              <w:bidi w:val="0"/>
              <w:spacing w:before="0" w:beforeAutospacing="0" w:after="0" w:afterAutospacing="0"/>
              <w:ind w:left="0" w:right="0"/>
              <w:rPr>
                <w:rFonts w:hint="default" w:ascii="Times New Roman" w:hAnsi="Times New Roman" w:cs="Times New Roman"/>
                <w:bCs/>
                <w:color w:val="000000"/>
                <w:kern w:val="2"/>
                <w:szCs w:val="28"/>
                <w:highlight w:val="none"/>
              </w:rPr>
            </w:pPr>
            <w:r>
              <w:rPr>
                <w:rFonts w:hint="default"/>
              </w:rPr>
              <w:t>建设内容</w:t>
            </w:r>
          </w:p>
        </w:tc>
        <w:tc>
          <w:tcPr>
            <w:tcW w:w="7988" w:type="dxa"/>
            <w:noWrap w:val="0"/>
            <w:vAlign w:val="top"/>
          </w:tcPr>
          <w:p w14:paraId="164DEC1F">
            <w:pPr>
              <w:pStyle w:val="3"/>
              <w:keepLines w:val="0"/>
              <w:suppressLineNumbers w:val="0"/>
              <w:bidi w:val="0"/>
              <w:spacing w:before="0" w:beforeAutospacing="0" w:after="0" w:afterAutospacing="0"/>
              <w:ind w:right="0"/>
              <w:rPr>
                <w:rFonts w:hint="default"/>
                <w:lang w:val="zh-CN"/>
              </w:rPr>
            </w:pPr>
            <w:r>
              <w:rPr>
                <w:rFonts w:hint="eastAsia"/>
                <w:lang w:val="en-US" w:eastAsia="zh-CN"/>
              </w:rPr>
              <w:t xml:space="preserve">1 </w:t>
            </w:r>
            <w:r>
              <w:rPr>
                <w:rFonts w:hint="default"/>
              </w:rPr>
              <w:t>项目由来</w:t>
            </w:r>
          </w:p>
          <w:p w14:paraId="6F0B2FA9">
            <w:pPr>
              <w:keepNext w:val="0"/>
              <w:keepLines w:val="0"/>
              <w:suppressLineNumbers w:val="0"/>
              <w:bidi w:val="0"/>
              <w:spacing w:before="0" w:beforeAutospacing="0" w:after="0" w:afterAutospacing="0"/>
              <w:ind w:left="0" w:right="0"/>
              <w:rPr>
                <w:rFonts w:hint="default"/>
                <w:lang w:val="zh-CN"/>
              </w:rPr>
            </w:pPr>
            <w:r>
              <w:rPr>
                <w:rFonts w:hint="default"/>
                <w:lang w:val="zh-CN"/>
              </w:rPr>
              <w:t>近年来，我国混凝土与水泥制品行业发展迅速。水泥制品是量大面广的水泥深加工产品，由于它具有原材料来源广，制作工艺较简单，耗能少，又能按设计要求制成任意形状，耐腐蚀、使用寿命长，维修费用少，节省金属和木材等独特优点，在我国城乡、工矿企业、农用水利以及能源、交通、通讯等工程建设中得到极为广泛的使用，取得了显著的社会效益和经济效益，已成为国民经济建设中不可缺少的重要建材产品。</w:t>
            </w:r>
          </w:p>
          <w:p w14:paraId="2B8E1745">
            <w:pPr>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巴州旭阳建材有限公司于2025年5月，租用和静县中天城建（集团）有限公司已建成厂房，建设巴州旭阳建材有限公司年生产加工3万吨U型板渠项目，该厂房位于和静县迎风路以西南华国商贸城内，占地面积13045.5m</w:t>
            </w:r>
            <w:r>
              <w:rPr>
                <w:rFonts w:hint="eastAsia"/>
                <w:vertAlign w:val="superscript"/>
                <w:lang w:val="en-US" w:eastAsia="zh-CN"/>
              </w:rPr>
              <w:t>2</w:t>
            </w:r>
            <w:r>
              <w:rPr>
                <w:rFonts w:hint="eastAsia"/>
                <w:lang w:val="en-US" w:eastAsia="zh-CN"/>
              </w:rPr>
              <w:t>，建筑面积9168.7m</w:t>
            </w:r>
            <w:r>
              <w:rPr>
                <w:rFonts w:hint="eastAsia"/>
                <w:vertAlign w:val="superscript"/>
                <w:lang w:val="en-US" w:eastAsia="zh-CN"/>
              </w:rPr>
              <w:t>2</w:t>
            </w:r>
            <w:r>
              <w:rPr>
                <w:rFonts w:hint="eastAsia"/>
                <w:lang w:val="en-US" w:eastAsia="zh-CN"/>
              </w:rPr>
              <w:t>，生产规模为年产30000吨U型板渠。</w:t>
            </w:r>
          </w:p>
          <w:p w14:paraId="4917A575">
            <w:pPr>
              <w:keepNext w:val="0"/>
              <w:keepLines w:val="0"/>
              <w:suppressLineNumbers w:val="0"/>
              <w:bidi w:val="0"/>
              <w:spacing w:before="0" w:beforeAutospacing="0" w:after="0" w:afterAutospacing="0"/>
              <w:ind w:left="0" w:right="0"/>
              <w:rPr>
                <w:rFonts w:hint="default"/>
                <w:lang w:val="zh-CN"/>
              </w:rPr>
            </w:pPr>
            <w:r>
              <w:rPr>
                <w:rFonts w:hint="default"/>
                <w:lang w:val="zh-CN"/>
              </w:rPr>
              <w:t>根据《中华人民共和国环境保护法》，《建设项目环境保护管理条例》和《建设项目环境影响评价分类管理名录》等有关</w:t>
            </w:r>
            <w:r>
              <w:rPr>
                <w:rFonts w:hint="eastAsia"/>
                <w:lang w:val="zh-CN"/>
              </w:rPr>
              <w:t>法律法规</w:t>
            </w:r>
            <w:r>
              <w:rPr>
                <w:rFonts w:hint="default"/>
                <w:lang w:val="zh-CN"/>
              </w:rPr>
              <w:t>规定，本项目属《名录》所列</w:t>
            </w:r>
            <w:r>
              <w:rPr>
                <w:rFonts w:hint="eastAsia" w:ascii="宋体" w:hAnsi="宋体" w:eastAsia="宋体" w:cs="宋体"/>
                <w:lang w:val="zh-CN"/>
              </w:rPr>
              <w:t>“二十七、非金属矿物制品业</w:t>
            </w:r>
            <w:r>
              <w:rPr>
                <w:rFonts w:hint="default" w:ascii="Times New Roman" w:hAnsi="Times New Roman" w:eastAsia="宋体" w:cs="Times New Roman"/>
                <w:lang w:val="zh-CN"/>
              </w:rPr>
              <w:t>-55</w:t>
            </w:r>
            <w:r>
              <w:rPr>
                <w:rFonts w:hint="eastAsia" w:ascii="宋体" w:hAnsi="宋体" w:eastAsia="宋体" w:cs="宋体"/>
                <w:lang w:val="zh-CN"/>
              </w:rPr>
              <w:t>石膏、水泥制品及类似制品制造中水泥制品制造”</w:t>
            </w:r>
            <w:r>
              <w:rPr>
                <w:rFonts w:hint="default"/>
                <w:lang w:val="zh-CN"/>
              </w:rPr>
              <w:t>，应编制报告表。受建设单位委托，新疆领畅环保科技有限公司承担了本项目的环境影响评价工作。接受委托后，环评单位在现场踏勘和资料收集的基础上，编制完成了《</w:t>
            </w:r>
            <w:r>
              <w:rPr>
                <w:rFonts w:hint="eastAsia"/>
                <w:lang w:val="zh-CN" w:eastAsia="zh-CN"/>
              </w:rPr>
              <w:t>巴州旭阳建材有限公司年生产加工3万吨U型板渠项目</w:t>
            </w:r>
            <w:r>
              <w:rPr>
                <w:rFonts w:hint="eastAsia"/>
                <w:lang w:val="en-US" w:eastAsia="zh-CN"/>
              </w:rPr>
              <w:t>环境影响报告表</w:t>
            </w:r>
            <w:r>
              <w:rPr>
                <w:rFonts w:hint="default"/>
                <w:lang w:val="zh-CN"/>
              </w:rPr>
              <w:t>》</w:t>
            </w:r>
            <w:r>
              <w:rPr>
                <w:rFonts w:hint="eastAsia"/>
                <w:lang w:val="zh-CN"/>
              </w:rPr>
              <w:t>，由</w:t>
            </w:r>
            <w:r>
              <w:rPr>
                <w:rFonts w:hint="default"/>
                <w:lang w:val="zh-CN"/>
              </w:rPr>
              <w:t>建设单位递交环境影响报告表呈报环境保护行政主管部门，审批后作为环保部门和该企业进行环保管理的依据。</w:t>
            </w:r>
          </w:p>
          <w:p w14:paraId="1655BAF6">
            <w:pPr>
              <w:pStyle w:val="3"/>
              <w:keepLines w:val="0"/>
              <w:suppressLineNumbers w:val="0"/>
              <w:bidi w:val="0"/>
              <w:spacing w:before="0" w:beforeAutospacing="0" w:after="0" w:afterAutospacing="0"/>
              <w:ind w:right="0"/>
              <w:rPr>
                <w:rFonts w:hint="default"/>
                <w:lang w:val="zh-CN" w:eastAsia="zh-CN"/>
              </w:rPr>
            </w:pPr>
            <w:r>
              <w:rPr>
                <w:rFonts w:hint="default"/>
                <w:lang w:val="zh-CN" w:eastAsia="zh-CN"/>
              </w:rPr>
              <w:t>2</w:t>
            </w:r>
            <w:r>
              <w:rPr>
                <w:rFonts w:hint="eastAsia"/>
                <w:lang w:val="en-US" w:eastAsia="zh-CN"/>
              </w:rPr>
              <w:t xml:space="preserve"> </w:t>
            </w:r>
            <w:r>
              <w:rPr>
                <w:rFonts w:hint="default"/>
                <w:lang w:val="zh-CN" w:eastAsia="zh-CN"/>
              </w:rPr>
              <w:t>地理位置及周边环境</w:t>
            </w:r>
          </w:p>
          <w:p w14:paraId="3FA6CE78">
            <w:pPr>
              <w:keepNext w:val="0"/>
              <w:keepLines w:val="0"/>
              <w:suppressLineNumbers w:val="0"/>
              <w:bidi w:val="0"/>
              <w:spacing w:before="0" w:beforeAutospacing="0" w:after="0" w:afterAutospacing="0"/>
              <w:ind w:left="0" w:right="0"/>
              <w:rPr>
                <w:rFonts w:hint="default"/>
                <w:lang w:val="zh-CN"/>
              </w:rPr>
            </w:pPr>
            <w:r>
              <w:rPr>
                <w:rFonts w:hint="default"/>
                <w:lang w:val="zh-CN"/>
              </w:rPr>
              <w:t>项目位于</w:t>
            </w:r>
            <w:r>
              <w:rPr>
                <w:rFonts w:hint="default"/>
                <w:lang w:val="zh-CN" w:eastAsia="zh-CN"/>
              </w:rPr>
              <w:t>新疆巴音郭楞蒙古自治州和静县迎风路以西南华国商贸城4号维修仓储车间，该项目中心地理位置坐标为：东经86°19′8.672″，北纬42°20′39.342″。</w:t>
            </w:r>
            <w:r>
              <w:rPr>
                <w:rFonts w:hint="default"/>
                <w:lang w:val="zh-CN"/>
              </w:rPr>
              <w:t>用地性质为工业用地，</w:t>
            </w:r>
            <w:r>
              <w:rPr>
                <w:rFonts w:hint="default"/>
                <w:lang w:val="zh-CN" w:eastAsia="zh-CN"/>
              </w:rPr>
              <w:t>项目</w:t>
            </w:r>
            <w:r>
              <w:rPr>
                <w:rFonts w:hint="eastAsia"/>
                <w:lang w:val="en-US" w:eastAsia="zh-CN"/>
              </w:rPr>
              <w:t>北</w:t>
            </w:r>
            <w:r>
              <w:rPr>
                <w:rFonts w:hint="default"/>
                <w:lang w:val="zh-CN" w:eastAsia="zh-CN"/>
              </w:rPr>
              <w:t>侧为</w:t>
            </w:r>
            <w:r>
              <w:rPr>
                <w:rFonts w:hint="eastAsia"/>
                <w:lang w:val="en-US" w:eastAsia="zh-CN"/>
              </w:rPr>
              <w:t>空地</w:t>
            </w:r>
            <w:r>
              <w:rPr>
                <w:rFonts w:hint="default"/>
                <w:lang w:val="zh-CN" w:eastAsia="zh-CN"/>
              </w:rPr>
              <w:t>，</w:t>
            </w:r>
            <w:r>
              <w:rPr>
                <w:rFonts w:hint="eastAsia"/>
                <w:lang w:val="en-US" w:eastAsia="zh-CN"/>
              </w:rPr>
              <w:t>南、西、东</w:t>
            </w:r>
            <w:r>
              <w:rPr>
                <w:rFonts w:hint="default"/>
                <w:lang w:val="zh-CN" w:eastAsia="zh-CN"/>
              </w:rPr>
              <w:t>侧</w:t>
            </w:r>
            <w:r>
              <w:rPr>
                <w:rFonts w:hint="eastAsia"/>
                <w:lang w:val="en-US" w:eastAsia="zh-CN"/>
              </w:rPr>
              <w:t>均</w:t>
            </w:r>
            <w:r>
              <w:rPr>
                <w:rFonts w:hint="default"/>
                <w:lang w:val="zh-CN" w:eastAsia="zh-CN"/>
              </w:rPr>
              <w:t>为</w:t>
            </w:r>
            <w:r>
              <w:rPr>
                <w:rFonts w:hint="eastAsia"/>
                <w:lang w:val="en-US" w:eastAsia="zh-CN"/>
              </w:rPr>
              <w:t>空置厂房</w:t>
            </w:r>
            <w:r>
              <w:rPr>
                <w:rFonts w:hint="default"/>
                <w:lang w:val="zh-CN" w:eastAsia="zh-CN"/>
              </w:rPr>
              <w:t>。详见附图</w:t>
            </w:r>
            <w:r>
              <w:rPr>
                <w:rFonts w:hint="eastAsia"/>
                <w:lang w:val="en-US" w:eastAsia="zh-CN"/>
              </w:rPr>
              <w:t>3。</w:t>
            </w:r>
          </w:p>
          <w:p w14:paraId="393677B1">
            <w:pPr>
              <w:pStyle w:val="3"/>
              <w:keepLines w:val="0"/>
              <w:suppressLineNumbers w:val="0"/>
              <w:bidi w:val="0"/>
              <w:spacing w:before="0" w:beforeAutospacing="0" w:after="0" w:afterAutospacing="0"/>
              <w:ind w:right="0"/>
              <w:rPr>
                <w:rFonts w:hint="default"/>
              </w:rPr>
            </w:pPr>
            <w:r>
              <w:rPr>
                <w:rFonts w:hint="eastAsia"/>
                <w:lang w:val="en-US" w:eastAsia="zh-CN"/>
              </w:rPr>
              <w:t>3</w:t>
            </w:r>
            <w:r>
              <w:rPr>
                <w:rFonts w:hint="default"/>
              </w:rPr>
              <w:t xml:space="preserve"> 工程概况</w:t>
            </w:r>
          </w:p>
          <w:p w14:paraId="1F58560C">
            <w:pPr>
              <w:pStyle w:val="4"/>
              <w:keepNext w:val="0"/>
              <w:keepLines w:val="0"/>
              <w:suppressLineNumbers w:val="0"/>
              <w:bidi w:val="0"/>
              <w:spacing w:before="0" w:beforeAutospacing="0" w:after="0" w:afterAutospacing="0"/>
              <w:ind w:left="0" w:right="0"/>
              <w:rPr>
                <w:rFonts w:hint="default"/>
              </w:rPr>
            </w:pPr>
            <w:r>
              <w:rPr>
                <w:rFonts w:hint="default" w:ascii="Times New Roman" w:hAnsi="Times New Roman" w:cs="Times New Roman"/>
                <w:lang w:val="en-US" w:eastAsia="zh-CN"/>
              </w:rPr>
              <w:t>3</w:t>
            </w:r>
            <w:r>
              <w:rPr>
                <w:rFonts w:hint="default" w:ascii="Times New Roman" w:hAnsi="Times New Roman" w:cs="Times New Roman"/>
              </w:rPr>
              <w:t>.1 建设</w:t>
            </w:r>
            <w:r>
              <w:rPr>
                <w:rFonts w:hint="default"/>
              </w:rPr>
              <w:t>规模及建设内容</w:t>
            </w:r>
          </w:p>
          <w:p w14:paraId="6CA3281F">
            <w:pPr>
              <w:keepNext w:val="0"/>
              <w:keepLines w:val="0"/>
              <w:suppressLineNumbers w:val="0"/>
              <w:bidi w:val="0"/>
              <w:spacing w:before="0" w:beforeAutospacing="0" w:after="0" w:afterAutospacing="0"/>
              <w:ind w:left="0" w:right="0"/>
              <w:rPr>
                <w:rFonts w:hint="default" w:ascii="Times New Roman" w:hAnsi="Times New Roman" w:cs="Times New Roman"/>
                <w:color w:val="000000"/>
                <w:szCs w:val="28"/>
                <w:highlight w:val="none"/>
              </w:rPr>
            </w:pPr>
            <w:r>
              <w:rPr>
                <w:rFonts w:hint="default"/>
              </w:rPr>
              <w:t>本项目位于</w:t>
            </w:r>
            <w:r>
              <w:rPr>
                <w:rFonts w:hint="eastAsia"/>
                <w:lang w:val="en-US" w:eastAsia="zh-CN"/>
              </w:rPr>
              <w:t>新疆巴音郭楞蒙古自治州和静县迎风路以西南华国商贸城4号维修仓储车间，</w:t>
            </w:r>
            <w:r>
              <w:rPr>
                <w:rFonts w:hint="default"/>
              </w:rPr>
              <w:t>项目总占地面积</w:t>
            </w:r>
            <w:r>
              <w:rPr>
                <w:rFonts w:hint="eastAsia"/>
                <w:lang w:val="en-US" w:eastAsia="zh-CN"/>
              </w:rPr>
              <w:t>13045.5</w:t>
            </w:r>
            <w:r>
              <w:rPr>
                <w:rFonts w:hint="default"/>
              </w:rPr>
              <w:t>m</w:t>
            </w:r>
            <w:r>
              <w:rPr>
                <w:rFonts w:hint="default"/>
                <w:vertAlign w:val="superscript"/>
              </w:rPr>
              <w:t>2</w:t>
            </w:r>
            <w:r>
              <w:rPr>
                <w:rFonts w:hint="default"/>
              </w:rPr>
              <w:t>，建筑面积</w:t>
            </w:r>
            <w:r>
              <w:rPr>
                <w:rFonts w:hint="eastAsia"/>
                <w:lang w:val="en-US" w:eastAsia="zh-CN"/>
              </w:rPr>
              <w:t>9168.7</w:t>
            </w:r>
            <w:r>
              <w:rPr>
                <w:rFonts w:hint="default"/>
              </w:rPr>
              <w:t>m</w:t>
            </w:r>
            <w:r>
              <w:rPr>
                <w:rFonts w:hint="default"/>
                <w:vertAlign w:val="superscript"/>
              </w:rPr>
              <w:t>2</w:t>
            </w:r>
            <w:r>
              <w:rPr>
                <w:rFonts w:hint="default"/>
              </w:rPr>
              <w:t>，主要建设内容为</w:t>
            </w:r>
            <w:r>
              <w:rPr>
                <w:rFonts w:hint="eastAsia"/>
                <w:lang w:val="en-US" w:eastAsia="zh-CN"/>
              </w:rPr>
              <w:t>水泥制品加工区域</w:t>
            </w:r>
            <w:r>
              <w:rPr>
                <w:rFonts w:hint="default"/>
                <w:lang w:val="en-US" w:eastAsia="zh-CN"/>
              </w:rPr>
              <w:t>、成品堆场、原料堆场</w:t>
            </w:r>
            <w:r>
              <w:rPr>
                <w:rFonts w:hint="eastAsia"/>
                <w:lang w:val="en-US" w:eastAsia="zh-CN"/>
              </w:rPr>
              <w:t>、办公区等</w:t>
            </w:r>
            <w:r>
              <w:rPr>
                <w:rFonts w:hint="default"/>
                <w:lang w:val="en-US" w:eastAsia="zh-CN"/>
              </w:rPr>
              <w:t>，</w:t>
            </w:r>
            <w:r>
              <w:rPr>
                <w:rFonts w:hint="default"/>
              </w:rPr>
              <w:t>项目建设内容情况见表2-1。</w:t>
            </w:r>
          </w:p>
          <w:p w14:paraId="04A91600">
            <w:pPr>
              <w:pStyle w:val="5"/>
              <w:suppressLineNumbers w:val="0"/>
              <w:bidi w:val="0"/>
              <w:spacing w:before="0" w:beforeAutospacing="0" w:after="0" w:afterAutospacing="0"/>
              <w:ind w:left="0" w:right="0"/>
              <w:rPr>
                <w:rFonts w:hint="default"/>
              </w:rPr>
            </w:pPr>
            <w:r>
              <w:rPr>
                <w:rFonts w:hint="default"/>
              </w:rPr>
              <w:t>表</w:t>
            </w:r>
            <w:r>
              <w:rPr>
                <w:rFonts w:hint="default"/>
                <w:lang w:val="en-US" w:eastAsia="zh-CN"/>
              </w:rPr>
              <w:t>2</w:t>
            </w:r>
            <w:r>
              <w:rPr>
                <w:rFonts w:hint="default"/>
              </w:rPr>
              <w:t>-1</w:t>
            </w:r>
            <w:r>
              <w:rPr>
                <w:rFonts w:hint="default"/>
                <w:lang w:val="en-US" w:eastAsia="zh-CN"/>
              </w:rPr>
              <w:t xml:space="preserve">  </w:t>
            </w:r>
            <w:r>
              <w:rPr>
                <w:rFonts w:hint="default"/>
              </w:rPr>
              <w:t>项目建设情况</w:t>
            </w:r>
          </w:p>
          <w:tbl>
            <w:tblPr>
              <w:tblStyle w:val="33"/>
              <w:tblW w:w="4998"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901"/>
              <w:gridCol w:w="458"/>
              <w:gridCol w:w="752"/>
              <w:gridCol w:w="3493"/>
              <w:gridCol w:w="1517"/>
            </w:tblGrid>
            <w:tr w14:paraId="5B23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1" w:type="pct"/>
                  <w:noWrap w:val="0"/>
                  <w:vAlign w:val="center"/>
                </w:tcPr>
                <w:p w14:paraId="2851915B">
                  <w:pPr>
                    <w:pStyle w:val="27"/>
                    <w:keepNext w:val="0"/>
                    <w:keepLines w:val="0"/>
                    <w:suppressLineNumbers w:val="0"/>
                    <w:bidi w:val="0"/>
                    <w:spacing w:before="0" w:beforeAutospacing="0" w:after="0" w:afterAutospacing="0"/>
                    <w:ind w:left="0" w:right="0"/>
                    <w:rPr>
                      <w:rFonts w:hint="default"/>
                    </w:rPr>
                  </w:pPr>
                  <w:r>
                    <w:rPr>
                      <w:rFonts w:hint="default"/>
                    </w:rPr>
                    <w:t>序号</w:t>
                  </w:r>
                </w:p>
              </w:tc>
              <w:tc>
                <w:tcPr>
                  <w:tcW w:w="580" w:type="pct"/>
                  <w:noWrap w:val="0"/>
                  <w:vAlign w:val="center"/>
                </w:tcPr>
                <w:p w14:paraId="34BE9679">
                  <w:pPr>
                    <w:pStyle w:val="27"/>
                    <w:keepNext w:val="0"/>
                    <w:keepLines w:val="0"/>
                    <w:suppressLineNumbers w:val="0"/>
                    <w:bidi w:val="0"/>
                    <w:spacing w:before="0" w:beforeAutospacing="0" w:after="0" w:afterAutospacing="0"/>
                    <w:ind w:left="0" w:right="0"/>
                    <w:rPr>
                      <w:rFonts w:hint="default"/>
                    </w:rPr>
                  </w:pPr>
                  <w:r>
                    <w:rPr>
                      <w:rFonts w:hint="default"/>
                    </w:rPr>
                    <w:t>名称</w:t>
                  </w:r>
                </w:p>
              </w:tc>
              <w:tc>
                <w:tcPr>
                  <w:tcW w:w="3030" w:type="pct"/>
                  <w:gridSpan w:val="3"/>
                  <w:noWrap w:val="0"/>
                  <w:vAlign w:val="center"/>
                </w:tcPr>
                <w:p w14:paraId="5EDE300C">
                  <w:pPr>
                    <w:pStyle w:val="27"/>
                    <w:keepNext w:val="0"/>
                    <w:keepLines w:val="0"/>
                    <w:suppressLineNumbers w:val="0"/>
                    <w:bidi w:val="0"/>
                    <w:spacing w:before="0" w:beforeAutospacing="0" w:after="0" w:afterAutospacing="0"/>
                    <w:ind w:left="0" w:right="0"/>
                    <w:rPr>
                      <w:rFonts w:hint="default"/>
                    </w:rPr>
                  </w:pPr>
                  <w:r>
                    <w:rPr>
                      <w:rFonts w:hint="default"/>
                      <w:lang w:val="en-US" w:eastAsia="zh-CN"/>
                    </w:rPr>
                    <w:t>新建</w:t>
                  </w:r>
                  <w:r>
                    <w:rPr>
                      <w:rFonts w:hint="default"/>
                    </w:rPr>
                    <w:t>工程内容和规模</w:t>
                  </w:r>
                </w:p>
              </w:tc>
              <w:tc>
                <w:tcPr>
                  <w:tcW w:w="977" w:type="pct"/>
                  <w:noWrap w:val="0"/>
                  <w:vAlign w:val="center"/>
                </w:tcPr>
                <w:p w14:paraId="0DEAC370">
                  <w:pPr>
                    <w:pStyle w:val="27"/>
                    <w:keepNext w:val="0"/>
                    <w:keepLines w:val="0"/>
                    <w:suppressLineNumbers w:val="0"/>
                    <w:bidi w:val="0"/>
                    <w:spacing w:before="0" w:beforeAutospacing="0" w:after="0" w:afterAutospacing="0"/>
                    <w:ind w:left="0" w:right="0"/>
                    <w:rPr>
                      <w:rFonts w:hint="default"/>
                    </w:rPr>
                  </w:pPr>
                  <w:r>
                    <w:rPr>
                      <w:rFonts w:hint="default"/>
                    </w:rPr>
                    <w:t>备注</w:t>
                  </w:r>
                </w:p>
              </w:tc>
            </w:tr>
            <w:tr w14:paraId="2B55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11" w:type="pct"/>
                  <w:noWrap w:val="0"/>
                  <w:vAlign w:val="center"/>
                </w:tcPr>
                <w:p w14:paraId="0719B028">
                  <w:pPr>
                    <w:pStyle w:val="27"/>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主体工程</w:t>
                  </w:r>
                </w:p>
              </w:tc>
              <w:tc>
                <w:tcPr>
                  <w:tcW w:w="580" w:type="pct"/>
                  <w:noWrap w:val="0"/>
                  <w:vAlign w:val="center"/>
                </w:tcPr>
                <w:p w14:paraId="5403501C">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加工区域</w:t>
                  </w:r>
                </w:p>
              </w:tc>
              <w:tc>
                <w:tcPr>
                  <w:tcW w:w="3030" w:type="pct"/>
                  <w:gridSpan w:val="3"/>
                  <w:noWrap w:val="0"/>
                  <w:vAlign w:val="center"/>
                </w:tcPr>
                <w:p w14:paraId="7D24AE30">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位于厂房西侧，占地面积500m</w:t>
                  </w:r>
                  <w:r>
                    <w:rPr>
                      <w:rFonts w:hint="eastAsia"/>
                      <w:vertAlign w:val="superscript"/>
                      <w:lang w:val="en-US" w:eastAsia="zh-CN"/>
                    </w:rPr>
                    <w:t>2</w:t>
                  </w:r>
                  <w:r>
                    <w:rPr>
                      <w:rFonts w:hint="eastAsia"/>
                      <w:lang w:val="en-US" w:eastAsia="zh-CN"/>
                    </w:rPr>
                    <w:t>，主要进行混凝土拌合及模具成型作业</w:t>
                  </w:r>
                </w:p>
              </w:tc>
              <w:tc>
                <w:tcPr>
                  <w:tcW w:w="977" w:type="pct"/>
                  <w:vMerge w:val="restart"/>
                  <w:noWrap w:val="0"/>
                  <w:vAlign w:val="center"/>
                </w:tcPr>
                <w:p w14:paraId="20EABA2F">
                  <w:pPr>
                    <w:pStyle w:val="2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val="en-US" w:eastAsia="zh-CN"/>
                    </w:rPr>
                  </w:pPr>
                  <w:r>
                    <w:rPr>
                      <w:rFonts w:hint="eastAsia"/>
                      <w:lang w:val="en-US" w:eastAsia="zh-CN"/>
                    </w:rPr>
                    <w:t>项目</w:t>
                  </w:r>
                  <w:r>
                    <w:rPr>
                      <w:rFonts w:hint="default"/>
                      <w:lang w:val="en-US" w:eastAsia="zh-CN"/>
                    </w:rPr>
                    <w:t>依托已建成厂房新建一条</w:t>
                  </w:r>
                  <w:r>
                    <w:rPr>
                      <w:rFonts w:hint="eastAsia"/>
                      <w:lang w:val="en-US" w:eastAsia="zh-CN"/>
                    </w:rPr>
                    <w:t>水泥制品</w:t>
                  </w:r>
                  <w:r>
                    <w:rPr>
                      <w:rFonts w:hint="default"/>
                      <w:lang w:val="en-US" w:eastAsia="zh-CN"/>
                    </w:rPr>
                    <w:t>生产线。厂房内分区布设原料</w:t>
                  </w:r>
                  <w:r>
                    <w:rPr>
                      <w:rFonts w:hint="eastAsia"/>
                      <w:lang w:val="en-US" w:eastAsia="zh-CN"/>
                    </w:rPr>
                    <w:t>堆场</w:t>
                  </w:r>
                  <w:r>
                    <w:rPr>
                      <w:rFonts w:hint="default"/>
                      <w:lang w:val="en-US" w:eastAsia="zh-CN"/>
                    </w:rPr>
                    <w:t>、</w:t>
                  </w:r>
                  <w:r>
                    <w:rPr>
                      <w:rFonts w:hint="eastAsia"/>
                      <w:lang w:val="en-US" w:eastAsia="zh-CN"/>
                    </w:rPr>
                    <w:t>加工区</w:t>
                  </w:r>
                  <w:r>
                    <w:rPr>
                      <w:rFonts w:hint="default"/>
                      <w:lang w:val="en-US" w:eastAsia="zh-CN"/>
                    </w:rPr>
                    <w:t>、成品</w:t>
                  </w:r>
                  <w:r>
                    <w:rPr>
                      <w:rFonts w:hint="eastAsia"/>
                      <w:lang w:val="en-US" w:eastAsia="zh-CN"/>
                    </w:rPr>
                    <w:t>堆场等</w:t>
                  </w:r>
                  <w:r>
                    <w:rPr>
                      <w:rFonts w:hint="default"/>
                      <w:lang w:val="en-US" w:eastAsia="zh-CN"/>
                    </w:rPr>
                    <w:t>，不再另设原料库或成品库，建筑面积为9168.7m</w:t>
                  </w:r>
                  <w:r>
                    <w:rPr>
                      <w:rFonts w:hint="eastAsia"/>
                      <w:vertAlign w:val="superscript"/>
                      <w:lang w:val="en-US" w:eastAsia="zh-CN"/>
                    </w:rPr>
                    <w:t>2</w:t>
                  </w:r>
                  <w:r>
                    <w:rPr>
                      <w:rFonts w:hint="default"/>
                      <w:lang w:val="en-US" w:eastAsia="zh-CN"/>
                    </w:rPr>
                    <w:t>，厂房为钢架结构，1F</w:t>
                  </w:r>
                </w:p>
              </w:tc>
            </w:tr>
            <w:tr w14:paraId="0D71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11" w:type="pct"/>
                  <w:vMerge w:val="restart"/>
                  <w:noWrap w:val="0"/>
                  <w:vAlign w:val="center"/>
                </w:tcPr>
                <w:p w14:paraId="04E2CD85">
                  <w:pPr>
                    <w:pStyle w:val="27"/>
                    <w:keepNext w:val="0"/>
                    <w:keepLines w:val="0"/>
                    <w:suppressLineNumbers w:val="0"/>
                    <w:bidi w:val="0"/>
                    <w:spacing w:before="0" w:beforeAutospacing="0" w:after="0" w:afterAutospacing="0"/>
                    <w:ind w:left="0" w:right="0"/>
                    <w:rPr>
                      <w:rFonts w:hint="default"/>
                    </w:rPr>
                  </w:pPr>
                  <w:r>
                    <w:rPr>
                      <w:rFonts w:hint="default"/>
                      <w:lang w:val="en-US" w:eastAsia="zh-CN"/>
                    </w:rPr>
                    <w:t>储运工程</w:t>
                  </w:r>
                </w:p>
              </w:tc>
              <w:tc>
                <w:tcPr>
                  <w:tcW w:w="580" w:type="pct"/>
                  <w:noWrap w:val="0"/>
                  <w:vAlign w:val="center"/>
                </w:tcPr>
                <w:p w14:paraId="14500AF8">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水泥</w:t>
                  </w:r>
                  <w:r>
                    <w:rPr>
                      <w:rFonts w:hint="default"/>
                      <w:lang w:val="en-US" w:eastAsia="zh-CN"/>
                    </w:rPr>
                    <w:t>筒仓</w:t>
                  </w:r>
                </w:p>
              </w:tc>
              <w:tc>
                <w:tcPr>
                  <w:tcW w:w="3030" w:type="pct"/>
                  <w:gridSpan w:val="3"/>
                  <w:noWrap w:val="0"/>
                  <w:vAlign w:val="center"/>
                </w:tcPr>
                <w:p w14:paraId="32B80900">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位于厂房西侧，占地面积10m</w:t>
                  </w:r>
                  <w:r>
                    <w:rPr>
                      <w:rFonts w:hint="eastAsia"/>
                      <w:vertAlign w:val="superscript"/>
                      <w:lang w:val="en-US" w:eastAsia="zh-CN"/>
                    </w:rPr>
                    <w:t>2</w:t>
                  </w:r>
                  <w:r>
                    <w:rPr>
                      <w:rFonts w:hint="eastAsia"/>
                      <w:vertAlign w:val="baseline"/>
                      <w:lang w:val="en-US" w:eastAsia="zh-CN"/>
                    </w:rPr>
                    <w:t>，</w:t>
                  </w:r>
                  <w:r>
                    <w:rPr>
                      <w:rFonts w:hint="default"/>
                      <w:lang w:val="en-US" w:eastAsia="zh-CN"/>
                    </w:rPr>
                    <w:t>容量</w:t>
                  </w:r>
                  <w:r>
                    <w:rPr>
                      <w:rFonts w:hint="eastAsia"/>
                      <w:lang w:val="en-US" w:eastAsia="zh-CN"/>
                    </w:rPr>
                    <w:t>100</w:t>
                  </w:r>
                  <w:r>
                    <w:rPr>
                      <w:rFonts w:hint="default"/>
                      <w:lang w:val="en-US" w:eastAsia="zh-CN"/>
                    </w:rPr>
                    <w:t>t，高</w:t>
                  </w:r>
                  <w:r>
                    <w:rPr>
                      <w:rFonts w:hint="eastAsia"/>
                      <w:lang w:val="en-US" w:eastAsia="zh-CN"/>
                    </w:rPr>
                    <w:t>8</w:t>
                  </w:r>
                  <w:r>
                    <w:rPr>
                      <w:rFonts w:hint="default"/>
                      <w:lang w:val="en-US" w:eastAsia="zh-CN"/>
                    </w:rPr>
                    <w:t>m</w:t>
                  </w:r>
                </w:p>
              </w:tc>
              <w:tc>
                <w:tcPr>
                  <w:tcW w:w="977" w:type="pct"/>
                  <w:vMerge w:val="continue"/>
                  <w:noWrap w:val="0"/>
                  <w:vAlign w:val="center"/>
                </w:tcPr>
                <w:p w14:paraId="779AE241">
                  <w:pPr>
                    <w:pStyle w:val="7"/>
                    <w:keepNext w:val="0"/>
                    <w:keepLines w:val="0"/>
                    <w:suppressLineNumbers w:val="0"/>
                    <w:bidi w:val="0"/>
                    <w:spacing w:before="0" w:beforeAutospacing="0" w:after="0" w:afterAutospacing="0"/>
                    <w:ind w:left="0" w:right="0"/>
                    <w:rPr>
                      <w:rFonts w:hint="default"/>
                      <w:lang w:val="en-US" w:eastAsia="zh-CN"/>
                    </w:rPr>
                  </w:pPr>
                </w:p>
              </w:tc>
            </w:tr>
            <w:tr w14:paraId="5E24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11" w:type="pct"/>
                  <w:vMerge w:val="continue"/>
                  <w:noWrap w:val="0"/>
                  <w:vAlign w:val="center"/>
                </w:tcPr>
                <w:p w14:paraId="55A73745">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6341DF0E">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原料堆场</w:t>
                  </w:r>
                </w:p>
              </w:tc>
              <w:tc>
                <w:tcPr>
                  <w:tcW w:w="3030" w:type="pct"/>
                  <w:gridSpan w:val="3"/>
                  <w:noWrap w:val="0"/>
                  <w:vAlign w:val="center"/>
                </w:tcPr>
                <w:p w14:paraId="07AA8CB6">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位于厂房东侧，</w:t>
                  </w:r>
                  <w:r>
                    <w:rPr>
                      <w:rFonts w:hint="default"/>
                      <w:lang w:val="en-US" w:eastAsia="zh-CN"/>
                    </w:rPr>
                    <w:t>占地面积</w:t>
                  </w:r>
                  <w:r>
                    <w:rPr>
                      <w:rFonts w:hint="eastAsia"/>
                      <w:lang w:val="en-US" w:eastAsia="zh-CN"/>
                    </w:rPr>
                    <w:t>300</w:t>
                  </w:r>
                  <w:r>
                    <w:rPr>
                      <w:rFonts w:hint="default"/>
                      <w:lang w:val="en-US" w:eastAsia="zh-CN"/>
                    </w:rPr>
                    <w:t>m</w:t>
                  </w:r>
                  <w:r>
                    <w:rPr>
                      <w:rFonts w:hint="default"/>
                      <w:vertAlign w:val="superscript"/>
                      <w:lang w:val="en-US" w:eastAsia="zh-CN"/>
                    </w:rPr>
                    <w:t>2</w:t>
                  </w:r>
                  <w:r>
                    <w:rPr>
                      <w:rFonts w:hint="default"/>
                      <w:lang w:val="en-US" w:eastAsia="zh-CN"/>
                    </w:rPr>
                    <w:t>，存放石子、砂子等原料</w:t>
                  </w:r>
                </w:p>
              </w:tc>
              <w:tc>
                <w:tcPr>
                  <w:tcW w:w="977" w:type="pct"/>
                  <w:vMerge w:val="continue"/>
                  <w:noWrap w:val="0"/>
                  <w:vAlign w:val="center"/>
                </w:tcPr>
                <w:p w14:paraId="3854B96F">
                  <w:pPr>
                    <w:pStyle w:val="7"/>
                    <w:keepNext w:val="0"/>
                    <w:keepLines w:val="0"/>
                    <w:suppressLineNumbers w:val="0"/>
                    <w:bidi w:val="0"/>
                    <w:spacing w:before="0" w:beforeAutospacing="0" w:after="0" w:afterAutospacing="0"/>
                    <w:ind w:left="0" w:right="0"/>
                    <w:rPr>
                      <w:rFonts w:hint="default"/>
                      <w:lang w:val="en-US" w:eastAsia="zh-CN"/>
                    </w:rPr>
                  </w:pPr>
                </w:p>
              </w:tc>
            </w:tr>
            <w:tr w14:paraId="21FD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11" w:type="pct"/>
                  <w:vMerge w:val="continue"/>
                  <w:noWrap w:val="0"/>
                  <w:vAlign w:val="center"/>
                </w:tcPr>
                <w:p w14:paraId="4A9596AC">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1786FAC8">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成品堆场</w:t>
                  </w:r>
                </w:p>
              </w:tc>
              <w:tc>
                <w:tcPr>
                  <w:tcW w:w="3030" w:type="pct"/>
                  <w:gridSpan w:val="3"/>
                  <w:noWrap w:val="0"/>
                  <w:vAlign w:val="center"/>
                </w:tcPr>
                <w:p w14:paraId="494ED812">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位于厂房东</w:t>
                  </w:r>
                  <w:r>
                    <w:rPr>
                      <w:rFonts w:hint="eastAsia"/>
                      <w:lang w:val="en-US" w:eastAsia="zh-CN"/>
                    </w:rPr>
                    <w:t>南</w:t>
                  </w:r>
                  <w:r>
                    <w:rPr>
                      <w:rFonts w:hint="default"/>
                      <w:lang w:val="en-US" w:eastAsia="zh-CN"/>
                    </w:rPr>
                    <w:t>角，占地面积300m</w:t>
                  </w:r>
                  <w:r>
                    <w:rPr>
                      <w:rFonts w:hint="default"/>
                      <w:vertAlign w:val="superscript"/>
                      <w:lang w:val="en-US" w:eastAsia="zh-CN"/>
                    </w:rPr>
                    <w:t>2</w:t>
                  </w:r>
                  <w:r>
                    <w:rPr>
                      <w:rFonts w:hint="default"/>
                      <w:lang w:val="en-US" w:eastAsia="zh-CN"/>
                    </w:rPr>
                    <w:t>，存放</w:t>
                  </w:r>
                  <w:r>
                    <w:rPr>
                      <w:rFonts w:hint="eastAsia"/>
                      <w:lang w:val="en-US" w:eastAsia="zh-CN"/>
                    </w:rPr>
                    <w:t>U型板渠</w:t>
                  </w:r>
                  <w:r>
                    <w:rPr>
                      <w:rFonts w:hint="default"/>
                      <w:lang w:val="en-US" w:eastAsia="zh-CN"/>
                    </w:rPr>
                    <w:t>成品</w:t>
                  </w:r>
                </w:p>
              </w:tc>
              <w:tc>
                <w:tcPr>
                  <w:tcW w:w="977" w:type="pct"/>
                  <w:vMerge w:val="continue"/>
                  <w:noWrap w:val="0"/>
                  <w:vAlign w:val="center"/>
                </w:tcPr>
                <w:p w14:paraId="1BA755BC">
                  <w:pPr>
                    <w:pStyle w:val="7"/>
                    <w:keepNext w:val="0"/>
                    <w:keepLines w:val="0"/>
                    <w:suppressLineNumbers w:val="0"/>
                    <w:bidi w:val="0"/>
                    <w:spacing w:before="0" w:beforeAutospacing="0" w:after="0" w:afterAutospacing="0"/>
                    <w:ind w:left="0" w:right="0"/>
                    <w:rPr>
                      <w:rFonts w:hint="default"/>
                      <w:lang w:val="en-US" w:eastAsia="zh-CN"/>
                    </w:rPr>
                  </w:pPr>
                </w:p>
              </w:tc>
            </w:tr>
            <w:tr w14:paraId="7D9D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1" w:type="pct"/>
                  <w:vMerge w:val="restart"/>
                  <w:noWrap w:val="0"/>
                  <w:vAlign w:val="center"/>
                </w:tcPr>
                <w:p w14:paraId="37566690">
                  <w:pPr>
                    <w:pStyle w:val="27"/>
                    <w:keepNext w:val="0"/>
                    <w:keepLines w:val="0"/>
                    <w:suppressLineNumbers w:val="0"/>
                    <w:bidi w:val="0"/>
                    <w:spacing w:before="0" w:beforeAutospacing="0" w:after="0" w:afterAutospacing="0"/>
                    <w:ind w:left="0" w:right="0"/>
                    <w:rPr>
                      <w:rFonts w:hint="default"/>
                    </w:rPr>
                  </w:pPr>
                  <w:r>
                    <w:rPr>
                      <w:rFonts w:hint="default"/>
                    </w:rPr>
                    <w:t>辅助工程</w:t>
                  </w:r>
                </w:p>
              </w:tc>
              <w:tc>
                <w:tcPr>
                  <w:tcW w:w="580" w:type="pct"/>
                  <w:noWrap w:val="0"/>
                  <w:vAlign w:val="center"/>
                </w:tcPr>
                <w:p w14:paraId="741B8250">
                  <w:pPr>
                    <w:pStyle w:val="2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办公室</w:t>
                  </w:r>
                </w:p>
              </w:tc>
              <w:tc>
                <w:tcPr>
                  <w:tcW w:w="3030" w:type="pct"/>
                  <w:gridSpan w:val="3"/>
                  <w:noWrap w:val="0"/>
                  <w:vAlign w:val="center"/>
                </w:tcPr>
                <w:p w14:paraId="79383349">
                  <w:pPr>
                    <w:pStyle w:val="27"/>
                    <w:keepNext w:val="0"/>
                    <w:keepLines w:val="0"/>
                    <w:suppressLineNumbers w:val="0"/>
                    <w:bidi w:val="0"/>
                    <w:spacing w:before="0" w:beforeAutospacing="0" w:after="0" w:afterAutospacing="0"/>
                    <w:ind w:left="0" w:right="0"/>
                    <w:rPr>
                      <w:rFonts w:hint="default"/>
                      <w:highlight w:val="none"/>
                      <w:vertAlign w:val="baseline"/>
                      <w:lang w:val="en-US" w:eastAsia="zh-CN"/>
                    </w:rPr>
                  </w:pPr>
                  <w:r>
                    <w:rPr>
                      <w:rFonts w:hint="eastAsia"/>
                      <w:highlight w:val="none"/>
                      <w:lang w:val="en-US" w:eastAsia="zh-CN"/>
                    </w:rPr>
                    <w:t>位于厂房东北角，</w:t>
                  </w:r>
                  <w:r>
                    <w:rPr>
                      <w:rFonts w:hint="default"/>
                      <w:highlight w:val="none"/>
                      <w:lang w:val="en-US" w:eastAsia="zh-CN"/>
                    </w:rPr>
                    <w:t>彩钢板房，占地</w:t>
                  </w:r>
                  <w:r>
                    <w:rPr>
                      <w:rFonts w:hint="eastAsia"/>
                      <w:highlight w:val="none"/>
                      <w:lang w:val="en-US" w:eastAsia="zh-CN"/>
                    </w:rPr>
                    <w:t>200</w:t>
                  </w:r>
                  <w:r>
                    <w:rPr>
                      <w:rFonts w:hint="default"/>
                      <w:highlight w:val="none"/>
                      <w:lang w:val="en-US" w:eastAsia="zh-CN"/>
                    </w:rPr>
                    <w:t>m</w:t>
                  </w:r>
                  <w:r>
                    <w:rPr>
                      <w:rFonts w:hint="default"/>
                      <w:highlight w:val="none"/>
                      <w:vertAlign w:val="superscript"/>
                      <w:lang w:val="en-US" w:eastAsia="zh-CN"/>
                    </w:rPr>
                    <w:t>2</w:t>
                  </w:r>
                  <w:r>
                    <w:rPr>
                      <w:rFonts w:hint="eastAsia"/>
                      <w:highlight w:val="none"/>
                      <w:vertAlign w:val="baseline"/>
                      <w:lang w:val="en-US" w:eastAsia="zh-CN"/>
                    </w:rPr>
                    <w:t>，用于日常办公</w:t>
                  </w:r>
                </w:p>
              </w:tc>
              <w:tc>
                <w:tcPr>
                  <w:tcW w:w="977" w:type="pct"/>
                  <w:vMerge w:val="continue"/>
                  <w:noWrap w:val="0"/>
                  <w:vAlign w:val="center"/>
                </w:tcPr>
                <w:p w14:paraId="755201DB">
                  <w:pPr>
                    <w:pStyle w:val="27"/>
                    <w:keepNext w:val="0"/>
                    <w:keepLines w:val="0"/>
                    <w:suppressLineNumbers w:val="0"/>
                    <w:bidi w:val="0"/>
                    <w:spacing w:before="0" w:beforeAutospacing="0" w:after="0" w:afterAutospacing="0"/>
                    <w:ind w:left="0" w:right="0"/>
                    <w:rPr>
                      <w:rFonts w:hint="default"/>
                      <w:lang w:val="en-US" w:eastAsia="zh-CN"/>
                    </w:rPr>
                  </w:pPr>
                </w:p>
              </w:tc>
            </w:tr>
            <w:tr w14:paraId="47CB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11" w:type="pct"/>
                  <w:vMerge w:val="continue"/>
                  <w:noWrap w:val="0"/>
                  <w:vAlign w:val="center"/>
                </w:tcPr>
                <w:p w14:paraId="4AAD3063">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1BF98174">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沉淀池</w:t>
                  </w:r>
                </w:p>
              </w:tc>
              <w:tc>
                <w:tcPr>
                  <w:tcW w:w="3030" w:type="pct"/>
                  <w:gridSpan w:val="3"/>
                  <w:noWrap w:val="0"/>
                  <w:vAlign w:val="center"/>
                </w:tcPr>
                <w:p w14:paraId="34711832">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设1个沉淀池，位于加工区域，尺寸4m×3m×3m</w:t>
                  </w:r>
                </w:p>
              </w:tc>
              <w:tc>
                <w:tcPr>
                  <w:tcW w:w="977" w:type="pct"/>
                  <w:vMerge w:val="continue"/>
                  <w:noWrap w:val="0"/>
                  <w:vAlign w:val="center"/>
                </w:tcPr>
                <w:p w14:paraId="2048485B">
                  <w:pPr>
                    <w:pStyle w:val="27"/>
                    <w:keepNext w:val="0"/>
                    <w:keepLines w:val="0"/>
                    <w:suppressLineNumbers w:val="0"/>
                    <w:bidi w:val="0"/>
                    <w:spacing w:before="0" w:beforeAutospacing="0" w:after="0" w:afterAutospacing="0"/>
                    <w:ind w:left="0" w:right="0"/>
                    <w:rPr>
                      <w:rFonts w:hint="default"/>
                      <w:lang w:val="en-US" w:eastAsia="zh-CN"/>
                    </w:rPr>
                  </w:pPr>
                </w:p>
              </w:tc>
            </w:tr>
            <w:tr w14:paraId="1F9D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411" w:type="pct"/>
                  <w:vMerge w:val="continue"/>
                  <w:noWrap w:val="0"/>
                  <w:vAlign w:val="center"/>
                </w:tcPr>
                <w:p w14:paraId="2ECEDE94">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16A59736">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危废贮存点</w:t>
                  </w:r>
                </w:p>
              </w:tc>
              <w:tc>
                <w:tcPr>
                  <w:tcW w:w="3030" w:type="pct"/>
                  <w:gridSpan w:val="3"/>
                  <w:noWrap w:val="0"/>
                  <w:vAlign w:val="center"/>
                </w:tcPr>
                <w:p w14:paraId="4C2DAF25">
                  <w:pPr>
                    <w:pStyle w:val="2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位于厂房西北角，彩钢板房，占地6m</w:t>
                  </w:r>
                  <w:r>
                    <w:rPr>
                      <w:rFonts w:hint="eastAsia"/>
                      <w:vertAlign w:val="superscript"/>
                      <w:lang w:val="en-US" w:eastAsia="zh-CN"/>
                    </w:rPr>
                    <w:t>2</w:t>
                  </w:r>
                </w:p>
              </w:tc>
              <w:tc>
                <w:tcPr>
                  <w:tcW w:w="977" w:type="pct"/>
                  <w:vMerge w:val="continue"/>
                  <w:noWrap w:val="0"/>
                  <w:vAlign w:val="center"/>
                </w:tcPr>
                <w:p w14:paraId="10947A7B">
                  <w:pPr>
                    <w:pStyle w:val="27"/>
                    <w:keepNext w:val="0"/>
                    <w:keepLines w:val="0"/>
                    <w:suppressLineNumbers w:val="0"/>
                    <w:bidi w:val="0"/>
                    <w:spacing w:before="0" w:beforeAutospacing="0" w:after="0" w:afterAutospacing="0"/>
                    <w:ind w:left="0" w:right="0"/>
                    <w:rPr>
                      <w:rFonts w:hint="default"/>
                      <w:lang w:val="en-US" w:eastAsia="zh-CN"/>
                    </w:rPr>
                  </w:pPr>
                </w:p>
              </w:tc>
            </w:tr>
            <w:tr w14:paraId="7A85D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restart"/>
                  <w:noWrap w:val="0"/>
                  <w:vAlign w:val="center"/>
                </w:tcPr>
                <w:p w14:paraId="09B864AA">
                  <w:pPr>
                    <w:pStyle w:val="27"/>
                    <w:keepNext w:val="0"/>
                    <w:keepLines w:val="0"/>
                    <w:suppressLineNumbers w:val="0"/>
                    <w:bidi w:val="0"/>
                    <w:spacing w:before="0" w:beforeAutospacing="0" w:after="0" w:afterAutospacing="0"/>
                    <w:ind w:left="0" w:right="0"/>
                    <w:rPr>
                      <w:rFonts w:hint="default"/>
                    </w:rPr>
                  </w:pPr>
                  <w:r>
                    <w:rPr>
                      <w:rFonts w:hint="default"/>
                    </w:rPr>
                    <w:t>公用工程</w:t>
                  </w:r>
                </w:p>
              </w:tc>
              <w:tc>
                <w:tcPr>
                  <w:tcW w:w="580" w:type="pct"/>
                  <w:noWrap w:val="0"/>
                  <w:vAlign w:val="center"/>
                </w:tcPr>
                <w:p w14:paraId="1CD031EE">
                  <w:pPr>
                    <w:pStyle w:val="27"/>
                    <w:keepNext w:val="0"/>
                    <w:keepLines w:val="0"/>
                    <w:suppressLineNumbers w:val="0"/>
                    <w:bidi w:val="0"/>
                    <w:spacing w:before="0" w:beforeAutospacing="0" w:after="0" w:afterAutospacing="0"/>
                    <w:ind w:left="0" w:right="0"/>
                    <w:rPr>
                      <w:rFonts w:hint="default"/>
                    </w:rPr>
                  </w:pPr>
                  <w:r>
                    <w:rPr>
                      <w:rFonts w:hint="default"/>
                    </w:rPr>
                    <w:t>供水</w:t>
                  </w:r>
                </w:p>
              </w:tc>
              <w:tc>
                <w:tcPr>
                  <w:tcW w:w="3030" w:type="pct"/>
                  <w:gridSpan w:val="3"/>
                  <w:noWrap w:val="0"/>
                  <w:vAlign w:val="center"/>
                </w:tcPr>
                <w:p w14:paraId="54160ECC">
                  <w:pPr>
                    <w:pStyle w:val="27"/>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水车拉运</w:t>
                  </w:r>
                </w:p>
              </w:tc>
              <w:tc>
                <w:tcPr>
                  <w:tcW w:w="977" w:type="pct"/>
                  <w:noWrap w:val="0"/>
                  <w:vAlign w:val="center"/>
                </w:tcPr>
                <w:p w14:paraId="1E8F3736">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依托</w:t>
                  </w:r>
                </w:p>
              </w:tc>
            </w:tr>
            <w:tr w14:paraId="194A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411" w:type="pct"/>
                  <w:vMerge w:val="continue"/>
                  <w:noWrap w:val="0"/>
                  <w:vAlign w:val="center"/>
                </w:tcPr>
                <w:p w14:paraId="0CC6B94C">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684900DA">
                  <w:pPr>
                    <w:pStyle w:val="27"/>
                    <w:keepNext w:val="0"/>
                    <w:keepLines w:val="0"/>
                    <w:suppressLineNumbers w:val="0"/>
                    <w:bidi w:val="0"/>
                    <w:spacing w:before="0" w:beforeAutospacing="0" w:after="0" w:afterAutospacing="0"/>
                    <w:ind w:left="0" w:right="0"/>
                    <w:rPr>
                      <w:rFonts w:hint="default"/>
                    </w:rPr>
                  </w:pPr>
                  <w:r>
                    <w:rPr>
                      <w:rFonts w:hint="default"/>
                    </w:rPr>
                    <w:t>供电</w:t>
                  </w:r>
                </w:p>
              </w:tc>
              <w:tc>
                <w:tcPr>
                  <w:tcW w:w="3030" w:type="pct"/>
                  <w:gridSpan w:val="3"/>
                  <w:noWrap w:val="0"/>
                  <w:vAlign w:val="center"/>
                </w:tcPr>
                <w:p w14:paraId="7FB9BD3E">
                  <w:pPr>
                    <w:pStyle w:val="27"/>
                    <w:keepNext w:val="0"/>
                    <w:keepLines w:val="0"/>
                    <w:suppressLineNumbers w:val="0"/>
                    <w:bidi w:val="0"/>
                    <w:spacing w:before="0" w:beforeAutospacing="0" w:after="0" w:afterAutospacing="0"/>
                    <w:ind w:left="0" w:right="0"/>
                    <w:jc w:val="center"/>
                    <w:rPr>
                      <w:rFonts w:hint="eastAsia"/>
                      <w:lang w:eastAsia="zh-CN"/>
                    </w:rPr>
                  </w:pPr>
                  <w:r>
                    <w:rPr>
                      <w:rFonts w:hint="default"/>
                    </w:rPr>
                    <w:t>接</w:t>
                  </w:r>
                  <w:r>
                    <w:rPr>
                      <w:rFonts w:hint="default"/>
                      <w:lang w:val="en-US" w:eastAsia="zh-CN"/>
                    </w:rPr>
                    <w:t>市政</w:t>
                  </w:r>
                  <w:r>
                    <w:rPr>
                      <w:rFonts w:hint="default"/>
                    </w:rPr>
                    <w:t>电网</w:t>
                  </w:r>
                </w:p>
              </w:tc>
              <w:tc>
                <w:tcPr>
                  <w:tcW w:w="977" w:type="pct"/>
                  <w:noWrap w:val="0"/>
                  <w:vAlign w:val="center"/>
                </w:tcPr>
                <w:p w14:paraId="65B7EBDA">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依托</w:t>
                  </w:r>
                </w:p>
              </w:tc>
            </w:tr>
            <w:tr w14:paraId="3424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continue"/>
                  <w:noWrap w:val="0"/>
                  <w:vAlign w:val="center"/>
                </w:tcPr>
                <w:p w14:paraId="720A85AF">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6C7E6D69">
                  <w:pPr>
                    <w:pStyle w:val="27"/>
                    <w:keepNext w:val="0"/>
                    <w:keepLines w:val="0"/>
                    <w:suppressLineNumbers w:val="0"/>
                    <w:bidi w:val="0"/>
                    <w:spacing w:before="0" w:beforeAutospacing="0" w:after="0" w:afterAutospacing="0"/>
                    <w:ind w:left="0" w:right="0"/>
                    <w:rPr>
                      <w:rFonts w:hint="default"/>
                    </w:rPr>
                  </w:pPr>
                  <w:r>
                    <w:rPr>
                      <w:rFonts w:hint="default"/>
                    </w:rPr>
                    <w:t>供暖</w:t>
                  </w:r>
                </w:p>
              </w:tc>
              <w:tc>
                <w:tcPr>
                  <w:tcW w:w="3030" w:type="pct"/>
                  <w:gridSpan w:val="3"/>
                  <w:noWrap w:val="0"/>
                  <w:vAlign w:val="center"/>
                </w:tcPr>
                <w:p w14:paraId="7162B3AC">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冬季不生产，不涉及供暖</w:t>
                  </w:r>
                </w:p>
              </w:tc>
              <w:tc>
                <w:tcPr>
                  <w:tcW w:w="977" w:type="pct"/>
                  <w:noWrap w:val="0"/>
                  <w:vAlign w:val="center"/>
                </w:tcPr>
                <w:p w14:paraId="28056D78">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w:t>
                  </w:r>
                </w:p>
              </w:tc>
            </w:tr>
            <w:tr w14:paraId="1F63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vMerge w:val="continue"/>
                  <w:noWrap w:val="0"/>
                  <w:vAlign w:val="center"/>
                </w:tcPr>
                <w:p w14:paraId="7B9083EF">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22CEB574">
                  <w:pPr>
                    <w:pStyle w:val="27"/>
                    <w:keepNext w:val="0"/>
                    <w:keepLines w:val="0"/>
                    <w:suppressLineNumbers w:val="0"/>
                    <w:bidi w:val="0"/>
                    <w:spacing w:before="0" w:beforeAutospacing="0" w:after="0" w:afterAutospacing="0"/>
                    <w:ind w:left="0" w:right="0"/>
                    <w:rPr>
                      <w:rFonts w:hint="default"/>
                    </w:rPr>
                  </w:pPr>
                  <w:r>
                    <w:rPr>
                      <w:rFonts w:hint="default"/>
                    </w:rPr>
                    <w:t>排水</w:t>
                  </w:r>
                </w:p>
              </w:tc>
              <w:tc>
                <w:tcPr>
                  <w:tcW w:w="4008" w:type="pct"/>
                  <w:gridSpan w:val="4"/>
                  <w:noWrap w:val="0"/>
                  <w:vAlign w:val="center"/>
                </w:tcPr>
                <w:p w14:paraId="7AE9868E">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生产废水回用，不外排；</w:t>
                  </w:r>
                  <w:r>
                    <w:rPr>
                      <w:rFonts w:hint="eastAsia"/>
                      <w:lang w:val="en-US" w:eastAsia="zh-CN"/>
                    </w:rPr>
                    <w:t>生活污水拉运至和静县污水处理厂处置</w:t>
                  </w:r>
                </w:p>
              </w:tc>
            </w:tr>
            <w:tr w14:paraId="7EC4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411" w:type="pct"/>
                  <w:vMerge w:val="restart"/>
                  <w:noWrap w:val="0"/>
                  <w:vAlign w:val="center"/>
                </w:tcPr>
                <w:p w14:paraId="00FA12C4">
                  <w:pPr>
                    <w:pStyle w:val="27"/>
                    <w:keepNext w:val="0"/>
                    <w:keepLines w:val="0"/>
                    <w:suppressLineNumbers w:val="0"/>
                    <w:bidi w:val="0"/>
                    <w:spacing w:before="0" w:beforeAutospacing="0" w:after="0" w:afterAutospacing="0"/>
                    <w:ind w:left="0" w:right="0"/>
                    <w:rPr>
                      <w:rFonts w:hint="default"/>
                    </w:rPr>
                  </w:pPr>
                  <w:r>
                    <w:rPr>
                      <w:rFonts w:hint="default"/>
                    </w:rPr>
                    <w:t>环保工程</w:t>
                  </w:r>
                </w:p>
              </w:tc>
              <w:tc>
                <w:tcPr>
                  <w:tcW w:w="580" w:type="pct"/>
                  <w:vMerge w:val="restart"/>
                  <w:noWrap w:val="0"/>
                  <w:vAlign w:val="center"/>
                </w:tcPr>
                <w:p w14:paraId="27F9A0E7">
                  <w:pPr>
                    <w:pStyle w:val="27"/>
                    <w:keepNext w:val="0"/>
                    <w:keepLines w:val="0"/>
                    <w:suppressLineNumbers w:val="0"/>
                    <w:bidi w:val="0"/>
                    <w:spacing w:before="0" w:beforeAutospacing="0" w:after="0" w:afterAutospacing="0"/>
                    <w:ind w:left="0" w:right="0"/>
                    <w:rPr>
                      <w:rFonts w:hint="default"/>
                    </w:rPr>
                  </w:pPr>
                  <w:r>
                    <w:rPr>
                      <w:rFonts w:hint="default"/>
                    </w:rPr>
                    <w:t>废气治理</w:t>
                  </w:r>
                </w:p>
              </w:tc>
              <w:tc>
                <w:tcPr>
                  <w:tcW w:w="295" w:type="pct"/>
                  <w:vMerge w:val="restart"/>
                  <w:noWrap w:val="0"/>
                  <w:vAlign w:val="center"/>
                </w:tcPr>
                <w:p w14:paraId="6D30C177">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无组织</w:t>
                  </w:r>
                </w:p>
              </w:tc>
              <w:tc>
                <w:tcPr>
                  <w:tcW w:w="484" w:type="pct"/>
                  <w:noWrap w:val="0"/>
                  <w:vAlign w:val="center"/>
                </w:tcPr>
                <w:p w14:paraId="103EA8D4">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default" w:ascii="Times New Roman" w:hAnsi="Times New Roman" w:cs="Times New Roman"/>
                      <w:lang w:val="en-US" w:eastAsia="zh-CN"/>
                    </w:rPr>
                    <w:t>原料储存</w:t>
                  </w:r>
                </w:p>
              </w:tc>
              <w:tc>
                <w:tcPr>
                  <w:tcW w:w="3228" w:type="pct"/>
                  <w:gridSpan w:val="2"/>
                  <w:noWrap w:val="0"/>
                  <w:vAlign w:val="center"/>
                </w:tcPr>
                <w:p w14:paraId="5A4AE5F0">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default" w:ascii="Times New Roman" w:hAnsi="Times New Roman" w:cs="Times New Roman"/>
                      <w:lang w:val="en-US" w:eastAsia="zh-CN"/>
                    </w:rPr>
                    <w:t>砂子，石子储存在原料堆场，采用密闭堆场+洒水降尘措施。</w:t>
                  </w:r>
                </w:p>
              </w:tc>
            </w:tr>
            <w:tr w14:paraId="4753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411" w:type="pct"/>
                  <w:vMerge w:val="continue"/>
                  <w:noWrap w:val="0"/>
                  <w:vAlign w:val="center"/>
                </w:tcPr>
                <w:p w14:paraId="70F61095">
                  <w:pPr>
                    <w:pStyle w:val="27"/>
                    <w:keepNext w:val="0"/>
                    <w:keepLines w:val="0"/>
                    <w:suppressLineNumbers w:val="0"/>
                    <w:bidi w:val="0"/>
                    <w:spacing w:before="0" w:beforeAutospacing="0" w:after="0" w:afterAutospacing="0"/>
                    <w:ind w:left="0" w:right="0"/>
                    <w:rPr>
                      <w:rFonts w:hint="default"/>
                    </w:rPr>
                  </w:pPr>
                </w:p>
              </w:tc>
              <w:tc>
                <w:tcPr>
                  <w:tcW w:w="580" w:type="pct"/>
                  <w:vMerge w:val="continue"/>
                  <w:noWrap w:val="0"/>
                  <w:vAlign w:val="center"/>
                </w:tcPr>
                <w:p w14:paraId="1A65845A">
                  <w:pPr>
                    <w:pStyle w:val="27"/>
                    <w:keepNext w:val="0"/>
                    <w:keepLines w:val="0"/>
                    <w:suppressLineNumbers w:val="0"/>
                    <w:bidi w:val="0"/>
                    <w:spacing w:before="0" w:beforeAutospacing="0" w:after="0" w:afterAutospacing="0"/>
                    <w:ind w:left="0" w:right="0"/>
                    <w:rPr>
                      <w:rFonts w:hint="default"/>
                    </w:rPr>
                  </w:pPr>
                </w:p>
              </w:tc>
              <w:tc>
                <w:tcPr>
                  <w:tcW w:w="295" w:type="pct"/>
                  <w:vMerge w:val="continue"/>
                  <w:noWrap w:val="0"/>
                  <w:vAlign w:val="center"/>
                </w:tcPr>
                <w:p w14:paraId="109AEFB1">
                  <w:pPr>
                    <w:pStyle w:val="27"/>
                    <w:keepNext w:val="0"/>
                    <w:keepLines w:val="0"/>
                    <w:suppressLineNumbers w:val="0"/>
                    <w:bidi w:val="0"/>
                    <w:spacing w:before="0" w:beforeAutospacing="0" w:after="0" w:afterAutospacing="0"/>
                    <w:ind w:left="0" w:right="0"/>
                    <w:rPr>
                      <w:rFonts w:hint="default"/>
                      <w:lang w:val="en-US" w:eastAsia="zh-CN"/>
                    </w:rPr>
                  </w:pPr>
                </w:p>
              </w:tc>
              <w:tc>
                <w:tcPr>
                  <w:tcW w:w="484" w:type="pct"/>
                  <w:noWrap w:val="0"/>
                  <w:vAlign w:val="center"/>
                </w:tcPr>
                <w:p w14:paraId="00E1583A">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default" w:ascii="Times New Roman" w:hAnsi="Times New Roman" w:cs="Times New Roman"/>
                      <w:highlight w:val="none"/>
                      <w:lang w:val="en-US" w:eastAsia="zh-CN"/>
                    </w:rPr>
                    <w:t>水泥筒仓粉尘</w:t>
                  </w:r>
                </w:p>
              </w:tc>
              <w:tc>
                <w:tcPr>
                  <w:tcW w:w="3228" w:type="pct"/>
                  <w:gridSpan w:val="2"/>
                  <w:noWrap w:val="0"/>
                  <w:vAlign w:val="center"/>
                </w:tcPr>
                <w:p w14:paraId="0B201CFC">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default" w:ascii="Times New Roman" w:hAnsi="Times New Roman" w:cs="Times New Roman"/>
                      <w:highlight w:val="none"/>
                      <w:lang w:val="en-US" w:eastAsia="zh-CN"/>
                    </w:rPr>
                    <w:t>水泥入料仓时产生的粉尘经仓顶滤筒式过滤器处理后无组织排放。</w:t>
                  </w:r>
                </w:p>
              </w:tc>
            </w:tr>
            <w:tr w14:paraId="263C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411" w:type="pct"/>
                  <w:vMerge w:val="continue"/>
                  <w:noWrap w:val="0"/>
                  <w:vAlign w:val="center"/>
                </w:tcPr>
                <w:p w14:paraId="64ACBDCD">
                  <w:pPr>
                    <w:pStyle w:val="27"/>
                    <w:keepNext w:val="0"/>
                    <w:keepLines w:val="0"/>
                    <w:suppressLineNumbers w:val="0"/>
                    <w:bidi w:val="0"/>
                    <w:spacing w:before="0" w:beforeAutospacing="0" w:after="0" w:afterAutospacing="0"/>
                    <w:ind w:left="0" w:right="0"/>
                    <w:rPr>
                      <w:rFonts w:hint="default"/>
                    </w:rPr>
                  </w:pPr>
                </w:p>
              </w:tc>
              <w:tc>
                <w:tcPr>
                  <w:tcW w:w="580" w:type="pct"/>
                  <w:vMerge w:val="continue"/>
                  <w:noWrap w:val="0"/>
                  <w:vAlign w:val="center"/>
                </w:tcPr>
                <w:p w14:paraId="7C050C8C">
                  <w:pPr>
                    <w:pStyle w:val="27"/>
                    <w:keepNext w:val="0"/>
                    <w:keepLines w:val="0"/>
                    <w:suppressLineNumbers w:val="0"/>
                    <w:bidi w:val="0"/>
                    <w:spacing w:before="0" w:beforeAutospacing="0" w:after="0" w:afterAutospacing="0"/>
                    <w:ind w:left="0" w:right="0"/>
                    <w:rPr>
                      <w:rFonts w:hint="default"/>
                    </w:rPr>
                  </w:pPr>
                </w:p>
              </w:tc>
              <w:tc>
                <w:tcPr>
                  <w:tcW w:w="295" w:type="pct"/>
                  <w:vMerge w:val="continue"/>
                  <w:noWrap w:val="0"/>
                  <w:vAlign w:val="center"/>
                </w:tcPr>
                <w:p w14:paraId="695CDADB">
                  <w:pPr>
                    <w:pStyle w:val="27"/>
                    <w:keepNext w:val="0"/>
                    <w:keepLines w:val="0"/>
                    <w:suppressLineNumbers w:val="0"/>
                    <w:bidi w:val="0"/>
                    <w:spacing w:before="0" w:beforeAutospacing="0" w:after="0" w:afterAutospacing="0"/>
                    <w:ind w:left="0" w:right="0"/>
                    <w:rPr>
                      <w:rFonts w:hint="default"/>
                      <w:lang w:val="en-US" w:eastAsia="zh-CN"/>
                    </w:rPr>
                  </w:pPr>
                </w:p>
              </w:tc>
              <w:tc>
                <w:tcPr>
                  <w:tcW w:w="484" w:type="pct"/>
                  <w:noWrap w:val="0"/>
                  <w:vAlign w:val="center"/>
                </w:tcPr>
                <w:p w14:paraId="1E3932B0">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default" w:ascii="Times New Roman" w:hAnsi="Times New Roman" w:cs="Times New Roman"/>
                      <w:highlight w:val="none"/>
                      <w:lang w:val="en-US" w:eastAsia="zh-CN"/>
                    </w:rPr>
                    <w:t>物料搅拌</w:t>
                  </w:r>
                </w:p>
              </w:tc>
              <w:tc>
                <w:tcPr>
                  <w:tcW w:w="3228" w:type="pct"/>
                  <w:gridSpan w:val="2"/>
                  <w:noWrap w:val="0"/>
                  <w:vAlign w:val="center"/>
                </w:tcPr>
                <w:p w14:paraId="3D4C87C2">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default" w:ascii="Times New Roman" w:hAnsi="Times New Roman" w:cs="Times New Roman"/>
                      <w:highlight w:val="none"/>
                      <w:lang w:val="en-US" w:eastAsia="zh-CN"/>
                    </w:rPr>
                    <w:t>全封闭</w:t>
                  </w:r>
                  <w:r>
                    <w:rPr>
                      <w:rFonts w:hint="eastAsia" w:cs="Times New Roman"/>
                      <w:highlight w:val="none"/>
                      <w:lang w:val="en-US" w:eastAsia="zh-CN"/>
                    </w:rPr>
                    <w:t>搅拌</w:t>
                  </w:r>
                  <w:r>
                    <w:rPr>
                      <w:rFonts w:hint="default" w:ascii="Times New Roman" w:hAnsi="Times New Roman" w:cs="Times New Roman"/>
                      <w:highlight w:val="none"/>
                      <w:lang w:val="en-US" w:eastAsia="zh-CN"/>
                    </w:rPr>
                    <w:t>设施。</w:t>
                  </w:r>
                </w:p>
              </w:tc>
            </w:tr>
            <w:tr w14:paraId="7B15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trPr>
              <w:tc>
                <w:tcPr>
                  <w:tcW w:w="411" w:type="pct"/>
                  <w:vMerge w:val="continue"/>
                  <w:noWrap w:val="0"/>
                  <w:vAlign w:val="center"/>
                </w:tcPr>
                <w:p w14:paraId="383A4ECB">
                  <w:pPr>
                    <w:pStyle w:val="27"/>
                    <w:keepNext w:val="0"/>
                    <w:keepLines w:val="0"/>
                    <w:suppressLineNumbers w:val="0"/>
                    <w:bidi w:val="0"/>
                    <w:spacing w:before="0" w:beforeAutospacing="0" w:after="0" w:afterAutospacing="0"/>
                    <w:ind w:left="0" w:right="0"/>
                    <w:rPr>
                      <w:rFonts w:hint="default"/>
                    </w:rPr>
                  </w:pPr>
                </w:p>
              </w:tc>
              <w:tc>
                <w:tcPr>
                  <w:tcW w:w="580" w:type="pct"/>
                  <w:vMerge w:val="continue"/>
                  <w:noWrap w:val="0"/>
                  <w:vAlign w:val="center"/>
                </w:tcPr>
                <w:p w14:paraId="21E1AE90">
                  <w:pPr>
                    <w:pStyle w:val="27"/>
                    <w:keepNext w:val="0"/>
                    <w:keepLines w:val="0"/>
                    <w:suppressLineNumbers w:val="0"/>
                    <w:bidi w:val="0"/>
                    <w:spacing w:before="0" w:beforeAutospacing="0" w:after="0" w:afterAutospacing="0"/>
                    <w:ind w:left="0" w:right="0"/>
                    <w:rPr>
                      <w:rFonts w:hint="default"/>
                    </w:rPr>
                  </w:pPr>
                </w:p>
              </w:tc>
              <w:tc>
                <w:tcPr>
                  <w:tcW w:w="295" w:type="pct"/>
                  <w:noWrap w:val="0"/>
                  <w:vAlign w:val="center"/>
                </w:tcPr>
                <w:p w14:paraId="76D2BCB9">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有组织</w:t>
                  </w:r>
                </w:p>
              </w:tc>
              <w:tc>
                <w:tcPr>
                  <w:tcW w:w="484" w:type="pct"/>
                  <w:noWrap w:val="0"/>
                  <w:vAlign w:val="center"/>
                </w:tcPr>
                <w:p w14:paraId="137202C6">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上料</w:t>
                  </w:r>
                  <w:r>
                    <w:rPr>
                      <w:rFonts w:hint="default"/>
                      <w:lang w:val="en-US" w:eastAsia="zh-CN"/>
                    </w:rPr>
                    <w:t>粉尘</w:t>
                  </w:r>
                </w:p>
              </w:tc>
              <w:tc>
                <w:tcPr>
                  <w:tcW w:w="3228" w:type="pct"/>
                  <w:gridSpan w:val="2"/>
                  <w:noWrap w:val="0"/>
                  <w:vAlign w:val="center"/>
                </w:tcPr>
                <w:p w14:paraId="18F5041C">
                  <w:pPr>
                    <w:pStyle w:val="27"/>
                    <w:keepNext w:val="0"/>
                    <w:keepLines w:val="0"/>
                    <w:suppressLineNumbers w:val="0"/>
                    <w:bidi w:val="0"/>
                    <w:spacing w:before="0" w:beforeAutospacing="0" w:after="0" w:afterAutospacing="0"/>
                    <w:ind w:left="0" w:leftChars="0" w:right="0" w:rightChars="0" w:firstLine="0" w:firstLineChars="0"/>
                    <w:rPr>
                      <w:rFonts w:hint="default"/>
                      <w:lang w:val="en-US" w:eastAsia="zh-CN"/>
                    </w:rPr>
                  </w:pPr>
                  <w:r>
                    <w:rPr>
                      <w:rFonts w:hint="eastAsia" w:ascii="宋体" w:hAnsi="宋体" w:eastAsia="宋体" w:cs="宋体"/>
                      <w:kern w:val="2"/>
                      <w:sz w:val="21"/>
                      <w:szCs w:val="21"/>
                    </w:rPr>
                    <w:t>上料口</w:t>
                  </w:r>
                  <w:r>
                    <w:rPr>
                      <w:rFonts w:hint="eastAsia" w:ascii="宋体" w:hAnsi="宋体" w:eastAsia="宋体" w:cs="宋体"/>
                      <w:kern w:val="2"/>
                      <w:sz w:val="21"/>
                      <w:szCs w:val="21"/>
                      <w:lang w:val="en-US" w:eastAsia="zh-CN"/>
                    </w:rPr>
                    <w:t>位于封闭车间</w:t>
                  </w:r>
                  <w:r>
                    <w:rPr>
                      <w:rFonts w:hint="eastAsia" w:ascii="宋体" w:hAnsi="宋体" w:eastAsia="宋体" w:cs="宋体"/>
                      <w:kern w:val="2"/>
                      <w:sz w:val="21"/>
                      <w:szCs w:val="21"/>
                    </w:rPr>
                    <w:t>，并安装集气罩收集粉尘，粉尘经过布袋除尘器处理后，通过</w:t>
                  </w:r>
                  <w:r>
                    <w:rPr>
                      <w:rFonts w:hint="default" w:ascii="Times New Roman" w:hAnsi="Times New Roman" w:eastAsia="宋体" w:cs="Times New Roman"/>
                      <w:kern w:val="2"/>
                      <w:sz w:val="21"/>
                      <w:szCs w:val="21"/>
                    </w:rPr>
                    <w:t>15m</w:t>
                  </w:r>
                  <w:r>
                    <w:rPr>
                      <w:rFonts w:hint="eastAsia" w:ascii="宋体" w:hAnsi="宋体" w:eastAsia="宋体" w:cs="宋体"/>
                      <w:kern w:val="2"/>
                      <w:sz w:val="21"/>
                      <w:szCs w:val="21"/>
                    </w:rPr>
                    <w:t>高排气筒（</w:t>
                  </w:r>
                  <w:r>
                    <w:rPr>
                      <w:rFonts w:hint="default" w:ascii="Times New Roman" w:hAnsi="Times New Roman" w:eastAsia="宋体" w:cs="Times New Roman"/>
                      <w:kern w:val="2"/>
                      <w:sz w:val="21"/>
                      <w:szCs w:val="21"/>
                    </w:rPr>
                    <w:t>DA001</w:t>
                  </w:r>
                  <w:r>
                    <w:rPr>
                      <w:rFonts w:hint="eastAsia" w:ascii="宋体" w:hAnsi="宋体" w:eastAsia="宋体" w:cs="宋体"/>
                      <w:kern w:val="2"/>
                      <w:sz w:val="21"/>
                      <w:szCs w:val="21"/>
                    </w:rPr>
                    <w:t>）排放。</w:t>
                  </w:r>
                </w:p>
              </w:tc>
            </w:tr>
            <w:tr w14:paraId="652A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11" w:type="pct"/>
                  <w:vMerge w:val="continue"/>
                  <w:noWrap w:val="0"/>
                  <w:vAlign w:val="center"/>
                </w:tcPr>
                <w:p w14:paraId="3B7613FD">
                  <w:pPr>
                    <w:pStyle w:val="27"/>
                    <w:keepNext w:val="0"/>
                    <w:keepLines w:val="0"/>
                    <w:suppressLineNumbers w:val="0"/>
                    <w:bidi w:val="0"/>
                    <w:spacing w:before="0" w:beforeAutospacing="0" w:after="0" w:afterAutospacing="0"/>
                    <w:ind w:left="0" w:right="0"/>
                    <w:rPr>
                      <w:rFonts w:hint="default"/>
                    </w:rPr>
                  </w:pPr>
                </w:p>
              </w:tc>
              <w:tc>
                <w:tcPr>
                  <w:tcW w:w="580" w:type="pct"/>
                  <w:vMerge w:val="restart"/>
                  <w:noWrap w:val="0"/>
                  <w:vAlign w:val="center"/>
                </w:tcPr>
                <w:p w14:paraId="32641845">
                  <w:pPr>
                    <w:pStyle w:val="27"/>
                    <w:keepNext w:val="0"/>
                    <w:keepLines w:val="0"/>
                    <w:suppressLineNumbers w:val="0"/>
                    <w:bidi w:val="0"/>
                    <w:spacing w:before="0" w:beforeAutospacing="0" w:after="0" w:afterAutospacing="0"/>
                    <w:ind w:left="0" w:right="0"/>
                    <w:rPr>
                      <w:rFonts w:hint="default"/>
                    </w:rPr>
                  </w:pPr>
                  <w:r>
                    <w:rPr>
                      <w:rFonts w:hint="default"/>
                    </w:rPr>
                    <w:t>废水治理</w:t>
                  </w:r>
                </w:p>
              </w:tc>
              <w:tc>
                <w:tcPr>
                  <w:tcW w:w="779" w:type="pct"/>
                  <w:gridSpan w:val="2"/>
                  <w:noWrap w:val="0"/>
                  <w:vAlign w:val="center"/>
                </w:tcPr>
                <w:p w14:paraId="4F9E8834">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生产废水</w:t>
                  </w:r>
                </w:p>
              </w:tc>
              <w:tc>
                <w:tcPr>
                  <w:tcW w:w="3228" w:type="pct"/>
                  <w:gridSpan w:val="2"/>
                  <w:noWrap w:val="0"/>
                  <w:vAlign w:val="center"/>
                </w:tcPr>
                <w:p w14:paraId="070F6BCF">
                  <w:pPr>
                    <w:pStyle w:val="27"/>
                    <w:keepNext w:val="0"/>
                    <w:keepLines w:val="0"/>
                    <w:suppressLineNumbers w:val="0"/>
                    <w:bidi w:val="0"/>
                    <w:spacing w:before="0" w:beforeAutospacing="0" w:after="0" w:afterAutospacing="0"/>
                    <w:ind w:left="0" w:right="0"/>
                    <w:rPr>
                      <w:rFonts w:hint="default"/>
                      <w:lang w:val="en-US" w:eastAsia="zh-CN"/>
                    </w:rPr>
                  </w:pPr>
                  <w:r>
                    <w:rPr>
                      <w:rFonts w:hint="default"/>
                      <w:lang w:eastAsia="zh-CN"/>
                    </w:rPr>
                    <w:t>搅拌用水部分进入产品，或自然蒸发，不外排；搅拌设备清洗废水</w:t>
                  </w:r>
                  <w:r>
                    <w:rPr>
                      <w:rFonts w:hint="default"/>
                      <w:lang w:val="en-US" w:eastAsia="zh-CN"/>
                    </w:rPr>
                    <w:t>和模具清洗用水排入沉淀池沉淀后，用于</w:t>
                  </w:r>
                  <w:r>
                    <w:rPr>
                      <w:rFonts w:hint="eastAsia"/>
                      <w:lang w:val="en-US" w:eastAsia="zh-CN"/>
                    </w:rPr>
                    <w:t>成品养护</w:t>
                  </w:r>
                  <w:r>
                    <w:rPr>
                      <w:rFonts w:hint="default"/>
                      <w:lang w:val="en-US" w:eastAsia="zh-CN"/>
                    </w:rPr>
                    <w:t>，不外排；脱模剂用水全部自然蒸发，不外排</w:t>
                  </w:r>
                  <w:r>
                    <w:rPr>
                      <w:rFonts w:hint="eastAsia"/>
                      <w:lang w:val="en-US" w:eastAsia="zh-CN"/>
                    </w:rPr>
                    <w:t>；</w:t>
                  </w:r>
                  <w:r>
                    <w:rPr>
                      <w:rFonts w:hint="default"/>
                      <w:lang w:val="en-US" w:eastAsia="zh-CN"/>
                    </w:rPr>
                    <w:t>洒水降尘用水，自然蒸发，不外排</w:t>
                  </w:r>
                  <w:r>
                    <w:rPr>
                      <w:rFonts w:hint="eastAsia"/>
                      <w:lang w:val="en-US" w:eastAsia="zh-CN"/>
                    </w:rPr>
                    <w:t>；成品养护用水，自然蒸发，不外排。</w:t>
                  </w:r>
                </w:p>
              </w:tc>
            </w:tr>
            <w:tr w14:paraId="5B4E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411" w:type="pct"/>
                  <w:vMerge w:val="continue"/>
                  <w:noWrap w:val="0"/>
                  <w:vAlign w:val="center"/>
                </w:tcPr>
                <w:p w14:paraId="2BE54CB7">
                  <w:pPr>
                    <w:pStyle w:val="27"/>
                    <w:keepNext w:val="0"/>
                    <w:keepLines w:val="0"/>
                    <w:suppressLineNumbers w:val="0"/>
                    <w:bidi w:val="0"/>
                    <w:spacing w:before="0" w:beforeAutospacing="0" w:after="0" w:afterAutospacing="0"/>
                    <w:ind w:left="0" w:right="0"/>
                    <w:rPr>
                      <w:rFonts w:hint="default"/>
                    </w:rPr>
                  </w:pPr>
                </w:p>
              </w:tc>
              <w:tc>
                <w:tcPr>
                  <w:tcW w:w="580" w:type="pct"/>
                  <w:vMerge w:val="continue"/>
                  <w:noWrap w:val="0"/>
                  <w:vAlign w:val="center"/>
                </w:tcPr>
                <w:p w14:paraId="3DFC4CB1">
                  <w:pPr>
                    <w:pStyle w:val="27"/>
                    <w:keepNext w:val="0"/>
                    <w:keepLines w:val="0"/>
                    <w:suppressLineNumbers w:val="0"/>
                    <w:bidi w:val="0"/>
                    <w:spacing w:before="0" w:beforeAutospacing="0" w:after="0" w:afterAutospacing="0"/>
                    <w:ind w:left="0" w:right="0"/>
                    <w:rPr>
                      <w:rFonts w:hint="default"/>
                    </w:rPr>
                  </w:pPr>
                </w:p>
              </w:tc>
              <w:tc>
                <w:tcPr>
                  <w:tcW w:w="779" w:type="pct"/>
                  <w:gridSpan w:val="2"/>
                  <w:noWrap w:val="0"/>
                  <w:vAlign w:val="center"/>
                </w:tcPr>
                <w:p w14:paraId="1791328F">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生活污水</w:t>
                  </w:r>
                </w:p>
              </w:tc>
              <w:tc>
                <w:tcPr>
                  <w:tcW w:w="3228" w:type="pct"/>
                  <w:gridSpan w:val="2"/>
                  <w:noWrap w:val="0"/>
                  <w:vAlign w:val="center"/>
                </w:tcPr>
                <w:p w14:paraId="27C616B3">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生活污水拉运至和静县污水处理厂处置</w:t>
                  </w:r>
                </w:p>
              </w:tc>
            </w:tr>
            <w:tr w14:paraId="173B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411" w:type="pct"/>
                  <w:vMerge w:val="continue"/>
                  <w:noWrap w:val="0"/>
                  <w:vAlign w:val="center"/>
                </w:tcPr>
                <w:p w14:paraId="3818E2F9">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073B2912">
                  <w:pPr>
                    <w:pStyle w:val="27"/>
                    <w:keepNext w:val="0"/>
                    <w:keepLines w:val="0"/>
                    <w:suppressLineNumbers w:val="0"/>
                    <w:bidi w:val="0"/>
                    <w:spacing w:before="0" w:beforeAutospacing="0" w:after="0" w:afterAutospacing="0"/>
                    <w:ind w:left="0" w:right="0"/>
                    <w:rPr>
                      <w:rFonts w:hint="default"/>
                    </w:rPr>
                  </w:pPr>
                  <w:r>
                    <w:rPr>
                      <w:rFonts w:hint="default"/>
                    </w:rPr>
                    <w:t>噪声治理</w:t>
                  </w:r>
                </w:p>
              </w:tc>
              <w:tc>
                <w:tcPr>
                  <w:tcW w:w="4008" w:type="pct"/>
                  <w:gridSpan w:val="4"/>
                  <w:noWrap w:val="0"/>
                  <w:vAlign w:val="center"/>
                </w:tcPr>
                <w:p w14:paraId="4BCBB577">
                  <w:pPr>
                    <w:pStyle w:val="27"/>
                    <w:keepNext w:val="0"/>
                    <w:keepLines w:val="0"/>
                    <w:suppressLineNumbers w:val="0"/>
                    <w:bidi w:val="0"/>
                    <w:spacing w:before="0" w:beforeAutospacing="0" w:after="0" w:afterAutospacing="0"/>
                    <w:ind w:left="0" w:right="0"/>
                    <w:rPr>
                      <w:rFonts w:hint="default"/>
                      <w:lang w:val="en-US" w:eastAsia="zh-CN"/>
                    </w:rPr>
                  </w:pPr>
                  <w:r>
                    <w:rPr>
                      <w:rFonts w:hint="default"/>
                    </w:rPr>
                    <w:t>基础减振、隔声罩、绿化</w:t>
                  </w:r>
                  <w:r>
                    <w:rPr>
                      <w:rFonts w:hint="eastAsia"/>
                      <w:lang w:eastAsia="zh-CN"/>
                    </w:rPr>
                    <w:t>。</w:t>
                  </w:r>
                </w:p>
              </w:tc>
            </w:tr>
            <w:tr w14:paraId="239F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411" w:type="pct"/>
                  <w:vMerge w:val="continue"/>
                  <w:noWrap w:val="0"/>
                  <w:vAlign w:val="center"/>
                </w:tcPr>
                <w:p w14:paraId="2243C59A">
                  <w:pPr>
                    <w:pStyle w:val="27"/>
                    <w:keepNext w:val="0"/>
                    <w:keepLines w:val="0"/>
                    <w:suppressLineNumbers w:val="0"/>
                    <w:bidi w:val="0"/>
                    <w:spacing w:before="0" w:beforeAutospacing="0" w:after="0" w:afterAutospacing="0"/>
                    <w:ind w:left="0" w:right="0"/>
                    <w:rPr>
                      <w:rFonts w:hint="default"/>
                    </w:rPr>
                  </w:pPr>
                </w:p>
              </w:tc>
              <w:tc>
                <w:tcPr>
                  <w:tcW w:w="580" w:type="pct"/>
                  <w:noWrap w:val="0"/>
                  <w:vAlign w:val="center"/>
                </w:tcPr>
                <w:p w14:paraId="609D4CD5">
                  <w:pPr>
                    <w:pStyle w:val="27"/>
                    <w:keepNext w:val="0"/>
                    <w:keepLines w:val="0"/>
                    <w:suppressLineNumbers w:val="0"/>
                    <w:bidi w:val="0"/>
                    <w:spacing w:before="0" w:beforeAutospacing="0" w:after="0" w:afterAutospacing="0"/>
                    <w:ind w:left="0" w:right="0"/>
                    <w:rPr>
                      <w:rFonts w:hint="default"/>
                    </w:rPr>
                  </w:pPr>
                  <w:r>
                    <w:rPr>
                      <w:rFonts w:hint="default"/>
                    </w:rPr>
                    <w:t>固体废物处理</w:t>
                  </w:r>
                </w:p>
              </w:tc>
              <w:tc>
                <w:tcPr>
                  <w:tcW w:w="4008" w:type="pct"/>
                  <w:gridSpan w:val="4"/>
                  <w:noWrap w:val="0"/>
                  <w:vAlign w:val="center"/>
                </w:tcPr>
                <w:p w14:paraId="1DD14A0B">
                  <w:pPr>
                    <w:pStyle w:val="27"/>
                    <w:keepNext w:val="0"/>
                    <w:keepLines w:val="0"/>
                    <w:suppressLineNumbers w:val="0"/>
                    <w:bidi w:val="0"/>
                    <w:spacing w:before="0" w:beforeAutospacing="0" w:after="0" w:afterAutospacing="0"/>
                    <w:ind w:left="0" w:right="0"/>
                    <w:rPr>
                      <w:rFonts w:hint="default"/>
                      <w:lang w:val="en-US" w:eastAsia="zh-CN"/>
                    </w:rPr>
                  </w:pPr>
                  <w:r>
                    <w:rPr>
                      <w:rFonts w:hint="default"/>
                    </w:rPr>
                    <w:t>水泥筒仓滤筒式过滤器拦截的</w:t>
                  </w:r>
                  <w:r>
                    <w:rPr>
                      <w:rFonts w:hint="default"/>
                      <w:lang w:val="en-US" w:eastAsia="zh-CN"/>
                    </w:rPr>
                    <w:t>粉</w:t>
                  </w:r>
                  <w:r>
                    <w:rPr>
                      <w:rFonts w:hint="default"/>
                    </w:rPr>
                    <w:t>尘</w:t>
                  </w:r>
                  <w:r>
                    <w:rPr>
                      <w:rFonts w:hint="default"/>
                      <w:lang w:eastAsia="zh-CN"/>
                    </w:rPr>
                    <w:t>、</w:t>
                  </w:r>
                  <w:r>
                    <w:rPr>
                      <w:rFonts w:hint="default"/>
                    </w:rPr>
                    <w:t>上料口设置除尘器收集的粉尘、混凝土残渣沉淀池底泥回用于生产</w:t>
                  </w:r>
                  <w:r>
                    <w:rPr>
                      <w:rFonts w:hint="default"/>
                      <w:lang w:eastAsia="zh-CN"/>
                    </w:rPr>
                    <w:t>；</w:t>
                  </w:r>
                  <w:r>
                    <w:rPr>
                      <w:rFonts w:hint="default"/>
                    </w:rPr>
                    <w:t>废布袋</w:t>
                  </w:r>
                  <w:r>
                    <w:rPr>
                      <w:rFonts w:hint="default"/>
                      <w:lang w:eastAsia="zh-CN"/>
                    </w:rPr>
                    <w:t>、</w:t>
                  </w:r>
                  <w:r>
                    <w:rPr>
                      <w:rFonts w:hint="default"/>
                      <w:lang w:val="en-US" w:eastAsia="zh-CN"/>
                    </w:rPr>
                    <w:t>废滤芯</w:t>
                  </w:r>
                  <w:r>
                    <w:rPr>
                      <w:rFonts w:hint="default"/>
                    </w:rPr>
                    <w:t>交由厂家回收处理；生活垃圾分类收集后委托环卫部门及时清运</w:t>
                  </w:r>
                  <w:r>
                    <w:rPr>
                      <w:rFonts w:hint="default"/>
                      <w:lang w:eastAsia="zh-CN"/>
                    </w:rPr>
                    <w:t>；</w:t>
                  </w:r>
                  <w:r>
                    <w:rPr>
                      <w:rFonts w:hint="default"/>
                      <w:lang w:val="en-US" w:eastAsia="zh-CN"/>
                    </w:rPr>
                    <w:t>废润滑油、废润滑油桶储</w:t>
                  </w:r>
                  <w:r>
                    <w:rPr>
                      <w:rFonts w:hint="default"/>
                    </w:rPr>
                    <w:t>存于危废贮存点后交由有资质单位处理。</w:t>
                  </w:r>
                </w:p>
              </w:tc>
            </w:tr>
          </w:tbl>
          <w:p w14:paraId="686C74CD">
            <w:pPr>
              <w:pStyle w:val="4"/>
              <w:keepNext w:val="0"/>
              <w:keepLines w:val="0"/>
              <w:suppressLineNumbers w:val="0"/>
              <w:bidi w:val="0"/>
              <w:ind w:left="0" w:right="0"/>
              <w:rPr>
                <w:rFonts w:hint="default"/>
              </w:rPr>
            </w:pPr>
            <w:r>
              <w:rPr>
                <w:rFonts w:hint="eastAsia"/>
                <w:lang w:val="en-US" w:eastAsia="zh-CN"/>
              </w:rPr>
              <w:t>3</w:t>
            </w:r>
            <w:r>
              <w:rPr>
                <w:rFonts w:hint="default"/>
              </w:rPr>
              <w:t>.2</w:t>
            </w:r>
            <w:r>
              <w:rPr>
                <w:rFonts w:hint="eastAsia"/>
                <w:lang w:val="en-US" w:eastAsia="zh-CN"/>
              </w:rPr>
              <w:t xml:space="preserve"> </w:t>
            </w:r>
            <w:r>
              <w:rPr>
                <w:rFonts w:hint="default"/>
              </w:rPr>
              <w:t>主要仪器、设备</w:t>
            </w:r>
          </w:p>
          <w:p w14:paraId="3A7660F9">
            <w:pPr>
              <w:keepNext w:val="0"/>
              <w:keepLines w:val="0"/>
              <w:suppressLineNumbers w:val="0"/>
              <w:bidi w:val="0"/>
              <w:spacing w:before="0" w:beforeAutospacing="0" w:after="0" w:afterAutospacing="0"/>
              <w:ind w:left="0" w:right="0"/>
              <w:rPr>
                <w:rFonts w:hint="default" w:ascii="Times New Roman" w:hAnsi="Times New Roman" w:eastAsia="黑体" w:cs="Times New Roman"/>
                <w:color w:val="000000"/>
                <w:highlight w:val="none"/>
              </w:rPr>
            </w:pPr>
            <w:r>
              <w:rPr>
                <w:rFonts w:hint="default"/>
              </w:rPr>
              <w:t>本项目主要仪器、设备见表</w:t>
            </w:r>
            <w:r>
              <w:rPr>
                <w:rFonts w:hint="default"/>
                <w:lang w:val="en-US" w:eastAsia="zh-CN"/>
              </w:rPr>
              <w:t>2</w:t>
            </w:r>
            <w:r>
              <w:rPr>
                <w:rFonts w:hint="default"/>
              </w:rPr>
              <w:t>-</w:t>
            </w:r>
            <w:r>
              <w:rPr>
                <w:rFonts w:hint="default"/>
                <w:lang w:val="en-US" w:eastAsia="zh-CN"/>
              </w:rPr>
              <w:t>2</w:t>
            </w:r>
            <w:r>
              <w:rPr>
                <w:rFonts w:hint="default"/>
              </w:rPr>
              <w:t>。</w:t>
            </w:r>
          </w:p>
          <w:p w14:paraId="5ECCF4C3">
            <w:pPr>
              <w:pStyle w:val="5"/>
              <w:suppressLineNumbers w:val="0"/>
              <w:bidi w:val="0"/>
              <w:spacing w:before="0" w:beforeAutospacing="0" w:after="0" w:afterAutospacing="0"/>
              <w:ind w:left="0" w:right="0"/>
              <w:rPr>
                <w:rFonts w:hint="default"/>
              </w:rPr>
            </w:pPr>
            <w:r>
              <w:rPr>
                <w:rFonts w:hint="default"/>
              </w:rPr>
              <w:t>表</w:t>
            </w:r>
            <w:r>
              <w:rPr>
                <w:rFonts w:hint="default"/>
                <w:lang w:val="en-US" w:eastAsia="zh-CN"/>
              </w:rPr>
              <w:t>2</w:t>
            </w:r>
            <w:r>
              <w:rPr>
                <w:rFonts w:hint="default"/>
              </w:rPr>
              <w:t>-</w:t>
            </w:r>
            <w:r>
              <w:rPr>
                <w:rFonts w:hint="default"/>
                <w:lang w:val="en-US" w:eastAsia="zh-CN"/>
              </w:rPr>
              <w:t xml:space="preserve">2  </w:t>
            </w:r>
            <w:r>
              <w:rPr>
                <w:rFonts w:hint="default"/>
              </w:rPr>
              <w:t>项目主要生产设备一览表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4373"/>
              <w:gridCol w:w="1135"/>
              <w:gridCol w:w="1048"/>
            </w:tblGrid>
            <w:tr w14:paraId="21049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pct"/>
                  <w:noWrap w:val="0"/>
                  <w:vAlign w:val="center"/>
                </w:tcPr>
                <w:p w14:paraId="359B3EC8">
                  <w:pPr>
                    <w:pStyle w:val="27"/>
                    <w:keepNext w:val="0"/>
                    <w:keepLines w:val="0"/>
                    <w:suppressLineNumbers w:val="0"/>
                    <w:bidi w:val="0"/>
                    <w:spacing w:before="0" w:beforeAutospacing="0" w:after="0" w:afterAutospacing="0"/>
                    <w:ind w:left="0" w:right="0"/>
                    <w:rPr>
                      <w:rFonts w:hint="default"/>
                    </w:rPr>
                  </w:pPr>
                  <w:r>
                    <w:rPr>
                      <w:rFonts w:hint="default"/>
                    </w:rPr>
                    <w:t>序号</w:t>
                  </w:r>
                </w:p>
              </w:tc>
              <w:tc>
                <w:tcPr>
                  <w:tcW w:w="2817" w:type="pct"/>
                  <w:noWrap w:val="0"/>
                  <w:vAlign w:val="center"/>
                </w:tcPr>
                <w:p w14:paraId="51EDFF59">
                  <w:pPr>
                    <w:pStyle w:val="27"/>
                    <w:keepNext w:val="0"/>
                    <w:keepLines w:val="0"/>
                    <w:suppressLineNumbers w:val="0"/>
                    <w:bidi w:val="0"/>
                    <w:spacing w:before="0" w:beforeAutospacing="0" w:after="0" w:afterAutospacing="0"/>
                    <w:ind w:left="0" w:right="0"/>
                    <w:rPr>
                      <w:rFonts w:hint="default"/>
                    </w:rPr>
                  </w:pPr>
                  <w:r>
                    <w:rPr>
                      <w:rFonts w:hint="default"/>
                    </w:rPr>
                    <w:t>设备名称</w:t>
                  </w:r>
                </w:p>
              </w:tc>
              <w:tc>
                <w:tcPr>
                  <w:tcW w:w="731" w:type="pct"/>
                  <w:noWrap w:val="0"/>
                  <w:vAlign w:val="center"/>
                </w:tcPr>
                <w:p w14:paraId="49E8D50B">
                  <w:pPr>
                    <w:pStyle w:val="27"/>
                    <w:keepNext w:val="0"/>
                    <w:keepLines w:val="0"/>
                    <w:suppressLineNumbers w:val="0"/>
                    <w:bidi w:val="0"/>
                    <w:spacing w:before="0" w:beforeAutospacing="0" w:after="0" w:afterAutospacing="0"/>
                    <w:ind w:left="0" w:right="0"/>
                    <w:rPr>
                      <w:rFonts w:hint="default"/>
                    </w:rPr>
                  </w:pPr>
                  <w:r>
                    <w:rPr>
                      <w:rFonts w:hint="default"/>
                    </w:rPr>
                    <w:t>单位</w:t>
                  </w:r>
                </w:p>
              </w:tc>
              <w:tc>
                <w:tcPr>
                  <w:tcW w:w="675" w:type="pct"/>
                  <w:noWrap w:val="0"/>
                  <w:vAlign w:val="center"/>
                </w:tcPr>
                <w:p w14:paraId="17B3146C">
                  <w:pPr>
                    <w:pStyle w:val="27"/>
                    <w:keepNext w:val="0"/>
                    <w:keepLines w:val="0"/>
                    <w:suppressLineNumbers w:val="0"/>
                    <w:bidi w:val="0"/>
                    <w:spacing w:before="0" w:beforeAutospacing="0" w:after="0" w:afterAutospacing="0"/>
                    <w:ind w:left="0" w:right="0"/>
                    <w:rPr>
                      <w:rFonts w:hint="default"/>
                    </w:rPr>
                  </w:pPr>
                  <w:r>
                    <w:rPr>
                      <w:rFonts w:hint="default"/>
                    </w:rPr>
                    <w:t>数量</w:t>
                  </w:r>
                </w:p>
              </w:tc>
            </w:tr>
            <w:tr w14:paraId="343E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01947B53">
                  <w:pPr>
                    <w:pStyle w:val="27"/>
                    <w:keepNext w:val="0"/>
                    <w:keepLines w:val="0"/>
                    <w:suppressLineNumbers w:val="0"/>
                    <w:bidi w:val="0"/>
                    <w:spacing w:before="0" w:beforeAutospacing="0" w:after="0" w:afterAutospacing="0"/>
                    <w:ind w:left="0" w:right="0"/>
                    <w:rPr>
                      <w:rFonts w:hint="default"/>
                    </w:rPr>
                  </w:pPr>
                  <w:r>
                    <w:rPr>
                      <w:rFonts w:hint="default"/>
                    </w:rPr>
                    <w:t>1</w:t>
                  </w:r>
                </w:p>
              </w:tc>
              <w:tc>
                <w:tcPr>
                  <w:tcW w:w="2817" w:type="pct"/>
                  <w:noWrap w:val="0"/>
                  <w:vAlign w:val="center"/>
                </w:tcPr>
                <w:p w14:paraId="4C506814">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铲车</w:t>
                  </w:r>
                </w:p>
              </w:tc>
              <w:tc>
                <w:tcPr>
                  <w:tcW w:w="731" w:type="pct"/>
                  <w:noWrap w:val="0"/>
                  <w:vAlign w:val="center"/>
                </w:tcPr>
                <w:p w14:paraId="11419E1F">
                  <w:pPr>
                    <w:pStyle w:val="27"/>
                    <w:keepNext w:val="0"/>
                    <w:keepLines w:val="0"/>
                    <w:suppressLineNumbers w:val="0"/>
                    <w:bidi w:val="0"/>
                    <w:spacing w:before="0" w:beforeAutospacing="0" w:after="0" w:afterAutospacing="0"/>
                    <w:ind w:left="0" w:right="0"/>
                    <w:rPr>
                      <w:rFonts w:hint="default"/>
                    </w:rPr>
                  </w:pPr>
                  <w:r>
                    <w:rPr>
                      <w:rFonts w:hint="default"/>
                    </w:rPr>
                    <w:t>台</w:t>
                  </w:r>
                </w:p>
              </w:tc>
              <w:tc>
                <w:tcPr>
                  <w:tcW w:w="675" w:type="pct"/>
                  <w:noWrap w:val="0"/>
                  <w:vAlign w:val="center"/>
                </w:tcPr>
                <w:p w14:paraId="52DE852E">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1</w:t>
                  </w:r>
                </w:p>
              </w:tc>
            </w:tr>
            <w:tr w14:paraId="6002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75" w:type="pct"/>
                  <w:noWrap w:val="0"/>
                  <w:vAlign w:val="center"/>
                </w:tcPr>
                <w:p w14:paraId="45EA329C">
                  <w:pPr>
                    <w:pStyle w:val="27"/>
                    <w:keepNext w:val="0"/>
                    <w:keepLines w:val="0"/>
                    <w:suppressLineNumbers w:val="0"/>
                    <w:bidi w:val="0"/>
                    <w:spacing w:before="0" w:beforeAutospacing="0" w:after="0" w:afterAutospacing="0"/>
                    <w:ind w:left="0" w:right="0"/>
                    <w:rPr>
                      <w:rFonts w:hint="default"/>
                    </w:rPr>
                  </w:pPr>
                  <w:r>
                    <w:rPr>
                      <w:rFonts w:hint="default"/>
                    </w:rPr>
                    <w:t>2</w:t>
                  </w:r>
                </w:p>
              </w:tc>
              <w:tc>
                <w:tcPr>
                  <w:tcW w:w="2817" w:type="pct"/>
                  <w:noWrap w:val="0"/>
                  <w:vAlign w:val="center"/>
                </w:tcPr>
                <w:p w14:paraId="2798677F">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配料机</w:t>
                  </w:r>
                </w:p>
              </w:tc>
              <w:tc>
                <w:tcPr>
                  <w:tcW w:w="731" w:type="pct"/>
                  <w:noWrap w:val="0"/>
                  <w:vAlign w:val="center"/>
                </w:tcPr>
                <w:p w14:paraId="2EC514BC">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台</w:t>
                  </w:r>
                </w:p>
              </w:tc>
              <w:tc>
                <w:tcPr>
                  <w:tcW w:w="675" w:type="pct"/>
                  <w:noWrap w:val="0"/>
                  <w:vAlign w:val="center"/>
                </w:tcPr>
                <w:p w14:paraId="70B543C6">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1</w:t>
                  </w:r>
                </w:p>
              </w:tc>
            </w:tr>
            <w:tr w14:paraId="17E3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3916985E">
                  <w:pPr>
                    <w:pStyle w:val="27"/>
                    <w:keepNext w:val="0"/>
                    <w:keepLines w:val="0"/>
                    <w:suppressLineNumbers w:val="0"/>
                    <w:bidi w:val="0"/>
                    <w:spacing w:before="0" w:beforeAutospacing="0" w:after="0" w:afterAutospacing="0"/>
                    <w:ind w:left="0" w:right="0"/>
                    <w:rPr>
                      <w:rFonts w:hint="default"/>
                    </w:rPr>
                  </w:pPr>
                  <w:r>
                    <w:rPr>
                      <w:rFonts w:hint="default"/>
                    </w:rPr>
                    <w:t>3</w:t>
                  </w:r>
                </w:p>
              </w:tc>
              <w:tc>
                <w:tcPr>
                  <w:tcW w:w="2817" w:type="pct"/>
                  <w:noWrap w:val="0"/>
                  <w:vAlign w:val="center"/>
                </w:tcPr>
                <w:p w14:paraId="73B37E8A">
                  <w:pPr>
                    <w:pStyle w:val="27"/>
                    <w:keepNext w:val="0"/>
                    <w:keepLines w:val="0"/>
                    <w:suppressLineNumbers w:val="0"/>
                    <w:bidi w:val="0"/>
                    <w:spacing w:before="0" w:beforeAutospacing="0" w:after="0" w:afterAutospacing="0"/>
                    <w:ind w:left="0" w:right="0"/>
                    <w:rPr>
                      <w:rFonts w:hint="default"/>
                    </w:rPr>
                  </w:pPr>
                  <w:r>
                    <w:rPr>
                      <w:rFonts w:hint="eastAsia"/>
                      <w:lang w:val="en-US" w:eastAsia="zh-CN"/>
                    </w:rPr>
                    <w:t>搅拌器</w:t>
                  </w:r>
                </w:p>
              </w:tc>
              <w:tc>
                <w:tcPr>
                  <w:tcW w:w="731" w:type="pct"/>
                  <w:noWrap w:val="0"/>
                  <w:vAlign w:val="center"/>
                </w:tcPr>
                <w:p w14:paraId="160FABB1">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台</w:t>
                  </w:r>
                </w:p>
              </w:tc>
              <w:tc>
                <w:tcPr>
                  <w:tcW w:w="675" w:type="pct"/>
                  <w:noWrap w:val="0"/>
                  <w:vAlign w:val="center"/>
                </w:tcPr>
                <w:p w14:paraId="4EDB385F">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1</w:t>
                  </w:r>
                </w:p>
              </w:tc>
            </w:tr>
            <w:tr w14:paraId="5CED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1A6E6EFC">
                  <w:pPr>
                    <w:pStyle w:val="27"/>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4</w:t>
                  </w:r>
                </w:p>
              </w:tc>
              <w:tc>
                <w:tcPr>
                  <w:tcW w:w="2817" w:type="pct"/>
                  <w:noWrap w:val="0"/>
                  <w:vAlign w:val="center"/>
                </w:tcPr>
                <w:p w14:paraId="710DD9DA">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叉车</w:t>
                  </w:r>
                </w:p>
              </w:tc>
              <w:tc>
                <w:tcPr>
                  <w:tcW w:w="731" w:type="pct"/>
                  <w:noWrap w:val="0"/>
                  <w:vAlign w:val="center"/>
                </w:tcPr>
                <w:p w14:paraId="7395219F">
                  <w:pPr>
                    <w:pStyle w:val="27"/>
                    <w:keepNext w:val="0"/>
                    <w:keepLines w:val="0"/>
                    <w:suppressLineNumbers w:val="0"/>
                    <w:bidi w:val="0"/>
                    <w:spacing w:before="0" w:beforeAutospacing="0" w:after="0" w:afterAutospacing="0"/>
                    <w:ind w:left="0" w:right="0"/>
                    <w:rPr>
                      <w:rFonts w:hint="default"/>
                    </w:rPr>
                  </w:pPr>
                  <w:r>
                    <w:rPr>
                      <w:rFonts w:hint="default"/>
                      <w:lang w:val="en-US" w:eastAsia="zh-CN"/>
                    </w:rPr>
                    <w:t>台</w:t>
                  </w:r>
                </w:p>
              </w:tc>
              <w:tc>
                <w:tcPr>
                  <w:tcW w:w="675" w:type="pct"/>
                  <w:noWrap w:val="0"/>
                  <w:vAlign w:val="center"/>
                </w:tcPr>
                <w:p w14:paraId="721FAA1F">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3</w:t>
                  </w:r>
                </w:p>
              </w:tc>
            </w:tr>
            <w:tr w14:paraId="472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40875BD6">
                  <w:pPr>
                    <w:pStyle w:val="27"/>
                    <w:keepNext w:val="0"/>
                    <w:keepLines w:val="0"/>
                    <w:suppressLineNumbers w:val="0"/>
                    <w:bidi w:val="0"/>
                    <w:spacing w:before="0" w:beforeAutospacing="0" w:after="0" w:afterAutospacing="0"/>
                    <w:ind w:left="0" w:right="0"/>
                    <w:rPr>
                      <w:rFonts w:hint="eastAsia" w:eastAsia="宋体"/>
                      <w:lang w:eastAsia="zh-CN"/>
                    </w:rPr>
                  </w:pPr>
                  <w:r>
                    <w:rPr>
                      <w:rFonts w:hint="eastAsia"/>
                      <w:lang w:val="en-US" w:eastAsia="zh-CN"/>
                    </w:rPr>
                    <w:t>5</w:t>
                  </w:r>
                </w:p>
              </w:tc>
              <w:tc>
                <w:tcPr>
                  <w:tcW w:w="2817" w:type="pct"/>
                  <w:noWrap w:val="0"/>
                  <w:vAlign w:val="center"/>
                </w:tcPr>
                <w:p w14:paraId="353C7A31">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模具</w:t>
                  </w:r>
                </w:p>
              </w:tc>
              <w:tc>
                <w:tcPr>
                  <w:tcW w:w="731" w:type="pct"/>
                  <w:noWrap w:val="0"/>
                  <w:vAlign w:val="center"/>
                </w:tcPr>
                <w:p w14:paraId="06754DBD">
                  <w:pPr>
                    <w:pStyle w:val="27"/>
                    <w:keepNext w:val="0"/>
                    <w:keepLines w:val="0"/>
                    <w:suppressLineNumbers w:val="0"/>
                    <w:bidi w:val="0"/>
                    <w:spacing w:before="0" w:beforeAutospacing="0" w:after="0" w:afterAutospacing="0"/>
                    <w:ind w:left="0" w:right="0"/>
                    <w:rPr>
                      <w:rFonts w:hint="default"/>
                    </w:rPr>
                  </w:pPr>
                  <w:r>
                    <w:rPr>
                      <w:rFonts w:hint="default"/>
                    </w:rPr>
                    <w:t>套</w:t>
                  </w:r>
                </w:p>
              </w:tc>
              <w:tc>
                <w:tcPr>
                  <w:tcW w:w="675" w:type="pct"/>
                  <w:noWrap w:val="0"/>
                  <w:vAlign w:val="center"/>
                </w:tcPr>
                <w:p w14:paraId="0201FA18">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50</w:t>
                  </w:r>
                </w:p>
              </w:tc>
            </w:tr>
            <w:tr w14:paraId="2183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1EE7E0AB">
                  <w:pPr>
                    <w:pStyle w:val="27"/>
                    <w:keepNext w:val="0"/>
                    <w:keepLines w:val="0"/>
                    <w:suppressLineNumbers w:val="0"/>
                    <w:bidi w:val="0"/>
                    <w:spacing w:before="0" w:beforeAutospacing="0" w:after="0" w:afterAutospacing="0"/>
                    <w:ind w:left="0" w:right="0" w:firstLine="0" w:firstLineChars="0"/>
                    <w:rPr>
                      <w:rFonts w:hint="default"/>
                    </w:rPr>
                  </w:pPr>
                  <w:r>
                    <w:rPr>
                      <w:rFonts w:hint="default"/>
                    </w:rPr>
                    <w:t>6</w:t>
                  </w:r>
                </w:p>
              </w:tc>
              <w:tc>
                <w:tcPr>
                  <w:tcW w:w="2817" w:type="pct"/>
                  <w:noWrap w:val="0"/>
                  <w:vAlign w:val="center"/>
                </w:tcPr>
                <w:p w14:paraId="148569D3">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振动台</w:t>
                  </w:r>
                </w:p>
              </w:tc>
              <w:tc>
                <w:tcPr>
                  <w:tcW w:w="731" w:type="pct"/>
                  <w:noWrap w:val="0"/>
                  <w:vAlign w:val="center"/>
                </w:tcPr>
                <w:p w14:paraId="5365816C">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个</w:t>
                  </w:r>
                </w:p>
              </w:tc>
              <w:tc>
                <w:tcPr>
                  <w:tcW w:w="675" w:type="pct"/>
                  <w:noWrap w:val="0"/>
                  <w:vAlign w:val="center"/>
                </w:tcPr>
                <w:p w14:paraId="67566C5F">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1</w:t>
                  </w:r>
                </w:p>
              </w:tc>
            </w:tr>
            <w:tr w14:paraId="1E72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574DD2B7">
                  <w:pPr>
                    <w:pStyle w:val="27"/>
                    <w:keepNext w:val="0"/>
                    <w:keepLines w:val="0"/>
                    <w:suppressLineNumbers w:val="0"/>
                    <w:bidi w:val="0"/>
                    <w:spacing w:before="0" w:beforeAutospacing="0" w:after="0" w:afterAutospacing="0"/>
                    <w:ind w:left="0" w:right="0" w:firstLine="0" w:firstLineChars="0"/>
                    <w:rPr>
                      <w:rFonts w:hint="default"/>
                    </w:rPr>
                  </w:pPr>
                  <w:r>
                    <w:rPr>
                      <w:rFonts w:hint="default"/>
                    </w:rPr>
                    <w:t>7</w:t>
                  </w:r>
                </w:p>
              </w:tc>
              <w:tc>
                <w:tcPr>
                  <w:tcW w:w="2817" w:type="pct"/>
                  <w:noWrap w:val="0"/>
                  <w:vAlign w:val="center"/>
                </w:tcPr>
                <w:p w14:paraId="48FEE31A">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水泥</w:t>
                  </w:r>
                  <w:r>
                    <w:rPr>
                      <w:rFonts w:hint="eastAsia"/>
                      <w:lang w:val="en-US" w:eastAsia="zh-CN"/>
                    </w:rPr>
                    <w:t>筒</w:t>
                  </w:r>
                  <w:r>
                    <w:rPr>
                      <w:rFonts w:hint="default"/>
                      <w:lang w:val="en-US" w:eastAsia="zh-CN"/>
                    </w:rPr>
                    <w:t>仓</w:t>
                  </w:r>
                </w:p>
              </w:tc>
              <w:tc>
                <w:tcPr>
                  <w:tcW w:w="731" w:type="pct"/>
                  <w:noWrap w:val="0"/>
                  <w:vAlign w:val="center"/>
                </w:tcPr>
                <w:p w14:paraId="177513EA">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个</w:t>
                  </w:r>
                </w:p>
              </w:tc>
              <w:tc>
                <w:tcPr>
                  <w:tcW w:w="675" w:type="pct"/>
                  <w:noWrap w:val="0"/>
                  <w:vAlign w:val="center"/>
                </w:tcPr>
                <w:p w14:paraId="522100DF">
                  <w:pPr>
                    <w:pStyle w:val="2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w:t>
                  </w:r>
                </w:p>
              </w:tc>
            </w:tr>
            <w:tr w14:paraId="3A188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62BD962D">
                  <w:pPr>
                    <w:pStyle w:val="27"/>
                    <w:keepNext w:val="0"/>
                    <w:keepLines w:val="0"/>
                    <w:suppressLineNumbers w:val="0"/>
                    <w:bidi w:val="0"/>
                    <w:spacing w:before="0" w:beforeAutospacing="0" w:after="0" w:afterAutospacing="0"/>
                    <w:ind w:left="0" w:right="0" w:firstLine="0" w:firstLineChars="0"/>
                    <w:rPr>
                      <w:rFonts w:hint="eastAsia" w:eastAsia="宋体"/>
                      <w:lang w:eastAsia="zh-CN"/>
                    </w:rPr>
                  </w:pPr>
                  <w:r>
                    <w:rPr>
                      <w:rFonts w:hint="eastAsia"/>
                      <w:lang w:val="en-US" w:eastAsia="zh-CN"/>
                    </w:rPr>
                    <w:t>8</w:t>
                  </w:r>
                </w:p>
              </w:tc>
              <w:tc>
                <w:tcPr>
                  <w:tcW w:w="2817" w:type="pct"/>
                  <w:noWrap w:val="0"/>
                  <w:vAlign w:val="center"/>
                </w:tcPr>
                <w:p w14:paraId="48E41E80">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龙门吊</w:t>
                  </w:r>
                </w:p>
              </w:tc>
              <w:tc>
                <w:tcPr>
                  <w:tcW w:w="731" w:type="pct"/>
                  <w:noWrap w:val="0"/>
                  <w:vAlign w:val="center"/>
                </w:tcPr>
                <w:p w14:paraId="6916BA9D">
                  <w:pPr>
                    <w:pStyle w:val="2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台</w:t>
                  </w:r>
                </w:p>
              </w:tc>
              <w:tc>
                <w:tcPr>
                  <w:tcW w:w="675" w:type="pct"/>
                  <w:noWrap w:val="0"/>
                  <w:vAlign w:val="center"/>
                </w:tcPr>
                <w:p w14:paraId="29DA6AEC">
                  <w:pPr>
                    <w:pStyle w:val="27"/>
                    <w:keepNext w:val="0"/>
                    <w:keepLines w:val="0"/>
                    <w:suppressLineNumbers w:val="0"/>
                    <w:bidi w:val="0"/>
                    <w:spacing w:before="0" w:beforeAutospacing="0" w:after="0" w:afterAutospacing="0"/>
                    <w:ind w:left="0" w:right="0"/>
                    <w:rPr>
                      <w:rFonts w:hint="default"/>
                    </w:rPr>
                  </w:pPr>
                  <w:r>
                    <w:rPr>
                      <w:rFonts w:hint="default"/>
                      <w:lang w:eastAsia="en-US"/>
                    </w:rPr>
                    <w:t>1</w:t>
                  </w:r>
                </w:p>
              </w:tc>
            </w:tr>
            <w:tr w14:paraId="49C9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75" w:type="pct"/>
                  <w:noWrap w:val="0"/>
                  <w:vAlign w:val="center"/>
                </w:tcPr>
                <w:p w14:paraId="4E9036A4">
                  <w:pPr>
                    <w:pStyle w:val="27"/>
                    <w:keepNext w:val="0"/>
                    <w:keepLines w:val="0"/>
                    <w:suppressLineNumbers w:val="0"/>
                    <w:bidi w:val="0"/>
                    <w:spacing w:before="0" w:beforeAutospacing="0" w:after="0" w:afterAutospacing="0"/>
                    <w:ind w:left="0" w:right="0" w:firstLine="0" w:firstLineChars="0"/>
                    <w:rPr>
                      <w:rFonts w:hint="default" w:eastAsia="宋体"/>
                      <w:lang w:val="en-US" w:eastAsia="zh-CN"/>
                    </w:rPr>
                  </w:pPr>
                  <w:r>
                    <w:rPr>
                      <w:rFonts w:hint="eastAsia"/>
                      <w:lang w:val="en-US" w:eastAsia="zh-CN"/>
                    </w:rPr>
                    <w:t>9</w:t>
                  </w:r>
                </w:p>
              </w:tc>
              <w:tc>
                <w:tcPr>
                  <w:tcW w:w="2817" w:type="pct"/>
                  <w:noWrap w:val="0"/>
                  <w:vAlign w:val="center"/>
                </w:tcPr>
                <w:p w14:paraId="257F0F3A">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除尘引风机</w:t>
                  </w:r>
                </w:p>
              </w:tc>
              <w:tc>
                <w:tcPr>
                  <w:tcW w:w="731" w:type="pct"/>
                  <w:noWrap w:val="0"/>
                  <w:vAlign w:val="center"/>
                </w:tcPr>
                <w:p w14:paraId="190CD013">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台</w:t>
                  </w:r>
                </w:p>
              </w:tc>
              <w:tc>
                <w:tcPr>
                  <w:tcW w:w="675" w:type="pct"/>
                  <w:noWrap w:val="0"/>
                  <w:vAlign w:val="center"/>
                </w:tcPr>
                <w:p w14:paraId="4BAB4AC8">
                  <w:pPr>
                    <w:pStyle w:val="2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w:t>
                  </w:r>
                </w:p>
              </w:tc>
            </w:tr>
          </w:tbl>
          <w:p w14:paraId="282069AF">
            <w:pPr>
              <w:pStyle w:val="4"/>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w:t>
            </w:r>
            <w:r>
              <w:rPr>
                <w:rFonts w:hint="default"/>
              </w:rPr>
              <w:t>.3 主要原辅材料</w:t>
            </w:r>
          </w:p>
          <w:p w14:paraId="12F93322">
            <w:pPr>
              <w:keepNext w:val="0"/>
              <w:keepLines w:val="0"/>
              <w:suppressLineNumbers w:val="0"/>
              <w:bidi w:val="0"/>
              <w:spacing w:before="0" w:beforeAutospacing="0" w:after="0" w:afterAutospacing="0"/>
              <w:ind w:left="0" w:right="0"/>
              <w:rPr>
                <w:rFonts w:hint="default"/>
              </w:rPr>
            </w:pPr>
            <w:r>
              <w:rPr>
                <w:rFonts w:hint="default"/>
              </w:rPr>
              <w:t>本项目产品生产所需的原材料主要为水泥、石子、</w:t>
            </w:r>
            <w:r>
              <w:rPr>
                <w:rFonts w:hint="default"/>
                <w:lang w:eastAsia="zh-CN"/>
              </w:rPr>
              <w:t>砂子</w:t>
            </w:r>
            <w:r>
              <w:rPr>
                <w:rFonts w:hint="default"/>
              </w:rPr>
              <w:t>等。</w:t>
            </w:r>
            <w:r>
              <w:rPr>
                <w:rFonts w:hint="default"/>
                <w:lang w:val="zh-CN"/>
              </w:rPr>
              <w:t>所</w:t>
            </w:r>
            <w:r>
              <w:rPr>
                <w:rFonts w:hint="default"/>
              </w:rPr>
              <w:t>需材料主要由项目当地提供，产品质量有保证；</w:t>
            </w:r>
            <w:r>
              <w:rPr>
                <w:rFonts w:hint="default"/>
                <w:lang w:val="en-US" w:eastAsia="zh-CN"/>
              </w:rPr>
              <w:t>项目用水采用水车拉运补给模式，保障生产及生活用水需求；用电接入市政供电网络，满足项目全流程运营的电力供给</w:t>
            </w:r>
            <w:r>
              <w:rPr>
                <w:rFonts w:hint="default"/>
              </w:rPr>
              <w:t>。项目原辅料来源可靠，供应有保证。本项目生产过程中原辅材料及能源见</w:t>
            </w:r>
            <w:r>
              <w:rPr>
                <w:rFonts w:hint="default"/>
                <w:lang w:val="en-US" w:eastAsia="zh-CN"/>
              </w:rPr>
              <w:t>下</w:t>
            </w:r>
            <w:r>
              <w:rPr>
                <w:rFonts w:hint="default"/>
              </w:rPr>
              <w:t>表。</w:t>
            </w:r>
          </w:p>
          <w:p w14:paraId="4A5BDE13">
            <w:pPr>
              <w:pStyle w:val="5"/>
              <w:suppressLineNumbers w:val="0"/>
              <w:bidi w:val="0"/>
              <w:spacing w:before="0" w:beforeAutospacing="0" w:after="0" w:afterAutospacing="0"/>
              <w:ind w:left="0" w:right="0"/>
              <w:rPr>
                <w:rFonts w:hint="default"/>
              </w:rPr>
            </w:pPr>
            <w:r>
              <w:rPr>
                <w:rFonts w:hint="default"/>
              </w:rPr>
              <w:t>表</w:t>
            </w:r>
            <w:r>
              <w:rPr>
                <w:rFonts w:hint="default"/>
                <w:lang w:val="en-US" w:eastAsia="zh-CN"/>
              </w:rPr>
              <w:t>2</w:t>
            </w:r>
            <w:r>
              <w:rPr>
                <w:rFonts w:hint="default"/>
              </w:rPr>
              <w:t>-</w:t>
            </w:r>
            <w:r>
              <w:rPr>
                <w:rFonts w:hint="default"/>
                <w:lang w:val="en-US" w:eastAsia="zh-CN"/>
              </w:rPr>
              <w:t xml:space="preserve">3  </w:t>
            </w:r>
            <w:r>
              <w:rPr>
                <w:rFonts w:hint="default"/>
              </w:rPr>
              <w:t>项目主要</w:t>
            </w:r>
            <w:r>
              <w:rPr>
                <w:rFonts w:hint="eastAsia"/>
                <w:lang w:val="en-US" w:eastAsia="zh-CN"/>
              </w:rPr>
              <w:t>原辅</w:t>
            </w:r>
            <w:r>
              <w:rPr>
                <w:rFonts w:hint="default"/>
              </w:rPr>
              <w:t>材料用量</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636"/>
              <w:gridCol w:w="1231"/>
              <w:gridCol w:w="1054"/>
              <w:gridCol w:w="2695"/>
            </w:tblGrid>
            <w:tr w14:paraId="4DD45E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20" w:hRule="atLeast"/>
                <w:jc w:val="center"/>
              </w:trPr>
              <w:tc>
                <w:tcPr>
                  <w:tcW w:w="736" w:type="pct"/>
                  <w:noWrap w:val="0"/>
                  <w:vAlign w:val="center"/>
                </w:tcPr>
                <w:p w14:paraId="3040513A">
                  <w:pPr>
                    <w:pStyle w:val="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序号</w:t>
                  </w:r>
                </w:p>
              </w:tc>
              <w:tc>
                <w:tcPr>
                  <w:tcW w:w="1054" w:type="pct"/>
                  <w:noWrap w:val="0"/>
                  <w:vAlign w:val="center"/>
                </w:tcPr>
                <w:p w14:paraId="513AFC6B">
                  <w:pPr>
                    <w:pStyle w:val="7"/>
                    <w:keepNext w:val="0"/>
                    <w:keepLines w:val="0"/>
                    <w:suppressLineNumbers w:val="0"/>
                    <w:bidi w:val="0"/>
                    <w:spacing w:before="0" w:beforeAutospacing="0" w:after="0" w:afterAutospacing="0"/>
                    <w:ind w:left="0" w:right="0"/>
                    <w:rPr>
                      <w:rFonts w:hint="default"/>
                    </w:rPr>
                  </w:pPr>
                  <w:r>
                    <w:rPr>
                      <w:rFonts w:hint="default"/>
                    </w:rPr>
                    <w:t>名称</w:t>
                  </w:r>
                </w:p>
              </w:tc>
              <w:tc>
                <w:tcPr>
                  <w:tcW w:w="793" w:type="pct"/>
                  <w:noWrap w:val="0"/>
                  <w:vAlign w:val="center"/>
                </w:tcPr>
                <w:p w14:paraId="016362F2">
                  <w:pPr>
                    <w:pStyle w:val="7"/>
                    <w:keepNext w:val="0"/>
                    <w:keepLines w:val="0"/>
                    <w:suppressLineNumbers w:val="0"/>
                    <w:bidi w:val="0"/>
                    <w:spacing w:before="0" w:beforeAutospacing="0" w:after="0" w:afterAutospacing="0"/>
                    <w:ind w:left="0" w:right="0"/>
                    <w:rPr>
                      <w:rFonts w:hint="default"/>
                    </w:rPr>
                  </w:pPr>
                  <w:r>
                    <w:rPr>
                      <w:rFonts w:hint="default"/>
                    </w:rPr>
                    <w:t>单位</w:t>
                  </w:r>
                </w:p>
              </w:tc>
              <w:tc>
                <w:tcPr>
                  <w:tcW w:w="679" w:type="pct"/>
                  <w:tcBorders>
                    <w:right w:val="single" w:color="auto" w:sz="4" w:space="0"/>
                  </w:tcBorders>
                  <w:noWrap w:val="0"/>
                  <w:vAlign w:val="center"/>
                </w:tcPr>
                <w:p w14:paraId="12AFB885">
                  <w:pPr>
                    <w:pStyle w:val="7"/>
                    <w:keepNext w:val="0"/>
                    <w:keepLines w:val="0"/>
                    <w:suppressLineNumbers w:val="0"/>
                    <w:bidi w:val="0"/>
                    <w:spacing w:before="0" w:beforeAutospacing="0" w:after="0" w:afterAutospacing="0"/>
                    <w:ind w:left="0" w:right="0"/>
                    <w:rPr>
                      <w:rFonts w:hint="default"/>
                    </w:rPr>
                  </w:pPr>
                  <w:r>
                    <w:rPr>
                      <w:rFonts w:hint="default"/>
                    </w:rPr>
                    <w:t>数量</w:t>
                  </w:r>
                </w:p>
              </w:tc>
              <w:tc>
                <w:tcPr>
                  <w:tcW w:w="1736" w:type="pct"/>
                  <w:tcBorders>
                    <w:left w:val="single" w:color="auto" w:sz="4" w:space="0"/>
                  </w:tcBorders>
                  <w:noWrap w:val="0"/>
                  <w:vAlign w:val="center"/>
                </w:tcPr>
                <w:p w14:paraId="636AACF7">
                  <w:pPr>
                    <w:pStyle w:val="7"/>
                    <w:keepNext w:val="0"/>
                    <w:keepLines w:val="0"/>
                    <w:suppressLineNumbers w:val="0"/>
                    <w:bidi w:val="0"/>
                    <w:spacing w:before="0" w:beforeAutospacing="0" w:after="0" w:afterAutospacing="0"/>
                    <w:ind w:left="0" w:right="0"/>
                    <w:rPr>
                      <w:rFonts w:hint="default"/>
                    </w:rPr>
                  </w:pPr>
                  <w:r>
                    <w:rPr>
                      <w:rFonts w:hint="default"/>
                    </w:rPr>
                    <w:t>备注</w:t>
                  </w:r>
                </w:p>
              </w:tc>
            </w:tr>
            <w:tr w14:paraId="135B60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381F6B97">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1054" w:type="pct"/>
                  <w:noWrap w:val="0"/>
                  <w:vAlign w:val="center"/>
                </w:tcPr>
                <w:p w14:paraId="5F3A4104">
                  <w:pPr>
                    <w:pStyle w:val="7"/>
                    <w:keepNext w:val="0"/>
                    <w:keepLines w:val="0"/>
                    <w:suppressLineNumbers w:val="0"/>
                    <w:bidi w:val="0"/>
                    <w:spacing w:before="0" w:beforeAutospacing="0" w:after="0" w:afterAutospacing="0"/>
                    <w:ind w:left="0" w:right="0"/>
                    <w:rPr>
                      <w:rFonts w:hint="default"/>
                      <w:lang w:val="zh-CN" w:eastAsia="zh-CN"/>
                    </w:rPr>
                  </w:pPr>
                  <w:r>
                    <w:rPr>
                      <w:rFonts w:hint="default"/>
                    </w:rPr>
                    <w:t>水泥</w:t>
                  </w:r>
                </w:p>
              </w:tc>
              <w:tc>
                <w:tcPr>
                  <w:tcW w:w="793" w:type="pct"/>
                  <w:noWrap w:val="0"/>
                  <w:vAlign w:val="center"/>
                </w:tcPr>
                <w:p w14:paraId="6771FA62">
                  <w:pPr>
                    <w:pStyle w:val="7"/>
                    <w:keepNext w:val="0"/>
                    <w:keepLines w:val="0"/>
                    <w:suppressLineNumbers w:val="0"/>
                    <w:bidi w:val="0"/>
                    <w:spacing w:before="0" w:beforeAutospacing="0" w:after="0" w:afterAutospacing="0"/>
                    <w:ind w:left="0" w:right="0"/>
                    <w:rPr>
                      <w:rFonts w:hint="default"/>
                      <w:lang w:val="zh-CN"/>
                    </w:rPr>
                  </w:pPr>
                  <w:r>
                    <w:rPr>
                      <w:rFonts w:hint="default"/>
                      <w:lang w:val="zh-CN"/>
                    </w:rPr>
                    <w:t>t/a</w:t>
                  </w:r>
                </w:p>
              </w:tc>
              <w:tc>
                <w:tcPr>
                  <w:tcW w:w="679" w:type="pct"/>
                  <w:tcBorders>
                    <w:right w:val="single" w:color="auto" w:sz="4" w:space="0"/>
                  </w:tcBorders>
                  <w:noWrap w:val="0"/>
                  <w:vAlign w:val="center"/>
                </w:tcPr>
                <w:p w14:paraId="03315931">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5163</w:t>
                  </w:r>
                </w:p>
              </w:tc>
              <w:tc>
                <w:tcPr>
                  <w:tcW w:w="1736" w:type="pct"/>
                  <w:tcBorders>
                    <w:left w:val="single" w:color="auto" w:sz="4" w:space="0"/>
                  </w:tcBorders>
                  <w:noWrap w:val="0"/>
                  <w:vAlign w:val="center"/>
                </w:tcPr>
                <w:p w14:paraId="785BC478">
                  <w:pPr>
                    <w:pStyle w:val="7"/>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w:t>
                  </w:r>
                </w:p>
              </w:tc>
            </w:tr>
            <w:tr w14:paraId="58EBBB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128A7E4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3</w:t>
                  </w:r>
                </w:p>
              </w:tc>
              <w:tc>
                <w:tcPr>
                  <w:tcW w:w="1054" w:type="pct"/>
                  <w:noWrap w:val="0"/>
                  <w:vAlign w:val="center"/>
                </w:tcPr>
                <w:p w14:paraId="4B3A42AF">
                  <w:pPr>
                    <w:pStyle w:val="7"/>
                    <w:keepNext w:val="0"/>
                    <w:keepLines w:val="0"/>
                    <w:suppressLineNumbers w:val="0"/>
                    <w:bidi w:val="0"/>
                    <w:spacing w:before="0" w:beforeAutospacing="0" w:after="0" w:afterAutospacing="0"/>
                    <w:ind w:left="0" w:right="0"/>
                    <w:rPr>
                      <w:rFonts w:hint="default"/>
                      <w:lang w:val="zh-CN" w:eastAsia="zh-CN"/>
                    </w:rPr>
                  </w:pPr>
                  <w:r>
                    <w:rPr>
                      <w:rFonts w:hint="default"/>
                    </w:rPr>
                    <w:t>石子</w:t>
                  </w:r>
                </w:p>
              </w:tc>
              <w:tc>
                <w:tcPr>
                  <w:tcW w:w="793" w:type="pct"/>
                  <w:noWrap w:val="0"/>
                  <w:vAlign w:val="center"/>
                </w:tcPr>
                <w:p w14:paraId="479623B5">
                  <w:pPr>
                    <w:pStyle w:val="7"/>
                    <w:keepNext w:val="0"/>
                    <w:keepLines w:val="0"/>
                    <w:suppressLineNumbers w:val="0"/>
                    <w:bidi w:val="0"/>
                    <w:spacing w:before="0" w:beforeAutospacing="0" w:after="0" w:afterAutospacing="0"/>
                    <w:ind w:left="0" w:right="0"/>
                    <w:rPr>
                      <w:rFonts w:hint="default"/>
                      <w:lang w:val="zh-CN"/>
                    </w:rPr>
                  </w:pPr>
                  <w:r>
                    <w:rPr>
                      <w:rFonts w:hint="default"/>
                      <w:lang w:val="zh-CN"/>
                    </w:rPr>
                    <w:t>t/a</w:t>
                  </w:r>
                </w:p>
              </w:tc>
              <w:tc>
                <w:tcPr>
                  <w:tcW w:w="679" w:type="pct"/>
                  <w:tcBorders>
                    <w:right w:val="single" w:color="auto" w:sz="4" w:space="0"/>
                  </w:tcBorders>
                  <w:noWrap w:val="0"/>
                  <w:vAlign w:val="center"/>
                </w:tcPr>
                <w:p w14:paraId="746EEBD3">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12828.36</w:t>
                  </w:r>
                </w:p>
              </w:tc>
              <w:tc>
                <w:tcPr>
                  <w:tcW w:w="1736" w:type="pct"/>
                  <w:tcBorders>
                    <w:left w:val="single" w:color="auto" w:sz="4" w:space="0"/>
                  </w:tcBorders>
                  <w:noWrap w:val="0"/>
                  <w:vAlign w:val="center"/>
                </w:tcPr>
                <w:p w14:paraId="51066E52">
                  <w:pPr>
                    <w:pStyle w:val="7"/>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w:t>
                  </w:r>
                </w:p>
              </w:tc>
            </w:tr>
            <w:tr w14:paraId="434669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4F7FDBAE">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4</w:t>
                  </w:r>
                </w:p>
              </w:tc>
              <w:tc>
                <w:tcPr>
                  <w:tcW w:w="1054" w:type="pct"/>
                  <w:noWrap w:val="0"/>
                  <w:vAlign w:val="center"/>
                </w:tcPr>
                <w:p w14:paraId="5FD514CB">
                  <w:pPr>
                    <w:pStyle w:val="7"/>
                    <w:keepNext w:val="0"/>
                    <w:keepLines w:val="0"/>
                    <w:suppressLineNumbers w:val="0"/>
                    <w:bidi w:val="0"/>
                    <w:spacing w:before="0" w:beforeAutospacing="0" w:after="0" w:afterAutospacing="0"/>
                    <w:ind w:left="0" w:right="0"/>
                    <w:rPr>
                      <w:rFonts w:hint="default"/>
                      <w:lang w:val="zh-CN" w:eastAsia="zh-CN"/>
                    </w:rPr>
                  </w:pPr>
                  <w:r>
                    <w:rPr>
                      <w:rFonts w:hint="default"/>
                      <w:lang w:eastAsia="zh-CN"/>
                    </w:rPr>
                    <w:t>砂子</w:t>
                  </w:r>
                </w:p>
              </w:tc>
              <w:tc>
                <w:tcPr>
                  <w:tcW w:w="793" w:type="pct"/>
                  <w:noWrap w:val="0"/>
                  <w:vAlign w:val="center"/>
                </w:tcPr>
                <w:p w14:paraId="4079A6AA">
                  <w:pPr>
                    <w:pStyle w:val="7"/>
                    <w:keepNext w:val="0"/>
                    <w:keepLines w:val="0"/>
                    <w:suppressLineNumbers w:val="0"/>
                    <w:bidi w:val="0"/>
                    <w:spacing w:before="0" w:beforeAutospacing="0" w:after="0" w:afterAutospacing="0"/>
                    <w:ind w:left="0" w:right="0"/>
                    <w:rPr>
                      <w:rFonts w:hint="default"/>
                      <w:lang w:val="zh-CN"/>
                    </w:rPr>
                  </w:pPr>
                  <w:r>
                    <w:rPr>
                      <w:rFonts w:hint="default"/>
                      <w:lang w:val="zh-CN"/>
                    </w:rPr>
                    <w:t>t/a</w:t>
                  </w:r>
                </w:p>
              </w:tc>
              <w:tc>
                <w:tcPr>
                  <w:tcW w:w="679" w:type="pct"/>
                  <w:tcBorders>
                    <w:right w:val="single" w:color="auto" w:sz="4" w:space="0"/>
                  </w:tcBorders>
                  <w:noWrap w:val="0"/>
                  <w:vAlign w:val="center"/>
                </w:tcPr>
                <w:p w14:paraId="4B37E582">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10000</w:t>
                  </w:r>
                </w:p>
              </w:tc>
              <w:tc>
                <w:tcPr>
                  <w:tcW w:w="1736" w:type="pct"/>
                  <w:tcBorders>
                    <w:left w:val="single" w:color="auto" w:sz="4" w:space="0"/>
                  </w:tcBorders>
                  <w:noWrap w:val="0"/>
                  <w:vAlign w:val="center"/>
                </w:tcPr>
                <w:p w14:paraId="2DAB6850">
                  <w:pPr>
                    <w:pStyle w:val="7"/>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w:t>
                  </w:r>
                </w:p>
              </w:tc>
            </w:tr>
            <w:tr w14:paraId="1CA315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6FBA04A3">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5</w:t>
                  </w:r>
                </w:p>
              </w:tc>
              <w:tc>
                <w:tcPr>
                  <w:tcW w:w="1054" w:type="pct"/>
                  <w:noWrap w:val="0"/>
                  <w:vAlign w:val="center"/>
                </w:tcPr>
                <w:p w14:paraId="7BE5A002">
                  <w:pPr>
                    <w:pStyle w:val="7"/>
                    <w:keepNext w:val="0"/>
                    <w:keepLines w:val="0"/>
                    <w:suppressLineNumbers w:val="0"/>
                    <w:bidi w:val="0"/>
                    <w:spacing w:before="0" w:beforeAutospacing="0" w:after="0" w:afterAutospacing="0"/>
                    <w:ind w:left="0" w:right="0"/>
                    <w:rPr>
                      <w:rFonts w:hint="default"/>
                      <w:lang w:val="en-US" w:eastAsia="zh-CN"/>
                    </w:rPr>
                  </w:pPr>
                  <w:r>
                    <w:rPr>
                      <w:rFonts w:hint="default"/>
                      <w:lang w:eastAsia="zh-CN"/>
                    </w:rPr>
                    <w:t>钢筋</w:t>
                  </w:r>
                </w:p>
              </w:tc>
              <w:tc>
                <w:tcPr>
                  <w:tcW w:w="793" w:type="pct"/>
                  <w:noWrap w:val="0"/>
                  <w:vAlign w:val="center"/>
                </w:tcPr>
                <w:p w14:paraId="6C0BDE01">
                  <w:pPr>
                    <w:pStyle w:val="7"/>
                    <w:keepNext w:val="0"/>
                    <w:keepLines w:val="0"/>
                    <w:suppressLineNumbers w:val="0"/>
                    <w:bidi w:val="0"/>
                    <w:spacing w:before="0" w:beforeAutospacing="0" w:after="0" w:afterAutospacing="0"/>
                    <w:ind w:left="0" w:right="0"/>
                    <w:rPr>
                      <w:rFonts w:hint="default"/>
                      <w:lang w:val="zh-CN"/>
                    </w:rPr>
                  </w:pPr>
                  <w:r>
                    <w:rPr>
                      <w:rFonts w:hint="default"/>
                      <w:lang w:val="zh-CN"/>
                    </w:rPr>
                    <w:t>t/a</w:t>
                  </w:r>
                </w:p>
              </w:tc>
              <w:tc>
                <w:tcPr>
                  <w:tcW w:w="679" w:type="pct"/>
                  <w:tcBorders>
                    <w:right w:val="single" w:color="auto" w:sz="4" w:space="0"/>
                  </w:tcBorders>
                  <w:noWrap w:val="0"/>
                  <w:vAlign w:val="center"/>
                </w:tcPr>
                <w:p w14:paraId="125844AB">
                  <w:pPr>
                    <w:pStyle w:val="7"/>
                    <w:keepNext w:val="0"/>
                    <w:keepLines w:val="0"/>
                    <w:suppressLineNumbers w:val="0"/>
                    <w:bidi w:val="0"/>
                    <w:spacing w:before="0" w:beforeAutospacing="0" w:after="0" w:afterAutospacing="0"/>
                    <w:ind w:left="0" w:right="0" w:firstLine="0" w:firstLineChars="0"/>
                    <w:rPr>
                      <w:rFonts w:hint="default" w:eastAsia="宋体"/>
                      <w:lang w:val="en-US" w:eastAsia="zh-CN"/>
                    </w:rPr>
                  </w:pPr>
                  <w:r>
                    <w:rPr>
                      <w:rFonts w:hint="eastAsia"/>
                      <w:lang w:val="en-US" w:eastAsia="zh-CN"/>
                    </w:rPr>
                    <w:t>400</w:t>
                  </w:r>
                </w:p>
              </w:tc>
              <w:tc>
                <w:tcPr>
                  <w:tcW w:w="1736" w:type="pct"/>
                  <w:tcBorders>
                    <w:left w:val="single" w:color="auto" w:sz="4" w:space="0"/>
                  </w:tcBorders>
                  <w:noWrap w:val="0"/>
                  <w:vAlign w:val="center"/>
                </w:tcPr>
                <w:p w14:paraId="502F5CB5">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r>
            <w:tr w14:paraId="1B89FB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0F38A130">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6</w:t>
                  </w:r>
                </w:p>
              </w:tc>
              <w:tc>
                <w:tcPr>
                  <w:tcW w:w="1054" w:type="pct"/>
                  <w:noWrap w:val="0"/>
                  <w:vAlign w:val="center"/>
                </w:tcPr>
                <w:p w14:paraId="060BEDDB">
                  <w:pPr>
                    <w:pStyle w:val="7"/>
                    <w:keepNext w:val="0"/>
                    <w:keepLines w:val="0"/>
                    <w:suppressLineNumbers w:val="0"/>
                    <w:bidi w:val="0"/>
                    <w:spacing w:before="0" w:beforeAutospacing="0" w:after="0" w:afterAutospacing="0"/>
                    <w:ind w:left="0" w:right="0"/>
                    <w:rPr>
                      <w:rFonts w:hint="default"/>
                      <w:lang w:val="zh-CN" w:eastAsia="zh-CN"/>
                    </w:rPr>
                  </w:pPr>
                  <w:r>
                    <w:rPr>
                      <w:rFonts w:hint="default"/>
                      <w:lang w:eastAsia="zh-CN"/>
                    </w:rPr>
                    <w:t>脱模剂</w:t>
                  </w:r>
                </w:p>
              </w:tc>
              <w:tc>
                <w:tcPr>
                  <w:tcW w:w="793" w:type="pct"/>
                  <w:noWrap w:val="0"/>
                  <w:vAlign w:val="center"/>
                </w:tcPr>
                <w:p w14:paraId="6DAF9538">
                  <w:pPr>
                    <w:pStyle w:val="7"/>
                    <w:keepNext w:val="0"/>
                    <w:keepLines w:val="0"/>
                    <w:suppressLineNumbers w:val="0"/>
                    <w:bidi w:val="0"/>
                    <w:spacing w:before="0" w:beforeAutospacing="0" w:after="0" w:afterAutospacing="0"/>
                    <w:ind w:left="0" w:right="0"/>
                    <w:rPr>
                      <w:rFonts w:hint="default"/>
                      <w:lang w:val="zh-CN"/>
                    </w:rPr>
                  </w:pPr>
                  <w:r>
                    <w:rPr>
                      <w:rFonts w:hint="default"/>
                      <w:lang w:val="en-US" w:eastAsia="zh-CN"/>
                    </w:rPr>
                    <w:t>t</w:t>
                  </w:r>
                  <w:r>
                    <w:rPr>
                      <w:rFonts w:hint="default"/>
                    </w:rPr>
                    <w:t>/a</w:t>
                  </w:r>
                </w:p>
              </w:tc>
              <w:tc>
                <w:tcPr>
                  <w:tcW w:w="679" w:type="pct"/>
                  <w:tcBorders>
                    <w:right w:val="single" w:color="auto" w:sz="4" w:space="0"/>
                  </w:tcBorders>
                  <w:noWrap w:val="0"/>
                  <w:vAlign w:val="center"/>
                </w:tcPr>
                <w:p w14:paraId="375441BE">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0.1</w:t>
                  </w:r>
                </w:p>
              </w:tc>
              <w:tc>
                <w:tcPr>
                  <w:tcW w:w="1736" w:type="pct"/>
                  <w:tcBorders>
                    <w:left w:val="single" w:color="auto" w:sz="4" w:space="0"/>
                  </w:tcBorders>
                  <w:noWrap w:val="0"/>
                  <w:vAlign w:val="center"/>
                </w:tcPr>
                <w:p w14:paraId="7E4CCBCD">
                  <w:pPr>
                    <w:pStyle w:val="7"/>
                    <w:keepNext w:val="0"/>
                    <w:keepLines w:val="0"/>
                    <w:suppressLineNumbers w:val="0"/>
                    <w:bidi w:val="0"/>
                    <w:spacing w:before="0" w:beforeAutospacing="0" w:after="0" w:afterAutospacing="0"/>
                    <w:ind w:left="0" w:right="0"/>
                    <w:rPr>
                      <w:rFonts w:hint="eastAsia"/>
                      <w:lang w:eastAsia="zh-CN"/>
                    </w:rPr>
                  </w:pPr>
                  <w:r>
                    <w:rPr>
                      <w:rFonts w:hint="eastAsia"/>
                      <w:lang w:val="en-US" w:eastAsia="zh-CN"/>
                    </w:rPr>
                    <w:t>本项目生产过程中使用水溶性混凝土制品脱模剂，用于分离模具与水泥制品，项目使用脱模剂主要成分为矿物油、多种活性剂、助剂等，无味无毒不燃，无腐蚀、对皮肤无刺激。</w:t>
                  </w:r>
                </w:p>
              </w:tc>
            </w:tr>
            <w:tr w14:paraId="249D93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4801DD0B">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7</w:t>
                  </w:r>
                </w:p>
              </w:tc>
              <w:tc>
                <w:tcPr>
                  <w:tcW w:w="1054" w:type="pct"/>
                  <w:noWrap w:val="0"/>
                  <w:vAlign w:val="center"/>
                </w:tcPr>
                <w:p w14:paraId="1579155D">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高性能减水剂</w:t>
                  </w:r>
                </w:p>
              </w:tc>
              <w:tc>
                <w:tcPr>
                  <w:tcW w:w="793" w:type="pct"/>
                  <w:noWrap w:val="0"/>
                  <w:vAlign w:val="center"/>
                </w:tcPr>
                <w:p w14:paraId="777B304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t/a</w:t>
                  </w:r>
                </w:p>
              </w:tc>
              <w:tc>
                <w:tcPr>
                  <w:tcW w:w="679" w:type="pct"/>
                  <w:tcBorders>
                    <w:right w:val="single" w:color="auto" w:sz="4" w:space="0"/>
                  </w:tcBorders>
                  <w:noWrap w:val="0"/>
                  <w:vAlign w:val="center"/>
                </w:tcPr>
                <w:p w14:paraId="5871B944">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108</w:t>
                  </w:r>
                </w:p>
              </w:tc>
              <w:tc>
                <w:tcPr>
                  <w:tcW w:w="1736" w:type="pct"/>
                  <w:tcBorders>
                    <w:left w:val="single" w:color="auto" w:sz="4" w:space="0"/>
                  </w:tcBorders>
                  <w:noWrap w:val="0"/>
                  <w:vAlign w:val="center"/>
                </w:tcPr>
                <w:p w14:paraId="4C722FAD">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r>
            <w:tr w14:paraId="61BF27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7E101733">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8</w:t>
                  </w:r>
                </w:p>
              </w:tc>
              <w:tc>
                <w:tcPr>
                  <w:tcW w:w="1054" w:type="pct"/>
                  <w:noWrap w:val="0"/>
                  <w:vAlign w:val="center"/>
                </w:tcPr>
                <w:p w14:paraId="6FC7F411">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引气剂</w:t>
                  </w:r>
                </w:p>
              </w:tc>
              <w:tc>
                <w:tcPr>
                  <w:tcW w:w="793" w:type="pct"/>
                  <w:noWrap w:val="0"/>
                  <w:vAlign w:val="center"/>
                </w:tcPr>
                <w:p w14:paraId="00D6B4F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t/a</w:t>
                  </w:r>
                </w:p>
              </w:tc>
              <w:tc>
                <w:tcPr>
                  <w:tcW w:w="679" w:type="pct"/>
                  <w:tcBorders>
                    <w:right w:val="single" w:color="auto" w:sz="4" w:space="0"/>
                  </w:tcBorders>
                  <w:noWrap w:val="0"/>
                  <w:vAlign w:val="center"/>
                </w:tcPr>
                <w:p w14:paraId="23E32CC9">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0.54</w:t>
                  </w:r>
                </w:p>
              </w:tc>
              <w:tc>
                <w:tcPr>
                  <w:tcW w:w="1736" w:type="pct"/>
                  <w:tcBorders>
                    <w:left w:val="single" w:color="auto" w:sz="4" w:space="0"/>
                  </w:tcBorders>
                  <w:noWrap w:val="0"/>
                  <w:vAlign w:val="center"/>
                </w:tcPr>
                <w:p w14:paraId="2CC10E6B">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r>
            <w:tr w14:paraId="72CA51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00" w:type="pct"/>
                  <w:gridSpan w:val="5"/>
                  <w:noWrap w:val="0"/>
                  <w:vAlign w:val="center"/>
                </w:tcPr>
                <w:p w14:paraId="15CE61A4">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能源消耗</w:t>
                  </w:r>
                </w:p>
              </w:tc>
            </w:tr>
            <w:tr w14:paraId="492754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36" w:type="pct"/>
                  <w:noWrap w:val="0"/>
                  <w:vAlign w:val="center"/>
                </w:tcPr>
                <w:p w14:paraId="7EB2268B">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w:t>
                  </w:r>
                </w:p>
              </w:tc>
              <w:tc>
                <w:tcPr>
                  <w:tcW w:w="1054" w:type="pct"/>
                  <w:noWrap w:val="0"/>
                  <w:vAlign w:val="center"/>
                </w:tcPr>
                <w:p w14:paraId="24EEDE2E">
                  <w:pPr>
                    <w:pStyle w:val="7"/>
                    <w:keepNext w:val="0"/>
                    <w:keepLines w:val="0"/>
                    <w:suppressLineNumbers w:val="0"/>
                    <w:bidi w:val="0"/>
                    <w:spacing w:before="0" w:beforeAutospacing="0" w:after="0" w:afterAutospacing="0"/>
                    <w:ind w:left="0" w:right="0"/>
                    <w:rPr>
                      <w:rFonts w:hint="default"/>
                      <w:lang w:eastAsia="zh-CN"/>
                    </w:rPr>
                  </w:pPr>
                  <w:r>
                    <w:rPr>
                      <w:rFonts w:hint="default"/>
                      <w:lang w:val="zh-CN" w:eastAsia="zh-CN"/>
                    </w:rPr>
                    <w:t>电</w:t>
                  </w:r>
                </w:p>
              </w:tc>
              <w:tc>
                <w:tcPr>
                  <w:tcW w:w="793" w:type="pct"/>
                  <w:noWrap w:val="0"/>
                  <w:vAlign w:val="center"/>
                </w:tcPr>
                <w:p w14:paraId="57EC8C2D">
                  <w:pPr>
                    <w:pStyle w:val="7"/>
                    <w:keepNext w:val="0"/>
                    <w:keepLines w:val="0"/>
                    <w:suppressLineNumbers w:val="0"/>
                    <w:bidi w:val="0"/>
                    <w:spacing w:before="0" w:beforeAutospacing="0" w:after="0" w:afterAutospacing="0"/>
                    <w:ind w:left="0" w:right="0"/>
                    <w:rPr>
                      <w:rFonts w:hint="default"/>
                      <w:lang w:val="zh-CN" w:eastAsia="zh-CN"/>
                    </w:rPr>
                  </w:pPr>
                  <w:r>
                    <w:rPr>
                      <w:rFonts w:hint="default"/>
                      <w:lang w:val="zh-CN" w:eastAsia="zh-CN"/>
                    </w:rPr>
                    <w:t>kwh</w:t>
                  </w:r>
                </w:p>
              </w:tc>
              <w:tc>
                <w:tcPr>
                  <w:tcW w:w="679" w:type="pct"/>
                  <w:tcBorders>
                    <w:right w:val="single" w:color="auto" w:sz="4" w:space="0"/>
                  </w:tcBorders>
                  <w:noWrap w:val="0"/>
                  <w:vAlign w:val="center"/>
                </w:tcPr>
                <w:p w14:paraId="1FC2199B">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50000</w:t>
                  </w:r>
                </w:p>
              </w:tc>
              <w:tc>
                <w:tcPr>
                  <w:tcW w:w="1736" w:type="pct"/>
                  <w:tcBorders>
                    <w:left w:val="single" w:color="auto" w:sz="4" w:space="0"/>
                  </w:tcBorders>
                  <w:noWrap w:val="0"/>
                  <w:vAlign w:val="center"/>
                </w:tcPr>
                <w:p w14:paraId="49680D37">
                  <w:pPr>
                    <w:pStyle w:val="7"/>
                    <w:keepNext w:val="0"/>
                    <w:keepLines w:val="0"/>
                    <w:suppressLineNumbers w:val="0"/>
                    <w:bidi w:val="0"/>
                    <w:spacing w:before="0" w:beforeAutospacing="0" w:after="0" w:afterAutospacing="0"/>
                    <w:ind w:left="0" w:right="0"/>
                    <w:rPr>
                      <w:rFonts w:hint="default"/>
                    </w:rPr>
                  </w:pPr>
                  <w:r>
                    <w:rPr>
                      <w:rFonts w:hint="default"/>
                    </w:rPr>
                    <w:t>接</w:t>
                  </w:r>
                  <w:r>
                    <w:rPr>
                      <w:rFonts w:hint="default"/>
                      <w:lang w:val="en-US" w:eastAsia="zh-CN"/>
                    </w:rPr>
                    <w:t>市政</w:t>
                  </w:r>
                  <w:r>
                    <w:rPr>
                      <w:rFonts w:hint="default"/>
                    </w:rPr>
                    <w:t>电网</w:t>
                  </w:r>
                </w:p>
              </w:tc>
            </w:tr>
            <w:tr w14:paraId="3F485B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36" w:type="pct"/>
                  <w:noWrap w:val="0"/>
                  <w:vAlign w:val="center"/>
                </w:tcPr>
                <w:p w14:paraId="76145887">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w:t>
                  </w:r>
                </w:p>
              </w:tc>
              <w:tc>
                <w:tcPr>
                  <w:tcW w:w="1054" w:type="pct"/>
                  <w:noWrap w:val="0"/>
                  <w:vAlign w:val="center"/>
                </w:tcPr>
                <w:p w14:paraId="3709B747">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水</w:t>
                  </w:r>
                </w:p>
              </w:tc>
              <w:tc>
                <w:tcPr>
                  <w:tcW w:w="793" w:type="pct"/>
                  <w:noWrap w:val="0"/>
                  <w:vAlign w:val="center"/>
                </w:tcPr>
                <w:p w14:paraId="3BF21AEA">
                  <w:pPr>
                    <w:pStyle w:val="7"/>
                    <w:keepNext w:val="0"/>
                    <w:keepLines w:val="0"/>
                    <w:suppressLineNumbers w:val="0"/>
                    <w:bidi w:val="0"/>
                    <w:spacing w:before="0" w:beforeAutospacing="0" w:after="0" w:afterAutospacing="0"/>
                    <w:ind w:left="0" w:right="0"/>
                    <w:rPr>
                      <w:rFonts w:hint="default"/>
                      <w:lang w:val="zh-CN" w:eastAsia="zh-CN"/>
                    </w:rPr>
                  </w:pPr>
                  <w:r>
                    <w:rPr>
                      <w:rFonts w:hint="default"/>
                      <w:lang w:val="zh-CN" w:eastAsia="zh-CN"/>
                    </w:rPr>
                    <w:t>m</w:t>
                  </w:r>
                  <w:r>
                    <w:rPr>
                      <w:rFonts w:hint="default"/>
                      <w:vertAlign w:val="superscript"/>
                      <w:lang w:val="zh-CN" w:eastAsia="zh-CN"/>
                    </w:rPr>
                    <w:t>3</w:t>
                  </w:r>
                </w:p>
              </w:tc>
              <w:tc>
                <w:tcPr>
                  <w:tcW w:w="679" w:type="pct"/>
                  <w:tcBorders>
                    <w:right w:val="single" w:color="auto" w:sz="4" w:space="0"/>
                  </w:tcBorders>
                  <w:noWrap w:val="0"/>
                  <w:vAlign w:val="center"/>
                </w:tcPr>
                <w:p w14:paraId="2AA917C8">
                  <w:pPr>
                    <w:pStyle w:val="7"/>
                    <w:keepNext w:val="0"/>
                    <w:keepLines w:val="0"/>
                    <w:suppressLineNumbers w:val="0"/>
                    <w:bidi w:val="0"/>
                    <w:spacing w:before="0" w:beforeAutospacing="0" w:after="0" w:afterAutospacing="0"/>
                    <w:ind w:left="0" w:right="0"/>
                    <w:rPr>
                      <w:rFonts w:hint="default"/>
                      <w:lang w:val="en-US" w:eastAsia="zh-CN"/>
                    </w:rPr>
                  </w:pPr>
                  <w:r>
                    <w:rPr>
                      <w:rFonts w:hint="eastAsia"/>
                      <w:highlight w:val="none"/>
                      <w:lang w:val="en-US" w:eastAsia="zh-CN"/>
                    </w:rPr>
                    <w:t>2255</w:t>
                  </w:r>
                </w:p>
              </w:tc>
              <w:tc>
                <w:tcPr>
                  <w:tcW w:w="1736" w:type="pct"/>
                  <w:tcBorders>
                    <w:left w:val="single" w:color="auto" w:sz="4" w:space="0"/>
                  </w:tcBorders>
                  <w:noWrap w:val="0"/>
                  <w:vAlign w:val="center"/>
                </w:tcPr>
                <w:p w14:paraId="2705FE3A">
                  <w:pPr>
                    <w:pStyle w:val="7"/>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水车拉运</w:t>
                  </w:r>
                </w:p>
              </w:tc>
            </w:tr>
          </w:tbl>
          <w:p w14:paraId="665C4856">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w:t>
            </w:r>
            <w:r>
              <w:rPr>
                <w:rFonts w:hint="default"/>
                <w:lang w:val="en-US" w:eastAsia="zh-CN"/>
              </w:rPr>
              <w:t>.4</w:t>
            </w:r>
            <w:r>
              <w:rPr>
                <w:rFonts w:hint="eastAsia"/>
                <w:lang w:val="en-US" w:eastAsia="zh-CN"/>
              </w:rPr>
              <w:t xml:space="preserve"> </w:t>
            </w:r>
            <w:r>
              <w:rPr>
                <w:rFonts w:hint="default"/>
                <w:lang w:val="en-US" w:eastAsia="zh-CN"/>
              </w:rPr>
              <w:t>产品方案</w:t>
            </w:r>
          </w:p>
          <w:p w14:paraId="381E947C">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本项目产品方案见下表2-4。</w:t>
            </w:r>
          </w:p>
          <w:p w14:paraId="1F34BCB0">
            <w:pPr>
              <w:pStyle w:val="5"/>
              <w:suppressLineNumbers w:val="0"/>
              <w:bidi w:val="0"/>
              <w:spacing w:before="0" w:beforeAutospacing="0" w:after="0" w:afterAutospacing="0"/>
              <w:ind w:left="0" w:right="0"/>
              <w:rPr>
                <w:rFonts w:hint="default"/>
              </w:rPr>
            </w:pPr>
            <w:r>
              <w:rPr>
                <w:rFonts w:hint="default"/>
                <w:lang w:val="en-US" w:eastAsia="zh-CN"/>
              </w:rPr>
              <w:t xml:space="preserve">表2-4  </w:t>
            </w:r>
            <w:r>
              <w:rPr>
                <w:rFonts w:hint="default"/>
              </w:rPr>
              <w:t>项目主要产品及产能一览表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7"/>
              <w:gridCol w:w="3207"/>
              <w:gridCol w:w="2185"/>
            </w:tblGrid>
            <w:tr w14:paraId="72B4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25" w:type="pct"/>
                  <w:noWrap w:val="0"/>
                  <w:vAlign w:val="center"/>
                </w:tcPr>
                <w:p w14:paraId="25643E6F">
                  <w:pPr>
                    <w:pStyle w:val="7"/>
                    <w:keepNext w:val="0"/>
                    <w:keepLines w:val="0"/>
                    <w:suppressLineNumbers w:val="0"/>
                    <w:bidi w:val="0"/>
                    <w:spacing w:before="0" w:beforeAutospacing="0" w:after="0" w:afterAutospacing="0"/>
                    <w:ind w:left="0" w:right="0"/>
                    <w:rPr>
                      <w:rFonts w:hint="default"/>
                    </w:rPr>
                  </w:pPr>
                  <w:r>
                    <w:rPr>
                      <w:rFonts w:hint="default"/>
                    </w:rPr>
                    <w:t>产品</w:t>
                  </w:r>
                </w:p>
              </w:tc>
              <w:tc>
                <w:tcPr>
                  <w:tcW w:w="2066" w:type="pct"/>
                  <w:noWrap w:val="0"/>
                  <w:vAlign w:val="center"/>
                </w:tcPr>
                <w:p w14:paraId="6256D08F">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规格</w:t>
                  </w:r>
                </w:p>
              </w:tc>
              <w:tc>
                <w:tcPr>
                  <w:tcW w:w="1408" w:type="pct"/>
                  <w:noWrap w:val="0"/>
                  <w:vAlign w:val="center"/>
                </w:tcPr>
                <w:p w14:paraId="13285A51">
                  <w:pPr>
                    <w:pStyle w:val="7"/>
                    <w:keepNext w:val="0"/>
                    <w:keepLines w:val="0"/>
                    <w:suppressLineNumbers w:val="0"/>
                    <w:bidi w:val="0"/>
                    <w:spacing w:before="0" w:beforeAutospacing="0" w:after="0" w:afterAutospacing="0"/>
                    <w:ind w:left="0" w:right="0"/>
                    <w:rPr>
                      <w:rFonts w:hint="eastAsia" w:eastAsia="宋体"/>
                      <w:lang w:eastAsia="zh-CN"/>
                    </w:rPr>
                  </w:pPr>
                  <w:r>
                    <w:rPr>
                      <w:rFonts w:hint="eastAsia"/>
                      <w:lang w:val="en-US" w:eastAsia="zh-CN"/>
                    </w:rPr>
                    <w:t>年产量</w:t>
                  </w:r>
                  <w:r>
                    <w:rPr>
                      <w:rFonts w:hint="eastAsia"/>
                      <w:lang w:eastAsia="zh-CN"/>
                    </w:rPr>
                    <w:t>（</w:t>
                  </w:r>
                  <w:r>
                    <w:rPr>
                      <w:rFonts w:hint="eastAsia"/>
                      <w:lang w:val="en-US" w:eastAsia="zh-CN"/>
                    </w:rPr>
                    <w:t>万吨/年</w:t>
                  </w:r>
                  <w:r>
                    <w:rPr>
                      <w:rFonts w:hint="eastAsia"/>
                      <w:lang w:eastAsia="zh-CN"/>
                    </w:rPr>
                    <w:t>）</w:t>
                  </w:r>
                </w:p>
              </w:tc>
            </w:tr>
            <w:tr w14:paraId="2A2E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25" w:type="pct"/>
                  <w:vMerge w:val="restart"/>
                  <w:noWrap w:val="0"/>
                  <w:vAlign w:val="center"/>
                </w:tcPr>
                <w:p w14:paraId="45B67363">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钢筋混凝土</w:t>
                  </w:r>
                  <w:r>
                    <w:rPr>
                      <w:rFonts w:hint="eastAsia"/>
                      <w:lang w:val="en-US" w:eastAsia="zh-CN"/>
                    </w:rPr>
                    <w:t>U型板</w:t>
                  </w:r>
                  <w:r>
                    <w:rPr>
                      <w:rFonts w:hint="default"/>
                      <w:lang w:val="en-US" w:eastAsia="zh-CN"/>
                    </w:rPr>
                    <w:t>渠</w:t>
                  </w:r>
                </w:p>
              </w:tc>
              <w:tc>
                <w:tcPr>
                  <w:tcW w:w="2066" w:type="pct"/>
                  <w:noWrap w:val="0"/>
                  <w:vAlign w:val="center"/>
                </w:tcPr>
                <w:p w14:paraId="0158D28D">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高度</w:t>
                  </w:r>
                  <w:r>
                    <w:rPr>
                      <w:rFonts w:hint="eastAsia"/>
                      <w:lang w:val="en-US" w:eastAsia="zh-CN"/>
                    </w:rPr>
                    <w:t>2</w:t>
                  </w:r>
                  <w:r>
                    <w:rPr>
                      <w:rFonts w:hint="default"/>
                      <w:lang w:val="en-US" w:eastAsia="zh-CN"/>
                    </w:rPr>
                    <w:t>m</w:t>
                  </w:r>
                  <w:r>
                    <w:rPr>
                      <w:rFonts w:hint="default"/>
                      <w:lang w:eastAsia="zh-CN"/>
                    </w:rPr>
                    <w:t>，</w:t>
                  </w:r>
                  <w:r>
                    <w:rPr>
                      <w:rFonts w:hint="default"/>
                    </w:rPr>
                    <w:t>长度</w:t>
                  </w:r>
                  <w:r>
                    <w:rPr>
                      <w:rFonts w:hint="eastAsia"/>
                      <w:lang w:val="en-US" w:eastAsia="zh-CN"/>
                    </w:rPr>
                    <w:t>1.2m</w:t>
                  </w:r>
                  <w:r>
                    <w:rPr>
                      <w:rFonts w:hint="default"/>
                      <w:lang w:val="en-US" w:eastAsia="zh-CN"/>
                    </w:rPr>
                    <w:t>，底宽</w:t>
                  </w:r>
                  <w:r>
                    <w:rPr>
                      <w:rFonts w:hint="eastAsia"/>
                      <w:lang w:val="en-US" w:eastAsia="zh-CN"/>
                    </w:rPr>
                    <w:t>1.2</w:t>
                  </w:r>
                  <w:r>
                    <w:rPr>
                      <w:rFonts w:hint="default"/>
                      <w:lang w:val="en-US" w:eastAsia="zh-CN"/>
                    </w:rPr>
                    <w:t>m</w:t>
                  </w:r>
                </w:p>
              </w:tc>
              <w:tc>
                <w:tcPr>
                  <w:tcW w:w="1408" w:type="pct"/>
                  <w:vMerge w:val="restart"/>
                  <w:noWrap w:val="0"/>
                  <w:vAlign w:val="center"/>
                </w:tcPr>
                <w:p w14:paraId="1B35562E">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w:t>
                  </w:r>
                </w:p>
              </w:tc>
            </w:tr>
            <w:tr w14:paraId="08DF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25" w:type="pct"/>
                  <w:vMerge w:val="continue"/>
                  <w:noWrap w:val="0"/>
                  <w:vAlign w:val="center"/>
                </w:tcPr>
                <w:p w14:paraId="62FEC1EF">
                  <w:pPr>
                    <w:pStyle w:val="7"/>
                    <w:keepNext w:val="0"/>
                    <w:keepLines w:val="0"/>
                    <w:suppressLineNumbers w:val="0"/>
                    <w:bidi w:val="0"/>
                    <w:spacing w:before="0" w:beforeAutospacing="0" w:after="0" w:afterAutospacing="0"/>
                    <w:ind w:left="0" w:right="0"/>
                    <w:rPr>
                      <w:rFonts w:hint="default"/>
                    </w:rPr>
                  </w:pPr>
                </w:p>
              </w:tc>
              <w:tc>
                <w:tcPr>
                  <w:tcW w:w="2066" w:type="pct"/>
                  <w:noWrap w:val="0"/>
                  <w:vAlign w:val="center"/>
                </w:tcPr>
                <w:p w14:paraId="612F4AA8">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高度</w:t>
                  </w:r>
                  <w:r>
                    <w:rPr>
                      <w:rFonts w:hint="eastAsia"/>
                      <w:lang w:val="en-US" w:eastAsia="zh-CN"/>
                    </w:rPr>
                    <w:t>2</w:t>
                  </w:r>
                  <w:r>
                    <w:rPr>
                      <w:rFonts w:hint="default"/>
                      <w:lang w:val="en-US" w:eastAsia="zh-CN"/>
                    </w:rPr>
                    <w:t>m，</w:t>
                  </w:r>
                  <w:r>
                    <w:rPr>
                      <w:rFonts w:hint="default"/>
                    </w:rPr>
                    <w:t>长度</w:t>
                  </w:r>
                  <w:r>
                    <w:rPr>
                      <w:rFonts w:hint="eastAsia"/>
                      <w:lang w:val="en-US" w:eastAsia="zh-CN"/>
                    </w:rPr>
                    <w:t>1.0m</w:t>
                  </w:r>
                  <w:r>
                    <w:rPr>
                      <w:rFonts w:hint="default"/>
                      <w:lang w:eastAsia="zh-CN"/>
                    </w:rPr>
                    <w:t>，</w:t>
                  </w:r>
                  <w:r>
                    <w:rPr>
                      <w:rFonts w:hint="default"/>
                      <w:lang w:val="en-US" w:eastAsia="zh-CN"/>
                    </w:rPr>
                    <w:t>底宽</w:t>
                  </w:r>
                  <w:r>
                    <w:rPr>
                      <w:rFonts w:hint="eastAsia"/>
                      <w:lang w:val="en-US" w:eastAsia="zh-CN"/>
                    </w:rPr>
                    <w:t>1.0</w:t>
                  </w:r>
                  <w:r>
                    <w:rPr>
                      <w:rFonts w:hint="default"/>
                      <w:lang w:val="en-US" w:eastAsia="zh-CN"/>
                    </w:rPr>
                    <w:t>m</w:t>
                  </w:r>
                </w:p>
              </w:tc>
              <w:tc>
                <w:tcPr>
                  <w:tcW w:w="1408" w:type="pct"/>
                  <w:vMerge w:val="continue"/>
                  <w:noWrap w:val="0"/>
                  <w:vAlign w:val="center"/>
                </w:tcPr>
                <w:p w14:paraId="3CF6E1FB">
                  <w:pPr>
                    <w:pStyle w:val="7"/>
                    <w:keepNext w:val="0"/>
                    <w:keepLines w:val="0"/>
                    <w:suppressLineNumbers w:val="0"/>
                    <w:bidi w:val="0"/>
                    <w:spacing w:before="0" w:beforeAutospacing="0" w:after="0" w:afterAutospacing="0"/>
                    <w:ind w:left="0" w:right="0"/>
                    <w:rPr>
                      <w:rFonts w:hint="default"/>
                      <w:lang w:val="en-US" w:eastAsia="zh-CN"/>
                    </w:rPr>
                  </w:pPr>
                </w:p>
              </w:tc>
            </w:tr>
            <w:tr w14:paraId="3E7C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25" w:type="pct"/>
                  <w:vMerge w:val="continue"/>
                  <w:noWrap w:val="0"/>
                  <w:vAlign w:val="center"/>
                </w:tcPr>
                <w:p w14:paraId="60A2BF7E">
                  <w:pPr>
                    <w:pStyle w:val="7"/>
                    <w:keepNext w:val="0"/>
                    <w:keepLines w:val="0"/>
                    <w:suppressLineNumbers w:val="0"/>
                    <w:bidi w:val="0"/>
                    <w:spacing w:before="0" w:beforeAutospacing="0" w:after="0" w:afterAutospacing="0"/>
                    <w:ind w:left="0" w:right="0"/>
                    <w:rPr>
                      <w:rFonts w:hint="default"/>
                      <w:lang w:val="en-US" w:eastAsia="zh-CN"/>
                    </w:rPr>
                  </w:pPr>
                </w:p>
              </w:tc>
              <w:tc>
                <w:tcPr>
                  <w:tcW w:w="2066" w:type="pct"/>
                  <w:noWrap w:val="0"/>
                  <w:vAlign w:val="center"/>
                </w:tcPr>
                <w:p w14:paraId="64C73D0B">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高度</w:t>
                  </w:r>
                  <w:r>
                    <w:rPr>
                      <w:rFonts w:hint="eastAsia"/>
                      <w:lang w:val="en-US" w:eastAsia="zh-CN"/>
                    </w:rPr>
                    <w:t>2</w:t>
                  </w:r>
                  <w:r>
                    <w:rPr>
                      <w:rFonts w:hint="default"/>
                      <w:lang w:val="en-US" w:eastAsia="zh-CN"/>
                    </w:rPr>
                    <w:t>m，</w:t>
                  </w:r>
                  <w:r>
                    <w:rPr>
                      <w:rFonts w:hint="default"/>
                    </w:rPr>
                    <w:t>长度</w:t>
                  </w:r>
                  <w:r>
                    <w:rPr>
                      <w:rFonts w:hint="eastAsia"/>
                      <w:lang w:val="en-US" w:eastAsia="zh-CN"/>
                    </w:rPr>
                    <w:t>0.8m</w:t>
                  </w:r>
                  <w:r>
                    <w:rPr>
                      <w:rFonts w:hint="default"/>
                      <w:lang w:eastAsia="zh-CN"/>
                    </w:rPr>
                    <w:t>，</w:t>
                  </w:r>
                  <w:r>
                    <w:rPr>
                      <w:rFonts w:hint="default"/>
                      <w:lang w:val="en-US" w:eastAsia="zh-CN"/>
                    </w:rPr>
                    <w:t>底宽</w:t>
                  </w:r>
                  <w:r>
                    <w:rPr>
                      <w:rFonts w:hint="eastAsia"/>
                      <w:lang w:val="en-US" w:eastAsia="zh-CN"/>
                    </w:rPr>
                    <w:t>0.8</w:t>
                  </w:r>
                  <w:r>
                    <w:rPr>
                      <w:rFonts w:hint="default"/>
                      <w:lang w:val="en-US" w:eastAsia="zh-CN"/>
                    </w:rPr>
                    <w:t>m</w:t>
                  </w:r>
                </w:p>
              </w:tc>
              <w:tc>
                <w:tcPr>
                  <w:tcW w:w="1408" w:type="pct"/>
                  <w:vMerge w:val="continue"/>
                  <w:noWrap w:val="0"/>
                  <w:vAlign w:val="center"/>
                </w:tcPr>
                <w:p w14:paraId="6F4F2F4B">
                  <w:pPr>
                    <w:pStyle w:val="7"/>
                    <w:keepNext w:val="0"/>
                    <w:keepLines w:val="0"/>
                    <w:suppressLineNumbers w:val="0"/>
                    <w:bidi w:val="0"/>
                    <w:spacing w:before="0" w:beforeAutospacing="0" w:after="0" w:afterAutospacing="0"/>
                    <w:ind w:left="0" w:right="0"/>
                    <w:rPr>
                      <w:rFonts w:hint="default"/>
                      <w:lang w:val="en-US" w:eastAsia="zh-CN"/>
                    </w:rPr>
                  </w:pPr>
                </w:p>
              </w:tc>
            </w:tr>
          </w:tbl>
          <w:p w14:paraId="50DC7241">
            <w:pPr>
              <w:pStyle w:val="5"/>
              <w:suppressLineNumbers w:val="0"/>
              <w:bidi w:val="0"/>
              <w:spacing w:before="0" w:beforeAutospacing="0" w:after="0" w:afterAutospacing="0"/>
              <w:ind w:left="0" w:right="0"/>
              <w:rPr>
                <w:rFonts w:hint="default"/>
                <w:lang w:val="en-US" w:eastAsia="zh-CN"/>
              </w:rPr>
            </w:pPr>
            <w:r>
              <w:rPr>
                <w:rFonts w:hint="default"/>
                <w:lang w:val="en-US" w:eastAsia="zh-CN"/>
              </w:rPr>
              <w:t>表2-5  物料平衡表</w:t>
            </w:r>
          </w:p>
          <w:tbl>
            <w:tblPr>
              <w:tblStyle w:val="3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777"/>
              <w:gridCol w:w="1704"/>
              <w:gridCol w:w="1743"/>
              <w:gridCol w:w="1613"/>
            </w:tblGrid>
            <w:tr w14:paraId="47C5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pct"/>
                  <w:gridSpan w:val="3"/>
                  <w:noWrap w:val="0"/>
                  <w:vAlign w:val="center"/>
                </w:tcPr>
                <w:p w14:paraId="5CB5B39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投入</w:t>
                  </w:r>
                </w:p>
              </w:tc>
              <w:tc>
                <w:tcPr>
                  <w:tcW w:w="2162" w:type="pct"/>
                  <w:gridSpan w:val="2"/>
                  <w:noWrap w:val="0"/>
                  <w:vAlign w:val="center"/>
                </w:tcPr>
                <w:p w14:paraId="161F10B3">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产出</w:t>
                  </w:r>
                </w:p>
              </w:tc>
            </w:tr>
            <w:tr w14:paraId="30E9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noWrap w:val="0"/>
                  <w:vAlign w:val="center"/>
                </w:tcPr>
                <w:p w14:paraId="3854E782">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生产线</w:t>
                  </w:r>
                </w:p>
              </w:tc>
              <w:tc>
                <w:tcPr>
                  <w:tcW w:w="1145" w:type="pct"/>
                  <w:noWrap w:val="0"/>
                  <w:vAlign w:val="center"/>
                </w:tcPr>
                <w:p w14:paraId="65E2284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物料名称</w:t>
                  </w:r>
                </w:p>
              </w:tc>
              <w:tc>
                <w:tcPr>
                  <w:tcW w:w="1098" w:type="pct"/>
                  <w:noWrap w:val="0"/>
                  <w:vAlign w:val="center"/>
                </w:tcPr>
                <w:p w14:paraId="279A184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年耗量</w:t>
                  </w:r>
                  <w:r>
                    <w:rPr>
                      <w:rFonts w:hint="eastAsia"/>
                      <w:lang w:val="en-US" w:eastAsia="zh-CN"/>
                    </w:rPr>
                    <w:t>（t/a）</w:t>
                  </w:r>
                </w:p>
              </w:tc>
              <w:tc>
                <w:tcPr>
                  <w:tcW w:w="1123" w:type="pct"/>
                  <w:noWrap w:val="0"/>
                  <w:vAlign w:val="center"/>
                </w:tcPr>
                <w:p w14:paraId="7F8768F5">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物料名称</w:t>
                  </w:r>
                </w:p>
              </w:tc>
              <w:tc>
                <w:tcPr>
                  <w:tcW w:w="1039" w:type="pct"/>
                  <w:noWrap w:val="0"/>
                  <w:vAlign w:val="center"/>
                </w:tcPr>
                <w:p w14:paraId="1593372E">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年产生量（t/a）</w:t>
                  </w:r>
                </w:p>
              </w:tc>
            </w:tr>
            <w:tr w14:paraId="0F970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restart"/>
                  <w:noWrap w:val="0"/>
                  <w:vAlign w:val="center"/>
                </w:tcPr>
                <w:p w14:paraId="7F0AADCC">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钢筋混凝土U型板渠</w:t>
                  </w:r>
                </w:p>
              </w:tc>
              <w:tc>
                <w:tcPr>
                  <w:tcW w:w="1145" w:type="pct"/>
                  <w:noWrap w:val="0"/>
                  <w:vAlign w:val="center"/>
                </w:tcPr>
                <w:p w14:paraId="7BAB82C5">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default"/>
                    </w:rPr>
                    <w:t>水泥</w:t>
                  </w:r>
                </w:p>
              </w:tc>
              <w:tc>
                <w:tcPr>
                  <w:tcW w:w="1098" w:type="pct"/>
                  <w:noWrap w:val="0"/>
                  <w:vAlign w:val="center"/>
                </w:tcPr>
                <w:p w14:paraId="3DFE01A0">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5163</w:t>
                  </w:r>
                </w:p>
              </w:tc>
              <w:tc>
                <w:tcPr>
                  <w:tcW w:w="1123" w:type="pct"/>
                  <w:vMerge w:val="restart"/>
                  <w:noWrap w:val="0"/>
                  <w:vAlign w:val="center"/>
                </w:tcPr>
                <w:p w14:paraId="0F1FC445">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钢筋混凝土U型板渠</w:t>
                  </w:r>
                </w:p>
              </w:tc>
              <w:tc>
                <w:tcPr>
                  <w:tcW w:w="1039" w:type="pct"/>
                  <w:vMerge w:val="restart"/>
                  <w:noWrap w:val="0"/>
                  <w:vAlign w:val="center"/>
                </w:tcPr>
                <w:p w14:paraId="2722E13D">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30000</w:t>
                  </w:r>
                </w:p>
                <w:p w14:paraId="3D1831BC">
                  <w:pPr>
                    <w:pStyle w:val="7"/>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（含水1500）</w:t>
                  </w:r>
                </w:p>
              </w:tc>
            </w:tr>
            <w:tr w14:paraId="037A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noWrap w:val="0"/>
                  <w:vAlign w:val="center"/>
                </w:tcPr>
                <w:p w14:paraId="1921EF1A">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5AB0D873">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default"/>
                    </w:rPr>
                    <w:t>石子</w:t>
                  </w:r>
                </w:p>
              </w:tc>
              <w:tc>
                <w:tcPr>
                  <w:tcW w:w="1098" w:type="pct"/>
                  <w:noWrap w:val="0"/>
                  <w:vAlign w:val="center"/>
                </w:tcPr>
                <w:p w14:paraId="4FAE0C71">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12828.36</w:t>
                  </w:r>
                </w:p>
              </w:tc>
              <w:tc>
                <w:tcPr>
                  <w:tcW w:w="1123" w:type="pct"/>
                  <w:vMerge w:val="continue"/>
                  <w:shd w:val="clear" w:color="auto" w:fill="auto"/>
                  <w:noWrap w:val="0"/>
                  <w:vAlign w:val="center"/>
                </w:tcPr>
                <w:p w14:paraId="7AD8F2F0">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p>
              </w:tc>
              <w:tc>
                <w:tcPr>
                  <w:tcW w:w="1039" w:type="pct"/>
                  <w:vMerge w:val="continue"/>
                  <w:shd w:val="clear" w:color="auto" w:fill="auto"/>
                  <w:noWrap w:val="0"/>
                  <w:vAlign w:val="center"/>
                </w:tcPr>
                <w:p w14:paraId="4689D180">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highlight w:val="yellow"/>
                      <w:lang w:val="en-US" w:eastAsia="zh-CN" w:bidi="ar-SA"/>
                    </w:rPr>
                  </w:pPr>
                </w:p>
              </w:tc>
            </w:tr>
            <w:tr w14:paraId="1ADF8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noWrap w:val="0"/>
                  <w:vAlign w:val="center"/>
                </w:tcPr>
                <w:p w14:paraId="2916FBCD">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047A60FE">
                  <w:pPr>
                    <w:pStyle w:val="7"/>
                    <w:keepNext w:val="0"/>
                    <w:keepLines w:val="0"/>
                    <w:suppressLineNumbers w:val="0"/>
                    <w:bidi w:val="0"/>
                    <w:spacing w:before="0" w:beforeAutospacing="0" w:after="0" w:afterAutospacing="0"/>
                    <w:ind w:left="0" w:right="0" w:firstLine="0" w:firstLineChars="0"/>
                    <w:rPr>
                      <w:rFonts w:hint="eastAsia"/>
                      <w:lang w:val="en-US" w:eastAsia="zh-CN"/>
                    </w:rPr>
                  </w:pPr>
                  <w:r>
                    <w:rPr>
                      <w:rFonts w:hint="default"/>
                      <w:lang w:eastAsia="zh-CN"/>
                    </w:rPr>
                    <w:t>砂子</w:t>
                  </w:r>
                </w:p>
              </w:tc>
              <w:tc>
                <w:tcPr>
                  <w:tcW w:w="1098" w:type="pct"/>
                  <w:noWrap w:val="0"/>
                  <w:vAlign w:val="center"/>
                </w:tcPr>
                <w:p w14:paraId="1726358D">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10000</w:t>
                  </w:r>
                </w:p>
              </w:tc>
              <w:tc>
                <w:tcPr>
                  <w:tcW w:w="1123" w:type="pct"/>
                  <w:vMerge w:val="continue"/>
                  <w:noWrap w:val="0"/>
                  <w:vAlign w:val="center"/>
                </w:tcPr>
                <w:p w14:paraId="2F269BDB">
                  <w:pPr>
                    <w:pStyle w:val="7"/>
                    <w:keepNext w:val="0"/>
                    <w:keepLines w:val="0"/>
                    <w:suppressLineNumbers w:val="0"/>
                    <w:bidi w:val="0"/>
                    <w:spacing w:before="0" w:beforeAutospacing="0" w:after="0" w:afterAutospacing="0"/>
                    <w:ind w:left="0" w:right="0"/>
                    <w:rPr>
                      <w:rFonts w:hint="default"/>
                      <w:lang w:val="en-US" w:eastAsia="zh-CN"/>
                    </w:rPr>
                  </w:pPr>
                </w:p>
              </w:tc>
              <w:tc>
                <w:tcPr>
                  <w:tcW w:w="1039" w:type="pct"/>
                  <w:vMerge w:val="continue"/>
                  <w:noWrap w:val="0"/>
                  <w:vAlign w:val="center"/>
                </w:tcPr>
                <w:p w14:paraId="2878B340">
                  <w:pPr>
                    <w:pStyle w:val="7"/>
                    <w:keepNext w:val="0"/>
                    <w:keepLines w:val="0"/>
                    <w:suppressLineNumbers w:val="0"/>
                    <w:bidi w:val="0"/>
                    <w:spacing w:before="0" w:beforeAutospacing="0" w:after="0" w:afterAutospacing="0"/>
                    <w:ind w:left="0" w:right="0"/>
                    <w:rPr>
                      <w:rFonts w:hint="default"/>
                      <w:highlight w:val="yellow"/>
                      <w:lang w:val="en-US" w:eastAsia="zh-CN"/>
                    </w:rPr>
                  </w:pPr>
                </w:p>
              </w:tc>
            </w:tr>
            <w:tr w14:paraId="49BD8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594" w:type="pct"/>
                  <w:vMerge w:val="continue"/>
                  <w:noWrap w:val="0"/>
                  <w:vAlign w:val="center"/>
                </w:tcPr>
                <w:p w14:paraId="42C989C1">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472EEF13">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default"/>
                      <w:lang w:eastAsia="zh-CN"/>
                    </w:rPr>
                    <w:t>钢筋</w:t>
                  </w:r>
                </w:p>
              </w:tc>
              <w:tc>
                <w:tcPr>
                  <w:tcW w:w="1098" w:type="pct"/>
                  <w:noWrap w:val="0"/>
                  <w:vAlign w:val="center"/>
                </w:tcPr>
                <w:p w14:paraId="3D9E74AD">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400</w:t>
                  </w:r>
                </w:p>
              </w:tc>
              <w:tc>
                <w:tcPr>
                  <w:tcW w:w="1123" w:type="pct"/>
                  <w:vMerge w:val="continue"/>
                  <w:noWrap w:val="0"/>
                  <w:vAlign w:val="center"/>
                </w:tcPr>
                <w:p w14:paraId="69EABCE9">
                  <w:pPr>
                    <w:pStyle w:val="7"/>
                    <w:keepNext w:val="0"/>
                    <w:keepLines w:val="0"/>
                    <w:suppressLineNumbers w:val="0"/>
                    <w:bidi w:val="0"/>
                    <w:spacing w:before="0" w:beforeAutospacing="0" w:after="0" w:afterAutospacing="0"/>
                    <w:ind w:left="0" w:right="0"/>
                    <w:rPr>
                      <w:rFonts w:hint="default"/>
                      <w:lang w:val="en-US" w:eastAsia="zh-CN"/>
                    </w:rPr>
                  </w:pPr>
                </w:p>
              </w:tc>
              <w:tc>
                <w:tcPr>
                  <w:tcW w:w="1039" w:type="pct"/>
                  <w:vMerge w:val="continue"/>
                  <w:noWrap w:val="0"/>
                  <w:vAlign w:val="center"/>
                </w:tcPr>
                <w:p w14:paraId="3C1C3AD5">
                  <w:pPr>
                    <w:pStyle w:val="7"/>
                    <w:keepNext w:val="0"/>
                    <w:keepLines w:val="0"/>
                    <w:suppressLineNumbers w:val="0"/>
                    <w:bidi w:val="0"/>
                    <w:spacing w:before="0" w:beforeAutospacing="0" w:after="0" w:afterAutospacing="0"/>
                    <w:ind w:left="0" w:right="0"/>
                    <w:rPr>
                      <w:rFonts w:hint="default"/>
                      <w:highlight w:val="yellow"/>
                      <w:lang w:val="en-US" w:eastAsia="zh-CN"/>
                    </w:rPr>
                  </w:pPr>
                </w:p>
              </w:tc>
            </w:tr>
            <w:tr w14:paraId="72B2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noWrap w:val="0"/>
                  <w:vAlign w:val="center"/>
                </w:tcPr>
                <w:p w14:paraId="0BD5C1B0">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4C69AEBA">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default"/>
                      <w:lang w:eastAsia="zh-CN"/>
                    </w:rPr>
                    <w:t>脱模剂</w:t>
                  </w:r>
                </w:p>
              </w:tc>
              <w:tc>
                <w:tcPr>
                  <w:tcW w:w="1098" w:type="pct"/>
                  <w:noWrap w:val="0"/>
                  <w:vAlign w:val="center"/>
                </w:tcPr>
                <w:p w14:paraId="3A96DD34">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0.1</w:t>
                  </w:r>
                </w:p>
              </w:tc>
              <w:tc>
                <w:tcPr>
                  <w:tcW w:w="1123" w:type="pct"/>
                  <w:vMerge w:val="continue"/>
                  <w:noWrap w:val="0"/>
                  <w:vAlign w:val="center"/>
                </w:tcPr>
                <w:p w14:paraId="6A27D2DE">
                  <w:pPr>
                    <w:pStyle w:val="7"/>
                    <w:keepNext w:val="0"/>
                    <w:keepLines w:val="0"/>
                    <w:suppressLineNumbers w:val="0"/>
                    <w:bidi w:val="0"/>
                    <w:spacing w:before="0" w:beforeAutospacing="0" w:after="0" w:afterAutospacing="0"/>
                    <w:ind w:left="0" w:right="0"/>
                    <w:rPr>
                      <w:rFonts w:hint="default"/>
                      <w:lang w:val="en-US" w:eastAsia="zh-CN"/>
                    </w:rPr>
                  </w:pPr>
                </w:p>
              </w:tc>
              <w:tc>
                <w:tcPr>
                  <w:tcW w:w="1039" w:type="pct"/>
                  <w:vMerge w:val="continue"/>
                  <w:noWrap w:val="0"/>
                  <w:vAlign w:val="center"/>
                </w:tcPr>
                <w:p w14:paraId="3B429BE9">
                  <w:pPr>
                    <w:pStyle w:val="7"/>
                    <w:keepNext w:val="0"/>
                    <w:keepLines w:val="0"/>
                    <w:suppressLineNumbers w:val="0"/>
                    <w:bidi w:val="0"/>
                    <w:spacing w:before="0" w:beforeAutospacing="0" w:after="0" w:afterAutospacing="0"/>
                    <w:ind w:left="0" w:right="0"/>
                    <w:rPr>
                      <w:rFonts w:hint="default"/>
                      <w:lang w:val="en-US" w:eastAsia="zh-CN"/>
                    </w:rPr>
                  </w:pPr>
                </w:p>
              </w:tc>
            </w:tr>
            <w:tr w14:paraId="23F9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noWrap w:val="0"/>
                  <w:vAlign w:val="center"/>
                </w:tcPr>
                <w:p w14:paraId="117B1B66">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2EAFEE70">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高性能减水剂</w:t>
                  </w:r>
                </w:p>
              </w:tc>
              <w:tc>
                <w:tcPr>
                  <w:tcW w:w="1098" w:type="pct"/>
                  <w:noWrap w:val="0"/>
                  <w:vAlign w:val="center"/>
                </w:tcPr>
                <w:p w14:paraId="54B7DCFD">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108</w:t>
                  </w:r>
                </w:p>
              </w:tc>
              <w:tc>
                <w:tcPr>
                  <w:tcW w:w="1123" w:type="pct"/>
                  <w:vMerge w:val="continue"/>
                  <w:noWrap w:val="0"/>
                  <w:vAlign w:val="center"/>
                </w:tcPr>
                <w:p w14:paraId="4F84FF5D">
                  <w:pPr>
                    <w:pStyle w:val="7"/>
                    <w:keepNext w:val="0"/>
                    <w:keepLines w:val="0"/>
                    <w:suppressLineNumbers w:val="0"/>
                    <w:bidi w:val="0"/>
                    <w:spacing w:before="0" w:beforeAutospacing="0" w:after="0" w:afterAutospacing="0"/>
                    <w:ind w:left="0" w:right="0"/>
                    <w:rPr>
                      <w:rFonts w:hint="default"/>
                      <w:lang w:val="en-US" w:eastAsia="zh-CN"/>
                    </w:rPr>
                  </w:pPr>
                </w:p>
              </w:tc>
              <w:tc>
                <w:tcPr>
                  <w:tcW w:w="1039" w:type="pct"/>
                  <w:vMerge w:val="continue"/>
                  <w:noWrap w:val="0"/>
                  <w:vAlign w:val="center"/>
                </w:tcPr>
                <w:p w14:paraId="6B5E40A3">
                  <w:pPr>
                    <w:pStyle w:val="7"/>
                    <w:keepNext w:val="0"/>
                    <w:keepLines w:val="0"/>
                    <w:suppressLineNumbers w:val="0"/>
                    <w:bidi w:val="0"/>
                    <w:spacing w:before="0" w:beforeAutospacing="0" w:after="0" w:afterAutospacing="0"/>
                    <w:ind w:left="0" w:right="0"/>
                    <w:rPr>
                      <w:rFonts w:hint="default"/>
                      <w:lang w:val="en-US" w:eastAsia="zh-CN"/>
                    </w:rPr>
                  </w:pPr>
                </w:p>
              </w:tc>
            </w:tr>
            <w:tr w14:paraId="2FA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4" w:type="pct"/>
                  <w:vMerge w:val="continue"/>
                  <w:noWrap w:val="0"/>
                  <w:vAlign w:val="center"/>
                </w:tcPr>
                <w:p w14:paraId="3DC7F057">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4A609216">
                  <w:pPr>
                    <w:pStyle w:val="7"/>
                    <w:keepNext w:val="0"/>
                    <w:keepLines w:val="0"/>
                    <w:suppressLineNumbers w:val="0"/>
                    <w:bidi w:val="0"/>
                    <w:spacing w:before="0" w:beforeAutospacing="0" w:after="0" w:afterAutospacing="0"/>
                    <w:ind w:left="0" w:right="0" w:firstLine="0" w:firstLineChars="0"/>
                    <w:rPr>
                      <w:rFonts w:hint="eastAsia"/>
                      <w:lang w:val="en-US" w:eastAsia="zh-CN"/>
                    </w:rPr>
                  </w:pPr>
                  <w:r>
                    <w:rPr>
                      <w:rFonts w:hint="eastAsia"/>
                      <w:lang w:val="en-US" w:eastAsia="zh-CN"/>
                    </w:rPr>
                    <w:t>引气剂</w:t>
                  </w:r>
                </w:p>
              </w:tc>
              <w:tc>
                <w:tcPr>
                  <w:tcW w:w="1098" w:type="pct"/>
                  <w:noWrap w:val="0"/>
                  <w:vAlign w:val="center"/>
                </w:tcPr>
                <w:p w14:paraId="60424F1A">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0.54</w:t>
                  </w:r>
                </w:p>
              </w:tc>
              <w:tc>
                <w:tcPr>
                  <w:tcW w:w="1123" w:type="pct"/>
                  <w:vMerge w:val="continue"/>
                  <w:noWrap w:val="0"/>
                  <w:vAlign w:val="center"/>
                </w:tcPr>
                <w:p w14:paraId="74C02DB5">
                  <w:pPr>
                    <w:pStyle w:val="7"/>
                    <w:keepNext w:val="0"/>
                    <w:keepLines w:val="0"/>
                    <w:suppressLineNumbers w:val="0"/>
                    <w:bidi w:val="0"/>
                    <w:spacing w:before="0" w:beforeAutospacing="0" w:after="0" w:afterAutospacing="0"/>
                    <w:ind w:left="0" w:right="0" w:firstLine="0" w:firstLineChars="0"/>
                    <w:rPr>
                      <w:rFonts w:hint="eastAsia"/>
                      <w:lang w:val="en-US" w:eastAsia="zh-CN"/>
                    </w:rPr>
                  </w:pPr>
                </w:p>
              </w:tc>
              <w:tc>
                <w:tcPr>
                  <w:tcW w:w="1039" w:type="pct"/>
                  <w:vMerge w:val="continue"/>
                  <w:noWrap w:val="0"/>
                  <w:vAlign w:val="center"/>
                </w:tcPr>
                <w:p w14:paraId="35E21117">
                  <w:pPr>
                    <w:pStyle w:val="7"/>
                    <w:keepNext w:val="0"/>
                    <w:keepLines w:val="0"/>
                    <w:suppressLineNumbers w:val="0"/>
                    <w:bidi w:val="0"/>
                    <w:spacing w:before="0" w:beforeAutospacing="0" w:after="0" w:afterAutospacing="0"/>
                    <w:ind w:left="0" w:right="0" w:firstLine="0" w:firstLineChars="0"/>
                    <w:rPr>
                      <w:rFonts w:hint="eastAsia"/>
                      <w:lang w:val="en-US" w:eastAsia="zh-CN"/>
                    </w:rPr>
                  </w:pPr>
                </w:p>
              </w:tc>
            </w:tr>
            <w:tr w14:paraId="4ACF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94" w:type="pct"/>
                  <w:vMerge w:val="continue"/>
                  <w:noWrap w:val="0"/>
                  <w:vAlign w:val="center"/>
                </w:tcPr>
                <w:p w14:paraId="03CAE255">
                  <w:pPr>
                    <w:pStyle w:val="7"/>
                    <w:keepNext w:val="0"/>
                    <w:keepLines w:val="0"/>
                    <w:suppressLineNumbers w:val="0"/>
                    <w:bidi w:val="0"/>
                    <w:spacing w:before="0" w:beforeAutospacing="0" w:after="0" w:afterAutospacing="0"/>
                    <w:ind w:left="0" w:right="0"/>
                    <w:rPr>
                      <w:rFonts w:hint="default"/>
                      <w:lang w:val="en-US" w:eastAsia="zh-CN"/>
                    </w:rPr>
                  </w:pPr>
                </w:p>
              </w:tc>
              <w:tc>
                <w:tcPr>
                  <w:tcW w:w="1145" w:type="pct"/>
                  <w:noWrap w:val="0"/>
                  <w:vAlign w:val="center"/>
                </w:tcPr>
                <w:p w14:paraId="678F066D">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水</w:t>
                  </w:r>
                </w:p>
              </w:tc>
              <w:tc>
                <w:tcPr>
                  <w:tcW w:w="1098" w:type="pct"/>
                  <w:noWrap w:val="0"/>
                  <w:vAlign w:val="center"/>
                </w:tcPr>
                <w:p w14:paraId="49B8BF3D">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1620</w:t>
                  </w:r>
                </w:p>
              </w:tc>
              <w:tc>
                <w:tcPr>
                  <w:tcW w:w="1123" w:type="pct"/>
                  <w:noWrap w:val="0"/>
                  <w:vAlign w:val="center"/>
                </w:tcPr>
                <w:p w14:paraId="14C42EA9">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蒸发损耗</w:t>
                  </w:r>
                </w:p>
              </w:tc>
              <w:tc>
                <w:tcPr>
                  <w:tcW w:w="1039" w:type="pct"/>
                  <w:noWrap w:val="0"/>
                  <w:vAlign w:val="center"/>
                </w:tcPr>
                <w:p w14:paraId="4A291FA0">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highlight w:val="none"/>
                      <w:lang w:val="en-US" w:eastAsia="zh-CN"/>
                    </w:rPr>
                    <w:t>120</w:t>
                  </w:r>
                </w:p>
              </w:tc>
            </w:tr>
            <w:tr w14:paraId="2359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739" w:type="pct"/>
                  <w:gridSpan w:val="2"/>
                  <w:noWrap w:val="0"/>
                  <w:vAlign w:val="center"/>
                </w:tcPr>
                <w:p w14:paraId="7836BCC2">
                  <w:pPr>
                    <w:pStyle w:val="7"/>
                    <w:keepNext w:val="0"/>
                    <w:keepLines w:val="0"/>
                    <w:suppressLineNumbers w:val="0"/>
                    <w:bidi w:val="0"/>
                    <w:spacing w:before="0" w:beforeAutospacing="0" w:after="0" w:afterAutospacing="0"/>
                    <w:ind w:left="0" w:right="0" w:firstLine="0" w:firstLineChars="0"/>
                    <w:rPr>
                      <w:rFonts w:hint="eastAsia" w:eastAsia="宋体"/>
                      <w:lang w:val="en-US" w:eastAsia="zh-CN"/>
                    </w:rPr>
                  </w:pPr>
                  <w:r>
                    <w:rPr>
                      <w:rFonts w:hint="eastAsia"/>
                      <w:lang w:val="en-US" w:eastAsia="zh-CN"/>
                    </w:rPr>
                    <w:t>合计</w:t>
                  </w:r>
                </w:p>
              </w:tc>
              <w:tc>
                <w:tcPr>
                  <w:tcW w:w="1098" w:type="pct"/>
                  <w:noWrap w:val="0"/>
                  <w:vAlign w:val="center"/>
                </w:tcPr>
                <w:p w14:paraId="38573B46">
                  <w:pPr>
                    <w:pStyle w:val="7"/>
                    <w:keepNext w:val="0"/>
                    <w:keepLines w:val="0"/>
                    <w:suppressLineNumbers w:val="0"/>
                    <w:bidi w:val="0"/>
                    <w:spacing w:before="0" w:beforeAutospacing="0" w:after="0" w:afterAutospacing="0"/>
                    <w:ind w:left="0" w:right="0" w:firstLine="0" w:firstLineChars="0"/>
                    <w:rPr>
                      <w:rFonts w:hint="default" w:eastAsia="宋体"/>
                      <w:lang w:val="en-US" w:eastAsia="zh-CN"/>
                    </w:rPr>
                  </w:pPr>
                  <w:r>
                    <w:rPr>
                      <w:rFonts w:hint="eastAsia"/>
                      <w:lang w:val="en-US" w:eastAsia="zh-CN"/>
                    </w:rPr>
                    <w:t>30120</w:t>
                  </w:r>
                </w:p>
              </w:tc>
              <w:tc>
                <w:tcPr>
                  <w:tcW w:w="1123" w:type="pct"/>
                  <w:noWrap w:val="0"/>
                  <w:vAlign w:val="center"/>
                </w:tcPr>
                <w:p w14:paraId="08FF21CB">
                  <w:pPr>
                    <w:pStyle w:val="7"/>
                    <w:keepNext w:val="0"/>
                    <w:keepLines w:val="0"/>
                    <w:suppressLineNumbers w:val="0"/>
                    <w:bidi w:val="0"/>
                    <w:spacing w:before="0" w:beforeAutospacing="0" w:after="0" w:afterAutospacing="0"/>
                    <w:ind w:left="0" w:right="0" w:firstLine="0" w:firstLineChars="0"/>
                    <w:rPr>
                      <w:rFonts w:hint="default"/>
                      <w:lang w:val="en-US" w:eastAsia="zh-CN"/>
                    </w:rPr>
                  </w:pPr>
                  <w:r>
                    <w:rPr>
                      <w:rFonts w:hint="eastAsia"/>
                      <w:lang w:val="en-US" w:eastAsia="zh-CN"/>
                    </w:rPr>
                    <w:t>合计</w:t>
                  </w:r>
                </w:p>
              </w:tc>
              <w:tc>
                <w:tcPr>
                  <w:tcW w:w="1039" w:type="pct"/>
                  <w:noWrap w:val="0"/>
                  <w:vAlign w:val="center"/>
                </w:tcPr>
                <w:p w14:paraId="2A773DE6">
                  <w:pPr>
                    <w:pStyle w:val="7"/>
                    <w:keepNext w:val="0"/>
                    <w:keepLines w:val="0"/>
                    <w:suppressLineNumbers w:val="0"/>
                    <w:bidi w:val="0"/>
                    <w:spacing w:before="0" w:beforeAutospacing="0" w:after="0" w:afterAutospacing="0"/>
                    <w:ind w:left="0" w:right="0" w:firstLine="0" w:firstLineChars="0"/>
                    <w:rPr>
                      <w:rFonts w:hint="default"/>
                      <w:highlight w:val="none"/>
                      <w:lang w:val="en-US" w:eastAsia="zh-CN"/>
                    </w:rPr>
                  </w:pPr>
                  <w:r>
                    <w:rPr>
                      <w:rFonts w:hint="eastAsia"/>
                      <w:highlight w:val="none"/>
                      <w:lang w:val="en-US" w:eastAsia="zh-CN"/>
                    </w:rPr>
                    <w:t>30120</w:t>
                  </w:r>
                </w:p>
              </w:tc>
            </w:tr>
          </w:tbl>
          <w:p w14:paraId="1FF9EC18">
            <w:pPr>
              <w:pStyle w:val="3"/>
              <w:keepLines w:val="0"/>
              <w:suppressLineNumbers w:val="0"/>
              <w:bidi w:val="0"/>
              <w:spacing w:before="0" w:beforeAutospacing="0" w:after="0" w:afterAutospacing="0"/>
              <w:ind w:right="0"/>
              <w:rPr>
                <w:rFonts w:hint="default"/>
              </w:rPr>
            </w:pPr>
            <w:r>
              <w:rPr>
                <w:rFonts w:hint="eastAsia"/>
                <w:lang w:val="en-US" w:eastAsia="zh-CN"/>
              </w:rPr>
              <w:t>3</w:t>
            </w:r>
            <w:r>
              <w:rPr>
                <w:rFonts w:hint="default"/>
              </w:rPr>
              <w:t>.</w:t>
            </w:r>
            <w:r>
              <w:rPr>
                <w:rFonts w:hint="default"/>
                <w:lang w:val="en-US" w:eastAsia="zh-CN"/>
              </w:rPr>
              <w:t>5</w:t>
            </w:r>
            <w:r>
              <w:rPr>
                <w:rFonts w:hint="eastAsia"/>
                <w:lang w:val="en-US" w:eastAsia="zh-CN"/>
              </w:rPr>
              <w:t xml:space="preserve"> </w:t>
            </w:r>
            <w:r>
              <w:rPr>
                <w:rFonts w:hint="default"/>
              </w:rPr>
              <w:t>劳动定员</w:t>
            </w:r>
            <w:r>
              <w:rPr>
                <w:rFonts w:hint="default"/>
                <w:lang w:val="zh-CN"/>
              </w:rPr>
              <w:t>及生产制度</w:t>
            </w:r>
          </w:p>
          <w:p w14:paraId="7799B4D1">
            <w:pPr>
              <w:keepNext w:val="0"/>
              <w:keepLines w:val="0"/>
              <w:suppressLineNumbers w:val="0"/>
              <w:bidi w:val="0"/>
              <w:spacing w:before="0" w:beforeAutospacing="0" w:after="0" w:afterAutospacing="0"/>
              <w:ind w:left="0" w:right="0"/>
              <w:rPr>
                <w:rFonts w:hint="default"/>
                <w:lang w:val="en-US" w:eastAsia="zh-CN"/>
              </w:rPr>
            </w:pPr>
            <w:r>
              <w:rPr>
                <w:rFonts w:hint="default"/>
              </w:rPr>
              <w:t>本项目劳动定员为</w:t>
            </w:r>
            <w:r>
              <w:rPr>
                <w:rFonts w:hint="eastAsia"/>
                <w:lang w:val="en-US" w:eastAsia="zh-CN"/>
              </w:rPr>
              <w:t>13</w:t>
            </w:r>
            <w:r>
              <w:rPr>
                <w:rFonts w:hint="default"/>
              </w:rPr>
              <w:t>人，</w:t>
            </w:r>
            <w:r>
              <w:rPr>
                <w:rFonts w:hint="eastAsia"/>
                <w:lang w:val="en-US" w:eastAsia="zh-CN"/>
              </w:rPr>
              <w:t>均不在厂内食宿，</w:t>
            </w:r>
            <w:r>
              <w:rPr>
                <w:rFonts w:hint="default"/>
              </w:rPr>
              <w:t>年工作天数为</w:t>
            </w:r>
            <w:r>
              <w:rPr>
                <w:rFonts w:hint="eastAsia"/>
                <w:lang w:val="en-US" w:eastAsia="zh-CN"/>
              </w:rPr>
              <w:t>24</w:t>
            </w:r>
            <w:r>
              <w:rPr>
                <w:rFonts w:hint="default"/>
                <w:lang w:val="en-US" w:eastAsia="zh-CN"/>
              </w:rPr>
              <w:t>0</w:t>
            </w:r>
            <w:r>
              <w:rPr>
                <w:rFonts w:hint="default"/>
              </w:rPr>
              <w:t>天，</w:t>
            </w:r>
            <w:r>
              <w:rPr>
                <w:rFonts w:hint="default"/>
                <w:lang w:val="en-US" w:eastAsia="zh-CN"/>
              </w:rPr>
              <w:t>冬季不生产，每天1班，</w:t>
            </w:r>
            <w:r>
              <w:rPr>
                <w:rFonts w:hint="default"/>
              </w:rPr>
              <w:t>每班工作8小时</w:t>
            </w:r>
            <w:r>
              <w:rPr>
                <w:rFonts w:hint="eastAsia"/>
                <w:lang w:eastAsia="zh-CN"/>
              </w:rPr>
              <w:t>，</w:t>
            </w:r>
            <w:r>
              <w:rPr>
                <w:rFonts w:hint="eastAsia"/>
                <w:lang w:val="en-US" w:eastAsia="zh-CN"/>
              </w:rPr>
              <w:t>年工作1920小时。</w:t>
            </w:r>
          </w:p>
          <w:p w14:paraId="79AE13E0">
            <w:pPr>
              <w:pStyle w:val="3"/>
              <w:keepLines w:val="0"/>
              <w:suppressLineNumbers w:val="0"/>
              <w:bidi w:val="0"/>
              <w:spacing w:before="0" w:beforeAutospacing="0" w:after="0" w:afterAutospacing="0"/>
              <w:ind w:right="0"/>
              <w:rPr>
                <w:rFonts w:hint="default" w:ascii="Times New Roman" w:hAnsi="Times New Roman" w:cs="Times New Roman"/>
                <w:b/>
                <w:bCs/>
                <w:color w:val="000000"/>
                <w:sz w:val="28"/>
                <w:highlight w:val="none"/>
              </w:rPr>
            </w:pPr>
            <w:r>
              <w:rPr>
                <w:rStyle w:val="50"/>
                <w:rFonts w:hint="eastAsia"/>
                <w:b/>
                <w:bCs/>
                <w:lang w:val="en-US" w:eastAsia="zh-CN"/>
              </w:rPr>
              <w:t>3</w:t>
            </w:r>
            <w:r>
              <w:rPr>
                <w:rStyle w:val="50"/>
                <w:rFonts w:hint="default"/>
                <w:b/>
                <w:bCs/>
              </w:rPr>
              <w:t>.</w:t>
            </w:r>
            <w:r>
              <w:rPr>
                <w:rStyle w:val="50"/>
                <w:rFonts w:hint="default"/>
                <w:b/>
                <w:bCs/>
                <w:lang w:val="en-US" w:eastAsia="zh-CN"/>
              </w:rPr>
              <w:t>6</w:t>
            </w:r>
            <w:r>
              <w:rPr>
                <w:rStyle w:val="50"/>
                <w:rFonts w:hint="eastAsia"/>
                <w:b/>
                <w:bCs/>
                <w:lang w:val="en-US" w:eastAsia="zh-CN"/>
              </w:rPr>
              <w:t xml:space="preserve"> </w:t>
            </w:r>
            <w:r>
              <w:rPr>
                <w:rStyle w:val="50"/>
                <w:rFonts w:hint="default"/>
                <w:b/>
                <w:bCs/>
              </w:rPr>
              <w:t>项目给排水情况</w:t>
            </w:r>
          </w:p>
          <w:p w14:paraId="2DD990F2">
            <w:pPr>
              <w:keepNext w:val="0"/>
              <w:keepLines w:val="0"/>
              <w:suppressLineNumbers w:val="0"/>
              <w:bidi w:val="0"/>
              <w:spacing w:before="0" w:beforeAutospacing="0" w:after="0" w:afterAutospacing="0"/>
              <w:ind w:left="0" w:right="0"/>
              <w:rPr>
                <w:rFonts w:hint="default"/>
              </w:rPr>
            </w:pPr>
            <w:r>
              <w:rPr>
                <w:rFonts w:hint="default"/>
              </w:rPr>
              <w:t>本项目</w:t>
            </w:r>
            <w:r>
              <w:rPr>
                <w:rFonts w:hint="eastAsia"/>
                <w:lang w:val="en-US" w:eastAsia="zh-CN"/>
              </w:rPr>
              <w:t>用水由水车拉运</w:t>
            </w:r>
            <w:r>
              <w:rPr>
                <w:rFonts w:hint="default"/>
              </w:rPr>
              <w:t>供给，能够保障项目用水，</w:t>
            </w:r>
            <w:r>
              <w:rPr>
                <w:rFonts w:hint="eastAsia"/>
                <w:lang w:val="en-US" w:eastAsia="zh-CN"/>
              </w:rPr>
              <w:t>项目</w:t>
            </w:r>
            <w:r>
              <w:rPr>
                <w:rFonts w:hint="default"/>
              </w:rPr>
              <w:t>用水主要为</w:t>
            </w:r>
            <w:r>
              <w:rPr>
                <w:rFonts w:hint="eastAsia"/>
                <w:lang w:val="en-US" w:eastAsia="zh-CN"/>
              </w:rPr>
              <w:t>脱模剂用水、</w:t>
            </w:r>
            <w:r>
              <w:rPr>
                <w:rFonts w:hint="default"/>
              </w:rPr>
              <w:t>搅拌用水、搅拌设备清洗用水、</w:t>
            </w:r>
            <w:r>
              <w:rPr>
                <w:rFonts w:hint="eastAsia"/>
                <w:lang w:val="en-US" w:eastAsia="zh-CN"/>
              </w:rPr>
              <w:t>模具清洗用水、成品养护用水、生活</w:t>
            </w:r>
            <w:r>
              <w:rPr>
                <w:rFonts w:hint="default"/>
              </w:rPr>
              <w:t>用水。</w:t>
            </w:r>
          </w:p>
          <w:p w14:paraId="250F92A7">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w:t>
            </w:r>
            <w:r>
              <w:rPr>
                <w:rFonts w:hint="eastAsia"/>
                <w:lang w:val="en-US" w:eastAsia="zh-CN"/>
              </w:rPr>
              <w:t>1</w:t>
            </w:r>
            <w:r>
              <w:rPr>
                <w:rFonts w:hint="default"/>
                <w:lang w:val="en-US" w:eastAsia="zh-CN"/>
              </w:rPr>
              <w:t>）脱模剂用水</w:t>
            </w:r>
          </w:p>
          <w:p w14:paraId="46C393D0">
            <w:pPr>
              <w:keepNext w:val="0"/>
              <w:keepLines w:val="0"/>
              <w:suppressLineNumbers w:val="0"/>
              <w:bidi w:val="0"/>
              <w:spacing w:before="0" w:beforeAutospacing="0" w:after="0" w:afterAutospacing="0"/>
              <w:ind w:left="0" w:right="0"/>
              <w:rPr>
                <w:rFonts w:hint="default"/>
              </w:rPr>
            </w:pPr>
            <w:r>
              <w:rPr>
                <w:rFonts w:hint="default"/>
                <w:lang w:val="en-US" w:eastAsia="zh-CN"/>
              </w:rPr>
              <w:t>根据业主提供资料，本项目脱模剂需溶于水中形成脱模剂溶液后使用，比例为1:50，年使用脱模剂为0.1t，则脱模剂用水为</w:t>
            </w:r>
            <w:r>
              <w:rPr>
                <w:rFonts w:hint="eastAsia"/>
                <w:lang w:val="en-US" w:eastAsia="zh-CN"/>
              </w:rPr>
              <w:t>5</w:t>
            </w:r>
            <w:r>
              <w:rPr>
                <w:rFonts w:hint="default"/>
                <w:lang w:val="en-US" w:eastAsia="zh-CN"/>
              </w:rPr>
              <w:t>m</w:t>
            </w:r>
            <w:r>
              <w:rPr>
                <w:rFonts w:hint="default"/>
                <w:vertAlign w:val="superscript"/>
                <w:lang w:val="en-US" w:eastAsia="zh-CN"/>
              </w:rPr>
              <w:t>3</w:t>
            </w:r>
            <w:r>
              <w:rPr>
                <w:rFonts w:hint="eastAsia"/>
                <w:lang w:val="en-US" w:eastAsia="zh-CN"/>
              </w:rPr>
              <w:t>/a</w:t>
            </w:r>
            <w:r>
              <w:rPr>
                <w:rFonts w:hint="default"/>
                <w:lang w:val="en-US" w:eastAsia="zh-CN"/>
              </w:rPr>
              <w:t>，用水全部自然蒸发，不外排。</w:t>
            </w:r>
          </w:p>
          <w:p w14:paraId="3167B079">
            <w:pPr>
              <w:keepNext w:val="0"/>
              <w:keepLines w:val="0"/>
              <w:suppressLineNumbers w:val="0"/>
              <w:bidi w:val="0"/>
              <w:spacing w:before="0" w:beforeAutospacing="0" w:after="0" w:afterAutospacing="0"/>
              <w:ind w:left="0" w:right="0"/>
              <w:rPr>
                <w:rFonts w:hint="default"/>
              </w:rPr>
            </w:pPr>
            <w:r>
              <w:rPr>
                <w:rFonts w:hint="default"/>
              </w:rPr>
              <w:t>（</w:t>
            </w:r>
            <w:r>
              <w:rPr>
                <w:rFonts w:hint="eastAsia"/>
                <w:lang w:val="en-US" w:eastAsia="zh-CN"/>
              </w:rPr>
              <w:t>2</w:t>
            </w:r>
            <w:r>
              <w:rPr>
                <w:rFonts w:hint="default"/>
              </w:rPr>
              <w:t>）搅拌用水</w:t>
            </w:r>
          </w:p>
          <w:p w14:paraId="1912015F">
            <w:pPr>
              <w:keepNext w:val="0"/>
              <w:keepLines w:val="0"/>
              <w:suppressLineNumbers w:val="0"/>
              <w:bidi w:val="0"/>
              <w:spacing w:before="0" w:beforeAutospacing="0" w:after="0" w:afterAutospacing="0"/>
              <w:ind w:left="0" w:right="0"/>
              <w:rPr>
                <w:rFonts w:hint="default"/>
              </w:rPr>
            </w:pPr>
            <w:r>
              <w:rPr>
                <w:rFonts w:hint="default"/>
              </w:rPr>
              <w:t>根据业主提供的资料，生产时搅拌工序用水</w:t>
            </w:r>
            <w:r>
              <w:rPr>
                <w:rFonts w:hint="eastAsia"/>
                <w:lang w:val="en-US" w:eastAsia="zh-CN"/>
              </w:rPr>
              <w:t>1620</w:t>
            </w:r>
            <w:r>
              <w:rPr>
                <w:rFonts w:hint="default"/>
              </w:rPr>
              <w:t>m</w:t>
            </w:r>
            <w:r>
              <w:rPr>
                <w:rFonts w:hint="default"/>
                <w:vertAlign w:val="superscript"/>
              </w:rPr>
              <w:t>3</w:t>
            </w:r>
            <w:r>
              <w:rPr>
                <w:rFonts w:hint="default"/>
              </w:rPr>
              <w:t>/a，此部分用水进入产品，</w:t>
            </w:r>
            <w:r>
              <w:rPr>
                <w:rFonts w:hint="default"/>
                <w:lang w:val="en-US" w:eastAsia="zh-CN"/>
              </w:rPr>
              <w:t>或自然蒸发，不外排</w:t>
            </w:r>
            <w:r>
              <w:rPr>
                <w:rFonts w:hint="default"/>
              </w:rPr>
              <w:t>。</w:t>
            </w:r>
          </w:p>
          <w:p w14:paraId="00741812">
            <w:pPr>
              <w:keepNext w:val="0"/>
              <w:keepLines w:val="0"/>
              <w:suppressLineNumbers w:val="0"/>
              <w:bidi w:val="0"/>
              <w:spacing w:before="0" w:beforeAutospacing="0" w:after="0" w:afterAutospacing="0"/>
              <w:ind w:left="0" w:right="0"/>
              <w:rPr>
                <w:rFonts w:hint="default"/>
              </w:rPr>
            </w:pPr>
            <w:r>
              <w:rPr>
                <w:rFonts w:hint="default"/>
              </w:rPr>
              <w:t>（</w:t>
            </w:r>
            <w:r>
              <w:rPr>
                <w:rFonts w:hint="eastAsia"/>
                <w:lang w:val="en-US" w:eastAsia="zh-CN"/>
              </w:rPr>
              <w:t>3</w:t>
            </w:r>
            <w:r>
              <w:rPr>
                <w:rFonts w:hint="default"/>
              </w:rPr>
              <w:t>）搅拌设备清洗用水</w:t>
            </w:r>
          </w:p>
          <w:p w14:paraId="6B989F16">
            <w:pPr>
              <w:keepNext w:val="0"/>
              <w:keepLines w:val="0"/>
              <w:suppressLineNumbers w:val="0"/>
              <w:bidi w:val="0"/>
              <w:spacing w:before="0" w:beforeAutospacing="0" w:after="0" w:afterAutospacing="0"/>
              <w:ind w:left="0" w:right="0"/>
              <w:rPr>
                <w:rFonts w:hint="default"/>
                <w:lang w:val="en-US" w:eastAsia="zh-CN"/>
              </w:rPr>
            </w:pPr>
            <w:r>
              <w:rPr>
                <w:rFonts w:hint="default"/>
              </w:rPr>
              <w:t>搅拌设备在停止生产后，为利于下次生产，</w:t>
            </w:r>
            <w:r>
              <w:rPr>
                <w:rFonts w:hint="eastAsia"/>
                <w:lang w:eastAsia="zh-CN"/>
              </w:rPr>
              <w:t>搅拌器</w:t>
            </w:r>
            <w:r>
              <w:rPr>
                <w:rFonts w:hint="default"/>
              </w:rPr>
              <w:t>需要清洗干净，停止生产原因有生产节奏的问题及设备检修问题。按</w:t>
            </w:r>
            <w:r>
              <w:rPr>
                <w:rFonts w:hint="eastAsia"/>
                <w:lang w:eastAsia="zh-CN"/>
              </w:rPr>
              <w:t>搅拌器</w:t>
            </w:r>
            <w:r>
              <w:rPr>
                <w:rFonts w:hint="default"/>
              </w:rPr>
              <w:t>平均每天冲洗水一次，每次冲洗水</w:t>
            </w:r>
            <w:r>
              <w:rPr>
                <w:rFonts w:hint="default"/>
                <w:lang w:val="en-US" w:eastAsia="zh-CN"/>
              </w:rPr>
              <w:t>用量为</w:t>
            </w:r>
            <w:r>
              <w:rPr>
                <w:rFonts w:hint="default"/>
              </w:rPr>
              <w:t>1.0m</w:t>
            </w:r>
            <w:r>
              <w:rPr>
                <w:rFonts w:hint="default"/>
                <w:vertAlign w:val="superscript"/>
              </w:rPr>
              <w:t>3</w:t>
            </w:r>
            <w:r>
              <w:rPr>
                <w:rFonts w:hint="default"/>
              </w:rPr>
              <w:t>，年用水量</w:t>
            </w:r>
            <w:r>
              <w:rPr>
                <w:rFonts w:hint="eastAsia"/>
                <w:lang w:val="en-US" w:eastAsia="zh-CN"/>
              </w:rPr>
              <w:t>240</w:t>
            </w:r>
            <w:r>
              <w:rPr>
                <w:rFonts w:hint="default"/>
              </w:rPr>
              <w:t>m</w:t>
            </w:r>
            <w:r>
              <w:rPr>
                <w:rFonts w:hint="default"/>
                <w:vertAlign w:val="superscript"/>
              </w:rPr>
              <w:t>3</w:t>
            </w:r>
            <w:r>
              <w:rPr>
                <w:rFonts w:hint="default"/>
              </w:rPr>
              <w:t>/a。废水产生量按用水量的</w:t>
            </w:r>
            <w:r>
              <w:rPr>
                <w:rFonts w:hint="eastAsia"/>
                <w:lang w:val="en-US" w:eastAsia="zh-CN"/>
              </w:rPr>
              <w:t>0.8</w:t>
            </w:r>
            <w:r>
              <w:rPr>
                <w:rFonts w:hint="default"/>
              </w:rPr>
              <w:t>计，废水产生量为</w:t>
            </w:r>
            <w:r>
              <w:rPr>
                <w:rFonts w:hint="eastAsia"/>
                <w:lang w:val="en-US" w:eastAsia="zh-CN"/>
              </w:rPr>
              <w:t>0.8</w:t>
            </w:r>
            <w:r>
              <w:rPr>
                <w:rFonts w:hint="default"/>
              </w:rPr>
              <w:t>m</w:t>
            </w:r>
            <w:r>
              <w:rPr>
                <w:rFonts w:hint="default"/>
                <w:vertAlign w:val="superscript"/>
              </w:rPr>
              <w:t>3</w:t>
            </w:r>
            <w:r>
              <w:rPr>
                <w:rFonts w:hint="default"/>
              </w:rPr>
              <w:t>/d（</w:t>
            </w:r>
            <w:r>
              <w:rPr>
                <w:rFonts w:hint="eastAsia"/>
                <w:lang w:val="en-US" w:eastAsia="zh-CN"/>
              </w:rPr>
              <w:t>192</w:t>
            </w:r>
            <w:r>
              <w:rPr>
                <w:rFonts w:hint="default"/>
              </w:rPr>
              <w:t>m</w:t>
            </w:r>
            <w:r>
              <w:rPr>
                <w:rFonts w:hint="default"/>
                <w:vertAlign w:val="superscript"/>
              </w:rPr>
              <w:t>3</w:t>
            </w:r>
            <w:r>
              <w:rPr>
                <w:rFonts w:hint="default"/>
              </w:rPr>
              <w:t>/a）。</w:t>
            </w:r>
            <w:r>
              <w:rPr>
                <w:rFonts w:hint="default"/>
                <w:lang w:val="en-US" w:eastAsia="zh-CN"/>
              </w:rPr>
              <w:t>排入沉淀池沉淀后，用于</w:t>
            </w:r>
            <w:r>
              <w:rPr>
                <w:rFonts w:hint="eastAsia"/>
                <w:lang w:val="en-US" w:eastAsia="zh-CN"/>
              </w:rPr>
              <w:t>成品养护</w:t>
            </w:r>
            <w:r>
              <w:rPr>
                <w:rFonts w:hint="default"/>
                <w:lang w:val="en-US" w:eastAsia="zh-CN"/>
              </w:rPr>
              <w:t>，不外排。</w:t>
            </w:r>
          </w:p>
          <w:p w14:paraId="20E5C803">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w:t>
            </w:r>
            <w:r>
              <w:rPr>
                <w:rFonts w:hint="eastAsia"/>
                <w:lang w:val="en-US" w:eastAsia="zh-CN"/>
              </w:rPr>
              <w:t>4</w:t>
            </w:r>
            <w:r>
              <w:rPr>
                <w:rFonts w:hint="default"/>
                <w:lang w:val="en-US" w:eastAsia="zh-CN"/>
              </w:rPr>
              <w:t>）</w:t>
            </w:r>
            <w:r>
              <w:rPr>
                <w:rFonts w:hint="eastAsia"/>
                <w:lang w:val="en-US" w:eastAsia="zh-CN"/>
              </w:rPr>
              <w:t>模具清洗</w:t>
            </w:r>
            <w:r>
              <w:rPr>
                <w:rFonts w:hint="default"/>
                <w:lang w:val="en-US" w:eastAsia="zh-CN"/>
              </w:rPr>
              <w:t>用水</w:t>
            </w:r>
          </w:p>
          <w:p w14:paraId="02472202">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根据业主提供资料，本项目</w:t>
            </w:r>
            <w:r>
              <w:rPr>
                <w:rFonts w:hint="eastAsia"/>
                <w:lang w:val="en-US" w:eastAsia="zh-CN"/>
              </w:rPr>
              <w:t>模具清洗用水</w:t>
            </w:r>
            <w:r>
              <w:rPr>
                <w:rFonts w:hint="default"/>
                <w:lang w:val="en-US" w:eastAsia="zh-CN"/>
              </w:rPr>
              <w:t>量为</w:t>
            </w:r>
            <w:r>
              <w:rPr>
                <w:rFonts w:hint="eastAsia"/>
                <w:lang w:val="en-US" w:eastAsia="zh-CN"/>
              </w:rPr>
              <w:t>0.5</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120</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废水产生量按用水量的0.8计</w:t>
            </w:r>
            <w:r>
              <w:rPr>
                <w:rFonts w:hint="default"/>
                <w:lang w:val="en-US" w:eastAsia="zh-CN"/>
              </w:rPr>
              <w:t>。</w:t>
            </w:r>
            <w:r>
              <w:rPr>
                <w:rFonts w:hint="eastAsia"/>
                <w:lang w:val="en-US" w:eastAsia="zh-CN"/>
              </w:rPr>
              <w:t>则模具废水的产生量为0.4m</w:t>
            </w:r>
            <w:r>
              <w:rPr>
                <w:rFonts w:hint="eastAsia"/>
                <w:vertAlign w:val="superscript"/>
                <w:lang w:val="en-US" w:eastAsia="zh-CN"/>
              </w:rPr>
              <w:t>3</w:t>
            </w:r>
            <w:r>
              <w:rPr>
                <w:rFonts w:hint="eastAsia"/>
                <w:lang w:val="en-US" w:eastAsia="zh-CN"/>
              </w:rPr>
              <w:t>/d（96m</w:t>
            </w:r>
            <w:r>
              <w:rPr>
                <w:rFonts w:hint="eastAsia"/>
                <w:vertAlign w:val="superscript"/>
                <w:lang w:val="en-US" w:eastAsia="zh-CN"/>
              </w:rPr>
              <w:t>3</w:t>
            </w:r>
            <w:r>
              <w:rPr>
                <w:rFonts w:hint="eastAsia"/>
                <w:lang w:val="en-US" w:eastAsia="zh-CN"/>
              </w:rPr>
              <w:t>/a），</w:t>
            </w:r>
            <w:r>
              <w:rPr>
                <w:rFonts w:hint="default"/>
                <w:lang w:val="en-US" w:eastAsia="zh-CN"/>
              </w:rPr>
              <w:t>排入</w:t>
            </w:r>
            <w:r>
              <w:rPr>
                <w:rFonts w:hint="eastAsia"/>
                <w:lang w:val="en-US" w:eastAsia="zh-CN"/>
              </w:rPr>
              <w:t>沉淀池沉淀</w:t>
            </w:r>
            <w:r>
              <w:rPr>
                <w:rFonts w:hint="default"/>
                <w:lang w:val="en-US" w:eastAsia="zh-CN"/>
              </w:rPr>
              <w:t>后，用于</w:t>
            </w:r>
            <w:r>
              <w:rPr>
                <w:rFonts w:hint="eastAsia"/>
                <w:lang w:val="en-US" w:eastAsia="zh-CN"/>
              </w:rPr>
              <w:t>成品养护</w:t>
            </w:r>
            <w:r>
              <w:rPr>
                <w:rFonts w:hint="default"/>
                <w:lang w:val="en-US" w:eastAsia="zh-CN"/>
              </w:rPr>
              <w:t>，不外排。</w:t>
            </w:r>
          </w:p>
          <w:p w14:paraId="7C295CCC">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（5）洒水降尘用水</w:t>
            </w:r>
          </w:p>
          <w:p w14:paraId="02C8009F">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根据业主提供资料，本项目</w:t>
            </w:r>
            <w:r>
              <w:rPr>
                <w:rFonts w:hint="eastAsia"/>
                <w:lang w:val="en-US" w:eastAsia="zh-CN"/>
              </w:rPr>
              <w:t>成品养护</w:t>
            </w:r>
            <w:r>
              <w:rPr>
                <w:rFonts w:hint="default"/>
                <w:lang w:val="en-US" w:eastAsia="zh-CN"/>
              </w:rPr>
              <w:t>用水量为0.5m</w:t>
            </w:r>
            <w:r>
              <w:rPr>
                <w:rFonts w:hint="default"/>
                <w:vertAlign w:val="superscript"/>
                <w:lang w:val="en-US" w:eastAsia="zh-CN"/>
              </w:rPr>
              <w:t>3</w:t>
            </w:r>
            <w:r>
              <w:rPr>
                <w:rFonts w:hint="default"/>
                <w:lang w:val="en-US" w:eastAsia="zh-CN"/>
              </w:rPr>
              <w:t>/d（120m3/a），用水全部自然蒸发，不外排。</w:t>
            </w:r>
          </w:p>
          <w:p w14:paraId="1789E4F5">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（6）成品养护用水</w:t>
            </w:r>
          </w:p>
          <w:p w14:paraId="640B08E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根据业主提供资料，本项目</w:t>
            </w:r>
            <w:r>
              <w:rPr>
                <w:rFonts w:hint="eastAsia"/>
                <w:lang w:val="en-US" w:eastAsia="zh-CN"/>
              </w:rPr>
              <w:t>成品养护</w:t>
            </w:r>
            <w:r>
              <w:rPr>
                <w:rFonts w:hint="default"/>
                <w:lang w:val="en-US" w:eastAsia="zh-CN"/>
              </w:rPr>
              <w:t>用水量为</w:t>
            </w:r>
            <w:r>
              <w:rPr>
                <w:rFonts w:hint="eastAsia"/>
                <w:lang w:val="en-US" w:eastAsia="zh-CN"/>
              </w:rPr>
              <w:t>1.5</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，年用水量为360</w:t>
            </w:r>
            <w:r>
              <w:rPr>
                <w:rFonts w:hint="default"/>
                <w:lang w:val="en-US" w:eastAsia="zh-CN"/>
              </w:rPr>
              <w:t>m</w:t>
            </w:r>
            <w:r>
              <w:rPr>
                <w:rFonts w:hint="default"/>
                <w:vertAlign w:val="superscript"/>
                <w:lang w:val="en-US" w:eastAsia="zh-CN"/>
              </w:rPr>
              <w:t>3</w:t>
            </w:r>
            <w:r>
              <w:rPr>
                <w:rFonts w:hint="eastAsia"/>
                <w:lang w:val="en-US" w:eastAsia="zh-CN"/>
              </w:rPr>
              <w:t>（其中288m</w:t>
            </w:r>
            <w:r>
              <w:rPr>
                <w:rFonts w:hint="eastAsia"/>
                <w:vertAlign w:val="superscript"/>
                <w:lang w:val="en-US" w:eastAsia="zh-CN"/>
              </w:rPr>
              <w:t>3</w:t>
            </w:r>
            <w:r>
              <w:rPr>
                <w:rFonts w:hint="eastAsia"/>
                <w:lang w:val="en-US" w:eastAsia="zh-CN"/>
              </w:rPr>
              <w:t>来自沉淀池回用水，72m</w:t>
            </w:r>
            <w:r>
              <w:rPr>
                <w:rFonts w:hint="eastAsia"/>
                <w:vertAlign w:val="superscript"/>
                <w:lang w:val="en-US" w:eastAsia="zh-CN"/>
              </w:rPr>
              <w:t>3</w:t>
            </w:r>
            <w:r>
              <w:rPr>
                <w:rFonts w:hint="eastAsia"/>
                <w:lang w:val="en-US" w:eastAsia="zh-CN"/>
              </w:rPr>
              <w:t>为新鲜水），用水全部自然蒸发，不外排。</w:t>
            </w:r>
          </w:p>
          <w:p w14:paraId="6F61FF4E">
            <w:pPr>
              <w:keepNext w:val="0"/>
              <w:keepLines w:val="0"/>
              <w:suppressLineNumbers w:val="0"/>
              <w:bidi w:val="0"/>
              <w:spacing w:before="0" w:beforeAutospacing="0" w:after="0" w:afterAutospacing="0"/>
              <w:ind w:left="0" w:right="0"/>
              <w:rPr>
                <w:rFonts w:hint="default"/>
              </w:rPr>
            </w:pPr>
            <w:r>
              <w:rPr>
                <w:rFonts w:hint="default"/>
              </w:rPr>
              <w:t>（</w:t>
            </w:r>
            <w:r>
              <w:rPr>
                <w:rFonts w:hint="eastAsia"/>
                <w:lang w:val="en-US" w:eastAsia="zh-CN"/>
              </w:rPr>
              <w:t>7</w:t>
            </w:r>
            <w:r>
              <w:rPr>
                <w:rFonts w:hint="default"/>
              </w:rPr>
              <w:t>）</w:t>
            </w:r>
            <w:r>
              <w:rPr>
                <w:rFonts w:hint="eastAsia"/>
                <w:lang w:val="en-US" w:eastAsia="zh-CN"/>
              </w:rPr>
              <w:t>生活</w:t>
            </w:r>
            <w:r>
              <w:rPr>
                <w:rFonts w:hint="default"/>
              </w:rPr>
              <w:t>用水</w:t>
            </w:r>
          </w:p>
          <w:p w14:paraId="0EA905D4">
            <w:pPr>
              <w:keepNext w:val="0"/>
              <w:keepLines w:val="0"/>
              <w:suppressLineNumbers w:val="0"/>
              <w:bidi w:val="0"/>
              <w:spacing w:before="0" w:beforeAutospacing="0" w:after="0" w:afterAutospacing="0"/>
              <w:ind w:left="0" w:right="0"/>
              <w:rPr>
                <w:rFonts w:hint="eastAsia"/>
                <w:lang w:val="en-US" w:eastAsia="zh-CN"/>
              </w:rPr>
            </w:pPr>
            <w:r>
              <w:rPr>
                <w:rFonts w:hint="default" w:ascii="Times New Roman" w:hAnsi="Times New Roman" w:cs="Times New Roman"/>
              </w:rPr>
              <w:t>本项目有1</w:t>
            </w:r>
            <w:r>
              <w:rPr>
                <w:rFonts w:hint="default" w:ascii="Times New Roman" w:hAnsi="Times New Roman" w:cs="Times New Roman"/>
                <w:lang w:val="en-US" w:eastAsia="zh-CN"/>
              </w:rPr>
              <w:t>3</w:t>
            </w:r>
            <w:r>
              <w:rPr>
                <w:rFonts w:hint="default" w:ascii="Times New Roman" w:hAnsi="Times New Roman" w:cs="Times New Roman"/>
              </w:rPr>
              <w:t>名职工，均不在厂内食宿，</w:t>
            </w:r>
            <w:r>
              <w:rPr>
                <w:rFonts w:hint="default" w:ascii="Times New Roman" w:hAnsi="Times New Roman" w:cs="Times New Roman"/>
                <w:lang w:val="en-US" w:eastAsia="zh-CN"/>
              </w:rPr>
              <w:t>用水量仅为生活办公用水，根据《新疆维吾尔自治区生活用水定额》本项目用水定额取25L/d·人，项目年工作240d，则用水量为0.325</w:t>
            </w:r>
            <w:r>
              <w:rPr>
                <w:rFonts w:hint="default" w:ascii="Times New Roman" w:hAnsi="Times New Roman" w:cs="Times New Roman"/>
              </w:rPr>
              <w:t>m³</w:t>
            </w:r>
            <w:r>
              <w:rPr>
                <w:rFonts w:hint="default" w:ascii="Times New Roman" w:hAnsi="Times New Roman" w:cs="Times New Roman"/>
                <w:lang w:val="en-US" w:eastAsia="zh-CN"/>
              </w:rPr>
              <w:t>/d（78</w:t>
            </w:r>
            <w:r>
              <w:rPr>
                <w:rFonts w:hint="default" w:ascii="Times New Roman" w:hAnsi="Times New Roman" w:cs="Times New Roman"/>
              </w:rPr>
              <w:t>m</w:t>
            </w:r>
            <w:r>
              <w:rPr>
                <w:rFonts w:hint="default" w:ascii="Times New Roman" w:hAnsi="Times New Roman" w:cs="Times New Roman"/>
                <w:vertAlign w:val="superscript"/>
              </w:rPr>
              <w:t>3</w:t>
            </w:r>
            <w:r>
              <w:rPr>
                <w:rFonts w:hint="default" w:ascii="Times New Roman" w:hAnsi="Times New Roman" w:cs="Times New Roman"/>
                <w:lang w:val="en-US" w:eastAsia="zh-CN"/>
              </w:rPr>
              <w:t>/a）</w:t>
            </w:r>
            <w:r>
              <w:rPr>
                <w:rFonts w:hint="default" w:ascii="Times New Roman" w:hAnsi="Times New Roman" w:cs="Times New Roman"/>
              </w:rPr>
              <w:t>。</w:t>
            </w:r>
            <w:r>
              <w:rPr>
                <w:rFonts w:hint="default" w:ascii="Times New Roman" w:hAnsi="Times New Roman" w:cs="Times New Roman"/>
                <w:lang w:val="en-US" w:eastAsia="zh-CN"/>
              </w:rPr>
              <w:t>生活污水排污系数</w:t>
            </w:r>
            <w:r>
              <w:rPr>
                <w:rFonts w:hint="default" w:ascii="Times New Roman" w:hAnsi="Times New Roman" w:cs="Times New Roman"/>
              </w:rPr>
              <w:t>按用水量的80</w:t>
            </w:r>
            <w:r>
              <w:rPr>
                <w:rFonts w:hint="default" w:ascii="Times New Roman" w:hAnsi="Times New Roman" w:cs="Times New Roman"/>
                <w:lang w:val="en-US" w:eastAsia="zh-CN"/>
              </w:rPr>
              <w:t>%</w:t>
            </w:r>
            <w:r>
              <w:rPr>
                <w:rFonts w:hint="default" w:ascii="Times New Roman" w:hAnsi="Times New Roman" w:cs="Times New Roman"/>
              </w:rPr>
              <w:t>计，则本项目</w:t>
            </w:r>
            <w:r>
              <w:rPr>
                <w:rFonts w:hint="default" w:ascii="Times New Roman" w:hAnsi="Times New Roman" w:cs="Times New Roman"/>
                <w:lang w:val="en-US" w:eastAsia="zh-CN"/>
              </w:rPr>
              <w:t>生活污水</w:t>
            </w:r>
            <w:r>
              <w:rPr>
                <w:rFonts w:hint="default" w:ascii="Times New Roman" w:hAnsi="Times New Roman" w:cs="Times New Roman"/>
              </w:rPr>
              <w:t>量为</w:t>
            </w:r>
            <w:r>
              <w:rPr>
                <w:rFonts w:hint="default" w:ascii="Times New Roman" w:hAnsi="Times New Roman" w:cs="Times New Roman"/>
                <w:lang w:val="en-US" w:eastAsia="zh-CN"/>
              </w:rPr>
              <w:t>0.26</w:t>
            </w:r>
            <w:r>
              <w:rPr>
                <w:rFonts w:hint="default" w:ascii="Times New Roman" w:hAnsi="Times New Roman" w:cs="Times New Roman"/>
              </w:rPr>
              <w:t>m³/</w:t>
            </w:r>
            <w:r>
              <w:rPr>
                <w:rFonts w:hint="default" w:ascii="Times New Roman" w:hAnsi="Times New Roman" w:cs="Times New Roman"/>
                <w:lang w:val="en-US" w:eastAsia="zh-CN"/>
              </w:rPr>
              <w:t>d</w:t>
            </w:r>
            <w:r>
              <w:rPr>
                <w:rFonts w:hint="default" w:ascii="Times New Roman" w:hAnsi="Times New Roman" w:cs="Times New Roman"/>
                <w:lang w:eastAsia="zh-CN"/>
              </w:rPr>
              <w:t>（</w:t>
            </w:r>
            <w:r>
              <w:rPr>
                <w:rFonts w:hint="default" w:ascii="Times New Roman" w:hAnsi="Times New Roman" w:cs="Times New Roman"/>
                <w:lang w:val="en-US" w:eastAsia="zh-CN"/>
              </w:rPr>
              <w:t>62.4</w:t>
            </w:r>
            <w:r>
              <w:rPr>
                <w:rFonts w:hint="default" w:ascii="Times New Roman" w:hAnsi="Times New Roman" w:cs="Times New Roman"/>
              </w:rPr>
              <w:t>m³/a</w:t>
            </w:r>
            <w:r>
              <w:rPr>
                <w:rFonts w:hint="default" w:ascii="Times New Roman" w:hAnsi="Times New Roman" w:cs="Times New Roman"/>
                <w:lang w:eastAsia="zh-CN"/>
              </w:rPr>
              <w:t>）</w:t>
            </w:r>
            <w:r>
              <w:rPr>
                <w:rFonts w:hint="default" w:ascii="Times New Roman" w:hAnsi="Times New Roman" w:cs="Times New Roman"/>
              </w:rPr>
              <w:t>。</w:t>
            </w:r>
            <w:r>
              <w:rPr>
                <w:rFonts w:hint="default" w:ascii="Times New Roman" w:hAnsi="Times New Roman" w:cs="Times New Roman"/>
                <w:lang w:val="en-US" w:eastAsia="zh-CN"/>
              </w:rPr>
              <w:t>生活污水拉运至</w:t>
            </w:r>
            <w:r>
              <w:rPr>
                <w:rFonts w:hint="eastAsia" w:cs="Times New Roman"/>
                <w:lang w:val="en-US" w:eastAsia="zh-CN"/>
              </w:rPr>
              <w:t>和静县污水处理厂</w:t>
            </w:r>
            <w:r>
              <w:rPr>
                <w:rFonts w:hint="default" w:ascii="Times New Roman" w:hAnsi="Times New Roman" w:cs="Times New Roman"/>
                <w:lang w:val="en-US" w:eastAsia="zh-CN"/>
              </w:rPr>
              <w:t>处置。</w:t>
            </w:r>
          </w:p>
          <w:p w14:paraId="23CA93DD">
            <w:pPr>
              <w:keepNext w:val="0"/>
              <w:keepLines w:val="0"/>
              <w:suppressLineNumbers w:val="0"/>
              <w:bidi w:val="0"/>
              <w:spacing w:before="0" w:beforeAutospacing="0" w:after="0" w:afterAutospacing="0"/>
              <w:ind w:left="0" w:right="0"/>
              <w:rPr>
                <w:rFonts w:hint="default"/>
              </w:rPr>
            </w:pPr>
            <w:r>
              <w:rPr>
                <w:rFonts w:hint="eastAsia"/>
                <w:lang w:val="en-US" w:eastAsia="zh-CN"/>
              </w:rPr>
              <w:t>本项目年用水量约2255m</w:t>
            </w:r>
            <w:r>
              <w:rPr>
                <w:rFonts w:hint="default" w:ascii="Times New Roman" w:hAnsi="Times New Roman" w:cs="Times New Roman"/>
                <w:lang w:val="en-US" w:eastAsia="zh-CN"/>
              </w:rPr>
              <w:t>³</w:t>
            </w:r>
            <w:r>
              <w:rPr>
                <w:rFonts w:hint="eastAsia"/>
                <w:lang w:val="en-US" w:eastAsia="zh-CN"/>
              </w:rPr>
              <w:t>/a，</w:t>
            </w:r>
            <w:r>
              <w:rPr>
                <w:rFonts w:hint="default"/>
              </w:rPr>
              <w:t>本项目水平衡图见图</w:t>
            </w:r>
            <w:r>
              <w:rPr>
                <w:rFonts w:hint="eastAsia"/>
                <w:lang w:val="en-US" w:eastAsia="zh-CN"/>
              </w:rPr>
              <w:t>2-</w:t>
            </w:r>
            <w:r>
              <w:rPr>
                <w:rFonts w:hint="default"/>
              </w:rPr>
              <w:t>1。</w:t>
            </w:r>
          </w:p>
          <w:p w14:paraId="21E99A87">
            <w:pPr>
              <w:pStyle w:val="52"/>
              <w:keepNext w:val="0"/>
              <w:keepLines w:val="0"/>
              <w:suppressLineNumbers w:val="0"/>
              <w:spacing w:before="0" w:beforeAutospacing="0" w:after="0" w:afterAutospacing="0"/>
              <w:ind w:left="0" w:right="0"/>
              <w:rPr>
                <w:rFonts w:hint="eastAsia" w:eastAsia="宋体"/>
                <w:lang w:eastAsia="zh-CN"/>
              </w:rPr>
            </w:pPr>
            <w:r>
              <w:rPr>
                <w:rFonts w:hint="eastAsia" w:eastAsia="宋体"/>
                <w:lang w:eastAsia="zh-CN"/>
              </w:rPr>
              <w:drawing>
                <wp:inline distT="0" distB="0" distL="114300" distR="114300">
                  <wp:extent cx="3629025" cy="3043555"/>
                  <wp:effectExtent l="0" t="0" r="0" b="0"/>
                  <wp:docPr id="6" name="ECB019B1-382A-4266-B25C-5B523AA43C14-1" descr="C:/Users/Administrator/AppData/Local/Temp/wps.OZLhU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Administrator/AppData/Local/Temp/wps.OZLhUTwps"/>
                          <pic:cNvPicPr>
                            <a:picLocks noChangeAspect="1"/>
                          </pic:cNvPicPr>
                        </pic:nvPicPr>
                        <pic:blipFill>
                          <a:blip r:embed="rId14"/>
                          <a:stretch>
                            <a:fillRect/>
                          </a:stretch>
                        </pic:blipFill>
                        <pic:spPr>
                          <a:xfrm>
                            <a:off x="0" y="0"/>
                            <a:ext cx="3629025" cy="3043555"/>
                          </a:xfrm>
                          <a:prstGeom prst="rect">
                            <a:avLst/>
                          </a:prstGeom>
                        </pic:spPr>
                      </pic:pic>
                    </a:graphicData>
                  </a:graphic>
                </wp:inline>
              </w:drawing>
            </w:r>
          </w:p>
          <w:p w14:paraId="183C9509">
            <w:pPr>
              <w:pStyle w:val="6"/>
              <w:suppressLineNumbers w:val="0"/>
              <w:bidi w:val="0"/>
              <w:spacing w:before="0" w:beforeAutospacing="0" w:after="0" w:afterAutospacing="0"/>
              <w:ind w:left="0" w:right="0"/>
              <w:rPr>
                <w:rFonts w:hint="eastAsia" w:eastAsia="宋体"/>
                <w:lang w:eastAsia="zh-CN"/>
              </w:rPr>
            </w:pPr>
          </w:p>
          <w:p w14:paraId="187778FE">
            <w:pPr>
              <w:pStyle w:val="5"/>
              <w:suppressLineNumbers w:val="0"/>
              <w:bidi w:val="0"/>
              <w:spacing w:before="0" w:beforeAutospacing="0" w:after="0" w:afterAutospacing="0"/>
              <w:ind w:left="0" w:right="0"/>
              <w:rPr>
                <w:rFonts w:hint="default"/>
              </w:rPr>
            </w:pPr>
            <w:r>
              <w:rPr>
                <w:rFonts w:hint="default"/>
              </w:rPr>
              <w:t>图</w:t>
            </w:r>
            <w:r>
              <w:rPr>
                <w:rFonts w:hint="eastAsia"/>
                <w:lang w:val="en-US" w:eastAsia="zh-CN"/>
              </w:rPr>
              <w:t>2-</w:t>
            </w:r>
            <w:r>
              <w:rPr>
                <w:rFonts w:hint="default"/>
              </w:rPr>
              <w:t>1</w:t>
            </w:r>
            <w:r>
              <w:rPr>
                <w:rFonts w:hint="default"/>
                <w:lang w:val="en-US" w:eastAsia="zh-CN"/>
              </w:rPr>
              <w:t xml:space="preserve">  </w:t>
            </w:r>
            <w:r>
              <w:rPr>
                <w:rFonts w:hint="default"/>
              </w:rPr>
              <w:t>本项目</w:t>
            </w:r>
            <w:r>
              <w:rPr>
                <w:rFonts w:hint="default"/>
                <w:lang w:val="en-US" w:eastAsia="zh-CN"/>
              </w:rPr>
              <w:t>给</w:t>
            </w:r>
            <w:r>
              <w:rPr>
                <w:rFonts w:hint="default"/>
              </w:rPr>
              <w:t>排水平衡图（单位：m³/a）</w:t>
            </w:r>
          </w:p>
          <w:p w14:paraId="74C2B88E">
            <w:pPr>
              <w:pStyle w:val="4"/>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3.7 供电</w:t>
            </w:r>
          </w:p>
          <w:p w14:paraId="6F864438">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本项目用电依托市政电网统一供电，可满足项目区用电需求。</w:t>
            </w:r>
          </w:p>
          <w:p w14:paraId="0FD21A74">
            <w:pPr>
              <w:pStyle w:val="4"/>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w:t>
            </w:r>
            <w:r>
              <w:rPr>
                <w:rFonts w:hint="eastAsia"/>
                <w:lang w:val="en-US" w:eastAsia="zh-CN"/>
              </w:rPr>
              <w:t xml:space="preserve">8 </w:t>
            </w:r>
            <w:r>
              <w:rPr>
                <w:rFonts w:hint="default"/>
              </w:rPr>
              <w:t>平面布置</w:t>
            </w:r>
          </w:p>
          <w:p w14:paraId="5464126E">
            <w:pPr>
              <w:keepNext w:val="0"/>
              <w:keepLines w:val="0"/>
              <w:suppressLineNumbers w:val="0"/>
              <w:bidi w:val="0"/>
              <w:spacing w:before="0" w:beforeAutospacing="0" w:after="0" w:afterAutospacing="0"/>
              <w:ind w:left="0" w:right="0"/>
              <w:rPr>
                <w:rFonts w:hint="default"/>
              </w:rPr>
            </w:pPr>
            <w:r>
              <w:rPr>
                <w:rFonts w:hint="default"/>
              </w:rPr>
              <w:t>本项目位于</w:t>
            </w:r>
            <w:r>
              <w:rPr>
                <w:rFonts w:hint="eastAsia"/>
                <w:lang w:val="en-US" w:eastAsia="zh-CN"/>
              </w:rPr>
              <w:t>新疆巴音郭楞蒙古自治州和静县迎风路以西南华国商贸城4号维修仓储车间</w:t>
            </w:r>
            <w:r>
              <w:rPr>
                <w:rFonts w:hint="default"/>
              </w:rPr>
              <w:t>，根据现场踏勘，项目区北侧</w:t>
            </w:r>
            <w:r>
              <w:rPr>
                <w:rFonts w:hint="default"/>
                <w:lang w:val="en-US" w:eastAsia="zh-CN"/>
              </w:rPr>
              <w:t>为</w:t>
            </w:r>
            <w:r>
              <w:rPr>
                <w:rFonts w:hint="eastAsia"/>
                <w:lang w:val="en-US" w:eastAsia="zh-CN"/>
              </w:rPr>
              <w:t>空地；南、</w:t>
            </w:r>
            <w:r>
              <w:rPr>
                <w:rFonts w:hint="default"/>
              </w:rPr>
              <w:t>西</w:t>
            </w:r>
            <w:r>
              <w:rPr>
                <w:rFonts w:hint="eastAsia"/>
                <w:lang w:eastAsia="zh-CN"/>
              </w:rPr>
              <w:t>、</w:t>
            </w:r>
            <w:r>
              <w:rPr>
                <w:rFonts w:hint="eastAsia"/>
                <w:lang w:val="en-US" w:eastAsia="zh-CN"/>
              </w:rPr>
              <w:t>东</w:t>
            </w:r>
            <w:r>
              <w:rPr>
                <w:rFonts w:hint="default"/>
              </w:rPr>
              <w:t>侧</w:t>
            </w:r>
            <w:r>
              <w:rPr>
                <w:rFonts w:hint="eastAsia"/>
                <w:lang w:val="en-US" w:eastAsia="zh-CN"/>
              </w:rPr>
              <w:t>均为空置厂房。</w:t>
            </w:r>
          </w:p>
          <w:p w14:paraId="524CBD03">
            <w:pPr>
              <w:keepNext w:val="0"/>
              <w:keepLines w:val="0"/>
              <w:suppressLineNumbers w:val="0"/>
              <w:bidi w:val="0"/>
              <w:spacing w:before="0" w:beforeAutospacing="0" w:after="0" w:afterAutospacing="0"/>
              <w:ind w:left="0" w:right="0"/>
              <w:rPr>
                <w:rFonts w:hint="default" w:ascii="Times New Roman" w:hAnsi="Times New Roman" w:cs="Times New Roman"/>
                <w:bCs/>
                <w:color w:val="000000"/>
                <w:szCs w:val="21"/>
                <w:highlight w:val="none"/>
              </w:rPr>
            </w:pPr>
            <w:r>
              <w:rPr>
                <w:rFonts w:hint="eastAsia"/>
                <w:lang w:val="en-US" w:eastAsia="zh-CN"/>
              </w:rPr>
              <w:t>项目租用现有厂房，</w:t>
            </w:r>
            <w:r>
              <w:rPr>
                <w:rFonts w:hint="default"/>
              </w:rPr>
              <w:t>厂</w:t>
            </w:r>
            <w:r>
              <w:rPr>
                <w:rFonts w:hint="eastAsia"/>
                <w:lang w:val="en-US" w:eastAsia="zh-CN"/>
              </w:rPr>
              <w:t>房</w:t>
            </w:r>
            <w:r>
              <w:rPr>
                <w:rFonts w:hint="default"/>
              </w:rPr>
              <w:t>占地</w:t>
            </w:r>
            <w:r>
              <w:rPr>
                <w:rFonts w:hint="default"/>
                <w:lang w:val="en-US" w:eastAsia="zh-CN"/>
              </w:rPr>
              <w:t>整体</w:t>
            </w:r>
            <w:r>
              <w:rPr>
                <w:rFonts w:hint="default"/>
              </w:rPr>
              <w:t>呈</w:t>
            </w:r>
            <w:r>
              <w:rPr>
                <w:rFonts w:hint="default"/>
                <w:lang w:val="en-US" w:eastAsia="zh-CN"/>
              </w:rPr>
              <w:t>矩形</w:t>
            </w:r>
            <w:r>
              <w:rPr>
                <w:rFonts w:hint="default"/>
              </w:rPr>
              <w:t>，</w:t>
            </w:r>
            <w:r>
              <w:rPr>
                <w:rFonts w:hint="default"/>
                <w:lang w:val="en-US" w:eastAsia="zh-CN"/>
              </w:rPr>
              <w:t>出</w:t>
            </w:r>
            <w:r>
              <w:rPr>
                <w:rFonts w:hint="default"/>
              </w:rPr>
              <w:t>入口位于项目区</w:t>
            </w:r>
            <w:r>
              <w:rPr>
                <w:rFonts w:hint="eastAsia"/>
                <w:lang w:val="en-US" w:eastAsia="zh-CN"/>
              </w:rPr>
              <w:t>南</w:t>
            </w:r>
            <w:r>
              <w:rPr>
                <w:rFonts w:hint="default"/>
              </w:rPr>
              <w:t>侧，</w:t>
            </w:r>
            <w:r>
              <w:rPr>
                <w:rFonts w:hint="eastAsia"/>
                <w:lang w:val="en-US" w:eastAsia="zh-CN"/>
              </w:rPr>
              <w:t>项目一切活动均在现有厂房内进行。厂房内</w:t>
            </w:r>
            <w:r>
              <w:rPr>
                <w:rFonts w:hint="default"/>
                <w:lang w:val="en-US" w:eastAsia="zh-CN"/>
              </w:rPr>
              <w:t>部</w:t>
            </w:r>
            <w:r>
              <w:rPr>
                <w:rFonts w:hint="default"/>
              </w:rPr>
              <w:t>设置</w:t>
            </w:r>
            <w:r>
              <w:rPr>
                <w:rFonts w:hint="eastAsia"/>
                <w:lang w:val="en-US" w:eastAsia="zh-CN"/>
              </w:rPr>
              <w:t>加工区域</w:t>
            </w:r>
            <w:r>
              <w:rPr>
                <w:rFonts w:hint="eastAsia"/>
                <w:lang w:eastAsia="zh-CN"/>
              </w:rPr>
              <w:t>、</w:t>
            </w:r>
            <w:r>
              <w:rPr>
                <w:rFonts w:hint="default"/>
                <w:lang w:val="en-US" w:eastAsia="zh-CN"/>
              </w:rPr>
              <w:t>原料堆场</w:t>
            </w:r>
            <w:r>
              <w:rPr>
                <w:rFonts w:hint="eastAsia"/>
                <w:lang w:val="en-US" w:eastAsia="zh-CN"/>
              </w:rPr>
              <w:t>和</w:t>
            </w:r>
            <w:r>
              <w:rPr>
                <w:rFonts w:hint="default"/>
                <w:lang w:val="en-US" w:eastAsia="zh-CN"/>
              </w:rPr>
              <w:t>成品堆场</w:t>
            </w:r>
            <w:r>
              <w:rPr>
                <w:rFonts w:hint="eastAsia"/>
                <w:lang w:val="en-US" w:eastAsia="zh-CN"/>
              </w:rPr>
              <w:t>等</w:t>
            </w:r>
            <w:r>
              <w:rPr>
                <w:rFonts w:hint="default"/>
              </w:rPr>
              <w:t>。项目区布局较为合理，满足项目生产需求。项目区平面布置见附图。</w:t>
            </w:r>
          </w:p>
        </w:tc>
      </w:tr>
      <w:tr w14:paraId="1DA0BD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1" w:hRule="atLeast"/>
          <w:jc w:val="center"/>
        </w:trPr>
        <w:tc>
          <w:tcPr>
            <w:tcW w:w="1072" w:type="dxa"/>
            <w:noWrap w:val="0"/>
            <w:vAlign w:val="center"/>
          </w:tcPr>
          <w:p w14:paraId="1BE21889">
            <w:pPr>
              <w:pStyle w:val="7"/>
              <w:keepNext w:val="0"/>
              <w:keepLines w:val="0"/>
              <w:suppressLineNumbers w:val="0"/>
              <w:bidi w:val="0"/>
              <w:spacing w:before="0" w:beforeAutospacing="0" w:after="0" w:afterAutospacing="0"/>
              <w:ind w:left="0" w:right="0"/>
              <w:rPr>
                <w:rFonts w:hint="default" w:ascii="Times New Roman" w:hAnsi="Times New Roman" w:cs="Times New Roman"/>
                <w:bCs/>
                <w:color w:val="000000"/>
                <w:kern w:val="2"/>
                <w:szCs w:val="28"/>
                <w:highlight w:val="none"/>
              </w:rPr>
            </w:pPr>
            <w:r>
              <w:rPr>
                <w:rFonts w:hint="default"/>
              </w:rPr>
              <w:t>工艺流程和产排污环节</w:t>
            </w:r>
          </w:p>
        </w:tc>
        <w:tc>
          <w:tcPr>
            <w:tcW w:w="7988" w:type="dxa"/>
            <w:noWrap w:val="0"/>
            <w:vAlign w:val="top"/>
          </w:tcPr>
          <w:p w14:paraId="258BB8EE">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 xml:space="preserve">1 </w:t>
            </w:r>
            <w:r>
              <w:rPr>
                <w:rFonts w:hint="default"/>
              </w:rPr>
              <w:t>运营期工艺流程</w:t>
            </w:r>
          </w:p>
          <w:p w14:paraId="59280254">
            <w:pPr>
              <w:pStyle w:val="5"/>
              <w:suppressLineNumbers w:val="0"/>
              <w:bidi w:val="0"/>
              <w:spacing w:before="0" w:beforeAutospacing="0" w:after="0" w:afterAutospacing="0"/>
              <w:ind w:left="0" w:right="0"/>
              <w:rPr>
                <w:rFonts w:hint="default"/>
                <w:lang w:val="en-US" w:eastAsia="zh-CN"/>
              </w:rPr>
            </w:pPr>
            <w:r>
              <w:rPr>
                <w:rFonts w:hint="default"/>
                <w:lang w:val="en-US" w:eastAsia="zh-CN"/>
              </w:rPr>
              <w:drawing>
                <wp:inline distT="0" distB="0" distL="114300" distR="114300">
                  <wp:extent cx="4999355" cy="3035300"/>
                  <wp:effectExtent l="0" t="0" r="0" b="0"/>
                  <wp:docPr id="7" name="ECB019B1-382A-4266-B25C-5B523AA43C14-2" descr="C:/Users/Administrator/AppData/Local/Temp/wps.dqUIM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B019B1-382A-4266-B25C-5B523AA43C14-2" descr="C:/Users/Administrator/AppData/Local/Temp/wps.dqUIMNwps"/>
                          <pic:cNvPicPr>
                            <a:picLocks noChangeAspect="1"/>
                          </pic:cNvPicPr>
                        </pic:nvPicPr>
                        <pic:blipFill>
                          <a:blip r:embed="rId15"/>
                          <a:stretch>
                            <a:fillRect/>
                          </a:stretch>
                        </pic:blipFill>
                        <pic:spPr>
                          <a:xfrm>
                            <a:off x="0" y="0"/>
                            <a:ext cx="4999355" cy="3035300"/>
                          </a:xfrm>
                          <a:prstGeom prst="rect">
                            <a:avLst/>
                          </a:prstGeom>
                        </pic:spPr>
                      </pic:pic>
                    </a:graphicData>
                  </a:graphic>
                </wp:inline>
              </w:drawing>
            </w:r>
          </w:p>
          <w:p w14:paraId="358DF520">
            <w:pPr>
              <w:pStyle w:val="5"/>
              <w:suppressLineNumbers w:val="0"/>
              <w:bidi w:val="0"/>
              <w:spacing w:before="0" w:beforeAutospacing="0" w:after="0" w:afterAutospacing="0"/>
              <w:ind w:left="0" w:right="0"/>
              <w:rPr>
                <w:rFonts w:hint="default"/>
              </w:rPr>
            </w:pPr>
            <w:r>
              <w:rPr>
                <w:rFonts w:hint="default"/>
                <w:lang w:val="en-US" w:eastAsia="zh-CN"/>
              </w:rPr>
              <w:t xml:space="preserve">图2-2 </w:t>
            </w:r>
            <w:r>
              <w:rPr>
                <w:rFonts w:hint="eastAsia"/>
                <w:lang w:val="en-US" w:eastAsia="zh-CN"/>
              </w:rPr>
              <w:t xml:space="preserve"> </w:t>
            </w:r>
            <w:r>
              <w:rPr>
                <w:rFonts w:hint="default"/>
                <w:lang w:val="en-US" w:eastAsia="zh-CN"/>
              </w:rPr>
              <w:t>运营期工艺流程及产污工序</w:t>
            </w:r>
          </w:p>
          <w:p w14:paraId="16D143E6">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r>
              <w:rPr>
                <w:rFonts w:hint="default"/>
                <w:lang w:val="en-US" w:eastAsia="zh-CN"/>
              </w:rPr>
              <w:t>1）原材料贮存</w:t>
            </w:r>
          </w:p>
          <w:p w14:paraId="33A2F48C">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项目石子、砂子等存放于封闭式原料堆场。水泥由罐车运进厂区后打入水泥筒仓内备用。水泥筒仓经上方自带的滤筒式过滤器，筒仓粉尘处理后无组织排放。脱模剂、减水剂、引气剂存放于原料堆场。</w:t>
            </w:r>
          </w:p>
          <w:p w14:paraId="7A33B31C">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（2）搅拌</w:t>
            </w:r>
          </w:p>
          <w:p w14:paraId="61F0BC27">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水泥通过筒仓由管道输送至计量系统后进入密闭式搅拌器；石子、砂子由铲车输送至配料器后进入密闭式搅拌器；加水通过充分搅拌得到一定配比的混凝土。</w:t>
            </w:r>
          </w:p>
          <w:p w14:paraId="49F6639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（3）刷脱模剂</w:t>
            </w:r>
          </w:p>
          <w:p w14:paraId="5DB1F99C">
            <w:pPr>
              <w:keepNext w:val="0"/>
              <w:keepLines w:val="0"/>
              <w:suppressLineNumbers w:val="0"/>
              <w:bidi w:val="0"/>
              <w:spacing w:before="0" w:beforeAutospacing="0" w:after="0" w:afterAutospacing="0"/>
              <w:ind w:left="0" w:right="0"/>
              <w:rPr>
                <w:rFonts w:hint="eastAsia"/>
                <w:lang w:val="en-US" w:eastAsia="zh-CN"/>
              </w:rPr>
            </w:pPr>
            <w:r>
              <w:rPr>
                <w:rFonts w:hint="default"/>
                <w:lang w:val="en-US" w:eastAsia="zh-CN"/>
              </w:rPr>
              <w:t>将</w:t>
            </w:r>
            <w:r>
              <w:rPr>
                <w:rFonts w:hint="default"/>
              </w:rPr>
              <w:t>模具表面涂上脱模剂以便后期脱模</w:t>
            </w:r>
            <w:r>
              <w:rPr>
                <w:rFonts w:hint="eastAsia"/>
                <w:lang w:eastAsia="zh-CN"/>
              </w:rPr>
              <w:t>。</w:t>
            </w:r>
          </w:p>
          <w:p w14:paraId="3BBF82F0">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w:t>
            </w:r>
            <w:r>
              <w:rPr>
                <w:rFonts w:hint="default"/>
                <w:lang w:val="en-US" w:eastAsia="zh-CN"/>
              </w:rPr>
              <w:t>模具组装</w:t>
            </w:r>
          </w:p>
          <w:p w14:paraId="2E1C5EA2">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将</w:t>
            </w:r>
            <w:r>
              <w:rPr>
                <w:rFonts w:hint="eastAsia"/>
                <w:lang w:val="en-US" w:eastAsia="zh-CN"/>
              </w:rPr>
              <w:t>成品</w:t>
            </w:r>
            <w:r>
              <w:rPr>
                <w:rFonts w:hint="default"/>
                <w:lang w:val="en-US" w:eastAsia="zh-CN"/>
              </w:rPr>
              <w:t>钢筋布置进模具内备用</w:t>
            </w:r>
            <w:r>
              <w:rPr>
                <w:rFonts w:hint="default"/>
              </w:rPr>
              <w:t>。</w:t>
            </w:r>
          </w:p>
          <w:p w14:paraId="0DEE21E1">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（5）混凝土喂料</w:t>
            </w:r>
          </w:p>
          <w:p w14:paraId="43B8ED6D">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调</w:t>
            </w:r>
            <w:r>
              <w:rPr>
                <w:rFonts w:hint="default"/>
                <w:lang w:val="en-US" w:eastAsia="zh-CN"/>
              </w:rPr>
              <w:t>整混凝土喂料装置，确保混凝土料能均匀地喂入</w:t>
            </w:r>
            <w:r>
              <w:rPr>
                <w:rFonts w:hint="eastAsia"/>
                <w:lang w:val="en-US" w:eastAsia="zh-CN"/>
              </w:rPr>
              <w:t>模具</w:t>
            </w:r>
            <w:r>
              <w:rPr>
                <w:rFonts w:hint="default"/>
                <w:lang w:val="en-US" w:eastAsia="zh-CN"/>
              </w:rPr>
              <w:t>内</w:t>
            </w:r>
            <w:r>
              <w:rPr>
                <w:rFonts w:hint="eastAsia"/>
                <w:lang w:val="en-US" w:eastAsia="zh-CN"/>
              </w:rPr>
              <w:t>。</w:t>
            </w:r>
          </w:p>
          <w:p w14:paraId="1931E851">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（6）</w:t>
            </w:r>
            <w:r>
              <w:rPr>
                <w:rFonts w:hint="default"/>
                <w:lang w:val="en-US" w:eastAsia="zh-CN"/>
              </w:rPr>
              <w:t>振动处理</w:t>
            </w:r>
          </w:p>
          <w:p w14:paraId="3398E783">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根据不同规格</w:t>
            </w:r>
            <w:r>
              <w:rPr>
                <w:rFonts w:hint="eastAsia"/>
                <w:lang w:val="en-US" w:eastAsia="zh-CN"/>
              </w:rPr>
              <w:t>钢筋混凝土U型板渠</w:t>
            </w:r>
            <w:r>
              <w:rPr>
                <w:rFonts w:hint="default"/>
                <w:lang w:val="en-US" w:eastAsia="zh-CN"/>
              </w:rPr>
              <w:t>的振动要求，按照振动密实效果最佳而振动力最小的选择原则，调整振幅和振动频率，开启振动器，并由低向高逐步增大振动频率，以确保</w:t>
            </w:r>
            <w:r>
              <w:rPr>
                <w:rFonts w:hint="eastAsia"/>
                <w:lang w:val="en-US" w:eastAsia="zh-CN"/>
              </w:rPr>
              <w:t>混凝土振捣</w:t>
            </w:r>
            <w:r>
              <w:rPr>
                <w:rFonts w:hint="default"/>
                <w:lang w:val="en-US" w:eastAsia="zh-CN"/>
              </w:rPr>
              <w:t>密实。混凝土灌入已布置钢材的钢模内，进行加压振动成型</w:t>
            </w:r>
            <w:r>
              <w:rPr>
                <w:rFonts w:hint="eastAsia"/>
                <w:lang w:val="en-US" w:eastAsia="zh-CN"/>
              </w:rPr>
              <w:t>，</w:t>
            </w:r>
            <w:r>
              <w:rPr>
                <w:rFonts w:hint="default"/>
                <w:lang w:val="en-US" w:eastAsia="zh-CN"/>
              </w:rPr>
              <w:t>清理</w:t>
            </w:r>
            <w:r>
              <w:rPr>
                <w:rFonts w:hint="eastAsia"/>
                <w:lang w:val="en-US" w:eastAsia="zh-CN"/>
              </w:rPr>
              <w:t>钢筋混凝土U型板渠</w:t>
            </w:r>
            <w:r>
              <w:rPr>
                <w:rFonts w:hint="default"/>
                <w:lang w:val="en-US" w:eastAsia="zh-CN"/>
              </w:rPr>
              <w:t>周围多余的混凝土</w:t>
            </w:r>
            <w:r>
              <w:rPr>
                <w:rFonts w:hint="default"/>
              </w:rPr>
              <w:t>。</w:t>
            </w:r>
          </w:p>
          <w:p w14:paraId="7E3C1116">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w:t>
            </w:r>
            <w:r>
              <w:rPr>
                <w:rFonts w:hint="default"/>
                <w:lang w:val="en-US" w:eastAsia="zh-CN"/>
              </w:rPr>
              <w:t>模具拆除</w:t>
            </w:r>
          </w:p>
          <w:p w14:paraId="2994050A">
            <w:pPr>
              <w:keepNext w:val="0"/>
              <w:keepLines w:val="0"/>
              <w:suppressLineNumbers w:val="0"/>
              <w:bidi w:val="0"/>
              <w:spacing w:before="0" w:beforeAutospacing="0" w:after="0" w:afterAutospacing="0"/>
              <w:ind w:left="0" w:right="0"/>
              <w:rPr>
                <w:rFonts w:hint="default"/>
              </w:rPr>
            </w:pPr>
            <w:r>
              <w:rPr>
                <w:rFonts w:hint="default"/>
                <w:lang w:val="en-US" w:eastAsia="zh-CN"/>
              </w:rPr>
              <w:t>将经过</w:t>
            </w:r>
            <w:r>
              <w:rPr>
                <w:rFonts w:hint="eastAsia"/>
                <w:lang w:val="en-US" w:eastAsia="zh-CN"/>
              </w:rPr>
              <w:t>自然干燥</w:t>
            </w:r>
            <w:r>
              <w:rPr>
                <w:rFonts w:hint="default"/>
                <w:lang w:val="en-US" w:eastAsia="zh-CN"/>
              </w:rPr>
              <w:t>后的</w:t>
            </w:r>
            <w:r>
              <w:rPr>
                <w:rFonts w:hint="eastAsia"/>
                <w:lang w:val="en-US" w:eastAsia="zh-CN"/>
              </w:rPr>
              <w:t>钢筋混凝土U型板渠</w:t>
            </w:r>
            <w:r>
              <w:rPr>
                <w:rFonts w:hint="default"/>
              </w:rPr>
              <w:t>进行脱模</w:t>
            </w:r>
            <w:r>
              <w:rPr>
                <w:rFonts w:hint="eastAsia"/>
                <w:lang w:eastAsia="zh-CN"/>
              </w:rPr>
              <w:t>，</w:t>
            </w:r>
            <w:r>
              <w:rPr>
                <w:rFonts w:hint="eastAsia"/>
                <w:lang w:val="en-US" w:eastAsia="zh-CN"/>
              </w:rPr>
              <w:t>脱模后的模具需将内壁清理干净，便于模具继续使用。</w:t>
            </w:r>
          </w:p>
          <w:p w14:paraId="78F12F85">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w:t>
            </w:r>
            <w:r>
              <w:rPr>
                <w:rFonts w:hint="default"/>
                <w:lang w:val="en-US" w:eastAsia="zh-CN"/>
              </w:rPr>
              <w:t>成品堆放、湿润养护</w:t>
            </w:r>
          </w:p>
          <w:p w14:paraId="5E00F6A7">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产品经外观检验合格后运至成品堆场，再喷水进行湿润养护，保湿养护时间3天。</w:t>
            </w:r>
          </w:p>
          <w:p w14:paraId="17C9AFD8">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（9）外售</w:t>
            </w:r>
          </w:p>
          <w:p w14:paraId="7A18A6E6">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养护后产品进行外观尺寸检验、力学性能检验，合格后</w:t>
            </w:r>
            <w:r>
              <w:rPr>
                <w:rFonts w:hint="eastAsia"/>
                <w:lang w:val="en-US" w:eastAsia="zh-CN"/>
              </w:rPr>
              <w:t>方</w:t>
            </w:r>
            <w:r>
              <w:rPr>
                <w:rFonts w:hint="default"/>
                <w:lang w:val="en-US" w:eastAsia="zh-CN"/>
              </w:rPr>
              <w:t>可外运销售。</w:t>
            </w:r>
          </w:p>
          <w:p w14:paraId="045CC83A">
            <w:pPr>
              <w:pStyle w:val="5"/>
              <w:suppressLineNumbers w:val="0"/>
              <w:bidi w:val="0"/>
              <w:spacing w:before="0" w:beforeAutospacing="0" w:after="0" w:afterAutospacing="0"/>
              <w:ind w:left="0" w:right="0"/>
              <w:rPr>
                <w:rFonts w:hint="default"/>
                <w:lang w:val="en-US" w:eastAsia="zh-CN"/>
              </w:rPr>
            </w:pPr>
            <w:r>
              <w:rPr>
                <w:rFonts w:hint="default"/>
                <w:lang w:val="en-US" w:eastAsia="zh-CN"/>
              </w:rPr>
              <w:t>表2-6  产污分析一览表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6"/>
              <w:gridCol w:w="2419"/>
              <w:gridCol w:w="1622"/>
              <w:gridCol w:w="3002"/>
            </w:tblGrid>
            <w:tr w14:paraId="4EFCCC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1" w:hRule="atLeast"/>
                <w:jc w:val="center"/>
              </w:trPr>
              <w:tc>
                <w:tcPr>
                  <w:tcW w:w="461" w:type="pct"/>
                  <w:noWrap w:val="0"/>
                  <w:vAlign w:val="center"/>
                </w:tcPr>
                <w:p w14:paraId="042F876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类别</w:t>
                  </w:r>
                </w:p>
              </w:tc>
              <w:tc>
                <w:tcPr>
                  <w:tcW w:w="1558" w:type="pct"/>
                  <w:noWrap w:val="0"/>
                  <w:vAlign w:val="center"/>
                </w:tcPr>
                <w:p w14:paraId="5DF06C2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污染源</w:t>
                  </w:r>
                </w:p>
              </w:tc>
              <w:tc>
                <w:tcPr>
                  <w:tcW w:w="1045" w:type="pct"/>
                  <w:noWrap w:val="0"/>
                  <w:vAlign w:val="center"/>
                </w:tcPr>
                <w:p w14:paraId="77CCD20B">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污染物名称</w:t>
                  </w:r>
                </w:p>
              </w:tc>
              <w:tc>
                <w:tcPr>
                  <w:tcW w:w="1934" w:type="pct"/>
                  <w:noWrap w:val="0"/>
                  <w:vAlign w:val="center"/>
                </w:tcPr>
                <w:p w14:paraId="0B3F3300">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治理措施</w:t>
                  </w:r>
                </w:p>
              </w:tc>
            </w:tr>
            <w:tr w14:paraId="352416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1" w:type="pct"/>
                  <w:vMerge w:val="restart"/>
                  <w:noWrap w:val="0"/>
                  <w:vAlign w:val="center"/>
                </w:tcPr>
                <w:p w14:paraId="78F301F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废气</w:t>
                  </w:r>
                </w:p>
              </w:tc>
              <w:tc>
                <w:tcPr>
                  <w:tcW w:w="1558" w:type="pct"/>
                  <w:tcBorders>
                    <w:right w:val="single" w:color="auto" w:sz="4" w:space="0"/>
                  </w:tcBorders>
                  <w:noWrap w:val="0"/>
                  <w:vAlign w:val="center"/>
                </w:tcPr>
                <w:p w14:paraId="28EA8D62">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原料堆场扬尘</w:t>
                  </w:r>
                </w:p>
              </w:tc>
              <w:tc>
                <w:tcPr>
                  <w:tcW w:w="1045" w:type="pct"/>
                  <w:vMerge w:val="restart"/>
                  <w:tcBorders>
                    <w:left w:val="single" w:color="auto" w:sz="4" w:space="0"/>
                  </w:tcBorders>
                  <w:noWrap w:val="0"/>
                  <w:vAlign w:val="center"/>
                </w:tcPr>
                <w:p w14:paraId="151854B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颗粒物</w:t>
                  </w:r>
                </w:p>
              </w:tc>
              <w:tc>
                <w:tcPr>
                  <w:tcW w:w="1934" w:type="pct"/>
                  <w:noWrap w:val="0"/>
                  <w:vAlign w:val="center"/>
                </w:tcPr>
                <w:p w14:paraId="7AFCA745">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洒水+全封闭仓库</w:t>
                  </w:r>
                </w:p>
              </w:tc>
            </w:tr>
            <w:tr w14:paraId="078A7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1" w:type="pct"/>
                  <w:vMerge w:val="continue"/>
                  <w:noWrap w:val="0"/>
                  <w:vAlign w:val="center"/>
                </w:tcPr>
                <w:p w14:paraId="292051CF">
                  <w:pPr>
                    <w:pStyle w:val="6"/>
                    <w:suppressLineNumbers w:val="0"/>
                    <w:bidi w:val="0"/>
                    <w:spacing w:before="0" w:beforeAutospacing="0" w:after="0" w:afterAutospacing="0"/>
                    <w:ind w:left="0" w:right="0"/>
                    <w:rPr>
                      <w:rFonts w:hint="default"/>
                      <w:sz w:val="21"/>
                      <w:szCs w:val="21"/>
                      <w:lang w:val="en-US" w:eastAsia="zh-CN"/>
                      <w:rPrChange w:id="0" w:author="张茜" w:date="2026-03-04T13:25:52Z">
                        <w:rPr>
                          <w:rFonts w:hint="default"/>
                          <w:lang w:val="en-US" w:eastAsia="zh-CN"/>
                        </w:rPr>
                      </w:rPrChange>
                    </w:rPr>
                  </w:pPr>
                </w:p>
              </w:tc>
              <w:tc>
                <w:tcPr>
                  <w:tcW w:w="1558" w:type="pct"/>
                  <w:tcBorders>
                    <w:right w:val="single" w:color="auto" w:sz="4" w:space="0"/>
                  </w:tcBorders>
                  <w:noWrap w:val="0"/>
                  <w:vAlign w:val="center"/>
                </w:tcPr>
                <w:p w14:paraId="1B2BDD00">
                  <w:pPr>
                    <w:pStyle w:val="6"/>
                    <w:suppressLineNumbers w:val="0"/>
                    <w:bidi w:val="0"/>
                    <w:spacing w:before="0" w:beforeAutospacing="0" w:after="0" w:afterAutospacing="0"/>
                    <w:ind w:left="0" w:right="0"/>
                    <w:rPr>
                      <w:rFonts w:hint="default"/>
                      <w:sz w:val="21"/>
                      <w:szCs w:val="21"/>
                      <w:lang w:val="en-US" w:eastAsia="zh-CN"/>
                      <w:rPrChange w:id="1" w:author="张茜" w:date="2026-03-04T13:25:52Z">
                        <w:rPr>
                          <w:rFonts w:hint="default"/>
                          <w:lang w:val="en-US" w:eastAsia="zh-CN"/>
                        </w:rPr>
                      </w:rPrChange>
                    </w:rPr>
                  </w:pPr>
                  <w:r>
                    <w:rPr>
                      <w:rFonts w:hint="default"/>
                      <w:sz w:val="21"/>
                      <w:szCs w:val="21"/>
                      <w:lang w:val="en-US" w:eastAsia="zh-CN"/>
                      <w:rPrChange w:id="2" w:author="张茜" w:date="2026-03-04T13:25:52Z">
                        <w:rPr>
                          <w:rFonts w:hint="default"/>
                          <w:lang w:val="en-US" w:eastAsia="zh-CN"/>
                        </w:rPr>
                      </w:rPrChange>
                    </w:rPr>
                    <w:t>上料粉尘</w:t>
                  </w:r>
                </w:p>
              </w:tc>
              <w:tc>
                <w:tcPr>
                  <w:tcW w:w="1045" w:type="pct"/>
                  <w:vMerge w:val="continue"/>
                  <w:tcBorders>
                    <w:left w:val="single" w:color="auto" w:sz="4" w:space="0"/>
                  </w:tcBorders>
                  <w:noWrap w:val="0"/>
                  <w:vAlign w:val="center"/>
                </w:tcPr>
                <w:p w14:paraId="6792F678">
                  <w:pPr>
                    <w:pStyle w:val="6"/>
                    <w:suppressLineNumbers w:val="0"/>
                    <w:bidi w:val="0"/>
                    <w:spacing w:before="0" w:beforeAutospacing="0" w:after="0" w:afterAutospacing="0"/>
                    <w:ind w:left="0" w:right="0"/>
                    <w:rPr>
                      <w:rFonts w:hint="default"/>
                      <w:sz w:val="21"/>
                      <w:szCs w:val="21"/>
                      <w:lang w:val="en-US" w:eastAsia="zh-CN"/>
                      <w:rPrChange w:id="3" w:author="张茜" w:date="2026-03-04T13:25:52Z">
                        <w:rPr>
                          <w:rFonts w:hint="default"/>
                          <w:lang w:val="en-US" w:eastAsia="zh-CN"/>
                        </w:rPr>
                      </w:rPrChange>
                    </w:rPr>
                  </w:pPr>
                </w:p>
              </w:tc>
              <w:tc>
                <w:tcPr>
                  <w:tcW w:w="1934" w:type="pct"/>
                  <w:noWrap w:val="0"/>
                  <w:vAlign w:val="center"/>
                </w:tcPr>
                <w:p w14:paraId="7507320A">
                  <w:pPr>
                    <w:pStyle w:val="6"/>
                    <w:suppressLineNumbers w:val="0"/>
                    <w:bidi w:val="0"/>
                    <w:spacing w:before="0" w:beforeAutospacing="0" w:after="0" w:afterAutospacing="0"/>
                    <w:ind w:left="0" w:right="0"/>
                    <w:rPr>
                      <w:rFonts w:hint="default"/>
                      <w:sz w:val="21"/>
                      <w:szCs w:val="21"/>
                      <w:lang w:val="en-US" w:eastAsia="zh-CN"/>
                      <w:rPrChange w:id="4" w:author="张茜" w:date="2026-03-04T13:25:52Z">
                        <w:rPr>
                          <w:rFonts w:hint="default"/>
                          <w:lang w:val="en-US" w:eastAsia="zh-CN"/>
                        </w:rPr>
                      </w:rPrChange>
                    </w:rPr>
                  </w:pPr>
                  <w:r>
                    <w:rPr>
                      <w:rFonts w:hint="eastAsia"/>
                      <w:sz w:val="21"/>
                      <w:szCs w:val="21"/>
                      <w:lang w:val="en-US" w:eastAsia="zh-CN"/>
                      <w:rPrChange w:id="5" w:author="张茜" w:date="2026-03-04T13:25:52Z">
                        <w:rPr>
                          <w:rFonts w:hint="eastAsia"/>
                          <w:lang w:val="en-US" w:eastAsia="zh-CN"/>
                        </w:rPr>
                      </w:rPrChange>
                    </w:rPr>
                    <w:t>封闭车间+</w:t>
                  </w:r>
                  <w:r>
                    <w:rPr>
                      <w:rFonts w:hint="default"/>
                      <w:sz w:val="21"/>
                      <w:szCs w:val="21"/>
                      <w:lang w:val="en-US" w:eastAsia="zh-CN"/>
                      <w:rPrChange w:id="6" w:author="张茜" w:date="2026-03-04T13:25:52Z">
                        <w:rPr>
                          <w:rFonts w:hint="default"/>
                          <w:lang w:val="en-US" w:eastAsia="zh-CN"/>
                        </w:rPr>
                      </w:rPrChange>
                    </w:rPr>
                    <w:t>布袋除尘器+15m排气筒</w:t>
                  </w:r>
                </w:p>
              </w:tc>
            </w:tr>
            <w:tr w14:paraId="3D6532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4FE06502">
                  <w:pPr>
                    <w:pStyle w:val="6"/>
                    <w:suppressLineNumbers w:val="0"/>
                    <w:bidi w:val="0"/>
                    <w:spacing w:before="0" w:beforeAutospacing="0" w:after="0" w:afterAutospacing="0"/>
                    <w:ind w:left="0" w:right="0"/>
                    <w:rPr>
                      <w:rFonts w:hint="default"/>
                      <w:sz w:val="21"/>
                      <w:szCs w:val="21"/>
                      <w:lang w:val="en-US" w:eastAsia="zh-CN"/>
                      <w:rPrChange w:id="7" w:author="张茜" w:date="2026-03-04T13:25:52Z">
                        <w:rPr>
                          <w:rFonts w:hint="default"/>
                          <w:lang w:val="en-US" w:eastAsia="zh-CN"/>
                        </w:rPr>
                      </w:rPrChange>
                    </w:rPr>
                  </w:pPr>
                </w:p>
              </w:tc>
              <w:tc>
                <w:tcPr>
                  <w:tcW w:w="1558" w:type="pct"/>
                  <w:tcBorders>
                    <w:right w:val="single" w:color="auto" w:sz="4" w:space="0"/>
                  </w:tcBorders>
                  <w:noWrap w:val="0"/>
                  <w:vAlign w:val="center"/>
                </w:tcPr>
                <w:p w14:paraId="032BAB95">
                  <w:pPr>
                    <w:pStyle w:val="6"/>
                    <w:suppressLineNumbers w:val="0"/>
                    <w:bidi w:val="0"/>
                    <w:spacing w:before="0" w:beforeAutospacing="0" w:after="0" w:afterAutospacing="0"/>
                    <w:ind w:left="0" w:right="0"/>
                    <w:rPr>
                      <w:rFonts w:hint="default"/>
                      <w:sz w:val="21"/>
                      <w:szCs w:val="21"/>
                      <w:lang w:val="en-US" w:eastAsia="zh-CN"/>
                      <w:rPrChange w:id="8" w:author="张茜" w:date="2026-03-04T13:25:52Z">
                        <w:rPr>
                          <w:rFonts w:hint="default"/>
                          <w:lang w:val="en-US" w:eastAsia="zh-CN"/>
                        </w:rPr>
                      </w:rPrChange>
                    </w:rPr>
                  </w:pPr>
                  <w:r>
                    <w:rPr>
                      <w:rFonts w:hint="default"/>
                      <w:sz w:val="21"/>
                      <w:szCs w:val="21"/>
                      <w:lang w:val="en-US" w:eastAsia="zh-CN"/>
                      <w:rPrChange w:id="9" w:author="张茜" w:date="2026-03-04T13:25:52Z">
                        <w:rPr>
                          <w:rFonts w:hint="default"/>
                          <w:lang w:val="en-US" w:eastAsia="zh-CN"/>
                        </w:rPr>
                      </w:rPrChange>
                    </w:rPr>
                    <w:t>水泥筒仓粉尘</w:t>
                  </w:r>
                </w:p>
              </w:tc>
              <w:tc>
                <w:tcPr>
                  <w:tcW w:w="1045" w:type="pct"/>
                  <w:vMerge w:val="continue"/>
                  <w:tcBorders>
                    <w:left w:val="single" w:color="auto" w:sz="4" w:space="0"/>
                  </w:tcBorders>
                  <w:noWrap w:val="0"/>
                  <w:vAlign w:val="center"/>
                </w:tcPr>
                <w:p w14:paraId="4D462FF5">
                  <w:pPr>
                    <w:pStyle w:val="6"/>
                    <w:suppressLineNumbers w:val="0"/>
                    <w:bidi w:val="0"/>
                    <w:spacing w:before="0" w:beforeAutospacing="0" w:after="0" w:afterAutospacing="0"/>
                    <w:ind w:left="0" w:right="0"/>
                    <w:rPr>
                      <w:rFonts w:hint="default"/>
                      <w:sz w:val="21"/>
                      <w:szCs w:val="21"/>
                      <w:lang w:val="en-US" w:eastAsia="zh-CN"/>
                      <w:rPrChange w:id="10" w:author="张茜" w:date="2026-03-04T13:25:52Z">
                        <w:rPr>
                          <w:rFonts w:hint="default"/>
                          <w:lang w:val="en-US" w:eastAsia="zh-CN"/>
                        </w:rPr>
                      </w:rPrChange>
                    </w:rPr>
                  </w:pPr>
                </w:p>
              </w:tc>
              <w:tc>
                <w:tcPr>
                  <w:tcW w:w="1934" w:type="pct"/>
                  <w:noWrap w:val="0"/>
                  <w:vAlign w:val="center"/>
                </w:tcPr>
                <w:p w14:paraId="28B2D4C3">
                  <w:pPr>
                    <w:pStyle w:val="6"/>
                    <w:suppressLineNumbers w:val="0"/>
                    <w:bidi w:val="0"/>
                    <w:spacing w:before="0" w:beforeAutospacing="0" w:after="0" w:afterAutospacing="0"/>
                    <w:ind w:left="0" w:right="0"/>
                    <w:rPr>
                      <w:rFonts w:hint="default"/>
                      <w:sz w:val="21"/>
                      <w:szCs w:val="21"/>
                      <w:lang w:val="en-US" w:eastAsia="zh-CN"/>
                      <w:rPrChange w:id="11" w:author="张茜" w:date="2026-03-04T13:25:52Z">
                        <w:rPr>
                          <w:rFonts w:hint="default"/>
                          <w:lang w:val="en-US" w:eastAsia="zh-CN"/>
                        </w:rPr>
                      </w:rPrChange>
                    </w:rPr>
                  </w:pPr>
                  <w:r>
                    <w:rPr>
                      <w:rFonts w:hint="default"/>
                      <w:sz w:val="21"/>
                      <w:szCs w:val="21"/>
                      <w:lang w:val="en-US" w:eastAsia="zh-CN"/>
                      <w:rPrChange w:id="12" w:author="张茜" w:date="2026-03-04T13:25:52Z">
                        <w:rPr>
                          <w:rFonts w:hint="default"/>
                          <w:lang w:val="en-US" w:eastAsia="zh-CN"/>
                        </w:rPr>
                      </w:rPrChange>
                    </w:rPr>
                    <w:t>滤筒式过滤器</w:t>
                  </w:r>
                </w:p>
              </w:tc>
            </w:tr>
            <w:tr w14:paraId="7C7DF7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1" w:type="pct"/>
                  <w:vMerge w:val="continue"/>
                  <w:noWrap w:val="0"/>
                  <w:vAlign w:val="center"/>
                </w:tcPr>
                <w:p w14:paraId="5EE7B194">
                  <w:pPr>
                    <w:pStyle w:val="6"/>
                    <w:suppressLineNumbers w:val="0"/>
                    <w:bidi w:val="0"/>
                    <w:spacing w:before="0" w:beforeAutospacing="0" w:after="0" w:afterAutospacing="0"/>
                    <w:ind w:left="0" w:right="0"/>
                    <w:rPr>
                      <w:rFonts w:hint="default"/>
                      <w:sz w:val="21"/>
                      <w:szCs w:val="21"/>
                      <w:lang w:val="en-US" w:eastAsia="zh-CN"/>
                      <w:rPrChange w:id="13" w:author="张茜" w:date="2026-03-04T13:25:52Z">
                        <w:rPr>
                          <w:rFonts w:hint="default"/>
                          <w:lang w:val="en-US" w:eastAsia="zh-CN"/>
                        </w:rPr>
                      </w:rPrChange>
                    </w:rPr>
                  </w:pPr>
                </w:p>
              </w:tc>
              <w:tc>
                <w:tcPr>
                  <w:tcW w:w="1558" w:type="pct"/>
                  <w:tcBorders>
                    <w:right w:val="single" w:color="auto" w:sz="4" w:space="0"/>
                  </w:tcBorders>
                  <w:noWrap w:val="0"/>
                  <w:vAlign w:val="center"/>
                </w:tcPr>
                <w:p w14:paraId="4F3278FA">
                  <w:pPr>
                    <w:pStyle w:val="6"/>
                    <w:suppressLineNumbers w:val="0"/>
                    <w:bidi w:val="0"/>
                    <w:spacing w:before="0" w:beforeAutospacing="0" w:after="0" w:afterAutospacing="0"/>
                    <w:ind w:left="0" w:right="0"/>
                    <w:rPr>
                      <w:rFonts w:hint="default"/>
                      <w:sz w:val="21"/>
                      <w:szCs w:val="21"/>
                      <w:lang w:val="en-US" w:eastAsia="zh-CN"/>
                      <w:rPrChange w:id="14" w:author="张茜" w:date="2026-03-04T13:25:52Z">
                        <w:rPr>
                          <w:rFonts w:hint="default"/>
                          <w:lang w:val="en-US" w:eastAsia="zh-CN"/>
                        </w:rPr>
                      </w:rPrChange>
                    </w:rPr>
                  </w:pPr>
                  <w:r>
                    <w:rPr>
                      <w:rFonts w:hint="default"/>
                      <w:sz w:val="21"/>
                      <w:szCs w:val="21"/>
                      <w:lang w:val="en-US" w:eastAsia="zh-CN"/>
                      <w:rPrChange w:id="15" w:author="张茜" w:date="2026-03-04T13:25:52Z">
                        <w:rPr>
                          <w:rFonts w:hint="default"/>
                          <w:lang w:val="en-US" w:eastAsia="zh-CN"/>
                        </w:rPr>
                      </w:rPrChange>
                    </w:rPr>
                    <w:t>搅拌粉尘</w:t>
                  </w:r>
                </w:p>
              </w:tc>
              <w:tc>
                <w:tcPr>
                  <w:tcW w:w="1045" w:type="pct"/>
                  <w:vMerge w:val="continue"/>
                  <w:tcBorders>
                    <w:left w:val="single" w:color="auto" w:sz="4" w:space="0"/>
                  </w:tcBorders>
                  <w:noWrap w:val="0"/>
                  <w:vAlign w:val="center"/>
                </w:tcPr>
                <w:p w14:paraId="090B3EA8">
                  <w:pPr>
                    <w:pStyle w:val="6"/>
                    <w:suppressLineNumbers w:val="0"/>
                    <w:bidi w:val="0"/>
                    <w:spacing w:before="0" w:beforeAutospacing="0" w:after="0" w:afterAutospacing="0"/>
                    <w:ind w:left="0" w:right="0"/>
                    <w:rPr>
                      <w:rFonts w:hint="default"/>
                      <w:sz w:val="21"/>
                      <w:szCs w:val="21"/>
                      <w:lang w:val="en-US" w:eastAsia="zh-CN"/>
                      <w:rPrChange w:id="16" w:author="张茜" w:date="2026-03-04T13:25:52Z">
                        <w:rPr>
                          <w:rFonts w:hint="default"/>
                          <w:lang w:val="en-US" w:eastAsia="zh-CN"/>
                        </w:rPr>
                      </w:rPrChange>
                    </w:rPr>
                  </w:pPr>
                </w:p>
              </w:tc>
              <w:tc>
                <w:tcPr>
                  <w:tcW w:w="1934" w:type="pct"/>
                  <w:noWrap w:val="0"/>
                  <w:vAlign w:val="center"/>
                </w:tcPr>
                <w:p w14:paraId="78627461">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全封闭搅拌设施</w:t>
                  </w:r>
                </w:p>
              </w:tc>
            </w:tr>
            <w:tr w14:paraId="11D8F6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38" w:hRule="atLeast"/>
                <w:jc w:val="center"/>
              </w:trPr>
              <w:tc>
                <w:tcPr>
                  <w:tcW w:w="461" w:type="pct"/>
                  <w:vMerge w:val="continue"/>
                  <w:noWrap w:val="0"/>
                  <w:vAlign w:val="center"/>
                </w:tcPr>
                <w:p w14:paraId="24DDC32C">
                  <w:pPr>
                    <w:pStyle w:val="6"/>
                    <w:suppressLineNumbers w:val="0"/>
                    <w:bidi w:val="0"/>
                    <w:spacing w:before="0" w:beforeAutospacing="0" w:after="0" w:afterAutospacing="0"/>
                    <w:ind w:left="0" w:right="0"/>
                    <w:rPr>
                      <w:rFonts w:hint="default"/>
                      <w:sz w:val="21"/>
                      <w:szCs w:val="21"/>
                      <w:lang w:val="en-US" w:eastAsia="zh-CN"/>
                      <w:rPrChange w:id="17" w:author="张茜" w:date="2026-03-04T13:25:52Z">
                        <w:rPr>
                          <w:rFonts w:hint="default"/>
                          <w:lang w:val="en-US" w:eastAsia="zh-CN"/>
                        </w:rPr>
                      </w:rPrChange>
                    </w:rPr>
                  </w:pPr>
                </w:p>
              </w:tc>
              <w:tc>
                <w:tcPr>
                  <w:tcW w:w="1558" w:type="pct"/>
                  <w:tcBorders>
                    <w:right w:val="single" w:color="auto" w:sz="4" w:space="0"/>
                  </w:tcBorders>
                  <w:noWrap w:val="0"/>
                  <w:vAlign w:val="center"/>
                </w:tcPr>
                <w:p w14:paraId="1024BF4E">
                  <w:pPr>
                    <w:pStyle w:val="6"/>
                    <w:suppressLineNumbers w:val="0"/>
                    <w:bidi w:val="0"/>
                    <w:spacing w:before="0" w:beforeAutospacing="0" w:after="0" w:afterAutospacing="0"/>
                    <w:ind w:left="0" w:right="0"/>
                    <w:rPr>
                      <w:rFonts w:hint="default"/>
                      <w:sz w:val="21"/>
                      <w:szCs w:val="21"/>
                      <w:lang w:val="en-US" w:eastAsia="zh-CN"/>
                      <w:rPrChange w:id="18" w:author="张茜" w:date="2026-03-04T13:25:52Z">
                        <w:rPr>
                          <w:rFonts w:hint="default"/>
                          <w:lang w:val="en-US" w:eastAsia="zh-CN"/>
                        </w:rPr>
                      </w:rPrChange>
                    </w:rPr>
                  </w:pPr>
                  <w:r>
                    <w:rPr>
                      <w:rFonts w:hint="default"/>
                      <w:sz w:val="21"/>
                      <w:szCs w:val="21"/>
                      <w:lang w:val="en-US" w:eastAsia="zh-CN"/>
                      <w:rPrChange w:id="19" w:author="张茜" w:date="2026-03-04T13:25:52Z">
                        <w:rPr>
                          <w:rFonts w:hint="default"/>
                          <w:lang w:val="en-US" w:eastAsia="zh-CN"/>
                        </w:rPr>
                      </w:rPrChange>
                    </w:rPr>
                    <w:t>脱模剂</w:t>
                  </w:r>
                </w:p>
              </w:tc>
              <w:tc>
                <w:tcPr>
                  <w:tcW w:w="1045" w:type="pct"/>
                  <w:tcBorders>
                    <w:left w:val="single" w:color="auto" w:sz="4" w:space="0"/>
                  </w:tcBorders>
                  <w:noWrap w:val="0"/>
                  <w:vAlign w:val="center"/>
                </w:tcPr>
                <w:p w14:paraId="769DE4EF">
                  <w:pPr>
                    <w:pStyle w:val="6"/>
                    <w:suppressLineNumbers w:val="0"/>
                    <w:bidi w:val="0"/>
                    <w:spacing w:before="0" w:beforeAutospacing="0" w:after="0" w:afterAutospacing="0"/>
                    <w:ind w:left="0" w:right="0"/>
                    <w:rPr>
                      <w:rFonts w:hint="default"/>
                      <w:sz w:val="21"/>
                      <w:szCs w:val="21"/>
                      <w:lang w:val="en-US" w:eastAsia="zh-CN"/>
                      <w:rPrChange w:id="20" w:author="张茜" w:date="2026-03-04T13:25:52Z">
                        <w:rPr>
                          <w:rFonts w:hint="default"/>
                          <w:lang w:val="en-US" w:eastAsia="zh-CN"/>
                        </w:rPr>
                      </w:rPrChange>
                    </w:rPr>
                  </w:pPr>
                  <w:r>
                    <w:rPr>
                      <w:rFonts w:hint="default"/>
                      <w:sz w:val="21"/>
                      <w:szCs w:val="21"/>
                      <w:lang w:val="en-US" w:eastAsia="zh-CN"/>
                      <w:rPrChange w:id="21" w:author="张茜" w:date="2026-03-04T13:25:52Z">
                        <w:rPr>
                          <w:rFonts w:hint="default"/>
                          <w:lang w:val="en-US" w:eastAsia="zh-CN"/>
                        </w:rPr>
                      </w:rPrChange>
                    </w:rPr>
                    <w:t>VOCs</w:t>
                  </w:r>
                </w:p>
              </w:tc>
              <w:tc>
                <w:tcPr>
                  <w:tcW w:w="1934" w:type="pct"/>
                  <w:noWrap w:val="0"/>
                  <w:vAlign w:val="center"/>
                </w:tcPr>
                <w:p w14:paraId="7A09EEAF">
                  <w:pPr>
                    <w:pStyle w:val="6"/>
                    <w:suppressLineNumbers w:val="0"/>
                    <w:bidi w:val="0"/>
                    <w:spacing w:before="0" w:beforeAutospacing="0" w:after="0" w:afterAutospacing="0"/>
                    <w:ind w:left="0" w:right="0"/>
                    <w:rPr>
                      <w:rFonts w:hint="default"/>
                      <w:sz w:val="21"/>
                      <w:szCs w:val="21"/>
                      <w:lang w:val="en-US" w:eastAsia="zh-CN"/>
                      <w:rPrChange w:id="22" w:author="张茜" w:date="2026-03-04T13:25:52Z">
                        <w:rPr>
                          <w:rFonts w:hint="default"/>
                          <w:lang w:val="en-US" w:eastAsia="zh-CN"/>
                        </w:rPr>
                      </w:rPrChange>
                    </w:rPr>
                  </w:pPr>
                  <w:r>
                    <w:rPr>
                      <w:rFonts w:hint="default"/>
                      <w:sz w:val="21"/>
                      <w:szCs w:val="21"/>
                      <w:lang w:val="en-US" w:eastAsia="zh-CN"/>
                      <w:rPrChange w:id="23" w:author="张茜" w:date="2026-03-04T13:25:52Z">
                        <w:rPr>
                          <w:rFonts w:hint="default"/>
                          <w:lang w:val="en-US" w:eastAsia="zh-CN"/>
                        </w:rPr>
                      </w:rPrChange>
                    </w:rPr>
                    <w:t>/</w:t>
                  </w:r>
                </w:p>
              </w:tc>
            </w:tr>
            <w:tr w14:paraId="3F3120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461" w:type="pct"/>
                  <w:vMerge w:val="restart"/>
                  <w:noWrap w:val="0"/>
                  <w:vAlign w:val="center"/>
                </w:tcPr>
                <w:p w14:paraId="10B771EB">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废水</w:t>
                  </w:r>
                </w:p>
              </w:tc>
              <w:tc>
                <w:tcPr>
                  <w:tcW w:w="1558" w:type="pct"/>
                  <w:tcBorders>
                    <w:right w:val="single" w:color="auto" w:sz="4" w:space="0"/>
                  </w:tcBorders>
                  <w:noWrap w:val="0"/>
                  <w:vAlign w:val="center"/>
                </w:tcPr>
                <w:p w14:paraId="714DC5F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生活污水</w:t>
                  </w:r>
                </w:p>
              </w:tc>
              <w:tc>
                <w:tcPr>
                  <w:tcW w:w="1045" w:type="pct"/>
                  <w:tcBorders>
                    <w:left w:val="single" w:color="auto" w:sz="4" w:space="0"/>
                  </w:tcBorders>
                  <w:noWrap w:val="0"/>
                  <w:vAlign w:val="center"/>
                </w:tcPr>
                <w:p w14:paraId="1DCA4DA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COD、BOD</w:t>
                  </w:r>
                  <w:r>
                    <w:rPr>
                      <w:rFonts w:hint="default"/>
                      <w:sz w:val="21"/>
                      <w:szCs w:val="21"/>
                      <w:vertAlign w:val="subscript"/>
                      <w:lang w:val="en-US" w:eastAsia="zh-CN"/>
                    </w:rPr>
                    <w:t>5</w:t>
                  </w:r>
                  <w:r>
                    <w:rPr>
                      <w:rFonts w:hint="default"/>
                      <w:sz w:val="21"/>
                      <w:szCs w:val="21"/>
                      <w:lang w:val="en-US" w:eastAsia="zh-CN"/>
                    </w:rPr>
                    <w:t>、SS和氨氮等</w:t>
                  </w:r>
                </w:p>
              </w:tc>
              <w:tc>
                <w:tcPr>
                  <w:tcW w:w="1934" w:type="pct"/>
                  <w:noWrap w:val="0"/>
                  <w:vAlign w:val="center"/>
                </w:tcPr>
                <w:p w14:paraId="35E3656B">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化粪池</w:t>
                  </w:r>
                </w:p>
              </w:tc>
            </w:tr>
            <w:tr w14:paraId="067FED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5AD6E079">
                  <w:pPr>
                    <w:pStyle w:val="6"/>
                    <w:suppressLineNumbers w:val="0"/>
                    <w:bidi w:val="0"/>
                    <w:spacing w:before="0" w:beforeAutospacing="0" w:after="0" w:afterAutospacing="0"/>
                    <w:ind w:left="0" w:right="0"/>
                    <w:rPr>
                      <w:rFonts w:hint="default"/>
                      <w:sz w:val="21"/>
                      <w:szCs w:val="21"/>
                      <w:lang w:val="en-US" w:eastAsia="zh-CN"/>
                      <w:rPrChange w:id="24" w:author="张茜" w:date="2026-03-04T13:25:52Z">
                        <w:rPr>
                          <w:rFonts w:hint="default"/>
                          <w:lang w:val="en-US" w:eastAsia="zh-CN"/>
                        </w:rPr>
                      </w:rPrChange>
                    </w:rPr>
                  </w:pPr>
                </w:p>
              </w:tc>
              <w:tc>
                <w:tcPr>
                  <w:tcW w:w="1558" w:type="pct"/>
                  <w:tcBorders>
                    <w:right w:val="single" w:color="auto" w:sz="4" w:space="0"/>
                  </w:tcBorders>
                  <w:noWrap w:val="0"/>
                  <w:vAlign w:val="center"/>
                </w:tcPr>
                <w:p w14:paraId="46062688">
                  <w:pPr>
                    <w:pStyle w:val="6"/>
                    <w:suppressLineNumbers w:val="0"/>
                    <w:bidi w:val="0"/>
                    <w:spacing w:before="0" w:beforeAutospacing="0" w:after="0" w:afterAutospacing="0"/>
                    <w:ind w:left="0" w:right="0"/>
                    <w:rPr>
                      <w:rFonts w:hint="default"/>
                      <w:sz w:val="21"/>
                      <w:szCs w:val="21"/>
                      <w:lang w:val="en-US" w:eastAsia="zh-CN"/>
                      <w:rPrChange w:id="25" w:author="张茜" w:date="2026-03-04T13:25:52Z">
                        <w:rPr>
                          <w:rFonts w:hint="default"/>
                          <w:lang w:val="en-US" w:eastAsia="zh-CN"/>
                        </w:rPr>
                      </w:rPrChange>
                    </w:rPr>
                  </w:pPr>
                  <w:r>
                    <w:rPr>
                      <w:rFonts w:hint="default"/>
                      <w:sz w:val="21"/>
                      <w:szCs w:val="21"/>
                      <w:lang w:val="en-US" w:eastAsia="zh-CN"/>
                      <w:rPrChange w:id="26" w:author="张茜" w:date="2026-03-04T13:25:52Z">
                        <w:rPr>
                          <w:rFonts w:hint="default"/>
                          <w:lang w:val="en-US" w:eastAsia="zh-CN"/>
                        </w:rPr>
                      </w:rPrChange>
                    </w:rPr>
                    <w:t>生产废水</w:t>
                  </w:r>
                </w:p>
              </w:tc>
              <w:tc>
                <w:tcPr>
                  <w:tcW w:w="1045" w:type="pct"/>
                  <w:tcBorders>
                    <w:left w:val="single" w:color="auto" w:sz="4" w:space="0"/>
                  </w:tcBorders>
                  <w:noWrap w:val="0"/>
                  <w:vAlign w:val="center"/>
                </w:tcPr>
                <w:p w14:paraId="5F289EA5">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SS</w:t>
                  </w:r>
                </w:p>
              </w:tc>
              <w:tc>
                <w:tcPr>
                  <w:tcW w:w="1934" w:type="pct"/>
                  <w:noWrap w:val="0"/>
                  <w:vAlign w:val="center"/>
                </w:tcPr>
                <w:p w14:paraId="7EB8BD2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沉淀池</w:t>
                  </w:r>
                </w:p>
              </w:tc>
            </w:tr>
            <w:tr w14:paraId="5E75EC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0" w:hRule="atLeast"/>
                <w:jc w:val="center"/>
              </w:trPr>
              <w:tc>
                <w:tcPr>
                  <w:tcW w:w="461" w:type="pct"/>
                  <w:noWrap w:val="0"/>
                  <w:vAlign w:val="center"/>
                </w:tcPr>
                <w:p w14:paraId="3D51D78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噪声</w:t>
                  </w:r>
                </w:p>
              </w:tc>
              <w:tc>
                <w:tcPr>
                  <w:tcW w:w="1558" w:type="pct"/>
                  <w:tcBorders>
                    <w:right w:val="single" w:color="auto" w:sz="4" w:space="0"/>
                  </w:tcBorders>
                  <w:noWrap w:val="0"/>
                  <w:vAlign w:val="center"/>
                </w:tcPr>
                <w:p w14:paraId="4F0CEDA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各生产工序生产设施</w:t>
                  </w:r>
                </w:p>
              </w:tc>
              <w:tc>
                <w:tcPr>
                  <w:tcW w:w="1045" w:type="pct"/>
                  <w:tcBorders>
                    <w:left w:val="single" w:color="auto" w:sz="4" w:space="0"/>
                  </w:tcBorders>
                  <w:noWrap w:val="0"/>
                  <w:vAlign w:val="center"/>
                </w:tcPr>
                <w:p w14:paraId="498DDF09">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噪声</w:t>
                  </w:r>
                </w:p>
              </w:tc>
              <w:tc>
                <w:tcPr>
                  <w:tcW w:w="1934" w:type="pct"/>
                  <w:noWrap w:val="0"/>
                  <w:vAlign w:val="center"/>
                </w:tcPr>
                <w:p w14:paraId="6C7C38F2">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隔声、减振、设备保养等</w:t>
                  </w:r>
                </w:p>
              </w:tc>
            </w:tr>
            <w:tr w14:paraId="52AF7B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restart"/>
                  <w:noWrap w:val="0"/>
                  <w:vAlign w:val="center"/>
                </w:tcPr>
                <w:p w14:paraId="5320763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固废</w:t>
                  </w:r>
                </w:p>
              </w:tc>
              <w:tc>
                <w:tcPr>
                  <w:tcW w:w="1558" w:type="pct"/>
                  <w:tcBorders>
                    <w:right w:val="single" w:color="auto" w:sz="4" w:space="0"/>
                  </w:tcBorders>
                  <w:noWrap w:val="0"/>
                  <w:vAlign w:val="center"/>
                </w:tcPr>
                <w:p w14:paraId="4D480FC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员工生活</w:t>
                  </w:r>
                </w:p>
              </w:tc>
              <w:tc>
                <w:tcPr>
                  <w:tcW w:w="1045" w:type="pct"/>
                  <w:tcBorders>
                    <w:left w:val="single" w:color="auto" w:sz="4" w:space="0"/>
                  </w:tcBorders>
                  <w:noWrap w:val="0"/>
                  <w:vAlign w:val="center"/>
                </w:tcPr>
                <w:p w14:paraId="77865C9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生活垃圾</w:t>
                  </w:r>
                </w:p>
              </w:tc>
              <w:tc>
                <w:tcPr>
                  <w:tcW w:w="1934" w:type="pct"/>
                  <w:noWrap w:val="0"/>
                  <w:vAlign w:val="center"/>
                </w:tcPr>
                <w:p w14:paraId="28A881F6">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环卫部门清运</w:t>
                  </w:r>
                </w:p>
              </w:tc>
            </w:tr>
            <w:tr w14:paraId="0889DB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7E860854">
                  <w:pPr>
                    <w:pStyle w:val="6"/>
                    <w:suppressLineNumbers w:val="0"/>
                    <w:bidi w:val="0"/>
                    <w:spacing w:before="0" w:beforeAutospacing="0" w:after="0" w:afterAutospacing="0"/>
                    <w:ind w:left="0" w:right="0"/>
                    <w:rPr>
                      <w:rFonts w:hint="default"/>
                      <w:sz w:val="21"/>
                      <w:szCs w:val="21"/>
                      <w:lang w:val="en-US" w:eastAsia="zh-CN"/>
                      <w:rPrChange w:id="27" w:author="张茜" w:date="2026-03-04T13:25:52Z">
                        <w:rPr>
                          <w:rFonts w:hint="default"/>
                          <w:lang w:val="en-US" w:eastAsia="zh-CN"/>
                        </w:rPr>
                      </w:rPrChange>
                    </w:rPr>
                  </w:pPr>
                </w:p>
              </w:tc>
              <w:tc>
                <w:tcPr>
                  <w:tcW w:w="1558" w:type="pct"/>
                  <w:tcBorders>
                    <w:right w:val="single" w:color="auto" w:sz="4" w:space="0"/>
                  </w:tcBorders>
                  <w:noWrap w:val="0"/>
                  <w:vAlign w:val="center"/>
                </w:tcPr>
                <w:p w14:paraId="3B7062D8">
                  <w:pPr>
                    <w:pStyle w:val="6"/>
                    <w:suppressLineNumbers w:val="0"/>
                    <w:bidi w:val="0"/>
                    <w:spacing w:before="0" w:beforeAutospacing="0" w:after="0" w:afterAutospacing="0"/>
                    <w:ind w:left="0" w:right="0"/>
                    <w:rPr>
                      <w:rFonts w:hint="default"/>
                      <w:sz w:val="21"/>
                      <w:szCs w:val="21"/>
                      <w:lang w:val="en-US" w:eastAsia="zh-CN"/>
                      <w:rPrChange w:id="28" w:author="张茜" w:date="2026-03-04T13:25:52Z">
                        <w:rPr>
                          <w:rFonts w:hint="default"/>
                          <w:lang w:val="en-US" w:eastAsia="zh-CN"/>
                        </w:rPr>
                      </w:rPrChange>
                    </w:rPr>
                  </w:pPr>
                  <w:r>
                    <w:rPr>
                      <w:rFonts w:hint="default"/>
                      <w:sz w:val="21"/>
                      <w:szCs w:val="21"/>
                      <w:lang w:val="en-US" w:eastAsia="zh-CN"/>
                      <w:rPrChange w:id="29" w:author="张茜" w:date="2026-03-04T13:25:52Z">
                        <w:rPr>
                          <w:rFonts w:hint="default"/>
                          <w:lang w:val="en-US" w:eastAsia="zh-CN"/>
                        </w:rPr>
                      </w:rPrChange>
                    </w:rPr>
                    <w:t>脱模剂、高性能减水剂和引气剂包装</w:t>
                  </w:r>
                </w:p>
              </w:tc>
              <w:tc>
                <w:tcPr>
                  <w:tcW w:w="1045" w:type="pct"/>
                  <w:tcBorders>
                    <w:left w:val="single" w:color="auto" w:sz="4" w:space="0"/>
                  </w:tcBorders>
                  <w:noWrap w:val="0"/>
                  <w:vAlign w:val="center"/>
                </w:tcPr>
                <w:p w14:paraId="752974D4">
                  <w:pPr>
                    <w:pStyle w:val="6"/>
                    <w:suppressLineNumbers w:val="0"/>
                    <w:bidi w:val="0"/>
                    <w:spacing w:before="0" w:beforeAutospacing="0" w:after="0" w:afterAutospacing="0"/>
                    <w:ind w:left="0" w:right="0"/>
                    <w:rPr>
                      <w:rFonts w:hint="default"/>
                      <w:sz w:val="21"/>
                      <w:szCs w:val="21"/>
                      <w:lang w:val="en-US" w:eastAsia="zh-CN"/>
                      <w:rPrChange w:id="30" w:author="张茜" w:date="2026-03-04T13:25:52Z">
                        <w:rPr>
                          <w:rFonts w:hint="default"/>
                          <w:lang w:val="en-US" w:eastAsia="zh-CN"/>
                        </w:rPr>
                      </w:rPrChange>
                    </w:rPr>
                  </w:pPr>
                  <w:r>
                    <w:rPr>
                      <w:rFonts w:hint="default"/>
                      <w:sz w:val="21"/>
                      <w:szCs w:val="21"/>
                      <w:lang w:val="en-US" w:eastAsia="zh-CN"/>
                      <w:rPrChange w:id="31" w:author="张茜" w:date="2026-03-04T13:25:52Z">
                        <w:rPr>
                          <w:rFonts w:hint="default"/>
                          <w:lang w:val="en-US" w:eastAsia="zh-CN"/>
                        </w:rPr>
                      </w:rPrChange>
                    </w:rPr>
                    <w:t>废包装桶</w:t>
                  </w:r>
                </w:p>
              </w:tc>
              <w:tc>
                <w:tcPr>
                  <w:tcW w:w="1934" w:type="pct"/>
                  <w:noWrap w:val="0"/>
                  <w:vAlign w:val="center"/>
                </w:tcPr>
                <w:p w14:paraId="77496F47">
                  <w:pPr>
                    <w:pStyle w:val="6"/>
                    <w:suppressLineNumbers w:val="0"/>
                    <w:bidi w:val="0"/>
                    <w:spacing w:before="0" w:beforeAutospacing="0" w:after="0" w:afterAutospacing="0"/>
                    <w:ind w:left="0" w:right="0"/>
                    <w:rPr>
                      <w:rFonts w:hint="default"/>
                      <w:sz w:val="21"/>
                      <w:szCs w:val="21"/>
                      <w:lang w:val="en-US" w:eastAsia="zh-CN"/>
                      <w:rPrChange w:id="32" w:author="张茜" w:date="2026-03-04T13:25:52Z">
                        <w:rPr>
                          <w:rFonts w:hint="default"/>
                          <w:lang w:val="en-US" w:eastAsia="zh-CN"/>
                        </w:rPr>
                      </w:rPrChange>
                    </w:rPr>
                  </w:pPr>
                  <w:r>
                    <w:rPr>
                      <w:rFonts w:hint="default"/>
                      <w:sz w:val="21"/>
                      <w:szCs w:val="21"/>
                      <w:lang w:val="en-US" w:eastAsia="zh-CN"/>
                      <w:rPrChange w:id="33" w:author="张茜" w:date="2026-03-04T13:25:52Z">
                        <w:rPr>
                          <w:rFonts w:hint="default"/>
                          <w:lang w:val="en-US" w:eastAsia="zh-CN"/>
                        </w:rPr>
                      </w:rPrChange>
                    </w:rPr>
                    <w:t>交由厂家回收处理</w:t>
                  </w:r>
                </w:p>
              </w:tc>
            </w:tr>
            <w:tr w14:paraId="733108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337478B2">
                  <w:pPr>
                    <w:pStyle w:val="6"/>
                    <w:suppressLineNumbers w:val="0"/>
                    <w:bidi w:val="0"/>
                    <w:spacing w:before="0" w:beforeAutospacing="0" w:after="0" w:afterAutospacing="0"/>
                    <w:ind w:left="0" w:right="0"/>
                    <w:rPr>
                      <w:rFonts w:hint="default"/>
                      <w:sz w:val="21"/>
                      <w:szCs w:val="21"/>
                      <w:lang w:val="en-US" w:eastAsia="zh-CN"/>
                      <w:rPrChange w:id="34" w:author="张茜" w:date="2026-03-04T13:25:52Z">
                        <w:rPr>
                          <w:rFonts w:hint="default"/>
                          <w:lang w:val="en-US" w:eastAsia="zh-CN"/>
                        </w:rPr>
                      </w:rPrChange>
                    </w:rPr>
                  </w:pPr>
                </w:p>
              </w:tc>
              <w:tc>
                <w:tcPr>
                  <w:tcW w:w="1558" w:type="pct"/>
                  <w:tcBorders>
                    <w:right w:val="single" w:color="auto" w:sz="4" w:space="0"/>
                  </w:tcBorders>
                  <w:noWrap w:val="0"/>
                  <w:vAlign w:val="center"/>
                </w:tcPr>
                <w:p w14:paraId="7E4B69EB">
                  <w:pPr>
                    <w:pStyle w:val="6"/>
                    <w:suppressLineNumbers w:val="0"/>
                    <w:bidi w:val="0"/>
                    <w:spacing w:before="0" w:beforeAutospacing="0" w:after="0" w:afterAutospacing="0"/>
                    <w:ind w:left="0" w:right="0"/>
                    <w:rPr>
                      <w:rFonts w:hint="default"/>
                      <w:sz w:val="21"/>
                      <w:szCs w:val="21"/>
                      <w:lang w:val="en-US" w:eastAsia="zh-CN"/>
                      <w:rPrChange w:id="35" w:author="张茜" w:date="2026-03-04T13:25:52Z">
                        <w:rPr>
                          <w:rFonts w:hint="default"/>
                          <w:lang w:val="en-US" w:eastAsia="zh-CN"/>
                        </w:rPr>
                      </w:rPrChange>
                    </w:rPr>
                  </w:pPr>
                  <w:r>
                    <w:rPr>
                      <w:rFonts w:hint="default"/>
                      <w:sz w:val="21"/>
                      <w:szCs w:val="21"/>
                      <w:lang w:val="en-US" w:eastAsia="zh-CN"/>
                      <w:rPrChange w:id="36" w:author="张茜" w:date="2026-03-04T13:25:52Z">
                        <w:rPr>
                          <w:rFonts w:hint="default"/>
                          <w:lang w:val="en-US" w:eastAsia="zh-CN"/>
                        </w:rPr>
                      </w:rPrChange>
                    </w:rPr>
                    <w:t>设备养护</w:t>
                  </w:r>
                </w:p>
              </w:tc>
              <w:tc>
                <w:tcPr>
                  <w:tcW w:w="1045" w:type="pct"/>
                  <w:tcBorders>
                    <w:left w:val="single" w:color="auto" w:sz="4" w:space="0"/>
                  </w:tcBorders>
                  <w:noWrap w:val="0"/>
                  <w:vAlign w:val="center"/>
                </w:tcPr>
                <w:p w14:paraId="338A69A1">
                  <w:pPr>
                    <w:pStyle w:val="6"/>
                    <w:suppressLineNumbers w:val="0"/>
                    <w:bidi w:val="0"/>
                    <w:spacing w:before="0" w:beforeAutospacing="0" w:after="0" w:afterAutospacing="0"/>
                    <w:ind w:left="0" w:right="0"/>
                    <w:rPr>
                      <w:rFonts w:hint="default"/>
                      <w:sz w:val="21"/>
                      <w:szCs w:val="21"/>
                      <w:lang w:val="en-US" w:eastAsia="zh-CN"/>
                      <w:rPrChange w:id="37" w:author="张茜" w:date="2026-03-04T13:25:52Z">
                        <w:rPr>
                          <w:rFonts w:hint="default"/>
                          <w:lang w:val="en-US" w:eastAsia="zh-CN"/>
                        </w:rPr>
                      </w:rPrChange>
                    </w:rPr>
                  </w:pPr>
                  <w:r>
                    <w:rPr>
                      <w:rFonts w:hint="default"/>
                      <w:sz w:val="21"/>
                      <w:szCs w:val="21"/>
                      <w:lang w:val="en-US" w:eastAsia="zh-CN"/>
                      <w:rPrChange w:id="38" w:author="张茜" w:date="2026-03-04T13:25:52Z">
                        <w:rPr>
                          <w:rFonts w:hint="default"/>
                          <w:lang w:val="en-US" w:eastAsia="zh-CN"/>
                        </w:rPr>
                      </w:rPrChange>
                    </w:rPr>
                    <w:t>废润滑油、废润滑油桶</w:t>
                  </w:r>
                </w:p>
              </w:tc>
              <w:tc>
                <w:tcPr>
                  <w:tcW w:w="1934" w:type="pct"/>
                  <w:noWrap w:val="0"/>
                  <w:vAlign w:val="center"/>
                </w:tcPr>
                <w:p w14:paraId="258A03F1">
                  <w:pPr>
                    <w:pStyle w:val="6"/>
                    <w:suppressLineNumbers w:val="0"/>
                    <w:bidi w:val="0"/>
                    <w:spacing w:before="0" w:beforeAutospacing="0" w:after="0" w:afterAutospacing="0"/>
                    <w:ind w:left="0" w:right="0"/>
                    <w:rPr>
                      <w:rFonts w:hint="default"/>
                      <w:sz w:val="21"/>
                      <w:szCs w:val="21"/>
                      <w:lang w:val="en-US" w:eastAsia="zh-CN"/>
                      <w:rPrChange w:id="39" w:author="张茜" w:date="2026-03-04T13:25:52Z">
                        <w:rPr>
                          <w:rFonts w:hint="default"/>
                          <w:lang w:val="en-US" w:eastAsia="zh-CN"/>
                        </w:rPr>
                      </w:rPrChange>
                    </w:rPr>
                  </w:pPr>
                  <w:r>
                    <w:rPr>
                      <w:rFonts w:hint="default"/>
                      <w:sz w:val="21"/>
                      <w:szCs w:val="21"/>
                      <w:lang w:val="en-US" w:eastAsia="zh-CN"/>
                      <w:rPrChange w:id="40" w:author="张茜" w:date="2026-03-04T13:25:52Z">
                        <w:rPr>
                          <w:rFonts w:hint="default"/>
                          <w:lang w:val="en-US" w:eastAsia="zh-CN"/>
                        </w:rPr>
                      </w:rPrChange>
                    </w:rPr>
                    <w:t>暂存在危废贮存点，委托有资质的单位统一处理</w:t>
                  </w:r>
                </w:p>
              </w:tc>
            </w:tr>
            <w:tr w14:paraId="5C29D6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7329D94A">
                  <w:pPr>
                    <w:pStyle w:val="6"/>
                    <w:suppressLineNumbers w:val="0"/>
                    <w:bidi w:val="0"/>
                    <w:spacing w:before="0" w:beforeAutospacing="0" w:after="0" w:afterAutospacing="0"/>
                    <w:ind w:left="0" w:right="0"/>
                    <w:rPr>
                      <w:rFonts w:hint="default"/>
                      <w:sz w:val="21"/>
                      <w:szCs w:val="21"/>
                      <w:lang w:val="en-US" w:eastAsia="zh-CN"/>
                      <w:rPrChange w:id="41" w:author="张茜" w:date="2026-03-04T13:25:52Z">
                        <w:rPr>
                          <w:rFonts w:hint="default"/>
                          <w:lang w:val="en-US" w:eastAsia="zh-CN"/>
                        </w:rPr>
                      </w:rPrChange>
                    </w:rPr>
                  </w:pPr>
                </w:p>
              </w:tc>
              <w:tc>
                <w:tcPr>
                  <w:tcW w:w="1558" w:type="pct"/>
                  <w:tcBorders>
                    <w:right w:val="single" w:color="auto" w:sz="4" w:space="0"/>
                  </w:tcBorders>
                  <w:noWrap w:val="0"/>
                  <w:vAlign w:val="center"/>
                </w:tcPr>
                <w:p w14:paraId="5C48F879">
                  <w:pPr>
                    <w:pStyle w:val="6"/>
                    <w:suppressLineNumbers w:val="0"/>
                    <w:bidi w:val="0"/>
                    <w:spacing w:before="0" w:beforeAutospacing="0" w:after="0" w:afterAutospacing="0"/>
                    <w:ind w:left="0" w:right="0"/>
                    <w:rPr>
                      <w:rFonts w:hint="default"/>
                      <w:sz w:val="21"/>
                      <w:szCs w:val="21"/>
                      <w:lang w:val="en-US" w:eastAsia="zh-CN"/>
                      <w:rPrChange w:id="42" w:author="张茜" w:date="2026-03-04T13:25:52Z">
                        <w:rPr>
                          <w:rFonts w:hint="default"/>
                          <w:lang w:val="en-US" w:eastAsia="zh-CN"/>
                        </w:rPr>
                      </w:rPrChange>
                    </w:rPr>
                  </w:pPr>
                  <w:r>
                    <w:rPr>
                      <w:rFonts w:hint="default"/>
                      <w:sz w:val="21"/>
                      <w:szCs w:val="21"/>
                      <w:lang w:val="en-US" w:eastAsia="zh-CN"/>
                      <w:rPrChange w:id="43" w:author="张茜" w:date="2026-03-04T13:25:52Z">
                        <w:rPr>
                          <w:rFonts w:hint="default"/>
                          <w:lang w:val="en-US" w:eastAsia="zh-CN"/>
                        </w:rPr>
                      </w:rPrChange>
                    </w:rPr>
                    <w:t>沉淀池底泥</w:t>
                  </w:r>
                </w:p>
              </w:tc>
              <w:tc>
                <w:tcPr>
                  <w:tcW w:w="1045" w:type="pct"/>
                  <w:tcBorders>
                    <w:left w:val="single" w:color="auto" w:sz="4" w:space="0"/>
                  </w:tcBorders>
                  <w:noWrap w:val="0"/>
                  <w:vAlign w:val="center"/>
                </w:tcPr>
                <w:p w14:paraId="1844B3FE">
                  <w:pPr>
                    <w:pStyle w:val="6"/>
                    <w:suppressLineNumbers w:val="0"/>
                    <w:bidi w:val="0"/>
                    <w:spacing w:before="0" w:beforeAutospacing="0" w:after="0" w:afterAutospacing="0"/>
                    <w:ind w:left="0" w:right="0"/>
                    <w:rPr>
                      <w:rFonts w:hint="default"/>
                      <w:sz w:val="21"/>
                      <w:szCs w:val="21"/>
                      <w:lang w:val="en-US" w:eastAsia="zh-CN"/>
                      <w:rPrChange w:id="44" w:author="张茜" w:date="2026-03-04T13:25:52Z">
                        <w:rPr>
                          <w:rFonts w:hint="default"/>
                          <w:lang w:val="en-US" w:eastAsia="zh-CN"/>
                        </w:rPr>
                      </w:rPrChange>
                    </w:rPr>
                  </w:pPr>
                  <w:r>
                    <w:rPr>
                      <w:rFonts w:hint="default"/>
                      <w:sz w:val="21"/>
                      <w:szCs w:val="21"/>
                      <w:lang w:val="en-US" w:eastAsia="zh-CN"/>
                      <w:rPrChange w:id="45" w:author="张茜" w:date="2026-03-04T13:25:52Z">
                        <w:rPr>
                          <w:rFonts w:hint="default"/>
                          <w:lang w:val="en-US" w:eastAsia="zh-CN"/>
                        </w:rPr>
                      </w:rPrChange>
                    </w:rPr>
                    <w:t>底泥</w:t>
                  </w:r>
                </w:p>
              </w:tc>
              <w:tc>
                <w:tcPr>
                  <w:tcW w:w="1934" w:type="pct"/>
                  <w:vMerge w:val="restart"/>
                  <w:noWrap w:val="0"/>
                  <w:vAlign w:val="center"/>
                </w:tcPr>
                <w:p w14:paraId="4ED92840">
                  <w:pPr>
                    <w:pStyle w:val="6"/>
                    <w:suppressLineNumbers w:val="0"/>
                    <w:bidi w:val="0"/>
                    <w:spacing w:before="0" w:beforeAutospacing="0" w:after="0" w:afterAutospacing="0"/>
                    <w:ind w:left="0" w:right="0"/>
                    <w:rPr>
                      <w:rFonts w:hint="default"/>
                      <w:sz w:val="21"/>
                      <w:szCs w:val="21"/>
                      <w:lang w:val="en-US" w:eastAsia="zh-CN"/>
                      <w:rPrChange w:id="46" w:author="张茜" w:date="2026-03-04T13:25:52Z">
                        <w:rPr>
                          <w:rFonts w:hint="default"/>
                          <w:lang w:val="en-US" w:eastAsia="zh-CN"/>
                        </w:rPr>
                      </w:rPrChange>
                    </w:rPr>
                  </w:pPr>
                  <w:r>
                    <w:rPr>
                      <w:rFonts w:hint="default"/>
                      <w:sz w:val="21"/>
                      <w:szCs w:val="21"/>
                      <w:lang w:val="en-US" w:eastAsia="zh-CN"/>
                      <w:rPrChange w:id="47" w:author="张茜" w:date="2026-03-04T13:25:52Z">
                        <w:rPr>
                          <w:rFonts w:hint="default"/>
                          <w:lang w:val="en-US" w:eastAsia="zh-CN"/>
                        </w:rPr>
                      </w:rPrChange>
                    </w:rPr>
                    <w:t>回用于生产</w:t>
                  </w:r>
                </w:p>
              </w:tc>
            </w:tr>
            <w:tr w14:paraId="10FBD1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0483EB36">
                  <w:pPr>
                    <w:pStyle w:val="6"/>
                    <w:suppressLineNumbers w:val="0"/>
                    <w:bidi w:val="0"/>
                    <w:spacing w:before="0" w:beforeAutospacing="0" w:after="0" w:afterAutospacing="0"/>
                    <w:ind w:left="0" w:right="0"/>
                    <w:rPr>
                      <w:rFonts w:hint="default"/>
                      <w:sz w:val="21"/>
                      <w:szCs w:val="21"/>
                      <w:lang w:val="en-US" w:eastAsia="zh-CN"/>
                      <w:rPrChange w:id="48" w:author="张茜" w:date="2026-03-04T13:25:52Z">
                        <w:rPr>
                          <w:rFonts w:hint="default"/>
                          <w:lang w:val="en-US" w:eastAsia="zh-CN"/>
                        </w:rPr>
                      </w:rPrChange>
                    </w:rPr>
                  </w:pPr>
                </w:p>
              </w:tc>
              <w:tc>
                <w:tcPr>
                  <w:tcW w:w="1558" w:type="pct"/>
                  <w:tcBorders>
                    <w:right w:val="single" w:color="auto" w:sz="4" w:space="0"/>
                  </w:tcBorders>
                  <w:shd w:val="clear" w:color="auto" w:fill="auto"/>
                  <w:noWrap w:val="0"/>
                  <w:vAlign w:val="center"/>
                </w:tcPr>
                <w:p w14:paraId="4913E8EE">
                  <w:pPr>
                    <w:pStyle w:val="6"/>
                    <w:suppressLineNumbers w:val="0"/>
                    <w:bidi w:val="0"/>
                    <w:spacing w:before="0" w:beforeAutospacing="0" w:after="0" w:afterAutospacing="0"/>
                    <w:ind w:left="0" w:right="0"/>
                    <w:rPr>
                      <w:rFonts w:hint="default"/>
                      <w:sz w:val="21"/>
                      <w:szCs w:val="21"/>
                      <w:lang w:val="en-US" w:eastAsia="zh-CN"/>
                      <w:rPrChange w:id="49" w:author="张茜" w:date="2026-03-04T13:25:52Z">
                        <w:rPr>
                          <w:rFonts w:hint="default"/>
                          <w:lang w:val="en-US" w:eastAsia="zh-CN"/>
                        </w:rPr>
                      </w:rPrChange>
                    </w:rPr>
                  </w:pPr>
                  <w:r>
                    <w:rPr>
                      <w:rFonts w:hint="default"/>
                      <w:sz w:val="21"/>
                      <w:szCs w:val="21"/>
                      <w:lang w:val="en-US" w:eastAsia="zh-CN"/>
                      <w:rPrChange w:id="50" w:author="张茜" w:date="2026-03-04T13:25:52Z">
                        <w:rPr>
                          <w:rFonts w:hint="default"/>
                          <w:lang w:val="en-US" w:eastAsia="zh-CN"/>
                        </w:rPr>
                      </w:rPrChange>
                    </w:rPr>
                    <w:t>水泥筒仓滤筒式过滤器</w:t>
                  </w:r>
                </w:p>
              </w:tc>
              <w:tc>
                <w:tcPr>
                  <w:tcW w:w="1045" w:type="pct"/>
                  <w:tcBorders>
                    <w:left w:val="single" w:color="auto" w:sz="4" w:space="0"/>
                  </w:tcBorders>
                  <w:noWrap w:val="0"/>
                  <w:vAlign w:val="center"/>
                </w:tcPr>
                <w:p w14:paraId="5514492A">
                  <w:pPr>
                    <w:pStyle w:val="6"/>
                    <w:suppressLineNumbers w:val="0"/>
                    <w:bidi w:val="0"/>
                    <w:spacing w:before="0" w:beforeAutospacing="0" w:after="0" w:afterAutospacing="0"/>
                    <w:ind w:left="0" w:right="0"/>
                    <w:rPr>
                      <w:rFonts w:hint="default"/>
                      <w:sz w:val="21"/>
                      <w:szCs w:val="21"/>
                      <w:lang w:val="en-US" w:eastAsia="zh-CN"/>
                      <w:rPrChange w:id="51" w:author="张茜" w:date="2026-03-04T13:25:52Z">
                        <w:rPr>
                          <w:rFonts w:hint="default"/>
                          <w:lang w:val="en-US" w:eastAsia="zh-CN"/>
                        </w:rPr>
                      </w:rPrChange>
                    </w:rPr>
                  </w:pPr>
                  <w:r>
                    <w:rPr>
                      <w:rFonts w:hint="default"/>
                      <w:sz w:val="21"/>
                      <w:szCs w:val="21"/>
                      <w:lang w:val="en-US" w:eastAsia="zh-CN"/>
                      <w:rPrChange w:id="52" w:author="张茜" w:date="2026-03-04T13:25:52Z">
                        <w:rPr>
                          <w:rFonts w:hint="default"/>
                          <w:lang w:val="en-US" w:eastAsia="zh-CN"/>
                        </w:rPr>
                      </w:rPrChange>
                    </w:rPr>
                    <w:t>粉尘</w:t>
                  </w:r>
                </w:p>
              </w:tc>
              <w:tc>
                <w:tcPr>
                  <w:tcW w:w="1934" w:type="pct"/>
                  <w:vMerge w:val="continue"/>
                  <w:noWrap w:val="0"/>
                  <w:vAlign w:val="center"/>
                </w:tcPr>
                <w:p w14:paraId="2FF915AC">
                  <w:pPr>
                    <w:pStyle w:val="6"/>
                    <w:suppressLineNumbers w:val="0"/>
                    <w:bidi w:val="0"/>
                    <w:spacing w:before="0" w:beforeAutospacing="0" w:after="0" w:afterAutospacing="0"/>
                    <w:ind w:left="0" w:right="0"/>
                    <w:rPr>
                      <w:rFonts w:hint="default"/>
                      <w:sz w:val="21"/>
                      <w:szCs w:val="21"/>
                      <w:lang w:val="en-US" w:eastAsia="zh-CN"/>
                      <w:rPrChange w:id="53" w:author="张茜" w:date="2026-03-04T13:25:52Z">
                        <w:rPr>
                          <w:rFonts w:hint="default"/>
                          <w:lang w:val="en-US" w:eastAsia="zh-CN"/>
                        </w:rPr>
                      </w:rPrChange>
                    </w:rPr>
                  </w:pPr>
                </w:p>
              </w:tc>
            </w:tr>
            <w:tr w14:paraId="68EB64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noWrap w:val="0"/>
                  <w:vAlign w:val="center"/>
                </w:tcPr>
                <w:p w14:paraId="4DE0F078">
                  <w:pPr>
                    <w:pStyle w:val="6"/>
                    <w:suppressLineNumbers w:val="0"/>
                    <w:bidi w:val="0"/>
                    <w:spacing w:before="0" w:beforeAutospacing="0" w:after="0" w:afterAutospacing="0"/>
                    <w:ind w:left="0" w:right="0"/>
                    <w:rPr>
                      <w:rFonts w:hint="default"/>
                      <w:sz w:val="21"/>
                      <w:szCs w:val="21"/>
                      <w:lang w:val="en-US" w:eastAsia="zh-CN"/>
                      <w:rPrChange w:id="54" w:author="张茜" w:date="2026-03-04T13:25:52Z">
                        <w:rPr>
                          <w:rFonts w:hint="default"/>
                          <w:lang w:val="en-US" w:eastAsia="zh-CN"/>
                        </w:rPr>
                      </w:rPrChange>
                    </w:rPr>
                  </w:pPr>
                </w:p>
              </w:tc>
              <w:tc>
                <w:tcPr>
                  <w:tcW w:w="1558" w:type="pct"/>
                  <w:tcBorders>
                    <w:right w:val="single" w:color="auto" w:sz="4" w:space="0"/>
                  </w:tcBorders>
                  <w:shd w:val="clear" w:color="auto" w:fill="auto"/>
                  <w:noWrap w:val="0"/>
                  <w:vAlign w:val="center"/>
                </w:tcPr>
                <w:p w14:paraId="4B22333C">
                  <w:pPr>
                    <w:pStyle w:val="6"/>
                    <w:suppressLineNumbers w:val="0"/>
                    <w:bidi w:val="0"/>
                    <w:spacing w:before="0" w:beforeAutospacing="0" w:after="0" w:afterAutospacing="0"/>
                    <w:ind w:left="0" w:right="0"/>
                    <w:rPr>
                      <w:rFonts w:hint="default"/>
                      <w:sz w:val="21"/>
                      <w:szCs w:val="21"/>
                      <w:lang w:val="en-US" w:eastAsia="zh-CN"/>
                      <w:rPrChange w:id="55" w:author="张茜" w:date="2026-03-04T13:25:52Z">
                        <w:rPr>
                          <w:rFonts w:hint="default"/>
                          <w:lang w:val="en-US" w:eastAsia="zh-CN"/>
                        </w:rPr>
                      </w:rPrChange>
                    </w:rPr>
                  </w:pPr>
                  <w:r>
                    <w:rPr>
                      <w:rFonts w:hint="default"/>
                      <w:sz w:val="21"/>
                      <w:szCs w:val="21"/>
                      <w:lang w:val="en-US" w:eastAsia="zh-CN"/>
                      <w:rPrChange w:id="56" w:author="张茜" w:date="2026-03-04T13:25:52Z">
                        <w:rPr>
                          <w:rFonts w:hint="default"/>
                          <w:lang w:val="en-US" w:eastAsia="zh-CN"/>
                        </w:rPr>
                      </w:rPrChange>
                    </w:rPr>
                    <w:t>上料口设置除尘器</w:t>
                  </w:r>
                </w:p>
              </w:tc>
              <w:tc>
                <w:tcPr>
                  <w:tcW w:w="1045" w:type="pct"/>
                  <w:tcBorders>
                    <w:left w:val="single" w:color="auto" w:sz="4" w:space="0"/>
                  </w:tcBorders>
                  <w:noWrap w:val="0"/>
                  <w:vAlign w:val="center"/>
                </w:tcPr>
                <w:p w14:paraId="33E486D2">
                  <w:pPr>
                    <w:pStyle w:val="6"/>
                    <w:suppressLineNumbers w:val="0"/>
                    <w:bidi w:val="0"/>
                    <w:spacing w:before="0" w:beforeAutospacing="0" w:after="0" w:afterAutospacing="0"/>
                    <w:ind w:left="0" w:right="0"/>
                    <w:rPr>
                      <w:rFonts w:hint="default"/>
                      <w:sz w:val="21"/>
                      <w:szCs w:val="21"/>
                      <w:lang w:val="en-US" w:eastAsia="zh-CN"/>
                      <w:rPrChange w:id="57" w:author="张茜" w:date="2026-03-04T13:25:52Z">
                        <w:rPr>
                          <w:rFonts w:hint="default"/>
                          <w:lang w:val="en-US" w:eastAsia="zh-CN"/>
                        </w:rPr>
                      </w:rPrChange>
                    </w:rPr>
                  </w:pPr>
                  <w:r>
                    <w:rPr>
                      <w:rFonts w:hint="default"/>
                      <w:sz w:val="21"/>
                      <w:szCs w:val="21"/>
                      <w:lang w:val="en-US" w:eastAsia="zh-CN"/>
                      <w:rPrChange w:id="58" w:author="张茜" w:date="2026-03-04T13:25:52Z">
                        <w:rPr>
                          <w:rFonts w:hint="default"/>
                          <w:lang w:val="en-US" w:eastAsia="zh-CN"/>
                        </w:rPr>
                      </w:rPrChange>
                    </w:rPr>
                    <w:t>粉尘</w:t>
                  </w:r>
                </w:p>
              </w:tc>
              <w:tc>
                <w:tcPr>
                  <w:tcW w:w="1934" w:type="pct"/>
                  <w:vMerge w:val="continue"/>
                  <w:noWrap w:val="0"/>
                  <w:vAlign w:val="center"/>
                </w:tcPr>
                <w:p w14:paraId="6D119775">
                  <w:pPr>
                    <w:pStyle w:val="6"/>
                    <w:suppressLineNumbers w:val="0"/>
                    <w:bidi w:val="0"/>
                    <w:spacing w:before="0" w:beforeAutospacing="0" w:after="0" w:afterAutospacing="0"/>
                    <w:ind w:left="0" w:right="0"/>
                    <w:rPr>
                      <w:rFonts w:hint="default"/>
                      <w:sz w:val="21"/>
                      <w:szCs w:val="21"/>
                      <w:lang w:val="en-US" w:eastAsia="zh-CN"/>
                      <w:rPrChange w:id="59" w:author="张茜" w:date="2026-03-04T13:25:52Z">
                        <w:rPr>
                          <w:rFonts w:hint="default"/>
                          <w:lang w:val="en-US" w:eastAsia="zh-CN"/>
                        </w:rPr>
                      </w:rPrChange>
                    </w:rPr>
                  </w:pPr>
                </w:p>
              </w:tc>
            </w:tr>
            <w:tr w14:paraId="0416FC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tcPr>
                <w:p w14:paraId="1289B3C2">
                  <w:pPr>
                    <w:pStyle w:val="6"/>
                    <w:suppressLineNumbers w:val="0"/>
                    <w:bidi w:val="0"/>
                    <w:spacing w:before="0" w:beforeAutospacing="0" w:after="0" w:afterAutospacing="0"/>
                    <w:ind w:left="0" w:right="0"/>
                    <w:rPr>
                      <w:rFonts w:hint="default"/>
                      <w:sz w:val="21"/>
                      <w:szCs w:val="21"/>
                      <w:lang w:val="en-US" w:eastAsia="zh-CN"/>
                      <w:rPrChange w:id="60" w:author="张茜" w:date="2026-03-04T13:25:52Z">
                        <w:rPr>
                          <w:rFonts w:hint="default"/>
                          <w:lang w:val="en-US" w:eastAsia="zh-CN"/>
                        </w:rPr>
                      </w:rPrChange>
                    </w:rPr>
                  </w:pPr>
                </w:p>
              </w:tc>
              <w:tc>
                <w:tcPr>
                  <w:tcW w:w="1558" w:type="pct"/>
                  <w:shd w:val="clear" w:color="auto" w:fill="auto"/>
                  <w:vAlign w:val="center"/>
                </w:tcPr>
                <w:p w14:paraId="14F193D8">
                  <w:pPr>
                    <w:pStyle w:val="6"/>
                    <w:suppressLineNumbers w:val="0"/>
                    <w:bidi w:val="0"/>
                    <w:spacing w:before="0" w:beforeAutospacing="0" w:after="0" w:afterAutospacing="0"/>
                    <w:ind w:left="0" w:right="0"/>
                    <w:rPr>
                      <w:rFonts w:hint="default"/>
                      <w:sz w:val="21"/>
                      <w:szCs w:val="21"/>
                      <w:lang w:val="en-US" w:eastAsia="zh-CN"/>
                      <w:rPrChange w:id="61" w:author="张茜" w:date="2026-03-04T13:25:52Z">
                        <w:rPr>
                          <w:rFonts w:hint="default"/>
                          <w:lang w:val="en-US" w:eastAsia="zh-CN"/>
                        </w:rPr>
                      </w:rPrChange>
                    </w:rPr>
                  </w:pPr>
                  <w:r>
                    <w:rPr>
                      <w:rFonts w:hint="default"/>
                      <w:sz w:val="21"/>
                      <w:szCs w:val="21"/>
                      <w:lang w:eastAsia="zh-CN"/>
                      <w:rPrChange w:id="62" w:author="张茜" w:date="2026-03-04T13:25:52Z">
                        <w:rPr>
                          <w:rFonts w:hint="default"/>
                          <w:lang w:eastAsia="zh-CN"/>
                        </w:rPr>
                      </w:rPrChange>
                    </w:rPr>
                    <w:t>混凝土残渣</w:t>
                  </w:r>
                </w:p>
              </w:tc>
              <w:tc>
                <w:tcPr>
                  <w:tcW w:w="1045" w:type="pct"/>
                </w:tcPr>
                <w:p w14:paraId="02187D46">
                  <w:pPr>
                    <w:pStyle w:val="6"/>
                    <w:suppressLineNumbers w:val="0"/>
                    <w:bidi w:val="0"/>
                    <w:spacing w:before="0" w:beforeAutospacing="0" w:after="0" w:afterAutospacing="0"/>
                    <w:ind w:left="0" w:right="0"/>
                    <w:rPr>
                      <w:rFonts w:hint="default"/>
                      <w:sz w:val="21"/>
                      <w:szCs w:val="21"/>
                      <w:lang w:val="en-US" w:eastAsia="zh-CN"/>
                      <w:rPrChange w:id="63" w:author="张茜" w:date="2026-03-04T13:25:52Z">
                        <w:rPr>
                          <w:rFonts w:hint="default"/>
                          <w:lang w:val="en-US" w:eastAsia="zh-CN"/>
                        </w:rPr>
                      </w:rPrChange>
                    </w:rPr>
                  </w:pPr>
                  <w:r>
                    <w:rPr>
                      <w:rFonts w:hint="default"/>
                      <w:sz w:val="21"/>
                      <w:szCs w:val="21"/>
                      <w:lang w:val="en-US" w:eastAsia="zh-CN"/>
                      <w:rPrChange w:id="64" w:author="张茜" w:date="2026-03-04T13:25:52Z">
                        <w:rPr>
                          <w:rFonts w:hint="default"/>
                          <w:lang w:val="en-US" w:eastAsia="zh-CN"/>
                        </w:rPr>
                      </w:rPrChange>
                    </w:rPr>
                    <w:t>残渣</w:t>
                  </w:r>
                </w:p>
              </w:tc>
              <w:tc>
                <w:tcPr>
                  <w:tcW w:w="1934" w:type="pct"/>
                  <w:vMerge w:val="continue"/>
                </w:tcPr>
                <w:p w14:paraId="2A1656B7">
                  <w:pPr>
                    <w:pStyle w:val="6"/>
                    <w:suppressLineNumbers w:val="0"/>
                    <w:bidi w:val="0"/>
                    <w:spacing w:before="0" w:beforeAutospacing="0" w:after="0" w:afterAutospacing="0"/>
                    <w:ind w:left="0" w:right="0"/>
                    <w:rPr>
                      <w:rFonts w:hint="default"/>
                      <w:sz w:val="21"/>
                      <w:szCs w:val="21"/>
                      <w:lang w:val="en-US" w:eastAsia="zh-CN"/>
                      <w:rPrChange w:id="65" w:author="张茜" w:date="2026-03-04T13:25:52Z">
                        <w:rPr>
                          <w:rFonts w:hint="default"/>
                          <w:lang w:val="en-US" w:eastAsia="zh-CN"/>
                        </w:rPr>
                      </w:rPrChange>
                    </w:rPr>
                  </w:pPr>
                </w:p>
              </w:tc>
            </w:tr>
            <w:tr w14:paraId="412D05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1" w:type="pct"/>
                  <w:vMerge w:val="continue"/>
                </w:tcPr>
                <w:p w14:paraId="6F2B1789">
                  <w:pPr>
                    <w:pStyle w:val="6"/>
                    <w:suppressLineNumbers w:val="0"/>
                    <w:bidi w:val="0"/>
                    <w:spacing w:before="0" w:beforeAutospacing="0" w:after="0" w:afterAutospacing="0"/>
                    <w:ind w:left="0" w:right="0"/>
                    <w:rPr>
                      <w:rFonts w:hint="default"/>
                      <w:sz w:val="21"/>
                      <w:szCs w:val="21"/>
                      <w:lang w:val="en-US" w:eastAsia="zh-CN"/>
                      <w:rPrChange w:id="66" w:author="张茜" w:date="2026-03-04T13:25:52Z">
                        <w:rPr>
                          <w:rFonts w:hint="default"/>
                          <w:lang w:val="en-US" w:eastAsia="zh-CN"/>
                        </w:rPr>
                      </w:rPrChange>
                    </w:rPr>
                  </w:pPr>
                </w:p>
              </w:tc>
              <w:tc>
                <w:tcPr>
                  <w:tcW w:w="1558" w:type="pct"/>
                  <w:shd w:val="clear" w:color="auto" w:fill="auto"/>
                  <w:vAlign w:val="center"/>
                </w:tcPr>
                <w:p w14:paraId="635AA812">
                  <w:pPr>
                    <w:pStyle w:val="6"/>
                    <w:suppressLineNumbers w:val="0"/>
                    <w:bidi w:val="0"/>
                    <w:spacing w:before="0" w:beforeAutospacing="0" w:after="0" w:afterAutospacing="0"/>
                    <w:ind w:left="0" w:right="0"/>
                    <w:rPr>
                      <w:rFonts w:hint="default"/>
                      <w:sz w:val="21"/>
                      <w:szCs w:val="21"/>
                      <w:lang w:eastAsia="zh-CN"/>
                      <w:rPrChange w:id="67" w:author="张茜" w:date="2026-03-04T13:25:52Z">
                        <w:rPr>
                          <w:rFonts w:hint="default"/>
                          <w:lang w:eastAsia="zh-CN"/>
                        </w:rPr>
                      </w:rPrChange>
                    </w:rPr>
                  </w:pPr>
                  <w:r>
                    <w:rPr>
                      <w:rFonts w:hint="default"/>
                      <w:sz w:val="21"/>
                      <w:szCs w:val="21"/>
                      <w:lang w:val="en-US" w:eastAsia="zh-CN"/>
                      <w:rPrChange w:id="68" w:author="张茜" w:date="2026-03-04T13:25:52Z">
                        <w:rPr>
                          <w:rFonts w:hint="default"/>
                          <w:lang w:val="en-US" w:eastAsia="zh-CN"/>
                        </w:rPr>
                      </w:rPrChange>
                    </w:rPr>
                    <w:t>上料口处布袋除尘器</w:t>
                  </w:r>
                </w:p>
              </w:tc>
              <w:tc>
                <w:tcPr>
                  <w:tcW w:w="1045" w:type="pct"/>
                  <w:vAlign w:val="center"/>
                </w:tcPr>
                <w:p w14:paraId="7B7C4B66">
                  <w:pPr>
                    <w:pStyle w:val="6"/>
                    <w:suppressLineNumbers w:val="0"/>
                    <w:bidi w:val="0"/>
                    <w:spacing w:before="0" w:beforeAutospacing="0" w:after="0" w:afterAutospacing="0"/>
                    <w:ind w:left="0" w:right="0"/>
                    <w:rPr>
                      <w:rFonts w:hint="default"/>
                      <w:sz w:val="21"/>
                      <w:szCs w:val="21"/>
                      <w:lang w:val="en-US" w:eastAsia="zh-CN"/>
                      <w:rPrChange w:id="69" w:author="张茜" w:date="2026-03-04T13:25:52Z">
                        <w:rPr>
                          <w:rFonts w:hint="default"/>
                          <w:lang w:val="en-US" w:eastAsia="zh-CN"/>
                        </w:rPr>
                      </w:rPrChange>
                    </w:rPr>
                  </w:pPr>
                  <w:r>
                    <w:rPr>
                      <w:rFonts w:hint="default"/>
                      <w:sz w:val="21"/>
                      <w:szCs w:val="21"/>
                      <w:lang w:val="en-US" w:eastAsia="zh-CN"/>
                      <w:rPrChange w:id="70" w:author="张茜" w:date="2026-03-04T13:25:52Z">
                        <w:rPr>
                          <w:rFonts w:hint="default"/>
                          <w:lang w:val="en-US" w:eastAsia="zh-CN"/>
                        </w:rPr>
                      </w:rPrChange>
                    </w:rPr>
                    <w:t>废布袋</w:t>
                  </w:r>
                </w:p>
              </w:tc>
              <w:tc>
                <w:tcPr>
                  <w:tcW w:w="1934" w:type="pct"/>
                  <w:vMerge w:val="restart"/>
                  <w:vAlign w:val="center"/>
                </w:tcPr>
                <w:p w14:paraId="794E1B6B">
                  <w:pPr>
                    <w:pStyle w:val="6"/>
                    <w:suppressLineNumbers w:val="0"/>
                    <w:bidi w:val="0"/>
                    <w:spacing w:before="0" w:beforeAutospacing="0" w:after="0" w:afterAutospacing="0"/>
                    <w:ind w:left="0" w:right="0"/>
                    <w:rPr>
                      <w:rFonts w:hint="default"/>
                      <w:sz w:val="21"/>
                      <w:szCs w:val="21"/>
                      <w:lang w:val="en-US" w:eastAsia="zh-CN"/>
                      <w:rPrChange w:id="71" w:author="张茜" w:date="2026-03-04T13:25:52Z">
                        <w:rPr>
                          <w:rFonts w:hint="default"/>
                          <w:lang w:val="en-US" w:eastAsia="zh-CN"/>
                        </w:rPr>
                      </w:rPrChange>
                    </w:rPr>
                  </w:pPr>
                  <w:r>
                    <w:rPr>
                      <w:rFonts w:hint="default"/>
                      <w:sz w:val="21"/>
                      <w:szCs w:val="21"/>
                      <w:lang w:val="en-US" w:eastAsia="zh-CN"/>
                      <w:rPrChange w:id="72" w:author="张茜" w:date="2026-03-04T13:25:52Z">
                        <w:rPr>
                          <w:rFonts w:hint="default"/>
                          <w:lang w:val="en-US" w:eastAsia="zh-CN"/>
                        </w:rPr>
                      </w:rPrChange>
                    </w:rPr>
                    <w:t>交由厂家回收处理</w:t>
                  </w:r>
                </w:p>
              </w:tc>
            </w:tr>
            <w:tr w14:paraId="6667E9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461" w:type="pct"/>
                  <w:vMerge w:val="continue"/>
                </w:tcPr>
                <w:p w14:paraId="7B6F8D77">
                  <w:pPr>
                    <w:pStyle w:val="6"/>
                    <w:suppressLineNumbers w:val="0"/>
                    <w:bidi w:val="0"/>
                    <w:spacing w:before="0" w:beforeAutospacing="0" w:after="0" w:afterAutospacing="0"/>
                    <w:ind w:left="0" w:right="0"/>
                    <w:rPr>
                      <w:rFonts w:hint="default"/>
                      <w:sz w:val="21"/>
                      <w:szCs w:val="21"/>
                      <w:lang w:val="en-US" w:eastAsia="zh-CN"/>
                      <w:rPrChange w:id="73" w:author="张茜" w:date="2026-03-04T13:25:52Z">
                        <w:rPr>
                          <w:rFonts w:hint="default"/>
                          <w:lang w:val="en-US" w:eastAsia="zh-CN"/>
                        </w:rPr>
                      </w:rPrChange>
                    </w:rPr>
                  </w:pPr>
                </w:p>
              </w:tc>
              <w:tc>
                <w:tcPr>
                  <w:tcW w:w="1558" w:type="pct"/>
                  <w:shd w:val="clear" w:color="auto" w:fill="auto"/>
                  <w:vAlign w:val="center"/>
                </w:tcPr>
                <w:p w14:paraId="3D8B229F">
                  <w:pPr>
                    <w:pStyle w:val="6"/>
                    <w:suppressLineNumbers w:val="0"/>
                    <w:bidi w:val="0"/>
                    <w:spacing w:before="0" w:beforeAutospacing="0" w:after="0" w:afterAutospacing="0"/>
                    <w:ind w:left="0" w:right="0"/>
                    <w:rPr>
                      <w:rFonts w:hint="default"/>
                      <w:sz w:val="21"/>
                      <w:szCs w:val="21"/>
                      <w:lang w:val="en-US" w:eastAsia="zh-CN"/>
                      <w:rPrChange w:id="74" w:author="张茜" w:date="2026-03-04T13:25:52Z">
                        <w:rPr>
                          <w:rFonts w:hint="default"/>
                          <w:lang w:val="en-US" w:eastAsia="zh-CN"/>
                        </w:rPr>
                      </w:rPrChange>
                    </w:rPr>
                  </w:pPr>
                  <w:r>
                    <w:rPr>
                      <w:rFonts w:hint="default"/>
                      <w:sz w:val="21"/>
                      <w:szCs w:val="21"/>
                      <w:lang w:val="en-US" w:eastAsia="zh-CN"/>
                      <w:rPrChange w:id="75" w:author="张茜" w:date="2026-03-04T13:25:52Z">
                        <w:rPr>
                          <w:rFonts w:hint="default"/>
                          <w:lang w:val="en-US" w:eastAsia="zh-CN"/>
                        </w:rPr>
                      </w:rPrChange>
                    </w:rPr>
                    <w:t>水泥筒仓滤筒式过滤器</w:t>
                  </w:r>
                </w:p>
              </w:tc>
              <w:tc>
                <w:tcPr>
                  <w:tcW w:w="1045" w:type="pct"/>
                </w:tcPr>
                <w:p w14:paraId="103B1C8B">
                  <w:pPr>
                    <w:pStyle w:val="6"/>
                    <w:suppressLineNumbers w:val="0"/>
                    <w:bidi w:val="0"/>
                    <w:spacing w:before="0" w:beforeAutospacing="0" w:after="0" w:afterAutospacing="0"/>
                    <w:ind w:left="0" w:right="0"/>
                    <w:rPr>
                      <w:rFonts w:hint="default"/>
                      <w:sz w:val="21"/>
                      <w:szCs w:val="21"/>
                      <w:lang w:val="en-US" w:eastAsia="zh-CN"/>
                      <w:rPrChange w:id="76" w:author="张茜" w:date="2026-03-04T13:25:52Z">
                        <w:rPr>
                          <w:rFonts w:hint="default"/>
                          <w:lang w:val="en-US" w:eastAsia="zh-CN"/>
                        </w:rPr>
                      </w:rPrChange>
                    </w:rPr>
                  </w:pPr>
                  <w:r>
                    <w:rPr>
                      <w:rFonts w:hint="default"/>
                      <w:sz w:val="21"/>
                      <w:szCs w:val="21"/>
                      <w:lang w:val="en-US" w:eastAsia="zh-CN"/>
                      <w:rPrChange w:id="77" w:author="张茜" w:date="2026-03-04T13:25:52Z">
                        <w:rPr>
                          <w:rFonts w:hint="default"/>
                          <w:lang w:val="en-US" w:eastAsia="zh-CN"/>
                        </w:rPr>
                      </w:rPrChange>
                    </w:rPr>
                    <w:t>废滤芯</w:t>
                  </w:r>
                </w:p>
              </w:tc>
              <w:tc>
                <w:tcPr>
                  <w:tcW w:w="1934" w:type="pct"/>
                  <w:vMerge w:val="continue"/>
                </w:tcPr>
                <w:p w14:paraId="3DF013D9">
                  <w:pPr>
                    <w:pStyle w:val="6"/>
                    <w:suppressLineNumbers w:val="0"/>
                    <w:bidi w:val="0"/>
                    <w:spacing w:before="0" w:beforeAutospacing="0" w:after="0" w:afterAutospacing="0"/>
                    <w:ind w:left="0" w:right="0"/>
                    <w:rPr>
                      <w:rFonts w:hint="default"/>
                      <w:sz w:val="21"/>
                      <w:szCs w:val="21"/>
                      <w:lang w:val="en-US" w:eastAsia="zh-CN"/>
                      <w:rPrChange w:id="78" w:author="张茜" w:date="2026-03-04T13:25:52Z">
                        <w:rPr>
                          <w:rFonts w:hint="default"/>
                          <w:lang w:val="en-US" w:eastAsia="zh-CN"/>
                        </w:rPr>
                      </w:rPrChange>
                    </w:rPr>
                  </w:pPr>
                </w:p>
              </w:tc>
            </w:tr>
          </w:tbl>
          <w:p w14:paraId="7FC03DBC">
            <w:pPr>
              <w:pStyle w:val="52"/>
              <w:keepNext w:val="0"/>
              <w:keepLines w:val="0"/>
              <w:suppressLineNumbers w:val="0"/>
              <w:spacing w:before="0" w:beforeAutospacing="0" w:after="0" w:afterAutospacing="0"/>
              <w:ind w:left="0" w:right="0"/>
              <w:rPr>
                <w:rFonts w:hint="default"/>
                <w:lang w:eastAsia="zh-CN"/>
              </w:rPr>
            </w:pPr>
          </w:p>
        </w:tc>
      </w:tr>
      <w:tr w14:paraId="4C4924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11" w:hRule="atLeast"/>
          <w:jc w:val="center"/>
        </w:trPr>
        <w:tc>
          <w:tcPr>
            <w:tcW w:w="1072" w:type="dxa"/>
            <w:noWrap w:val="0"/>
            <w:vAlign w:val="center"/>
          </w:tcPr>
          <w:p w14:paraId="366B7896">
            <w:pPr>
              <w:pStyle w:val="7"/>
              <w:keepNext w:val="0"/>
              <w:keepLines w:val="0"/>
              <w:suppressLineNumbers w:val="0"/>
              <w:bidi w:val="0"/>
              <w:spacing w:before="0" w:beforeAutospacing="0" w:after="0" w:afterAutospacing="0"/>
              <w:ind w:left="0" w:right="0"/>
              <w:rPr>
                <w:rFonts w:hint="default" w:ascii="Times New Roman" w:hAnsi="Times New Roman" w:cs="Times New Roman"/>
                <w:color w:val="000000"/>
                <w:szCs w:val="28"/>
                <w:highlight w:val="none"/>
              </w:rPr>
            </w:pPr>
            <w:r>
              <w:rPr>
                <w:rFonts w:hint="default"/>
              </w:rPr>
              <w:t>与项目有关的原有环境污染问题</w:t>
            </w:r>
          </w:p>
        </w:tc>
        <w:tc>
          <w:tcPr>
            <w:tcW w:w="7988" w:type="dxa"/>
            <w:noWrap w:val="0"/>
            <w:vAlign w:val="center"/>
          </w:tcPr>
          <w:p w14:paraId="2CA58EEA">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与该项目有关的主要环境问题及整改措施</w:t>
            </w:r>
          </w:p>
          <w:p w14:paraId="5642C252">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①主要环境问题：</w:t>
            </w:r>
          </w:p>
          <w:p w14:paraId="4DFA919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经现场踏勘核实巴州旭阳建材有限公司年生产加工3万吨U型板渠项目，项目水泥制品生产线、搅拌设备1台及配套附属设施均已基本建设完成，未生产。</w:t>
            </w:r>
          </w:p>
          <w:p w14:paraId="1FD20B24">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②整改措施：</w:t>
            </w:r>
          </w:p>
          <w:p w14:paraId="66850285">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开展环境影响评价工作。</w:t>
            </w:r>
          </w:p>
          <w:p w14:paraId="1C6F9FA8">
            <w:pPr>
              <w:keepNext w:val="0"/>
              <w:keepLines w:val="0"/>
              <w:suppressLineNumbers w:val="0"/>
              <w:bidi w:val="0"/>
              <w:spacing w:before="0" w:beforeAutospacing="0" w:after="0" w:afterAutospacing="0"/>
              <w:ind w:left="0" w:right="0"/>
              <w:rPr>
                <w:rFonts w:hint="eastAsia"/>
                <w:lang w:val="en-US" w:eastAsia="zh-CN"/>
              </w:rPr>
            </w:pPr>
          </w:p>
          <w:p w14:paraId="065C9ED3">
            <w:pPr>
              <w:keepNext w:val="0"/>
              <w:keepLines w:val="0"/>
              <w:suppressLineNumbers w:val="0"/>
              <w:bidi w:val="0"/>
              <w:spacing w:before="0" w:beforeAutospacing="0" w:after="0" w:afterAutospacing="0"/>
              <w:ind w:left="0" w:right="0"/>
              <w:rPr>
                <w:rFonts w:hint="eastAsia"/>
                <w:lang w:val="en-US" w:eastAsia="zh-CN"/>
              </w:rPr>
            </w:pPr>
          </w:p>
          <w:p w14:paraId="4C8E6796">
            <w:pPr>
              <w:keepNext w:val="0"/>
              <w:keepLines w:val="0"/>
              <w:suppressLineNumbers w:val="0"/>
              <w:bidi w:val="0"/>
              <w:spacing w:before="0" w:beforeAutospacing="0" w:after="0" w:afterAutospacing="0"/>
              <w:ind w:left="0" w:right="0"/>
              <w:rPr>
                <w:rFonts w:hint="eastAsia"/>
                <w:lang w:val="en-US" w:eastAsia="zh-CN"/>
              </w:rPr>
            </w:pPr>
          </w:p>
          <w:p w14:paraId="7F8668AF">
            <w:pPr>
              <w:keepNext w:val="0"/>
              <w:keepLines w:val="0"/>
              <w:suppressLineNumbers w:val="0"/>
              <w:bidi w:val="0"/>
              <w:spacing w:before="0" w:beforeAutospacing="0" w:after="0" w:afterAutospacing="0"/>
              <w:ind w:left="0" w:right="0"/>
              <w:rPr>
                <w:rFonts w:hint="eastAsia"/>
                <w:lang w:val="en-US" w:eastAsia="zh-CN"/>
              </w:rPr>
            </w:pPr>
          </w:p>
          <w:p w14:paraId="0820B89A">
            <w:pPr>
              <w:keepNext w:val="0"/>
              <w:keepLines w:val="0"/>
              <w:suppressLineNumbers w:val="0"/>
              <w:bidi w:val="0"/>
              <w:spacing w:before="0" w:beforeAutospacing="0" w:after="0" w:afterAutospacing="0"/>
              <w:ind w:left="0" w:right="0"/>
              <w:rPr>
                <w:rFonts w:hint="eastAsia"/>
                <w:lang w:val="en-US" w:eastAsia="zh-CN"/>
              </w:rPr>
            </w:pPr>
          </w:p>
          <w:p w14:paraId="00E20EF7">
            <w:pPr>
              <w:keepNext w:val="0"/>
              <w:keepLines w:val="0"/>
              <w:suppressLineNumbers w:val="0"/>
              <w:bidi w:val="0"/>
              <w:spacing w:before="0" w:beforeAutospacing="0" w:after="0" w:afterAutospacing="0"/>
              <w:ind w:left="0" w:right="0"/>
              <w:rPr>
                <w:rFonts w:hint="eastAsia"/>
                <w:lang w:val="en-US" w:eastAsia="zh-CN"/>
              </w:rPr>
            </w:pPr>
          </w:p>
          <w:p w14:paraId="336DD21F">
            <w:pPr>
              <w:keepNext w:val="0"/>
              <w:keepLines w:val="0"/>
              <w:suppressLineNumbers w:val="0"/>
              <w:bidi w:val="0"/>
              <w:spacing w:before="0" w:beforeAutospacing="0" w:after="0" w:afterAutospacing="0"/>
              <w:ind w:left="0" w:right="0"/>
              <w:rPr>
                <w:rFonts w:hint="eastAsia"/>
                <w:lang w:val="en-US" w:eastAsia="zh-CN"/>
              </w:rPr>
            </w:pPr>
          </w:p>
          <w:p w14:paraId="14E047DA">
            <w:pPr>
              <w:keepNext w:val="0"/>
              <w:keepLines w:val="0"/>
              <w:suppressLineNumbers w:val="0"/>
              <w:bidi w:val="0"/>
              <w:spacing w:before="0" w:beforeAutospacing="0" w:after="0" w:afterAutospacing="0"/>
              <w:ind w:left="0" w:right="0"/>
              <w:rPr>
                <w:rFonts w:hint="eastAsia"/>
                <w:lang w:val="en-US" w:eastAsia="zh-CN"/>
              </w:rPr>
            </w:pPr>
          </w:p>
          <w:p w14:paraId="38A5B865">
            <w:pPr>
              <w:keepNext w:val="0"/>
              <w:keepLines w:val="0"/>
              <w:suppressLineNumbers w:val="0"/>
              <w:bidi w:val="0"/>
              <w:spacing w:before="0" w:beforeAutospacing="0" w:after="0" w:afterAutospacing="0"/>
              <w:ind w:left="0" w:right="0"/>
              <w:rPr>
                <w:rFonts w:hint="eastAsia"/>
                <w:lang w:val="en-US" w:eastAsia="zh-CN"/>
              </w:rPr>
            </w:pPr>
          </w:p>
          <w:p w14:paraId="79F92D0B">
            <w:pPr>
              <w:keepNext w:val="0"/>
              <w:keepLines w:val="0"/>
              <w:suppressLineNumbers w:val="0"/>
              <w:bidi w:val="0"/>
              <w:spacing w:before="0" w:beforeAutospacing="0" w:after="0" w:afterAutospacing="0"/>
              <w:ind w:left="0" w:right="0"/>
              <w:rPr>
                <w:rFonts w:hint="eastAsia"/>
                <w:lang w:val="en-US" w:eastAsia="zh-CN"/>
              </w:rPr>
            </w:pPr>
          </w:p>
          <w:p w14:paraId="7D266DA5">
            <w:pPr>
              <w:keepNext w:val="0"/>
              <w:keepLines w:val="0"/>
              <w:suppressLineNumbers w:val="0"/>
              <w:bidi w:val="0"/>
              <w:spacing w:before="0" w:beforeAutospacing="0" w:after="0" w:afterAutospacing="0"/>
              <w:ind w:left="0" w:right="0"/>
              <w:rPr>
                <w:rFonts w:hint="eastAsia"/>
                <w:lang w:val="en-US" w:eastAsia="zh-CN"/>
              </w:rPr>
            </w:pPr>
          </w:p>
          <w:p w14:paraId="60E07606">
            <w:pPr>
              <w:keepNext w:val="0"/>
              <w:keepLines w:val="0"/>
              <w:suppressLineNumbers w:val="0"/>
              <w:bidi w:val="0"/>
              <w:spacing w:before="0" w:beforeAutospacing="0" w:after="0" w:afterAutospacing="0"/>
              <w:ind w:left="0" w:right="0"/>
              <w:rPr>
                <w:rFonts w:hint="eastAsia"/>
                <w:lang w:val="en-US" w:eastAsia="zh-CN"/>
              </w:rPr>
            </w:pPr>
          </w:p>
          <w:p w14:paraId="33798F85">
            <w:pPr>
              <w:keepNext w:val="0"/>
              <w:keepLines w:val="0"/>
              <w:suppressLineNumbers w:val="0"/>
              <w:bidi w:val="0"/>
              <w:spacing w:before="0" w:beforeAutospacing="0" w:after="0" w:afterAutospacing="0"/>
              <w:ind w:left="0" w:right="0"/>
              <w:rPr>
                <w:rFonts w:hint="eastAsia"/>
                <w:lang w:val="en-US" w:eastAsia="zh-CN"/>
              </w:rPr>
            </w:pPr>
          </w:p>
          <w:p w14:paraId="2AE16B9A">
            <w:pPr>
              <w:keepNext w:val="0"/>
              <w:keepLines w:val="0"/>
              <w:suppressLineNumbers w:val="0"/>
              <w:bidi w:val="0"/>
              <w:spacing w:before="0" w:beforeAutospacing="0" w:after="0" w:afterAutospacing="0"/>
              <w:ind w:left="0" w:right="0"/>
              <w:rPr>
                <w:rFonts w:hint="eastAsia"/>
                <w:lang w:val="en-US" w:eastAsia="zh-CN"/>
              </w:rPr>
            </w:pPr>
          </w:p>
          <w:p w14:paraId="6AD12B1E">
            <w:pPr>
              <w:keepNext w:val="0"/>
              <w:keepLines w:val="0"/>
              <w:suppressLineNumbers w:val="0"/>
              <w:bidi w:val="0"/>
              <w:spacing w:before="0" w:beforeAutospacing="0" w:after="0" w:afterAutospacing="0"/>
              <w:ind w:left="0" w:right="0"/>
              <w:rPr>
                <w:rFonts w:hint="eastAsia"/>
                <w:lang w:val="en-US" w:eastAsia="zh-CN"/>
              </w:rPr>
            </w:pPr>
          </w:p>
          <w:p w14:paraId="348F99ED">
            <w:pPr>
              <w:keepNext w:val="0"/>
              <w:keepLines w:val="0"/>
              <w:suppressLineNumbers w:val="0"/>
              <w:spacing w:before="0" w:beforeAutospacing="0" w:after="0" w:afterAutospacing="0"/>
              <w:ind w:left="0" w:leftChars="0" w:right="0" w:firstLine="0" w:firstLineChars="0"/>
              <w:rPr>
                <w:rFonts w:hint="default"/>
                <w:lang w:val="en-US" w:eastAsia="zh-CN"/>
              </w:rPr>
            </w:pPr>
          </w:p>
        </w:tc>
      </w:tr>
    </w:tbl>
    <w:p w14:paraId="4A89291B">
      <w:pPr>
        <w:pStyle w:val="30"/>
        <w:jc w:val="center"/>
        <w:rPr>
          <w:rFonts w:ascii="黑体" w:hAnsi="黑体" w:eastAsia="黑体"/>
          <w:snapToGrid w:val="0"/>
          <w:color w:val="000000"/>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1BE09D5B">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000000"/>
          <w:sz w:val="30"/>
          <w:szCs w:val="30"/>
          <w:highlight w:val="none"/>
        </w:rPr>
      </w:pPr>
      <w:r>
        <w:rPr>
          <w:rFonts w:hint="eastAsia" w:ascii="黑体" w:hAnsi="黑体" w:eastAsia="黑体"/>
          <w:snapToGrid w:val="0"/>
          <w:color w:val="000000"/>
          <w:sz w:val="30"/>
          <w:szCs w:val="30"/>
          <w:highlight w:val="none"/>
        </w:rPr>
        <w:t>三、区域环境质量现状、环境保护目标及评价标准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51"/>
        <w:gridCol w:w="8310"/>
      </w:tblGrid>
      <w:tr w14:paraId="727405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1" w:type="dxa"/>
            <w:noWrap w:val="0"/>
            <w:vAlign w:val="center"/>
          </w:tcPr>
          <w:p w14:paraId="3F961B76">
            <w:pPr>
              <w:pStyle w:val="7"/>
              <w:keepNext w:val="0"/>
              <w:keepLines w:val="0"/>
              <w:suppressLineNumbers w:val="0"/>
              <w:bidi w:val="0"/>
              <w:spacing w:before="0" w:beforeAutospacing="0" w:after="0" w:afterAutospacing="0"/>
              <w:ind w:left="0" w:right="0"/>
              <w:rPr>
                <w:rFonts w:hint="default"/>
              </w:rPr>
            </w:pPr>
            <w:r>
              <w:rPr>
                <w:rFonts w:hint="default"/>
              </w:rPr>
              <w:t>区域环境质量现状</w:t>
            </w:r>
          </w:p>
        </w:tc>
        <w:tc>
          <w:tcPr>
            <w:tcW w:w="8310" w:type="dxa"/>
            <w:noWrap w:val="0"/>
            <w:vAlign w:val="center"/>
          </w:tcPr>
          <w:p w14:paraId="0D757843">
            <w:pPr>
              <w:pStyle w:val="3"/>
              <w:keepLines w:val="0"/>
              <w:suppressLineNumbers w:val="0"/>
              <w:bidi w:val="0"/>
              <w:spacing w:before="0" w:beforeAutospacing="0" w:after="0" w:afterAutospacing="0"/>
              <w:ind w:right="0"/>
              <w:rPr>
                <w:rFonts w:hint="default"/>
              </w:rPr>
            </w:pPr>
            <w:r>
              <w:rPr>
                <w:rFonts w:hint="default"/>
              </w:rPr>
              <w:t>1</w:t>
            </w:r>
            <w:r>
              <w:rPr>
                <w:rFonts w:hint="eastAsia"/>
                <w:lang w:val="en-US" w:eastAsia="zh-CN"/>
              </w:rPr>
              <w:t xml:space="preserve"> </w:t>
            </w:r>
            <w:r>
              <w:rPr>
                <w:rFonts w:hint="default"/>
              </w:rPr>
              <w:t>环境空气现状调查与评价</w:t>
            </w:r>
          </w:p>
          <w:p w14:paraId="0B0C8759">
            <w:pPr>
              <w:pStyle w:val="4"/>
              <w:keepNext w:val="0"/>
              <w:keepLines w:val="0"/>
              <w:suppressLineNumbers w:val="0"/>
              <w:bidi w:val="0"/>
              <w:spacing w:before="0" w:beforeAutospacing="0" w:after="0" w:afterAutospacing="0"/>
              <w:ind w:left="0" w:right="0"/>
              <w:rPr>
                <w:rFonts w:hint="default"/>
              </w:rPr>
            </w:pPr>
            <w:r>
              <w:rPr>
                <w:rFonts w:hint="eastAsia"/>
                <w:lang w:val="en-US" w:eastAsia="zh-CN"/>
              </w:rPr>
              <w:t xml:space="preserve">1.1 </w:t>
            </w:r>
            <w:r>
              <w:rPr>
                <w:rFonts w:hint="default"/>
                <w:lang w:val="en-US" w:eastAsia="zh-CN"/>
              </w:rPr>
              <w:t>基本环境空气质量现状调查</w:t>
            </w:r>
          </w:p>
          <w:p w14:paraId="2FD57864">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建设项目环境影响报告表编制技术指南（污染影响类）（试行）》，对于基本污染物环境质量现状数据，项目所在区域达标判定优先采用国家或地方生态环境主管部门公开发布的评价基准年环境质量公告或环境质量报告中的数据或结论。</w:t>
            </w:r>
          </w:p>
          <w:p w14:paraId="02232456">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本工程建设地点位于新疆巴音郭楞蒙古自治州和静县迎风路以西南华国商贸城4号维修仓储车间，本次评价选用</w:t>
            </w:r>
            <w:r>
              <w:rPr>
                <w:rFonts w:hint="eastAsia"/>
                <w:lang w:val="en-US" w:eastAsia="zh-CN"/>
              </w:rPr>
              <w:t>和静县</w:t>
            </w:r>
            <w:r>
              <w:rPr>
                <w:rFonts w:hint="default"/>
                <w:lang w:val="en-US" w:eastAsia="zh-CN"/>
              </w:rPr>
              <w:t>2024年全年例行监测点的监测数据，作为环境空气现状评价基本污染物SO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的数据来源。</w:t>
            </w:r>
          </w:p>
          <w:p w14:paraId="72180646">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（1）监测项目、监测时间</w:t>
            </w:r>
          </w:p>
          <w:p w14:paraId="74A67686">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监测项目：基本污染物SO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w:t>
            </w:r>
          </w:p>
          <w:p w14:paraId="034A617E">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监测时间：基本污染物SO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的监测时间为2024年连续1年监测数据。</w:t>
            </w:r>
          </w:p>
          <w:p w14:paraId="3EED01CC">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（2）评价标准</w:t>
            </w:r>
          </w:p>
          <w:p w14:paraId="4EC61409">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根据《环境空气质量标准》（GB 3095-2026）规定：自本标</w:t>
            </w:r>
            <w:bookmarkStart w:id="6" w:name="_GoBack"/>
            <w:bookmarkEnd w:id="6"/>
            <w:r>
              <w:rPr>
                <w:rFonts w:hint="default"/>
                <w:lang w:val="en-US" w:eastAsia="zh-CN"/>
              </w:rPr>
              <w:t>准实施之日起至2030年12月31日止，环境空气污染物基本项目（表1）执行过渡阶段浓度限值，本项目所在区域为二类区执行二级浓度标准。故本次评价基本污染物SO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、CO和O</w:t>
            </w:r>
            <w:r>
              <w:rPr>
                <w:rFonts w:hint="default"/>
                <w:vertAlign w:val="subscript"/>
                <w:lang w:val="en-US" w:eastAsia="zh-CN"/>
              </w:rPr>
              <w:t>3</w:t>
            </w:r>
            <w:r>
              <w:rPr>
                <w:rFonts w:hint="default"/>
                <w:lang w:val="en-US" w:eastAsia="zh-CN"/>
              </w:rPr>
              <w:t>执行《环境空气质量标准》（GB3095-2026）过渡阶段的二级标准。</w:t>
            </w:r>
          </w:p>
          <w:p w14:paraId="2B343104">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（3）评价方法</w:t>
            </w:r>
          </w:p>
          <w:p w14:paraId="3D1D6B23">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按照《环境空气质量评价技术规范（试行）》（HJ663-2013）中各评价项目的年度评价指标进行判定。年评价指标中的年均浓度和相应百分位数24h平均或8h平均质量浓度满足《环境空气质量标准》（GB3095-2026）过渡阶段的二级标准要求的即为达标。对于超标的污染物，计算其超标倍数和超标率。</w:t>
            </w:r>
          </w:p>
          <w:p w14:paraId="669D5739">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（4）空气质量达标区的判定</w:t>
            </w:r>
          </w:p>
          <w:p w14:paraId="0E39FEDB">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环境空气质量现状评价结果见表3-1。</w:t>
            </w:r>
          </w:p>
          <w:p w14:paraId="03147BC1">
            <w:pPr>
              <w:pStyle w:val="5"/>
              <w:suppressLineNumbers w:val="0"/>
              <w:bidi w:val="0"/>
              <w:spacing w:before="0" w:beforeAutospacing="0" w:after="0" w:afterAutospacing="0"/>
              <w:ind w:left="0" w:right="0"/>
              <w:rPr>
                <w:rFonts w:hint="default"/>
                <w:lang w:val="en-US" w:eastAsia="zh-CN"/>
              </w:rPr>
            </w:pPr>
            <w:r>
              <w:rPr>
                <w:rFonts w:hint="default"/>
                <w:lang w:val="en-US" w:eastAsia="zh-CN"/>
              </w:rPr>
              <w:t>表3-1  区域空气质量现状评价表</w:t>
            </w:r>
          </w:p>
          <w:tbl>
            <w:tblPr>
              <w:tblStyle w:val="34"/>
              <w:tblW w:w="4996"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2463"/>
              <w:gridCol w:w="1144"/>
              <w:gridCol w:w="1310"/>
              <w:gridCol w:w="976"/>
              <w:gridCol w:w="863"/>
            </w:tblGrid>
            <w:tr w14:paraId="1960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noWrap w:val="0"/>
                  <w:vAlign w:val="center"/>
                </w:tcPr>
                <w:p w14:paraId="48940E6C">
                  <w:pPr>
                    <w:pStyle w:val="7"/>
                    <w:keepNext w:val="0"/>
                    <w:keepLines w:val="0"/>
                    <w:suppressLineNumbers w:val="0"/>
                    <w:bidi w:val="0"/>
                    <w:spacing w:before="0" w:beforeAutospacing="0" w:after="0" w:afterAutospacing="0"/>
                    <w:ind w:left="0" w:right="0"/>
                    <w:rPr>
                      <w:rFonts w:hint="default"/>
                    </w:rPr>
                  </w:pPr>
                  <w:r>
                    <w:rPr>
                      <w:rFonts w:hint="eastAsia"/>
                    </w:rPr>
                    <w:t>污染物</w:t>
                  </w:r>
                </w:p>
              </w:tc>
              <w:tc>
                <w:tcPr>
                  <w:tcW w:w="1530" w:type="pct"/>
                  <w:tcBorders>
                    <w:tl2br w:val="nil"/>
                    <w:tr2bl w:val="nil"/>
                  </w:tcBorders>
                  <w:noWrap w:val="0"/>
                  <w:vAlign w:val="center"/>
                </w:tcPr>
                <w:p w14:paraId="668B3855">
                  <w:pPr>
                    <w:pStyle w:val="7"/>
                    <w:keepNext w:val="0"/>
                    <w:keepLines w:val="0"/>
                    <w:suppressLineNumbers w:val="0"/>
                    <w:bidi w:val="0"/>
                    <w:spacing w:before="0" w:beforeAutospacing="0" w:after="0" w:afterAutospacing="0"/>
                    <w:ind w:left="0" w:right="0"/>
                    <w:rPr>
                      <w:rFonts w:hint="default"/>
                    </w:rPr>
                  </w:pPr>
                  <w:r>
                    <w:rPr>
                      <w:rFonts w:hint="eastAsia"/>
                    </w:rPr>
                    <w:t>评价项目</w:t>
                  </w:r>
                </w:p>
              </w:tc>
              <w:tc>
                <w:tcPr>
                  <w:tcW w:w="676" w:type="pct"/>
                  <w:tcBorders>
                    <w:tl2br w:val="nil"/>
                    <w:tr2bl w:val="nil"/>
                  </w:tcBorders>
                  <w:noWrap w:val="0"/>
                  <w:vAlign w:val="center"/>
                </w:tcPr>
                <w:p w14:paraId="43282052">
                  <w:pPr>
                    <w:pStyle w:val="7"/>
                    <w:keepNext w:val="0"/>
                    <w:keepLines w:val="0"/>
                    <w:suppressLineNumbers w:val="0"/>
                    <w:bidi w:val="0"/>
                    <w:spacing w:before="0" w:beforeAutospacing="0" w:after="0" w:afterAutospacing="0"/>
                    <w:ind w:left="0" w:right="0"/>
                    <w:rPr>
                      <w:rFonts w:hint="default"/>
                    </w:rPr>
                  </w:pPr>
                  <w:r>
                    <w:rPr>
                      <w:rFonts w:hint="default"/>
                    </w:rPr>
                    <w:t>浓度（μ</w:t>
                  </w:r>
                  <w:r>
                    <w:rPr>
                      <w:rFonts w:hint="eastAsia"/>
                      <w:lang w:val="en-US" w:eastAsia="zh-CN"/>
                    </w:rPr>
                    <w:t>g</w:t>
                  </w:r>
                  <w:r>
                    <w:rPr>
                      <w:rFonts w:hint="default"/>
                    </w:rPr>
                    <w:t>/m</w:t>
                  </w:r>
                  <w:r>
                    <w:rPr>
                      <w:rFonts w:hint="default"/>
                      <w:vertAlign w:val="superscript"/>
                    </w:rPr>
                    <w:t>3</w:t>
                  </w:r>
                  <w:r>
                    <w:rPr>
                      <w:rFonts w:hint="default"/>
                    </w:rPr>
                    <w:t>）</w:t>
                  </w:r>
                </w:p>
              </w:tc>
              <w:tc>
                <w:tcPr>
                  <w:tcW w:w="817" w:type="pct"/>
                  <w:tcBorders>
                    <w:tl2br w:val="nil"/>
                    <w:tr2bl w:val="nil"/>
                  </w:tcBorders>
                  <w:noWrap w:val="0"/>
                  <w:vAlign w:val="center"/>
                </w:tcPr>
                <w:p w14:paraId="6E981F3C">
                  <w:pPr>
                    <w:pStyle w:val="7"/>
                    <w:keepNext w:val="0"/>
                    <w:keepLines w:val="0"/>
                    <w:suppressLineNumbers w:val="0"/>
                    <w:bidi w:val="0"/>
                    <w:spacing w:before="0" w:beforeAutospacing="0" w:after="0" w:afterAutospacing="0"/>
                    <w:ind w:left="0" w:right="0"/>
                    <w:rPr>
                      <w:rFonts w:hint="default"/>
                    </w:rPr>
                  </w:pPr>
                  <w:r>
                    <w:rPr>
                      <w:rFonts w:hint="eastAsia"/>
                    </w:rPr>
                    <w:t>标准（二级）</w:t>
                  </w:r>
                  <w:r>
                    <w:rPr>
                      <w:rFonts w:hint="default"/>
                    </w:rPr>
                    <w:t>（μ</w:t>
                  </w:r>
                  <w:r>
                    <w:rPr>
                      <w:rFonts w:hint="eastAsia"/>
                      <w:lang w:val="en-US" w:eastAsia="zh-CN"/>
                    </w:rPr>
                    <w:t>g</w:t>
                  </w:r>
                  <w:r>
                    <w:rPr>
                      <w:rFonts w:hint="default"/>
                    </w:rPr>
                    <w:t>/m</w:t>
                  </w:r>
                  <w:r>
                    <w:rPr>
                      <w:rFonts w:hint="default"/>
                      <w:vertAlign w:val="superscript"/>
                    </w:rPr>
                    <w:t>3</w:t>
                  </w:r>
                  <w:r>
                    <w:rPr>
                      <w:rFonts w:hint="default"/>
                    </w:rPr>
                    <w:t>）</w:t>
                  </w:r>
                </w:p>
              </w:tc>
              <w:tc>
                <w:tcPr>
                  <w:tcW w:w="610" w:type="pct"/>
                  <w:tcBorders>
                    <w:tl2br w:val="nil"/>
                    <w:tr2bl w:val="nil"/>
                  </w:tcBorders>
                  <w:noWrap w:val="0"/>
                  <w:vAlign w:val="center"/>
                </w:tcPr>
                <w:p w14:paraId="65AA2BC4">
                  <w:pPr>
                    <w:pStyle w:val="7"/>
                    <w:keepNext w:val="0"/>
                    <w:keepLines w:val="0"/>
                    <w:suppressLineNumbers w:val="0"/>
                    <w:bidi w:val="0"/>
                    <w:spacing w:before="0" w:beforeAutospacing="0" w:after="0" w:afterAutospacing="0"/>
                    <w:ind w:left="0" w:right="0"/>
                    <w:rPr>
                      <w:rFonts w:hint="default"/>
                      <w:lang w:val="en-US" w:eastAsia="zh-CN"/>
                    </w:rPr>
                  </w:pPr>
                  <w:r>
                    <w:rPr>
                      <w:rFonts w:hint="eastAsia"/>
                      <w:lang w:eastAsia="zh-CN"/>
                    </w:rPr>
                    <w:t>占标率</w:t>
                  </w:r>
                  <w:r>
                    <w:rPr>
                      <w:rFonts w:hint="eastAsia"/>
                      <w:lang w:val="en-US" w:eastAsia="zh-CN"/>
                    </w:rPr>
                    <w:t>%</w:t>
                  </w:r>
                </w:p>
              </w:tc>
              <w:tc>
                <w:tcPr>
                  <w:tcW w:w="540" w:type="pct"/>
                  <w:tcBorders>
                    <w:tl2br w:val="nil"/>
                    <w:tr2bl w:val="nil"/>
                  </w:tcBorders>
                  <w:noWrap w:val="0"/>
                  <w:vAlign w:val="center"/>
                </w:tcPr>
                <w:p w14:paraId="5747F2C4">
                  <w:pPr>
                    <w:pStyle w:val="7"/>
                    <w:keepNext w:val="0"/>
                    <w:keepLines w:val="0"/>
                    <w:suppressLineNumbers w:val="0"/>
                    <w:bidi w:val="0"/>
                    <w:spacing w:before="0" w:beforeAutospacing="0" w:after="0" w:afterAutospacing="0"/>
                    <w:ind w:left="0" w:right="0"/>
                    <w:rPr>
                      <w:rFonts w:hint="eastAsia"/>
                      <w:lang w:eastAsia="zh-CN"/>
                    </w:rPr>
                  </w:pPr>
                  <w:r>
                    <w:rPr>
                      <w:rFonts w:hint="eastAsia"/>
                      <w:lang w:eastAsia="zh-CN"/>
                    </w:rPr>
                    <w:t>达标情况</w:t>
                  </w:r>
                </w:p>
              </w:tc>
            </w:tr>
            <w:tr w14:paraId="3D90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restart"/>
                  <w:tcBorders>
                    <w:tl2br w:val="nil"/>
                    <w:tr2bl w:val="nil"/>
                  </w:tcBorders>
                  <w:noWrap w:val="0"/>
                  <w:vAlign w:val="center"/>
                </w:tcPr>
                <w:p w14:paraId="5BD28AE2">
                  <w:pPr>
                    <w:pStyle w:val="7"/>
                    <w:keepNext w:val="0"/>
                    <w:keepLines w:val="0"/>
                    <w:suppressLineNumbers w:val="0"/>
                    <w:bidi w:val="0"/>
                    <w:spacing w:before="0" w:beforeAutospacing="0" w:after="0" w:afterAutospacing="0"/>
                    <w:ind w:left="0" w:right="0"/>
                    <w:rPr>
                      <w:rFonts w:hint="default"/>
                    </w:rPr>
                  </w:pPr>
                  <w:r>
                    <w:rPr>
                      <w:rFonts w:hint="eastAsia"/>
                    </w:rPr>
                    <w:t>SO</w:t>
                  </w:r>
                  <w:r>
                    <w:rPr>
                      <w:rFonts w:hint="eastAsia"/>
                      <w:vertAlign w:val="subscript"/>
                    </w:rPr>
                    <w:t>2</w:t>
                  </w:r>
                </w:p>
              </w:tc>
              <w:tc>
                <w:tcPr>
                  <w:tcW w:w="1530" w:type="pct"/>
                  <w:tcBorders>
                    <w:tl2br w:val="nil"/>
                    <w:tr2bl w:val="nil"/>
                  </w:tcBorders>
                  <w:noWrap w:val="0"/>
                  <w:vAlign w:val="center"/>
                </w:tcPr>
                <w:p w14:paraId="58F2040E">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年平均</w:t>
                  </w:r>
                </w:p>
              </w:tc>
              <w:tc>
                <w:tcPr>
                  <w:tcW w:w="676" w:type="pct"/>
                  <w:tcBorders>
                    <w:tl2br w:val="nil"/>
                    <w:tr2bl w:val="nil"/>
                  </w:tcBorders>
                  <w:noWrap w:val="0"/>
                  <w:vAlign w:val="center"/>
                </w:tcPr>
                <w:p w14:paraId="670C38F7">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5</w:t>
                  </w:r>
                </w:p>
              </w:tc>
              <w:tc>
                <w:tcPr>
                  <w:tcW w:w="817" w:type="pct"/>
                  <w:tcBorders>
                    <w:tl2br w:val="nil"/>
                    <w:tr2bl w:val="nil"/>
                  </w:tcBorders>
                  <w:noWrap w:val="0"/>
                  <w:vAlign w:val="center"/>
                </w:tcPr>
                <w:p w14:paraId="01B664EE">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60</w:t>
                  </w:r>
                </w:p>
              </w:tc>
              <w:tc>
                <w:tcPr>
                  <w:tcW w:w="610" w:type="pct"/>
                  <w:tcBorders>
                    <w:tl2br w:val="nil"/>
                    <w:tr2bl w:val="nil"/>
                  </w:tcBorders>
                  <w:noWrap w:val="0"/>
                  <w:vAlign w:val="center"/>
                </w:tcPr>
                <w:p w14:paraId="6E592953">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8</w:t>
                  </w:r>
                </w:p>
              </w:tc>
              <w:tc>
                <w:tcPr>
                  <w:tcW w:w="540" w:type="pct"/>
                  <w:tcBorders>
                    <w:tl2br w:val="nil"/>
                    <w:tr2bl w:val="nil"/>
                  </w:tcBorders>
                  <w:noWrap w:val="0"/>
                  <w:vAlign w:val="center"/>
                </w:tcPr>
                <w:p w14:paraId="3CE02B5A">
                  <w:pPr>
                    <w:pStyle w:val="7"/>
                    <w:keepNext w:val="0"/>
                    <w:keepLines w:val="0"/>
                    <w:suppressLineNumbers w:val="0"/>
                    <w:bidi w:val="0"/>
                    <w:spacing w:before="0" w:beforeAutospacing="0" w:after="0" w:afterAutospacing="0"/>
                    <w:ind w:left="0" w:right="0"/>
                    <w:rPr>
                      <w:rFonts w:hint="eastAsia"/>
                      <w:lang w:eastAsia="zh-CN"/>
                    </w:rPr>
                  </w:pPr>
                  <w:r>
                    <w:rPr>
                      <w:rFonts w:hint="eastAsia"/>
                      <w:lang w:eastAsia="zh-CN"/>
                    </w:rPr>
                    <w:t>达标</w:t>
                  </w:r>
                </w:p>
              </w:tc>
            </w:tr>
            <w:tr w14:paraId="423A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tcBorders>
                    <w:tl2br w:val="nil"/>
                    <w:tr2bl w:val="nil"/>
                  </w:tcBorders>
                  <w:noWrap w:val="0"/>
                  <w:vAlign w:val="center"/>
                </w:tcPr>
                <w:p w14:paraId="015E6149">
                  <w:pPr>
                    <w:pStyle w:val="7"/>
                    <w:keepNext w:val="0"/>
                    <w:keepLines w:val="0"/>
                    <w:suppressLineNumbers w:val="0"/>
                    <w:bidi w:val="0"/>
                    <w:spacing w:before="0" w:beforeAutospacing="0" w:after="0" w:afterAutospacing="0"/>
                    <w:ind w:left="0" w:right="0"/>
                    <w:rPr>
                      <w:rFonts w:hint="default"/>
                    </w:rPr>
                  </w:pPr>
                </w:p>
              </w:tc>
              <w:tc>
                <w:tcPr>
                  <w:tcW w:w="1530" w:type="pct"/>
                  <w:tcBorders>
                    <w:tl2br w:val="nil"/>
                    <w:tr2bl w:val="nil"/>
                  </w:tcBorders>
                  <w:noWrap w:val="0"/>
                  <w:vAlign w:val="center"/>
                </w:tcPr>
                <w:p w14:paraId="5A56C64D">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日均值</w:t>
                  </w:r>
                </w:p>
              </w:tc>
              <w:tc>
                <w:tcPr>
                  <w:tcW w:w="676" w:type="pct"/>
                  <w:tcBorders>
                    <w:tl2br w:val="nil"/>
                    <w:tr2bl w:val="nil"/>
                  </w:tcBorders>
                  <w:noWrap w:val="0"/>
                  <w:vAlign w:val="center"/>
                </w:tcPr>
                <w:p w14:paraId="24F86FA1">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12</w:t>
                  </w:r>
                </w:p>
              </w:tc>
              <w:tc>
                <w:tcPr>
                  <w:tcW w:w="817" w:type="pct"/>
                  <w:tcBorders>
                    <w:tl2br w:val="nil"/>
                    <w:tr2bl w:val="nil"/>
                  </w:tcBorders>
                  <w:noWrap w:val="0"/>
                  <w:vAlign w:val="center"/>
                </w:tcPr>
                <w:p w14:paraId="2A1034E9">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50</w:t>
                  </w:r>
                </w:p>
              </w:tc>
              <w:tc>
                <w:tcPr>
                  <w:tcW w:w="610" w:type="pct"/>
                  <w:tcBorders>
                    <w:tl2br w:val="nil"/>
                    <w:tr2bl w:val="nil"/>
                  </w:tcBorders>
                  <w:noWrap w:val="0"/>
                  <w:vAlign w:val="center"/>
                </w:tcPr>
                <w:p w14:paraId="44B4833C">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8</w:t>
                  </w:r>
                </w:p>
              </w:tc>
              <w:tc>
                <w:tcPr>
                  <w:tcW w:w="540" w:type="pct"/>
                  <w:tcBorders>
                    <w:tl2br w:val="nil"/>
                    <w:tr2bl w:val="nil"/>
                  </w:tcBorders>
                  <w:noWrap w:val="0"/>
                  <w:vAlign w:val="center"/>
                </w:tcPr>
                <w:p w14:paraId="0D5C054D">
                  <w:pPr>
                    <w:pStyle w:val="7"/>
                    <w:keepNext w:val="0"/>
                    <w:keepLines w:val="0"/>
                    <w:suppressLineNumbers w:val="0"/>
                    <w:bidi w:val="0"/>
                    <w:spacing w:before="0" w:beforeAutospacing="0" w:after="0" w:afterAutospacing="0"/>
                    <w:ind w:left="0" w:right="0"/>
                    <w:rPr>
                      <w:rFonts w:hint="eastAsia"/>
                    </w:rPr>
                  </w:pPr>
                  <w:r>
                    <w:rPr>
                      <w:rFonts w:hint="eastAsia"/>
                      <w:lang w:eastAsia="zh-CN"/>
                    </w:rPr>
                    <w:t>达标</w:t>
                  </w:r>
                </w:p>
              </w:tc>
            </w:tr>
            <w:tr w14:paraId="3A94D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restart"/>
                  <w:tcBorders>
                    <w:tl2br w:val="nil"/>
                    <w:tr2bl w:val="nil"/>
                  </w:tcBorders>
                  <w:noWrap w:val="0"/>
                  <w:vAlign w:val="center"/>
                </w:tcPr>
                <w:p w14:paraId="3F9145B5">
                  <w:pPr>
                    <w:pStyle w:val="7"/>
                    <w:keepNext w:val="0"/>
                    <w:keepLines w:val="0"/>
                    <w:suppressLineNumbers w:val="0"/>
                    <w:bidi w:val="0"/>
                    <w:spacing w:before="0" w:beforeAutospacing="0" w:after="0" w:afterAutospacing="0"/>
                    <w:ind w:left="0" w:right="0"/>
                    <w:rPr>
                      <w:rFonts w:hint="default"/>
                    </w:rPr>
                  </w:pPr>
                  <w:r>
                    <w:rPr>
                      <w:rFonts w:hint="eastAsia"/>
                    </w:rPr>
                    <w:t>NO</w:t>
                  </w:r>
                  <w:r>
                    <w:rPr>
                      <w:rFonts w:hint="eastAsia"/>
                      <w:vertAlign w:val="subscript"/>
                    </w:rPr>
                    <w:t>2</w:t>
                  </w:r>
                </w:p>
              </w:tc>
              <w:tc>
                <w:tcPr>
                  <w:tcW w:w="1530" w:type="pct"/>
                  <w:tcBorders>
                    <w:tl2br w:val="nil"/>
                    <w:tr2bl w:val="nil"/>
                  </w:tcBorders>
                  <w:noWrap w:val="0"/>
                  <w:vAlign w:val="center"/>
                </w:tcPr>
                <w:p w14:paraId="66D4CCF7">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年平均</w:t>
                  </w:r>
                </w:p>
              </w:tc>
              <w:tc>
                <w:tcPr>
                  <w:tcW w:w="676" w:type="pct"/>
                  <w:tcBorders>
                    <w:tl2br w:val="nil"/>
                    <w:tr2bl w:val="nil"/>
                  </w:tcBorders>
                  <w:noWrap w:val="0"/>
                  <w:vAlign w:val="center"/>
                </w:tcPr>
                <w:p w14:paraId="0B0595CA">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19</w:t>
                  </w:r>
                </w:p>
              </w:tc>
              <w:tc>
                <w:tcPr>
                  <w:tcW w:w="817" w:type="pct"/>
                  <w:tcBorders>
                    <w:tl2br w:val="nil"/>
                    <w:tr2bl w:val="nil"/>
                  </w:tcBorders>
                  <w:noWrap w:val="0"/>
                  <w:vAlign w:val="center"/>
                </w:tcPr>
                <w:p w14:paraId="03FF7AEB">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40</w:t>
                  </w:r>
                </w:p>
              </w:tc>
              <w:tc>
                <w:tcPr>
                  <w:tcW w:w="610" w:type="pct"/>
                  <w:tcBorders>
                    <w:tl2br w:val="nil"/>
                    <w:tr2bl w:val="nil"/>
                  </w:tcBorders>
                  <w:noWrap w:val="0"/>
                  <w:vAlign w:val="center"/>
                </w:tcPr>
                <w:p w14:paraId="2F405CC9">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48</w:t>
                  </w:r>
                </w:p>
              </w:tc>
              <w:tc>
                <w:tcPr>
                  <w:tcW w:w="540" w:type="pct"/>
                  <w:tcBorders>
                    <w:tl2br w:val="nil"/>
                    <w:tr2bl w:val="nil"/>
                  </w:tcBorders>
                  <w:noWrap w:val="0"/>
                  <w:vAlign w:val="center"/>
                </w:tcPr>
                <w:p w14:paraId="3F7235AE">
                  <w:pPr>
                    <w:pStyle w:val="7"/>
                    <w:keepNext w:val="0"/>
                    <w:keepLines w:val="0"/>
                    <w:suppressLineNumbers w:val="0"/>
                    <w:bidi w:val="0"/>
                    <w:spacing w:before="0" w:beforeAutospacing="0" w:after="0" w:afterAutospacing="0"/>
                    <w:ind w:left="0" w:right="0"/>
                    <w:rPr>
                      <w:rFonts w:hint="eastAsia"/>
                    </w:rPr>
                  </w:pPr>
                  <w:r>
                    <w:rPr>
                      <w:rFonts w:hint="eastAsia"/>
                      <w:lang w:eastAsia="zh-CN"/>
                    </w:rPr>
                    <w:t>达标</w:t>
                  </w:r>
                </w:p>
              </w:tc>
            </w:tr>
            <w:tr w14:paraId="4F92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tcBorders>
                    <w:tl2br w:val="nil"/>
                    <w:tr2bl w:val="nil"/>
                  </w:tcBorders>
                  <w:noWrap w:val="0"/>
                  <w:vAlign w:val="center"/>
                </w:tcPr>
                <w:p w14:paraId="4948F651">
                  <w:pPr>
                    <w:pStyle w:val="7"/>
                    <w:keepNext w:val="0"/>
                    <w:keepLines w:val="0"/>
                    <w:suppressLineNumbers w:val="0"/>
                    <w:bidi w:val="0"/>
                    <w:spacing w:before="0" w:beforeAutospacing="0" w:after="0" w:afterAutospacing="0"/>
                    <w:ind w:left="0" w:right="0"/>
                    <w:rPr>
                      <w:rFonts w:hint="default"/>
                    </w:rPr>
                  </w:pPr>
                </w:p>
              </w:tc>
              <w:tc>
                <w:tcPr>
                  <w:tcW w:w="1530" w:type="pct"/>
                  <w:tcBorders>
                    <w:tl2br w:val="nil"/>
                    <w:tr2bl w:val="nil"/>
                  </w:tcBorders>
                  <w:noWrap w:val="0"/>
                  <w:vAlign w:val="center"/>
                </w:tcPr>
                <w:p w14:paraId="76C0258B">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日均值</w:t>
                  </w:r>
                </w:p>
              </w:tc>
              <w:tc>
                <w:tcPr>
                  <w:tcW w:w="676" w:type="pct"/>
                  <w:tcBorders>
                    <w:tl2br w:val="nil"/>
                    <w:tr2bl w:val="nil"/>
                  </w:tcBorders>
                  <w:noWrap w:val="0"/>
                  <w:vAlign w:val="center"/>
                </w:tcPr>
                <w:p w14:paraId="0CB2F839">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49</w:t>
                  </w:r>
                </w:p>
              </w:tc>
              <w:tc>
                <w:tcPr>
                  <w:tcW w:w="817" w:type="pct"/>
                  <w:tcBorders>
                    <w:tl2br w:val="nil"/>
                    <w:tr2bl w:val="nil"/>
                  </w:tcBorders>
                  <w:noWrap w:val="0"/>
                  <w:vAlign w:val="center"/>
                </w:tcPr>
                <w:p w14:paraId="2E936E9C">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80</w:t>
                  </w:r>
                </w:p>
              </w:tc>
              <w:tc>
                <w:tcPr>
                  <w:tcW w:w="610" w:type="pct"/>
                  <w:tcBorders>
                    <w:tl2br w:val="nil"/>
                    <w:tr2bl w:val="nil"/>
                  </w:tcBorders>
                  <w:noWrap w:val="0"/>
                  <w:vAlign w:val="center"/>
                </w:tcPr>
                <w:p w14:paraId="78A302C0">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61</w:t>
                  </w:r>
                </w:p>
              </w:tc>
              <w:tc>
                <w:tcPr>
                  <w:tcW w:w="540" w:type="pct"/>
                  <w:tcBorders>
                    <w:tl2br w:val="nil"/>
                    <w:tr2bl w:val="nil"/>
                  </w:tcBorders>
                  <w:noWrap w:val="0"/>
                  <w:vAlign w:val="center"/>
                </w:tcPr>
                <w:p w14:paraId="308AAF18">
                  <w:pPr>
                    <w:pStyle w:val="7"/>
                    <w:keepNext w:val="0"/>
                    <w:keepLines w:val="0"/>
                    <w:suppressLineNumbers w:val="0"/>
                    <w:bidi w:val="0"/>
                    <w:spacing w:before="0" w:beforeAutospacing="0" w:after="0" w:afterAutospacing="0"/>
                    <w:ind w:left="0" w:right="0"/>
                    <w:rPr>
                      <w:rFonts w:hint="eastAsia"/>
                    </w:rPr>
                  </w:pPr>
                  <w:r>
                    <w:rPr>
                      <w:rFonts w:hint="eastAsia"/>
                      <w:lang w:eastAsia="zh-CN"/>
                    </w:rPr>
                    <w:t>达标</w:t>
                  </w:r>
                </w:p>
              </w:tc>
            </w:tr>
            <w:tr w14:paraId="1A5F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noWrap w:val="0"/>
                  <w:vAlign w:val="center"/>
                </w:tcPr>
                <w:p w14:paraId="3F892D9E">
                  <w:pPr>
                    <w:pStyle w:val="7"/>
                    <w:keepNext w:val="0"/>
                    <w:keepLines w:val="0"/>
                    <w:suppressLineNumbers w:val="0"/>
                    <w:bidi w:val="0"/>
                    <w:spacing w:before="0" w:beforeAutospacing="0" w:after="0" w:afterAutospacing="0"/>
                    <w:ind w:left="0" w:right="0"/>
                    <w:rPr>
                      <w:rFonts w:hint="default"/>
                    </w:rPr>
                  </w:pPr>
                  <w:r>
                    <w:rPr>
                      <w:rFonts w:hint="eastAsia"/>
                    </w:rPr>
                    <w:t>CO（mg/m</w:t>
                  </w:r>
                  <w:r>
                    <w:rPr>
                      <w:rFonts w:hint="eastAsia"/>
                      <w:vertAlign w:val="superscript"/>
                    </w:rPr>
                    <w:t>3</w:t>
                  </w:r>
                  <w:r>
                    <w:rPr>
                      <w:rFonts w:hint="eastAsia"/>
                    </w:rPr>
                    <w:t>）</w:t>
                  </w:r>
                </w:p>
              </w:tc>
              <w:tc>
                <w:tcPr>
                  <w:tcW w:w="1530" w:type="pct"/>
                  <w:tcBorders>
                    <w:tl2br w:val="nil"/>
                    <w:tr2bl w:val="nil"/>
                  </w:tcBorders>
                  <w:noWrap w:val="0"/>
                  <w:vAlign w:val="center"/>
                </w:tcPr>
                <w:p w14:paraId="2A2AFA91">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日均值</w:t>
                  </w:r>
                </w:p>
              </w:tc>
              <w:tc>
                <w:tcPr>
                  <w:tcW w:w="676" w:type="pct"/>
                  <w:tcBorders>
                    <w:tl2br w:val="nil"/>
                    <w:tr2bl w:val="nil"/>
                  </w:tcBorders>
                  <w:noWrap w:val="0"/>
                  <w:vAlign w:val="center"/>
                </w:tcPr>
                <w:p w14:paraId="39FD268D">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2.2</w:t>
                  </w:r>
                </w:p>
              </w:tc>
              <w:tc>
                <w:tcPr>
                  <w:tcW w:w="817" w:type="pct"/>
                  <w:tcBorders>
                    <w:tl2br w:val="nil"/>
                    <w:tr2bl w:val="nil"/>
                  </w:tcBorders>
                  <w:noWrap w:val="0"/>
                  <w:vAlign w:val="center"/>
                </w:tcPr>
                <w:p w14:paraId="4E590FDB">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w:t>
                  </w:r>
                </w:p>
              </w:tc>
              <w:tc>
                <w:tcPr>
                  <w:tcW w:w="610" w:type="pct"/>
                  <w:tcBorders>
                    <w:tl2br w:val="nil"/>
                    <w:tr2bl w:val="nil"/>
                  </w:tcBorders>
                  <w:noWrap w:val="0"/>
                  <w:vAlign w:val="center"/>
                </w:tcPr>
                <w:p w14:paraId="590818C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55</w:t>
                  </w:r>
                </w:p>
              </w:tc>
              <w:tc>
                <w:tcPr>
                  <w:tcW w:w="540" w:type="pct"/>
                  <w:tcBorders>
                    <w:tl2br w:val="nil"/>
                    <w:tr2bl w:val="nil"/>
                  </w:tcBorders>
                  <w:noWrap w:val="0"/>
                  <w:vAlign w:val="center"/>
                </w:tcPr>
                <w:p w14:paraId="1BF95BA9">
                  <w:pPr>
                    <w:pStyle w:val="7"/>
                    <w:keepNext w:val="0"/>
                    <w:keepLines w:val="0"/>
                    <w:suppressLineNumbers w:val="0"/>
                    <w:bidi w:val="0"/>
                    <w:spacing w:before="0" w:beforeAutospacing="0" w:after="0" w:afterAutospacing="0"/>
                    <w:ind w:left="0" w:right="0"/>
                    <w:rPr>
                      <w:rFonts w:hint="eastAsia"/>
                    </w:rPr>
                  </w:pPr>
                  <w:r>
                    <w:rPr>
                      <w:rFonts w:hint="eastAsia"/>
                      <w:lang w:eastAsia="zh-CN"/>
                    </w:rPr>
                    <w:t>达标</w:t>
                  </w:r>
                </w:p>
              </w:tc>
            </w:tr>
            <w:tr w14:paraId="5661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tcBorders>
                    <w:tl2br w:val="nil"/>
                    <w:tr2bl w:val="nil"/>
                  </w:tcBorders>
                  <w:noWrap w:val="0"/>
                  <w:vAlign w:val="center"/>
                </w:tcPr>
                <w:p w14:paraId="14D58C7A">
                  <w:pPr>
                    <w:pStyle w:val="7"/>
                    <w:keepNext w:val="0"/>
                    <w:keepLines w:val="0"/>
                    <w:suppressLineNumbers w:val="0"/>
                    <w:bidi w:val="0"/>
                    <w:spacing w:before="0" w:beforeAutospacing="0" w:after="0" w:afterAutospacing="0"/>
                    <w:ind w:left="0" w:right="0"/>
                    <w:rPr>
                      <w:rFonts w:hint="default"/>
                    </w:rPr>
                  </w:pPr>
                  <w:r>
                    <w:rPr>
                      <w:rFonts w:hint="eastAsia"/>
                    </w:rPr>
                    <w:t>O</w:t>
                  </w:r>
                  <w:r>
                    <w:rPr>
                      <w:rFonts w:hint="eastAsia"/>
                      <w:vertAlign w:val="subscript"/>
                    </w:rPr>
                    <w:t>3</w:t>
                  </w:r>
                </w:p>
              </w:tc>
              <w:tc>
                <w:tcPr>
                  <w:tcW w:w="1530" w:type="pct"/>
                  <w:tcBorders>
                    <w:tl2br w:val="nil"/>
                    <w:tr2bl w:val="nil"/>
                  </w:tcBorders>
                  <w:noWrap w:val="0"/>
                  <w:vAlign w:val="center"/>
                </w:tcPr>
                <w:p w14:paraId="1AE7E137">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日</w:t>
                  </w:r>
                  <w:r>
                    <w:rPr>
                      <w:rFonts w:hint="default"/>
                      <w:lang w:val="en-US" w:eastAsia="zh-CN"/>
                    </w:rPr>
                    <w:t>最大8小时平均</w:t>
                  </w:r>
                </w:p>
              </w:tc>
              <w:tc>
                <w:tcPr>
                  <w:tcW w:w="676" w:type="pct"/>
                  <w:tcBorders>
                    <w:tl2br w:val="nil"/>
                    <w:tr2bl w:val="nil"/>
                  </w:tcBorders>
                  <w:noWrap w:val="0"/>
                  <w:vAlign w:val="center"/>
                </w:tcPr>
                <w:p w14:paraId="0B3D4B35">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130</w:t>
                  </w:r>
                </w:p>
              </w:tc>
              <w:tc>
                <w:tcPr>
                  <w:tcW w:w="817" w:type="pct"/>
                  <w:tcBorders>
                    <w:tl2br w:val="nil"/>
                    <w:tr2bl w:val="nil"/>
                  </w:tcBorders>
                  <w:noWrap w:val="0"/>
                  <w:vAlign w:val="center"/>
                </w:tcPr>
                <w:p w14:paraId="5683DDED">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160</w:t>
                  </w:r>
                </w:p>
              </w:tc>
              <w:tc>
                <w:tcPr>
                  <w:tcW w:w="610" w:type="pct"/>
                  <w:tcBorders>
                    <w:tl2br w:val="nil"/>
                    <w:tr2bl w:val="nil"/>
                  </w:tcBorders>
                  <w:shd w:val="clear" w:color="auto" w:fill="auto"/>
                  <w:noWrap w:val="0"/>
                  <w:vAlign w:val="center"/>
                </w:tcPr>
                <w:p w14:paraId="622A2EB4">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81</w:t>
                  </w:r>
                </w:p>
              </w:tc>
              <w:tc>
                <w:tcPr>
                  <w:tcW w:w="540" w:type="pct"/>
                  <w:tcBorders>
                    <w:tl2br w:val="nil"/>
                    <w:tr2bl w:val="nil"/>
                  </w:tcBorders>
                  <w:noWrap w:val="0"/>
                  <w:vAlign w:val="center"/>
                </w:tcPr>
                <w:p w14:paraId="7235A24B">
                  <w:pPr>
                    <w:pStyle w:val="7"/>
                    <w:keepNext w:val="0"/>
                    <w:keepLines w:val="0"/>
                    <w:suppressLineNumbers w:val="0"/>
                    <w:bidi w:val="0"/>
                    <w:spacing w:before="0" w:beforeAutospacing="0" w:after="0" w:afterAutospacing="0"/>
                    <w:ind w:left="0" w:right="0"/>
                    <w:rPr>
                      <w:rFonts w:hint="eastAsia"/>
                    </w:rPr>
                  </w:pPr>
                  <w:r>
                    <w:rPr>
                      <w:rFonts w:hint="eastAsia"/>
                      <w:lang w:eastAsia="zh-CN"/>
                    </w:rPr>
                    <w:t>达标</w:t>
                  </w:r>
                </w:p>
              </w:tc>
            </w:tr>
            <w:tr w14:paraId="39B8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825" w:type="pct"/>
                  <w:vMerge w:val="restart"/>
                  <w:tcBorders>
                    <w:tl2br w:val="nil"/>
                    <w:tr2bl w:val="nil"/>
                  </w:tcBorders>
                  <w:noWrap w:val="0"/>
                  <w:vAlign w:val="center"/>
                </w:tcPr>
                <w:p w14:paraId="7A5B3C85">
                  <w:pPr>
                    <w:pStyle w:val="7"/>
                    <w:keepNext w:val="0"/>
                    <w:keepLines w:val="0"/>
                    <w:suppressLineNumbers w:val="0"/>
                    <w:bidi w:val="0"/>
                    <w:spacing w:before="0" w:beforeAutospacing="0" w:after="0" w:afterAutospacing="0"/>
                    <w:ind w:left="0" w:right="0"/>
                    <w:rPr>
                      <w:rFonts w:hint="default"/>
                    </w:rPr>
                  </w:pPr>
                  <w:r>
                    <w:rPr>
                      <w:rFonts w:hint="eastAsia"/>
                    </w:rPr>
                    <w:t>PM</w:t>
                  </w:r>
                  <w:r>
                    <w:rPr>
                      <w:rFonts w:hint="eastAsia"/>
                      <w:vertAlign w:val="subscript"/>
                    </w:rPr>
                    <w:t>10</w:t>
                  </w:r>
                </w:p>
              </w:tc>
              <w:tc>
                <w:tcPr>
                  <w:tcW w:w="1530" w:type="pct"/>
                  <w:tcBorders>
                    <w:tl2br w:val="nil"/>
                    <w:tr2bl w:val="nil"/>
                  </w:tcBorders>
                  <w:noWrap w:val="0"/>
                  <w:vAlign w:val="center"/>
                </w:tcPr>
                <w:p w14:paraId="4F0E5D31">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年平均</w:t>
                  </w:r>
                </w:p>
              </w:tc>
              <w:tc>
                <w:tcPr>
                  <w:tcW w:w="676" w:type="pct"/>
                  <w:tcBorders>
                    <w:tl2br w:val="nil"/>
                    <w:tr2bl w:val="nil"/>
                  </w:tcBorders>
                  <w:noWrap w:val="0"/>
                  <w:vAlign w:val="center"/>
                </w:tcPr>
                <w:p w14:paraId="3F20BA5B">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108</w:t>
                  </w:r>
                </w:p>
              </w:tc>
              <w:tc>
                <w:tcPr>
                  <w:tcW w:w="817" w:type="pct"/>
                  <w:tcBorders>
                    <w:tl2br w:val="nil"/>
                    <w:tr2bl w:val="nil"/>
                  </w:tcBorders>
                  <w:noWrap w:val="0"/>
                  <w:vAlign w:val="center"/>
                </w:tcPr>
                <w:p w14:paraId="5F9ED4F9">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60</w:t>
                  </w:r>
                </w:p>
              </w:tc>
              <w:tc>
                <w:tcPr>
                  <w:tcW w:w="610" w:type="pct"/>
                  <w:tcBorders>
                    <w:tl2br w:val="nil"/>
                    <w:tr2bl w:val="nil"/>
                  </w:tcBorders>
                  <w:shd w:val="clear" w:color="auto" w:fill="auto"/>
                  <w:noWrap w:val="0"/>
                  <w:vAlign w:val="center"/>
                </w:tcPr>
                <w:p w14:paraId="52E04A2F">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180</w:t>
                  </w:r>
                </w:p>
              </w:tc>
              <w:tc>
                <w:tcPr>
                  <w:tcW w:w="540" w:type="pct"/>
                  <w:tcBorders>
                    <w:tl2br w:val="nil"/>
                    <w:tr2bl w:val="nil"/>
                  </w:tcBorders>
                  <w:noWrap w:val="0"/>
                  <w:vAlign w:val="center"/>
                </w:tcPr>
                <w:p w14:paraId="768C220C">
                  <w:pPr>
                    <w:pStyle w:val="7"/>
                    <w:keepNext w:val="0"/>
                    <w:keepLines w:val="0"/>
                    <w:suppressLineNumbers w:val="0"/>
                    <w:bidi w:val="0"/>
                    <w:spacing w:before="0" w:beforeAutospacing="0" w:after="0" w:afterAutospacing="0"/>
                    <w:ind w:left="0" w:right="0"/>
                    <w:rPr>
                      <w:rFonts w:hint="eastAsia"/>
                    </w:rPr>
                  </w:pPr>
                  <w:r>
                    <w:rPr>
                      <w:rFonts w:hint="eastAsia"/>
                      <w:lang w:eastAsia="zh-CN"/>
                    </w:rPr>
                    <w:t>不达标</w:t>
                  </w:r>
                </w:p>
              </w:tc>
            </w:tr>
            <w:tr w14:paraId="4371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tcBorders>
                    <w:tl2br w:val="nil"/>
                    <w:tr2bl w:val="nil"/>
                  </w:tcBorders>
                  <w:noWrap w:val="0"/>
                  <w:vAlign w:val="center"/>
                </w:tcPr>
                <w:p w14:paraId="19B54C8B">
                  <w:pPr>
                    <w:pStyle w:val="7"/>
                    <w:keepNext w:val="0"/>
                    <w:keepLines w:val="0"/>
                    <w:suppressLineNumbers w:val="0"/>
                    <w:bidi w:val="0"/>
                    <w:spacing w:before="0" w:beforeAutospacing="0" w:after="0" w:afterAutospacing="0"/>
                    <w:ind w:left="0" w:right="0"/>
                    <w:rPr>
                      <w:rFonts w:hint="default"/>
                    </w:rPr>
                  </w:pPr>
                </w:p>
              </w:tc>
              <w:tc>
                <w:tcPr>
                  <w:tcW w:w="1530" w:type="pct"/>
                  <w:tcBorders>
                    <w:tl2br w:val="nil"/>
                    <w:tr2bl w:val="nil"/>
                  </w:tcBorders>
                  <w:noWrap w:val="0"/>
                  <w:vAlign w:val="center"/>
                </w:tcPr>
                <w:p w14:paraId="26E055D9">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日均值</w:t>
                  </w:r>
                </w:p>
              </w:tc>
              <w:tc>
                <w:tcPr>
                  <w:tcW w:w="676" w:type="pct"/>
                  <w:tcBorders>
                    <w:tl2br w:val="nil"/>
                    <w:tr2bl w:val="nil"/>
                  </w:tcBorders>
                  <w:noWrap w:val="0"/>
                  <w:vAlign w:val="center"/>
                </w:tcPr>
                <w:p w14:paraId="189C940F">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318</w:t>
                  </w:r>
                </w:p>
              </w:tc>
              <w:tc>
                <w:tcPr>
                  <w:tcW w:w="817" w:type="pct"/>
                  <w:tcBorders>
                    <w:tl2br w:val="nil"/>
                    <w:tr2bl w:val="nil"/>
                  </w:tcBorders>
                  <w:noWrap w:val="0"/>
                  <w:vAlign w:val="center"/>
                </w:tcPr>
                <w:p w14:paraId="403647B9">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120</w:t>
                  </w:r>
                </w:p>
              </w:tc>
              <w:tc>
                <w:tcPr>
                  <w:tcW w:w="610" w:type="pct"/>
                  <w:tcBorders>
                    <w:tl2br w:val="nil"/>
                    <w:tr2bl w:val="nil"/>
                  </w:tcBorders>
                  <w:shd w:val="clear" w:color="auto" w:fill="auto"/>
                  <w:noWrap w:val="0"/>
                  <w:vAlign w:val="center"/>
                </w:tcPr>
                <w:p w14:paraId="097F0F80">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265</w:t>
                  </w:r>
                </w:p>
              </w:tc>
              <w:tc>
                <w:tcPr>
                  <w:tcW w:w="540" w:type="pct"/>
                  <w:tcBorders>
                    <w:tl2br w:val="nil"/>
                    <w:tr2bl w:val="nil"/>
                  </w:tcBorders>
                  <w:noWrap w:val="0"/>
                  <w:vAlign w:val="center"/>
                </w:tcPr>
                <w:p w14:paraId="1E6C038E">
                  <w:pPr>
                    <w:pStyle w:val="7"/>
                    <w:keepNext w:val="0"/>
                    <w:keepLines w:val="0"/>
                    <w:suppressLineNumbers w:val="0"/>
                    <w:bidi w:val="0"/>
                    <w:spacing w:before="0" w:beforeAutospacing="0" w:after="0" w:afterAutospacing="0"/>
                    <w:ind w:left="0" w:right="0"/>
                    <w:rPr>
                      <w:rFonts w:hint="eastAsia"/>
                    </w:rPr>
                  </w:pPr>
                  <w:r>
                    <w:rPr>
                      <w:rFonts w:hint="eastAsia"/>
                      <w:lang w:eastAsia="zh-CN"/>
                    </w:rPr>
                    <w:t>不达标</w:t>
                  </w:r>
                </w:p>
              </w:tc>
            </w:tr>
            <w:tr w14:paraId="7BDB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restart"/>
                  <w:tcBorders>
                    <w:tl2br w:val="nil"/>
                    <w:tr2bl w:val="nil"/>
                  </w:tcBorders>
                  <w:noWrap w:val="0"/>
                  <w:vAlign w:val="center"/>
                </w:tcPr>
                <w:p w14:paraId="7B718300">
                  <w:pPr>
                    <w:pStyle w:val="7"/>
                    <w:keepNext w:val="0"/>
                    <w:keepLines w:val="0"/>
                    <w:suppressLineNumbers w:val="0"/>
                    <w:bidi w:val="0"/>
                    <w:spacing w:before="0" w:beforeAutospacing="0" w:after="0" w:afterAutospacing="0"/>
                    <w:ind w:left="0" w:right="0"/>
                    <w:rPr>
                      <w:rFonts w:hint="default"/>
                    </w:rPr>
                  </w:pPr>
                  <w:r>
                    <w:rPr>
                      <w:rFonts w:hint="eastAsia"/>
                    </w:rPr>
                    <w:t>PM</w:t>
                  </w:r>
                  <w:r>
                    <w:rPr>
                      <w:rFonts w:hint="eastAsia"/>
                      <w:vertAlign w:val="subscript"/>
                    </w:rPr>
                    <w:t>2.5</w:t>
                  </w:r>
                </w:p>
              </w:tc>
              <w:tc>
                <w:tcPr>
                  <w:tcW w:w="1530" w:type="pct"/>
                  <w:tcBorders>
                    <w:tl2br w:val="nil"/>
                    <w:tr2bl w:val="nil"/>
                  </w:tcBorders>
                  <w:noWrap w:val="0"/>
                  <w:vAlign w:val="center"/>
                </w:tcPr>
                <w:p w14:paraId="0628A752">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年平均</w:t>
                  </w:r>
                </w:p>
              </w:tc>
              <w:tc>
                <w:tcPr>
                  <w:tcW w:w="676" w:type="pct"/>
                  <w:tcBorders>
                    <w:tl2br w:val="nil"/>
                    <w:tr2bl w:val="nil"/>
                  </w:tcBorders>
                  <w:noWrap w:val="0"/>
                  <w:vAlign w:val="center"/>
                </w:tcPr>
                <w:p w14:paraId="51A1CE26">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36</w:t>
                  </w:r>
                </w:p>
              </w:tc>
              <w:tc>
                <w:tcPr>
                  <w:tcW w:w="817" w:type="pct"/>
                  <w:tcBorders>
                    <w:tl2br w:val="nil"/>
                    <w:tr2bl w:val="nil"/>
                  </w:tcBorders>
                  <w:noWrap w:val="0"/>
                  <w:vAlign w:val="center"/>
                </w:tcPr>
                <w:p w14:paraId="4D244D11">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30</w:t>
                  </w:r>
                </w:p>
              </w:tc>
              <w:tc>
                <w:tcPr>
                  <w:tcW w:w="610" w:type="pct"/>
                  <w:tcBorders>
                    <w:tl2br w:val="nil"/>
                    <w:tr2bl w:val="nil"/>
                  </w:tcBorders>
                  <w:shd w:val="clear" w:color="auto" w:fill="auto"/>
                  <w:noWrap w:val="0"/>
                  <w:vAlign w:val="center"/>
                </w:tcPr>
                <w:p w14:paraId="31C28390">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120</w:t>
                  </w:r>
                </w:p>
              </w:tc>
              <w:tc>
                <w:tcPr>
                  <w:tcW w:w="540" w:type="pct"/>
                  <w:tcBorders>
                    <w:tl2br w:val="nil"/>
                    <w:tr2bl w:val="nil"/>
                  </w:tcBorders>
                  <w:noWrap w:val="0"/>
                  <w:vAlign w:val="center"/>
                </w:tcPr>
                <w:p w14:paraId="1AD9BF5B">
                  <w:pPr>
                    <w:pStyle w:val="7"/>
                    <w:keepNext w:val="0"/>
                    <w:keepLines w:val="0"/>
                    <w:suppressLineNumbers w:val="0"/>
                    <w:bidi w:val="0"/>
                    <w:spacing w:before="0" w:beforeAutospacing="0" w:after="0" w:afterAutospacing="0"/>
                    <w:ind w:left="0" w:right="0"/>
                    <w:rPr>
                      <w:rFonts w:hint="eastAsia"/>
                    </w:rPr>
                  </w:pPr>
                  <w:r>
                    <w:rPr>
                      <w:rFonts w:hint="eastAsia"/>
                      <w:lang w:val="en-US" w:eastAsia="zh-CN"/>
                    </w:rPr>
                    <w:t>不</w:t>
                  </w:r>
                  <w:r>
                    <w:rPr>
                      <w:rFonts w:hint="eastAsia"/>
                      <w:lang w:eastAsia="zh-CN"/>
                    </w:rPr>
                    <w:t>达标</w:t>
                  </w:r>
                </w:p>
              </w:tc>
            </w:tr>
            <w:tr w14:paraId="4B596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pct"/>
                  <w:vMerge w:val="continue"/>
                  <w:tcBorders>
                    <w:tl2br w:val="nil"/>
                    <w:tr2bl w:val="nil"/>
                  </w:tcBorders>
                  <w:noWrap w:val="0"/>
                  <w:vAlign w:val="center"/>
                </w:tcPr>
                <w:p w14:paraId="7E36C2AB">
                  <w:pPr>
                    <w:pStyle w:val="7"/>
                    <w:keepNext w:val="0"/>
                    <w:keepLines w:val="0"/>
                    <w:suppressLineNumbers w:val="0"/>
                    <w:bidi w:val="0"/>
                    <w:spacing w:before="0" w:beforeAutospacing="0" w:after="0" w:afterAutospacing="0"/>
                    <w:ind w:left="0" w:right="0"/>
                    <w:rPr>
                      <w:rFonts w:hint="default"/>
                    </w:rPr>
                  </w:pPr>
                </w:p>
              </w:tc>
              <w:tc>
                <w:tcPr>
                  <w:tcW w:w="1530" w:type="pct"/>
                  <w:tcBorders>
                    <w:tl2br w:val="nil"/>
                    <w:tr2bl w:val="nil"/>
                  </w:tcBorders>
                  <w:noWrap w:val="0"/>
                  <w:vAlign w:val="center"/>
                </w:tcPr>
                <w:p w14:paraId="3231014F">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日均值</w:t>
                  </w:r>
                </w:p>
              </w:tc>
              <w:tc>
                <w:tcPr>
                  <w:tcW w:w="676" w:type="pct"/>
                  <w:tcBorders>
                    <w:tl2br w:val="nil"/>
                    <w:tr2bl w:val="nil"/>
                  </w:tcBorders>
                  <w:noWrap w:val="0"/>
                  <w:vAlign w:val="center"/>
                </w:tcPr>
                <w:p w14:paraId="07F7F3F2">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78</w:t>
                  </w:r>
                </w:p>
              </w:tc>
              <w:tc>
                <w:tcPr>
                  <w:tcW w:w="817" w:type="pct"/>
                  <w:tcBorders>
                    <w:tl2br w:val="nil"/>
                    <w:tr2bl w:val="nil"/>
                  </w:tcBorders>
                  <w:noWrap w:val="0"/>
                  <w:vAlign w:val="center"/>
                </w:tcPr>
                <w:p w14:paraId="39EFAC56">
                  <w:pPr>
                    <w:pStyle w:val="7"/>
                    <w:keepNext w:val="0"/>
                    <w:keepLines w:val="0"/>
                    <w:suppressLineNumbers w:val="0"/>
                    <w:bidi w:val="0"/>
                    <w:spacing w:before="0" w:beforeAutospacing="0" w:after="0" w:afterAutospacing="0"/>
                    <w:ind w:left="0" w:right="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60</w:t>
                  </w:r>
                </w:p>
              </w:tc>
              <w:tc>
                <w:tcPr>
                  <w:tcW w:w="610" w:type="pct"/>
                  <w:tcBorders>
                    <w:tl2br w:val="nil"/>
                    <w:tr2bl w:val="nil"/>
                  </w:tcBorders>
                  <w:noWrap w:val="0"/>
                  <w:vAlign w:val="center"/>
                </w:tcPr>
                <w:p w14:paraId="4388D070">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130</w:t>
                  </w:r>
                </w:p>
              </w:tc>
              <w:tc>
                <w:tcPr>
                  <w:tcW w:w="540" w:type="pct"/>
                  <w:tcBorders>
                    <w:tl2br w:val="nil"/>
                    <w:tr2bl w:val="nil"/>
                  </w:tcBorders>
                  <w:noWrap w:val="0"/>
                  <w:vAlign w:val="center"/>
                </w:tcPr>
                <w:p w14:paraId="7C028E39">
                  <w:pPr>
                    <w:pStyle w:val="7"/>
                    <w:keepNext w:val="0"/>
                    <w:keepLines w:val="0"/>
                    <w:suppressLineNumbers w:val="0"/>
                    <w:bidi w:val="0"/>
                    <w:spacing w:before="0" w:beforeAutospacing="0" w:after="0" w:afterAutospacing="0"/>
                    <w:ind w:left="0" w:right="0"/>
                    <w:rPr>
                      <w:rFonts w:hint="eastAsia"/>
                    </w:rPr>
                  </w:pPr>
                  <w:r>
                    <w:rPr>
                      <w:rFonts w:hint="eastAsia"/>
                      <w:lang w:eastAsia="zh-CN"/>
                    </w:rPr>
                    <w:t>不达标</w:t>
                  </w:r>
                </w:p>
              </w:tc>
            </w:tr>
          </w:tbl>
          <w:p w14:paraId="2D68654F">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根据表3-1评价结果，PM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年均值和日均值浓度超过《环境空气质量标准》（GB3095-2026）过渡阶段的二级标准，SO</w:t>
            </w:r>
            <w:r>
              <w:rPr>
                <w:rFonts w:hint="default"/>
                <w:vertAlign w:val="subscript"/>
                <w:lang w:val="en-US" w:eastAsia="zh-CN"/>
              </w:rPr>
              <w:t>2</w:t>
            </w:r>
            <w:r>
              <w:rPr>
                <w:rFonts w:hint="default"/>
                <w:lang w:val="en-US" w:eastAsia="zh-CN"/>
              </w:rPr>
              <w:t>、NO</w:t>
            </w:r>
            <w:r>
              <w:rPr>
                <w:rFonts w:hint="default"/>
                <w:vertAlign w:val="subscript"/>
                <w:lang w:val="en-US" w:eastAsia="zh-CN"/>
              </w:rPr>
              <w:t>2</w:t>
            </w:r>
            <w:r>
              <w:rPr>
                <w:rFonts w:hint="default"/>
                <w:lang w:val="en-US" w:eastAsia="zh-CN"/>
              </w:rPr>
              <w:t>、CO、O</w:t>
            </w:r>
            <w:r>
              <w:rPr>
                <w:rFonts w:hint="default"/>
                <w:vertAlign w:val="subscript"/>
                <w:lang w:val="en-US" w:eastAsia="zh-CN"/>
              </w:rPr>
              <w:t>3</w:t>
            </w:r>
            <w:r>
              <w:rPr>
                <w:rFonts w:hint="default"/>
                <w:lang w:val="en-US" w:eastAsia="zh-CN"/>
              </w:rPr>
              <w:t>等其他监测指标均满足过渡阶段的二级标准。PM</w:t>
            </w:r>
            <w:r>
              <w:rPr>
                <w:rFonts w:hint="default"/>
                <w:vertAlign w:val="subscript"/>
                <w:lang w:val="en-US" w:eastAsia="zh-CN"/>
              </w:rPr>
              <w:t>10</w:t>
            </w:r>
            <w:r>
              <w:rPr>
                <w:rFonts w:hint="default"/>
                <w:lang w:val="en-US" w:eastAsia="zh-CN"/>
              </w:rPr>
              <w:t>、PM</w:t>
            </w:r>
            <w:r>
              <w:rPr>
                <w:rFonts w:hint="default"/>
                <w:vertAlign w:val="subscript"/>
                <w:lang w:val="en-US" w:eastAsia="zh-CN"/>
              </w:rPr>
              <w:t>2.5</w:t>
            </w:r>
            <w:r>
              <w:rPr>
                <w:rFonts w:hint="default"/>
                <w:lang w:val="en-US" w:eastAsia="zh-CN"/>
              </w:rPr>
              <w:t>超标与所在区域地处干旱沙漠边缘有关。因此，项目所在区域为不达标区域。</w:t>
            </w:r>
          </w:p>
          <w:p w14:paraId="40183AB3">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根据《关于将巴音郭楞蒙古自治州 吐鲁番市 哈密市纳入执行〈环境影响评价技术导则 大气环境（HJ2.2-2018）〉差别化政策范围的复函》（环办环评函〔2020〕341号），新建项目可不提供颗粒物区域削减方案。</w:t>
            </w:r>
          </w:p>
          <w:p w14:paraId="22913FE3">
            <w:pPr>
              <w:pStyle w:val="4"/>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1.2</w:t>
            </w:r>
            <w:r>
              <w:rPr>
                <w:rFonts w:hint="eastAsia"/>
                <w:lang w:val="en-US" w:eastAsia="zh-CN"/>
              </w:rPr>
              <w:t xml:space="preserve"> </w:t>
            </w:r>
            <w:r>
              <w:rPr>
                <w:rFonts w:hint="default"/>
                <w:lang w:val="en-US" w:eastAsia="zh-CN"/>
              </w:rPr>
              <w:t>特征污染物监测结果及评价</w:t>
            </w:r>
          </w:p>
          <w:p w14:paraId="3B2FC1B0">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本次选取</w:t>
            </w:r>
            <w:r>
              <w:rPr>
                <w:rFonts w:hint="default"/>
              </w:rPr>
              <w:t>TSP</w:t>
            </w:r>
            <w:r>
              <w:rPr>
                <w:rFonts w:hint="default"/>
                <w:lang w:val="en-US" w:eastAsia="zh-CN"/>
              </w:rPr>
              <w:t>作为项目特征因子进行监测。根据《建设项目环境影响报告表编制技术指南（污染影响类）（试行）》要求，本次委托新疆</w:t>
            </w:r>
            <w:r>
              <w:rPr>
                <w:rFonts w:hint="eastAsia"/>
                <w:lang w:val="en-US" w:eastAsia="zh-CN"/>
              </w:rPr>
              <w:t>中测测试</w:t>
            </w:r>
            <w:r>
              <w:rPr>
                <w:rFonts w:hint="default"/>
                <w:lang w:val="en-US" w:eastAsia="zh-CN"/>
              </w:rPr>
              <w:t>有限</w:t>
            </w:r>
            <w:r>
              <w:rPr>
                <w:rFonts w:hint="eastAsia"/>
                <w:lang w:val="en-US" w:eastAsia="zh-CN"/>
              </w:rPr>
              <w:t>责任</w:t>
            </w:r>
            <w:r>
              <w:rPr>
                <w:rFonts w:hint="default"/>
                <w:lang w:val="en-US" w:eastAsia="zh-CN"/>
              </w:rPr>
              <w:t>公司对项目区TSP环境质量进行现场监测。</w:t>
            </w:r>
          </w:p>
          <w:p w14:paraId="60CD7143">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w:t>
            </w:r>
            <w:r>
              <w:rPr>
                <w:rFonts w:hint="default"/>
                <w:lang w:val="en-US" w:eastAsia="zh-CN"/>
              </w:rPr>
              <w:t>监测点位</w:t>
            </w:r>
          </w:p>
          <w:p w14:paraId="0CE9E95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val="en-US" w:eastAsia="zh-CN"/>
              </w:rPr>
            </w:pPr>
            <w:r>
              <w:rPr>
                <w:rFonts w:hint="eastAsia"/>
                <w:lang w:val="en-US" w:eastAsia="zh-CN"/>
              </w:rPr>
              <w:t>本项目</w:t>
            </w:r>
            <w:r>
              <w:rPr>
                <w:rFonts w:hint="default"/>
                <w:lang w:val="en-US" w:eastAsia="zh-CN"/>
              </w:rPr>
              <w:t>布设一个监测点，监测点坐标为</w:t>
            </w:r>
            <w:r>
              <w:rPr>
                <w:rFonts w:hint="default" w:ascii="Times New Roman" w:hAnsi="Times New Roman" w:cs="Times New Roman"/>
                <w:lang w:val="en-US" w:eastAsia="zh-CN"/>
              </w:rPr>
              <w:t>E</w:t>
            </w:r>
            <w:r>
              <w:rPr>
                <w:rFonts w:hint="eastAsia" w:cs="Times New Roman"/>
                <w:lang w:val="en-US" w:eastAsia="zh-CN"/>
              </w:rPr>
              <w:t xml:space="preserve"> </w:t>
            </w:r>
            <w:r>
              <w:rPr>
                <w:rFonts w:hint="default" w:ascii="Times New Roman" w:hAnsi="Times New Roman" w:cs="Times New Roman"/>
                <w:lang w:val="en-US" w:eastAsia="zh-CN"/>
              </w:rPr>
              <w:t>86°19′10.700″</w:t>
            </w:r>
            <w:r>
              <w:rPr>
                <w:rFonts w:hint="eastAsia" w:ascii="宋体" w:hAnsi="宋体" w:eastAsia="宋体" w:cs="宋体"/>
                <w:lang w:val="en-US" w:eastAsia="zh-CN"/>
              </w:rPr>
              <w:t>,</w:t>
            </w:r>
            <w:r>
              <w:rPr>
                <w:rFonts w:hint="default" w:ascii="Times New Roman" w:hAnsi="Times New Roman" w:cs="Times New Roman"/>
                <w:lang w:val="en-US" w:eastAsia="zh-CN"/>
              </w:rPr>
              <w:t>N</w:t>
            </w:r>
            <w:r>
              <w:rPr>
                <w:rFonts w:hint="eastAsia" w:cs="Times New Roman"/>
                <w:lang w:val="en-US" w:eastAsia="zh-CN"/>
              </w:rPr>
              <w:t xml:space="preserve"> </w:t>
            </w:r>
            <w:r>
              <w:rPr>
                <w:rFonts w:hint="default" w:ascii="Times New Roman" w:hAnsi="Times New Roman" w:cs="Times New Roman"/>
                <w:lang w:val="en-US" w:eastAsia="zh-CN"/>
              </w:rPr>
              <w:t>42°20′36.478″</w:t>
            </w:r>
            <w:r>
              <w:rPr>
                <w:rFonts w:hint="default"/>
                <w:lang w:val="en-US" w:eastAsia="zh-CN"/>
              </w:rPr>
              <w:t>。</w:t>
            </w:r>
          </w:p>
          <w:p w14:paraId="4E837949">
            <w:pPr>
              <w:keepNext w:val="0"/>
              <w:keepLines w:val="0"/>
              <w:numPr>
                <w:ilvl w:val="0"/>
                <w:numId w:val="0"/>
              </w:numPr>
              <w:suppressLineNumbers w:val="0"/>
              <w:bidi w:val="0"/>
              <w:spacing w:before="0" w:beforeAutospacing="0" w:after="0" w:afterAutospacing="0"/>
              <w:ind w:left="0" w:right="0"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（2）</w:t>
            </w:r>
            <w:r>
              <w:rPr>
                <w:rFonts w:hint="eastAsia"/>
                <w:lang w:val="en-US" w:eastAsia="zh-CN"/>
              </w:rPr>
              <w:t>采样及分析方法</w:t>
            </w:r>
          </w:p>
          <w:p w14:paraId="48174ED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采样方法和分析方法《环境空气 总悬浮颗粒物 重量法》（GB/T15432-1995）。</w:t>
            </w:r>
          </w:p>
          <w:p w14:paraId="5869678C">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（3）监测时间及频率</w:t>
            </w:r>
          </w:p>
          <w:p w14:paraId="03521E3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202</w:t>
            </w:r>
            <w:r>
              <w:rPr>
                <w:rFonts w:hint="eastAsia"/>
                <w:lang w:val="en-US" w:eastAsia="zh-CN"/>
              </w:rPr>
              <w:t>5</w:t>
            </w:r>
            <w:r>
              <w:rPr>
                <w:rFonts w:hint="default"/>
                <w:lang w:val="en-US" w:eastAsia="zh-CN"/>
              </w:rPr>
              <w:t>年1</w:t>
            </w:r>
            <w:r>
              <w:rPr>
                <w:rFonts w:hint="eastAsia"/>
                <w:lang w:val="en-US" w:eastAsia="zh-CN"/>
              </w:rPr>
              <w:t>0</w:t>
            </w:r>
            <w:r>
              <w:rPr>
                <w:rFonts w:hint="default"/>
                <w:lang w:val="en-US" w:eastAsia="zh-CN"/>
              </w:rPr>
              <w:t>月</w:t>
            </w:r>
            <w:r>
              <w:rPr>
                <w:rFonts w:hint="eastAsia"/>
                <w:lang w:val="en-US" w:eastAsia="zh-CN"/>
              </w:rPr>
              <w:t>27—29</w:t>
            </w:r>
            <w:r>
              <w:rPr>
                <w:rFonts w:hint="default"/>
                <w:lang w:val="en-US" w:eastAsia="zh-CN"/>
              </w:rPr>
              <w:t>日，连续</w:t>
            </w:r>
            <w:r>
              <w:rPr>
                <w:rFonts w:hint="eastAsia"/>
                <w:lang w:val="en-US" w:eastAsia="zh-CN"/>
              </w:rPr>
              <w:t>监测</w:t>
            </w:r>
            <w:r>
              <w:rPr>
                <w:rFonts w:hint="default"/>
                <w:lang w:val="en-US" w:eastAsia="zh-CN"/>
              </w:rPr>
              <w:t>3天。</w:t>
            </w:r>
          </w:p>
          <w:p w14:paraId="69EF26DB">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（4）评价标准</w:t>
            </w:r>
          </w:p>
          <w:p w14:paraId="44BEC269">
            <w:pPr>
              <w:keepNext w:val="0"/>
              <w:keepLines w:val="0"/>
              <w:numPr>
                <w:ilvl w:val="0"/>
                <w:numId w:val="0"/>
              </w:numPr>
              <w:suppressLineNumbers w:val="0"/>
              <w:bidi w:val="0"/>
              <w:spacing w:before="0" w:beforeAutospacing="0" w:after="0" w:afterAutospacing="0"/>
              <w:ind w:left="0" w:right="0" w:firstLine="480" w:firstLineChars="200"/>
              <w:rPr>
                <w:rFonts w:hint="default"/>
                <w:lang w:val="en-US" w:eastAsia="zh-CN"/>
              </w:rPr>
            </w:pPr>
            <w:r>
              <w:rPr>
                <w:rFonts w:hint="default"/>
                <w:lang w:val="en-US" w:eastAsia="zh-CN"/>
              </w:rPr>
              <w:t>TSP执行《环境空气质量标准》（GB3095-2026）二级标准。</w:t>
            </w:r>
          </w:p>
          <w:p w14:paraId="2A3B906B">
            <w:pPr>
              <w:keepNext w:val="0"/>
              <w:keepLines w:val="0"/>
              <w:numPr>
                <w:ilvl w:val="0"/>
                <w:numId w:val="0"/>
              </w:numPr>
              <w:suppressLineNumbers w:val="0"/>
              <w:bidi w:val="0"/>
              <w:spacing w:before="0" w:beforeAutospacing="0" w:after="0" w:afterAutospacing="0"/>
              <w:ind w:left="0" w:right="0"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（5）</w:t>
            </w:r>
            <w:r>
              <w:rPr>
                <w:rFonts w:hint="eastAsia"/>
                <w:lang w:val="en-US" w:eastAsia="zh-CN"/>
              </w:rPr>
              <w:t>评价方法</w:t>
            </w:r>
          </w:p>
          <w:p w14:paraId="616BCBB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评价方法：特征污染物按照《环境空气质量评价技术规范（试行）》（HJ663-2013）中各评价项目的年评价指标进行判定。</w:t>
            </w:r>
          </w:p>
          <w:p w14:paraId="02C8BBD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基本污染物采用占标率法，其单项参数i在第j点的占标率为：</w:t>
            </w:r>
          </w:p>
          <w:p w14:paraId="16184A4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val="en-US" w:eastAsia="zh-CN"/>
              </w:rPr>
            </w:pPr>
            <m:oMathPara>
              <m:oMath>
                <m:r>
                  <m:rPr/>
                  <w:rPr>
                    <w:rFonts w:hint="default" w:ascii="Times New Roman" w:hAnsi="Times New Roman" w:cs="Times New Roman"/>
                    <w:kern w:val="2"/>
                    <w:sz w:val="24"/>
                    <w:szCs w:val="24"/>
                    <w:lang w:val="en-US" w:eastAsia="zh-CN" w:bidi="ar-SA"/>
                  </w:rPr>
                  <m:t>Pi</m:t>
                </m:r>
                <m:r>
                  <m:rPr>
                    <m:sty m:val="p"/>
                  </m:rPr>
                  <w:rPr>
                    <w:rFonts w:hint="default" w:ascii="Times New Roman" w:hAnsi="Times New Roman" w:cs="Times New Roman"/>
                    <w:kern w:val="2"/>
                    <w:sz w:val="24"/>
                    <w:szCs w:val="24"/>
                    <w:lang w:val="en-US" w:eastAsia="zh-CN" w:bidi="ar-SA"/>
                  </w:rPr>
                  <m:t>=</m:t>
                </m:r>
                <m:f>
                  <m:fPr>
                    <m:type m:val="skw"/>
                    <m:ctrlPr>
                      <w:rPr>
                        <w:rFonts w:hint="default" w:ascii="Times New Roman" w:hAnsi="Times New Roman" w:cs="Times New Roman"/>
                        <w:i w:val="0"/>
                        <w:kern w:val="2"/>
                        <w:sz w:val="24"/>
                        <w:szCs w:val="24"/>
                        <w:lang w:val="en-US" w:eastAsia="zh-CN" w:bidi="ar-SA"/>
                      </w:rPr>
                    </m:ctrlPr>
                  </m:fPr>
                  <m:num>
                    <m:r>
                      <m:rPr>
                        <m:nor/>
                        <m:sty m:val="p"/>
                      </m:rPr>
                      <w:rPr>
                        <w:rFonts w:hint="default" w:ascii="Times New Roman" w:hAnsi="Times New Roman" w:cs="Times New Roman"/>
                        <w:b w:val="0"/>
                        <w:i w:val="0"/>
                        <w:kern w:val="2"/>
                        <w:sz w:val="24"/>
                        <w:szCs w:val="24"/>
                        <w:lang w:val="en-US" w:eastAsia="zh-CN" w:bidi="ar-SA"/>
                      </w:rPr>
                      <m:t>C</m:t>
                    </m:r>
                    <m:r>
                      <m:rPr>
                        <m:nor/>
                        <m:sty m:val="p"/>
                      </m:rPr>
                      <w:rPr>
                        <w:rFonts w:hint="default" w:ascii="Times New Roman" w:hAnsi="Times New Roman" w:cs="Times New Roman"/>
                        <w:b w:val="0"/>
                        <w:i w:val="0"/>
                        <w:kern w:val="2"/>
                        <w:sz w:val="24"/>
                        <w:szCs w:val="24"/>
                        <w:shd w:val="clear" w:color="auto" w:fill="auto"/>
                        <w:vertAlign w:val="subscript"/>
                        <w:lang w:val="en-US" w:eastAsia="zh-CN" w:bidi="ar-SA"/>
                      </w:rPr>
                      <m:t>i</m:t>
                    </m:r>
                    <m:ctrlPr>
                      <w:rPr>
                        <w:rFonts w:hint="default" w:ascii="Times New Roman" w:hAnsi="Times New Roman" w:cs="Times New Roman"/>
                        <w:i w:val="0"/>
                        <w:kern w:val="2"/>
                        <w:sz w:val="24"/>
                        <w:szCs w:val="24"/>
                        <w:lang w:val="en-US" w:eastAsia="zh-CN" w:bidi="ar-SA"/>
                      </w:rPr>
                    </m:ctrlPr>
                  </m:num>
                  <m:den>
                    <m:r>
                      <m:rPr>
                        <m:nor/>
                        <m:sty m:val="p"/>
                      </m:rPr>
                      <w:rPr>
                        <w:rFonts w:hint="default" w:ascii="Times New Roman" w:hAnsi="Times New Roman" w:cs="Times New Roman"/>
                        <w:b w:val="0"/>
                        <w:i w:val="0"/>
                        <w:kern w:val="2"/>
                        <w:sz w:val="24"/>
                        <w:szCs w:val="24"/>
                        <w:lang w:val="en-US" w:eastAsia="zh-CN" w:bidi="ar-SA"/>
                      </w:rPr>
                      <m:t>C</m:t>
                    </m:r>
                    <m:r>
                      <m:rPr>
                        <m:nor/>
                        <m:sty m:val="p"/>
                      </m:rPr>
                      <w:rPr>
                        <w:rFonts w:hint="default" w:ascii="Times New Roman" w:hAnsi="Times New Roman" w:cs="Times New Roman"/>
                        <w:b w:val="0"/>
                        <w:i w:val="0"/>
                        <w:kern w:val="2"/>
                        <w:sz w:val="24"/>
                        <w:szCs w:val="24"/>
                        <w:vertAlign w:val="subscript"/>
                        <w:lang w:val="en-US" w:eastAsia="zh-CN" w:bidi="ar-SA"/>
                      </w:rPr>
                      <m:t>oi</m:t>
                    </m:r>
                    <m:ctrlPr>
                      <w:rPr>
                        <w:rFonts w:hint="default" w:ascii="Times New Roman" w:hAnsi="Times New Roman" w:cs="Times New Roman"/>
                        <w:i w:val="0"/>
                        <w:kern w:val="2"/>
                        <w:sz w:val="24"/>
                        <w:szCs w:val="24"/>
                        <w:lang w:val="en-US" w:eastAsia="zh-CN" w:bidi="ar-SA"/>
                      </w:rPr>
                    </m:ctrlPr>
                  </m:den>
                </m:f>
                <m:r>
                  <m:rPr>
                    <m:nor/>
                    <m:sty m:val="p"/>
                  </m:rPr>
                  <w:rPr>
                    <w:rFonts w:hint="default" w:ascii="Times New Roman" w:hAnsi="Times New Roman" w:cs="Times New Roman"/>
                    <w:b w:val="0"/>
                    <w:i w:val="0"/>
                    <w:kern w:val="2"/>
                    <w:sz w:val="24"/>
                    <w:szCs w:val="24"/>
                    <w:lang w:val="en-US" w:eastAsia="zh-CN" w:bidi="ar-SA"/>
                  </w:rPr>
                  <m:t>×100%</m:t>
                </m:r>
              </m:oMath>
            </m:oMathPara>
          </w:p>
          <w:p w14:paraId="714A5D5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式中：P</w:t>
            </w:r>
            <w:r>
              <w:rPr>
                <w:rFonts w:hint="eastAsia"/>
                <w:vertAlign w:val="subscript"/>
                <w:lang w:val="en-US" w:eastAsia="zh-CN"/>
              </w:rPr>
              <w:t>i</w:t>
            </w:r>
            <w:r>
              <w:rPr>
                <w:rFonts w:hint="eastAsia"/>
                <w:lang w:val="en-US" w:eastAsia="zh-CN"/>
              </w:rPr>
              <w:t>－第i个污染物的最大地面空气质量浓度占标率，%；</w:t>
            </w:r>
          </w:p>
          <w:p w14:paraId="5A95FC5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960" w:firstLineChars="400"/>
              <w:textAlignment w:val="auto"/>
              <w:rPr>
                <w:rFonts w:hint="eastAsia"/>
                <w:lang w:val="en-US" w:eastAsia="zh-CN"/>
              </w:rPr>
            </w:pPr>
            <w:r>
              <w:rPr>
                <w:rFonts w:hint="eastAsia"/>
                <w:lang w:val="en-US" w:eastAsia="zh-CN"/>
              </w:rPr>
              <w:t>C</w:t>
            </w:r>
            <w:r>
              <w:rPr>
                <w:rFonts w:hint="eastAsia"/>
                <w:vertAlign w:val="subscript"/>
                <w:lang w:val="en-US" w:eastAsia="zh-CN"/>
              </w:rPr>
              <w:t>i</w:t>
            </w:r>
            <w:r>
              <w:rPr>
                <w:rFonts w:hint="eastAsia"/>
                <w:lang w:val="en-US" w:eastAsia="zh-CN"/>
              </w:rPr>
              <w:t>污染物的浓度，</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w:t>
            </w:r>
          </w:p>
          <w:p w14:paraId="3265B2C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firstLine="960" w:firstLineChars="400"/>
              <w:textAlignment w:val="auto"/>
              <w:rPr>
                <w:rFonts w:hint="eastAsia"/>
                <w:lang w:val="en-US" w:eastAsia="zh-CN"/>
              </w:rPr>
            </w:pPr>
            <w:r>
              <w:rPr>
                <w:rFonts w:hint="eastAsia"/>
                <w:lang w:val="en-US" w:eastAsia="zh-CN"/>
              </w:rPr>
              <w:t>C</w:t>
            </w:r>
            <w:r>
              <w:rPr>
                <w:rFonts w:hint="eastAsia"/>
                <w:vertAlign w:val="subscript"/>
                <w:lang w:val="en-US" w:eastAsia="zh-CN"/>
              </w:rPr>
              <w:t>0i</w:t>
            </w:r>
            <w:r>
              <w:rPr>
                <w:rFonts w:hint="eastAsia"/>
                <w:lang w:val="en-US" w:eastAsia="zh-CN"/>
              </w:rPr>
              <w:t>污染物的评价标准，</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eastAsia"/>
                <w:lang w:val="en-US" w:eastAsia="zh-CN"/>
              </w:rPr>
              <w:t>。</w:t>
            </w:r>
          </w:p>
          <w:p w14:paraId="2F5FB4BF">
            <w:pPr>
              <w:keepNext w:val="0"/>
              <w:keepLines w:val="0"/>
              <w:numPr>
                <w:ilvl w:val="0"/>
                <w:numId w:val="0"/>
              </w:numPr>
              <w:suppressLineNumbers w:val="0"/>
              <w:bidi w:val="0"/>
              <w:spacing w:before="0" w:beforeAutospacing="0" w:after="0" w:afterAutospacing="0"/>
              <w:ind w:left="0" w:right="0"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（6）</w:t>
            </w:r>
            <w:r>
              <w:rPr>
                <w:rFonts w:hint="eastAsia"/>
                <w:lang w:val="en-US" w:eastAsia="zh-CN"/>
              </w:rPr>
              <w:t>评价结果及结论</w:t>
            </w:r>
          </w:p>
          <w:p w14:paraId="475FCAD1">
            <w:pPr>
              <w:pStyle w:val="5"/>
              <w:suppressLineNumbers w:val="0"/>
              <w:bidi w:val="0"/>
              <w:spacing w:before="0" w:beforeAutospacing="0" w:after="0" w:afterAutospacing="0"/>
              <w:ind w:left="0" w:right="0"/>
              <w:rPr>
                <w:rFonts w:hint="default"/>
                <w:lang w:val="en-US" w:eastAsia="zh-CN"/>
              </w:rPr>
            </w:pPr>
            <w:r>
              <w:rPr>
                <w:rFonts w:hint="default"/>
                <w:lang w:val="en-US" w:eastAsia="zh-CN"/>
              </w:rPr>
              <w:t>表</w:t>
            </w:r>
            <w:r>
              <w:rPr>
                <w:rFonts w:hint="eastAsia"/>
                <w:lang w:val="en-US" w:eastAsia="zh-CN"/>
              </w:rPr>
              <w:t>3-2</w:t>
            </w:r>
            <w:r>
              <w:rPr>
                <w:rFonts w:hint="default"/>
                <w:lang w:val="en-US" w:eastAsia="zh-CN"/>
              </w:rPr>
              <w:t xml:space="preserve">  项目区环境空气质量评价结果统计表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1624"/>
              <w:gridCol w:w="1257"/>
              <w:gridCol w:w="1182"/>
              <w:gridCol w:w="1435"/>
              <w:gridCol w:w="959"/>
            </w:tblGrid>
            <w:tr w14:paraId="0C8B1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tcBorders>
                    <w:tl2br w:val="nil"/>
                    <w:tr2bl w:val="nil"/>
                  </w:tcBorders>
                  <w:noWrap w:val="0"/>
                  <w:vAlign w:val="center"/>
                </w:tcPr>
                <w:p w14:paraId="649676A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采样点位</w:t>
                  </w:r>
                </w:p>
              </w:tc>
              <w:tc>
                <w:tcPr>
                  <w:tcW w:w="1004" w:type="pct"/>
                  <w:tcBorders>
                    <w:tl2br w:val="nil"/>
                    <w:tr2bl w:val="nil"/>
                  </w:tcBorders>
                  <w:noWrap w:val="0"/>
                  <w:vAlign w:val="center"/>
                </w:tcPr>
                <w:p w14:paraId="5F8F99E2">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采样日期</w:t>
                  </w:r>
                </w:p>
              </w:tc>
              <w:tc>
                <w:tcPr>
                  <w:tcW w:w="777" w:type="pct"/>
                  <w:tcBorders>
                    <w:tl2br w:val="nil"/>
                    <w:tr2bl w:val="nil"/>
                  </w:tcBorders>
                  <w:noWrap w:val="0"/>
                  <w:vAlign w:val="center"/>
                </w:tcPr>
                <w:p w14:paraId="20AF3472">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检测项目</w:t>
                  </w:r>
                </w:p>
              </w:tc>
              <w:tc>
                <w:tcPr>
                  <w:tcW w:w="731" w:type="pct"/>
                  <w:tcBorders>
                    <w:tl2br w:val="nil"/>
                    <w:tr2bl w:val="nil"/>
                  </w:tcBorders>
                  <w:noWrap w:val="0"/>
                  <w:vAlign w:val="center"/>
                </w:tcPr>
                <w:p w14:paraId="0EC9E404">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检测结果㎍/m</w:t>
                  </w:r>
                  <w:r>
                    <w:rPr>
                      <w:rFonts w:hint="default"/>
                      <w:vertAlign w:val="superscript"/>
                      <w:lang w:val="en-US" w:eastAsia="zh-CN"/>
                    </w:rPr>
                    <w:t>3</w:t>
                  </w:r>
                </w:p>
              </w:tc>
              <w:tc>
                <w:tcPr>
                  <w:tcW w:w="887" w:type="pct"/>
                  <w:tcBorders>
                    <w:tl2br w:val="nil"/>
                    <w:tr2bl w:val="nil"/>
                  </w:tcBorders>
                  <w:noWrap w:val="0"/>
                  <w:vAlign w:val="center"/>
                </w:tcPr>
                <w:p w14:paraId="065A652C">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评价限值</w:t>
                  </w:r>
                </w:p>
                <w:p w14:paraId="0DA8071C">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㎍/m</w:t>
                  </w:r>
                  <w:r>
                    <w:rPr>
                      <w:rFonts w:hint="default"/>
                      <w:vertAlign w:val="superscript"/>
                      <w:lang w:val="en-US" w:eastAsia="zh-CN"/>
                    </w:rPr>
                    <w:t>3</w:t>
                  </w:r>
                </w:p>
              </w:tc>
              <w:tc>
                <w:tcPr>
                  <w:tcW w:w="593" w:type="pct"/>
                  <w:tcBorders>
                    <w:tl2br w:val="nil"/>
                    <w:tr2bl w:val="nil"/>
                  </w:tcBorders>
                  <w:noWrap w:val="0"/>
                  <w:vAlign w:val="center"/>
                </w:tcPr>
                <w:p w14:paraId="4ABE8762">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占标率</w:t>
                  </w:r>
                  <w:r>
                    <w:rPr>
                      <w:rFonts w:hint="eastAsia"/>
                      <w:lang w:val="en-US" w:eastAsia="zh-CN"/>
                    </w:rPr>
                    <w:t>%</w:t>
                  </w:r>
                </w:p>
              </w:tc>
            </w:tr>
            <w:tr w14:paraId="5372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vMerge w:val="restart"/>
                  <w:tcBorders>
                    <w:tl2br w:val="nil"/>
                    <w:tr2bl w:val="nil"/>
                  </w:tcBorders>
                  <w:noWrap w:val="0"/>
                  <w:vAlign w:val="center"/>
                </w:tcPr>
                <w:p w14:paraId="33EF5A5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86°19′10.700″</w:t>
                  </w:r>
                </w:p>
                <w:p w14:paraId="470E8D8D">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42°20′36.478″</w:t>
                  </w:r>
                </w:p>
              </w:tc>
              <w:tc>
                <w:tcPr>
                  <w:tcW w:w="1004" w:type="pct"/>
                  <w:tcBorders>
                    <w:tl2br w:val="nil"/>
                    <w:tr2bl w:val="nil"/>
                  </w:tcBorders>
                  <w:noWrap w:val="0"/>
                  <w:vAlign w:val="center"/>
                </w:tcPr>
                <w:p w14:paraId="4ECF790C">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10.27-10.28</w:t>
                  </w:r>
                </w:p>
              </w:tc>
              <w:tc>
                <w:tcPr>
                  <w:tcW w:w="777" w:type="pct"/>
                  <w:vMerge w:val="restart"/>
                  <w:tcBorders>
                    <w:tl2br w:val="nil"/>
                    <w:tr2bl w:val="nil"/>
                  </w:tcBorders>
                  <w:noWrap w:val="0"/>
                  <w:vAlign w:val="center"/>
                </w:tcPr>
                <w:p w14:paraId="65C2CCC4">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TSP</w:t>
                  </w:r>
                </w:p>
              </w:tc>
              <w:tc>
                <w:tcPr>
                  <w:tcW w:w="731" w:type="pct"/>
                  <w:tcBorders>
                    <w:tl2br w:val="nil"/>
                    <w:tr2bl w:val="nil"/>
                  </w:tcBorders>
                  <w:noWrap w:val="0"/>
                  <w:vAlign w:val="center"/>
                </w:tcPr>
                <w:p w14:paraId="4C151331">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270</w:t>
                  </w:r>
                </w:p>
              </w:tc>
              <w:tc>
                <w:tcPr>
                  <w:tcW w:w="887" w:type="pct"/>
                  <w:vMerge w:val="restart"/>
                  <w:tcBorders>
                    <w:tl2br w:val="nil"/>
                    <w:tr2bl w:val="nil"/>
                  </w:tcBorders>
                  <w:noWrap w:val="0"/>
                  <w:vAlign w:val="center"/>
                </w:tcPr>
                <w:p w14:paraId="4BF57EC6">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300</w:t>
                  </w:r>
                </w:p>
              </w:tc>
              <w:tc>
                <w:tcPr>
                  <w:tcW w:w="593" w:type="pct"/>
                  <w:tcBorders>
                    <w:tl2br w:val="nil"/>
                    <w:tr2bl w:val="nil"/>
                  </w:tcBorders>
                  <w:noWrap w:val="0"/>
                  <w:vAlign w:val="center"/>
                </w:tcPr>
                <w:p w14:paraId="299D8CB0">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90</w:t>
                  </w:r>
                </w:p>
              </w:tc>
            </w:tr>
            <w:tr w14:paraId="45B68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vMerge w:val="continue"/>
                  <w:tcBorders>
                    <w:tl2br w:val="nil"/>
                    <w:tr2bl w:val="nil"/>
                  </w:tcBorders>
                  <w:noWrap w:val="0"/>
                  <w:vAlign w:val="center"/>
                </w:tcPr>
                <w:p w14:paraId="319B5435">
                  <w:pPr>
                    <w:pStyle w:val="7"/>
                    <w:keepNext w:val="0"/>
                    <w:keepLines w:val="0"/>
                    <w:suppressLineNumbers w:val="0"/>
                    <w:bidi w:val="0"/>
                    <w:spacing w:before="0" w:beforeAutospacing="0" w:after="0" w:afterAutospacing="0"/>
                    <w:ind w:left="0" w:right="0"/>
                    <w:rPr>
                      <w:rFonts w:hint="default"/>
                      <w:lang w:val="en-US" w:eastAsia="zh-CN"/>
                    </w:rPr>
                  </w:pPr>
                </w:p>
              </w:tc>
              <w:tc>
                <w:tcPr>
                  <w:tcW w:w="1004" w:type="pct"/>
                  <w:tcBorders>
                    <w:tl2br w:val="nil"/>
                    <w:tr2bl w:val="nil"/>
                  </w:tcBorders>
                  <w:noWrap w:val="0"/>
                  <w:vAlign w:val="center"/>
                </w:tcPr>
                <w:p w14:paraId="673B012F">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10.28-10.29</w:t>
                  </w:r>
                </w:p>
              </w:tc>
              <w:tc>
                <w:tcPr>
                  <w:tcW w:w="777" w:type="pct"/>
                  <w:vMerge w:val="continue"/>
                  <w:tcBorders>
                    <w:tl2br w:val="nil"/>
                    <w:tr2bl w:val="nil"/>
                  </w:tcBorders>
                  <w:noWrap w:val="0"/>
                  <w:vAlign w:val="center"/>
                </w:tcPr>
                <w:p w14:paraId="4A09E7BC">
                  <w:pPr>
                    <w:pStyle w:val="7"/>
                    <w:keepNext w:val="0"/>
                    <w:keepLines w:val="0"/>
                    <w:suppressLineNumbers w:val="0"/>
                    <w:bidi w:val="0"/>
                    <w:spacing w:before="0" w:beforeAutospacing="0" w:after="0" w:afterAutospacing="0"/>
                    <w:ind w:left="0" w:right="0"/>
                    <w:rPr>
                      <w:rFonts w:hint="default"/>
                      <w:lang w:val="en-US" w:eastAsia="zh-CN"/>
                    </w:rPr>
                  </w:pPr>
                </w:p>
              </w:tc>
              <w:tc>
                <w:tcPr>
                  <w:tcW w:w="731" w:type="pct"/>
                  <w:tcBorders>
                    <w:tl2br w:val="nil"/>
                    <w:tr2bl w:val="nil"/>
                  </w:tcBorders>
                  <w:noWrap w:val="0"/>
                  <w:vAlign w:val="center"/>
                </w:tcPr>
                <w:p w14:paraId="08359057">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231</w:t>
                  </w:r>
                </w:p>
              </w:tc>
              <w:tc>
                <w:tcPr>
                  <w:tcW w:w="887" w:type="pct"/>
                  <w:vMerge w:val="continue"/>
                  <w:tcBorders>
                    <w:tl2br w:val="nil"/>
                    <w:tr2bl w:val="nil"/>
                  </w:tcBorders>
                  <w:noWrap w:val="0"/>
                  <w:vAlign w:val="center"/>
                </w:tcPr>
                <w:p w14:paraId="5D2E4DE0">
                  <w:pPr>
                    <w:pStyle w:val="7"/>
                    <w:keepNext w:val="0"/>
                    <w:keepLines w:val="0"/>
                    <w:suppressLineNumbers w:val="0"/>
                    <w:bidi w:val="0"/>
                    <w:spacing w:before="0" w:beforeAutospacing="0" w:after="0" w:afterAutospacing="0"/>
                    <w:ind w:left="0" w:right="0"/>
                    <w:rPr>
                      <w:rFonts w:hint="default"/>
                      <w:lang w:val="en-US" w:eastAsia="zh-CN"/>
                    </w:rPr>
                  </w:pPr>
                </w:p>
              </w:tc>
              <w:tc>
                <w:tcPr>
                  <w:tcW w:w="593" w:type="pct"/>
                  <w:tcBorders>
                    <w:tl2br w:val="nil"/>
                    <w:tr2bl w:val="nil"/>
                  </w:tcBorders>
                  <w:noWrap w:val="0"/>
                  <w:vAlign w:val="center"/>
                </w:tcPr>
                <w:p w14:paraId="29985145">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77</w:t>
                  </w:r>
                </w:p>
              </w:tc>
            </w:tr>
            <w:tr w14:paraId="5916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4" w:type="pct"/>
                  <w:vMerge w:val="continue"/>
                  <w:tcBorders>
                    <w:tl2br w:val="nil"/>
                    <w:tr2bl w:val="nil"/>
                  </w:tcBorders>
                  <w:noWrap w:val="0"/>
                  <w:vAlign w:val="center"/>
                </w:tcPr>
                <w:p w14:paraId="5AA83286">
                  <w:pPr>
                    <w:pStyle w:val="7"/>
                    <w:keepNext w:val="0"/>
                    <w:keepLines w:val="0"/>
                    <w:suppressLineNumbers w:val="0"/>
                    <w:bidi w:val="0"/>
                    <w:spacing w:before="0" w:beforeAutospacing="0" w:after="0" w:afterAutospacing="0"/>
                    <w:ind w:left="0" w:right="0"/>
                    <w:rPr>
                      <w:rFonts w:hint="default"/>
                      <w:lang w:val="en-US" w:eastAsia="zh-CN"/>
                    </w:rPr>
                  </w:pPr>
                </w:p>
              </w:tc>
              <w:tc>
                <w:tcPr>
                  <w:tcW w:w="1004" w:type="pct"/>
                  <w:tcBorders>
                    <w:tl2br w:val="nil"/>
                    <w:tr2bl w:val="nil"/>
                  </w:tcBorders>
                  <w:noWrap w:val="0"/>
                  <w:vAlign w:val="center"/>
                </w:tcPr>
                <w:p w14:paraId="0B4E6950">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10.29-10.30</w:t>
                  </w:r>
                </w:p>
              </w:tc>
              <w:tc>
                <w:tcPr>
                  <w:tcW w:w="777" w:type="pct"/>
                  <w:vMerge w:val="continue"/>
                  <w:tcBorders>
                    <w:tl2br w:val="nil"/>
                    <w:tr2bl w:val="nil"/>
                  </w:tcBorders>
                  <w:noWrap w:val="0"/>
                  <w:vAlign w:val="center"/>
                </w:tcPr>
                <w:p w14:paraId="79CD9CD1">
                  <w:pPr>
                    <w:pStyle w:val="7"/>
                    <w:keepNext w:val="0"/>
                    <w:keepLines w:val="0"/>
                    <w:suppressLineNumbers w:val="0"/>
                    <w:bidi w:val="0"/>
                    <w:spacing w:before="0" w:beforeAutospacing="0" w:after="0" w:afterAutospacing="0"/>
                    <w:ind w:left="0" w:right="0"/>
                    <w:rPr>
                      <w:rFonts w:hint="default"/>
                      <w:lang w:val="en-US" w:eastAsia="zh-CN"/>
                    </w:rPr>
                  </w:pPr>
                </w:p>
              </w:tc>
              <w:tc>
                <w:tcPr>
                  <w:tcW w:w="731" w:type="pct"/>
                  <w:tcBorders>
                    <w:tl2br w:val="nil"/>
                    <w:tr2bl w:val="nil"/>
                  </w:tcBorders>
                  <w:noWrap w:val="0"/>
                  <w:vAlign w:val="center"/>
                </w:tcPr>
                <w:p w14:paraId="3F22B635">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218</w:t>
                  </w:r>
                </w:p>
              </w:tc>
              <w:tc>
                <w:tcPr>
                  <w:tcW w:w="887" w:type="pct"/>
                  <w:vMerge w:val="continue"/>
                  <w:tcBorders>
                    <w:tl2br w:val="nil"/>
                    <w:tr2bl w:val="nil"/>
                  </w:tcBorders>
                  <w:noWrap w:val="0"/>
                  <w:vAlign w:val="center"/>
                </w:tcPr>
                <w:p w14:paraId="5EB43C35">
                  <w:pPr>
                    <w:pStyle w:val="7"/>
                    <w:keepNext w:val="0"/>
                    <w:keepLines w:val="0"/>
                    <w:suppressLineNumbers w:val="0"/>
                    <w:bidi w:val="0"/>
                    <w:spacing w:before="0" w:beforeAutospacing="0" w:after="0" w:afterAutospacing="0"/>
                    <w:ind w:left="0" w:right="0"/>
                    <w:rPr>
                      <w:rFonts w:hint="default"/>
                      <w:lang w:val="en-US" w:eastAsia="zh-CN"/>
                    </w:rPr>
                  </w:pPr>
                </w:p>
              </w:tc>
              <w:tc>
                <w:tcPr>
                  <w:tcW w:w="593" w:type="pct"/>
                  <w:tcBorders>
                    <w:tl2br w:val="nil"/>
                    <w:tr2bl w:val="nil"/>
                  </w:tcBorders>
                  <w:noWrap w:val="0"/>
                  <w:vAlign w:val="center"/>
                </w:tcPr>
                <w:p w14:paraId="06461E9A">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77</w:t>
                  </w:r>
                </w:p>
              </w:tc>
            </w:tr>
          </w:tbl>
          <w:p w14:paraId="166AAF05">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从表</w:t>
            </w:r>
            <w:r>
              <w:rPr>
                <w:rFonts w:hint="eastAsia"/>
                <w:lang w:val="en-US" w:eastAsia="zh-CN"/>
              </w:rPr>
              <w:t>3-2</w:t>
            </w:r>
            <w:r>
              <w:rPr>
                <w:rFonts w:hint="default"/>
                <w:lang w:val="en-US" w:eastAsia="zh-CN"/>
              </w:rPr>
              <w:t>的分析结果可知，本项目所在区域TSP环境质量现状可满足《环境空气质量标准》（GB3095-20</w:t>
            </w:r>
            <w:r>
              <w:rPr>
                <w:rFonts w:hint="eastAsia"/>
                <w:lang w:val="en-US" w:eastAsia="zh-CN"/>
              </w:rPr>
              <w:t>26</w:t>
            </w:r>
            <w:r>
              <w:rPr>
                <w:rFonts w:hint="default"/>
                <w:lang w:val="en-US" w:eastAsia="zh-CN"/>
              </w:rPr>
              <w:t>）中二级标准限值。</w:t>
            </w:r>
          </w:p>
          <w:p w14:paraId="483570F7">
            <w:pPr>
              <w:pStyle w:val="3"/>
              <w:keepLines w:val="0"/>
              <w:suppressLineNumbers w:val="0"/>
              <w:bidi w:val="0"/>
              <w:spacing w:before="0" w:beforeAutospacing="0" w:after="0" w:afterAutospacing="0"/>
              <w:ind w:right="0"/>
              <w:rPr>
                <w:rFonts w:hint="default"/>
                <w:lang w:val="en-US" w:eastAsia="zh-CN"/>
              </w:rPr>
            </w:pPr>
            <w:r>
              <w:rPr>
                <w:rFonts w:hint="default"/>
              </w:rPr>
              <w:t>2</w:t>
            </w:r>
            <w:r>
              <w:rPr>
                <w:rFonts w:hint="eastAsia"/>
                <w:lang w:val="en-US" w:eastAsia="zh-CN"/>
              </w:rPr>
              <w:t xml:space="preserve"> </w:t>
            </w:r>
            <w:r>
              <w:rPr>
                <w:rFonts w:hint="default"/>
              </w:rPr>
              <w:t>地表水环境现状评价</w:t>
            </w:r>
          </w:p>
          <w:p w14:paraId="2811AAD9">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根据《巴音郭楞蒙古自治州2024年第四季度水生态环境保护重点工作完成情况》可知：巴州6条监测河流（孔雀河、开都河、车尔臣河、黄水沟、迪那河、塔里木河）共19个监测断面达到或优于Ⅲ类比例为100%。</w:t>
            </w:r>
          </w:p>
          <w:p w14:paraId="40C8945F">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项目所在地最近地表水体为西南侧</w:t>
            </w:r>
            <w:r>
              <w:rPr>
                <w:rFonts w:hint="eastAsia"/>
                <w:lang w:val="en-US" w:eastAsia="zh-CN"/>
              </w:rPr>
              <w:t>3</w:t>
            </w:r>
            <w:r>
              <w:rPr>
                <w:rFonts w:hint="default"/>
                <w:lang w:val="en-US" w:eastAsia="zh-CN"/>
              </w:rPr>
              <w:t>km</w:t>
            </w:r>
            <w:r>
              <w:rPr>
                <w:rFonts w:hint="eastAsia"/>
                <w:lang w:val="en-US" w:eastAsia="zh-CN"/>
              </w:rPr>
              <w:t>黄水沟</w:t>
            </w:r>
            <w:r>
              <w:rPr>
                <w:rFonts w:hint="default"/>
                <w:lang w:val="en-US" w:eastAsia="zh-CN"/>
              </w:rPr>
              <w:t>，根据《巴音郭楞蒙古自治州2024年第四季度水生态环境保护重点工作完成情况》，环境质量</w:t>
            </w:r>
            <w:r>
              <w:rPr>
                <w:rFonts w:hint="eastAsia"/>
                <w:lang w:val="en-US" w:eastAsia="zh-CN"/>
              </w:rPr>
              <w:t>优于</w:t>
            </w:r>
            <w:r>
              <w:rPr>
                <w:rFonts w:hint="default"/>
                <w:lang w:val="en-US" w:eastAsia="zh-CN"/>
              </w:rPr>
              <w:t>《地表水环境质量标准》（GB3838-2002）中的</w:t>
            </w:r>
            <w:r>
              <w:rPr>
                <w:rFonts w:hint="default" w:ascii="Times New Roman" w:hAnsi="Times New Roman" w:cs="Times New Roman"/>
                <w:lang w:val="en-US" w:eastAsia="zh-CN"/>
              </w:rPr>
              <w:t>Ⅲ</w:t>
            </w:r>
            <w:r>
              <w:rPr>
                <w:rFonts w:hint="default"/>
                <w:lang w:val="en-US" w:eastAsia="zh-CN"/>
              </w:rPr>
              <w:t>类水体水质标准。</w:t>
            </w:r>
          </w:p>
          <w:p w14:paraId="11EA139F">
            <w:pPr>
              <w:pStyle w:val="3"/>
              <w:keepLines w:val="0"/>
              <w:suppressLineNumbers w:val="0"/>
              <w:bidi w:val="0"/>
              <w:spacing w:before="0" w:beforeAutospacing="0" w:after="0" w:afterAutospacing="0"/>
              <w:ind w:right="0"/>
              <w:rPr>
                <w:rFonts w:hint="default"/>
              </w:rPr>
            </w:pPr>
            <w:r>
              <w:rPr>
                <w:rFonts w:hint="default"/>
                <w:lang w:val="en-US" w:eastAsia="zh-CN"/>
              </w:rPr>
              <w:t>3</w:t>
            </w:r>
            <w:r>
              <w:rPr>
                <w:rFonts w:hint="eastAsia"/>
                <w:lang w:val="en-US" w:eastAsia="zh-CN"/>
              </w:rPr>
              <w:t xml:space="preserve"> </w:t>
            </w:r>
            <w:r>
              <w:rPr>
                <w:rFonts w:hint="default"/>
              </w:rPr>
              <w:t>声环境质量现状调查与评价</w:t>
            </w:r>
          </w:p>
          <w:p w14:paraId="54E17346">
            <w:pPr>
              <w:keepNext w:val="0"/>
              <w:keepLines w:val="0"/>
              <w:suppressLineNumbers w:val="0"/>
              <w:bidi w:val="0"/>
              <w:spacing w:before="0" w:beforeAutospacing="0" w:after="0" w:afterAutospacing="0"/>
              <w:ind w:left="0" w:right="0"/>
              <w:rPr>
                <w:rFonts w:hint="default"/>
              </w:rPr>
            </w:pPr>
            <w:r>
              <w:rPr>
                <w:rFonts w:hint="default"/>
              </w:rPr>
              <w:t>根据调查，本项目厂界周边50m范围内无声环境保护目标的存在，因此本次不开展声环境质量现状调查与评价。</w:t>
            </w:r>
          </w:p>
          <w:p w14:paraId="3CCC2E03">
            <w:pPr>
              <w:pStyle w:val="3"/>
              <w:keepLines w:val="0"/>
              <w:suppressLineNumbers w:val="0"/>
              <w:bidi w:val="0"/>
              <w:spacing w:before="0" w:beforeAutospacing="0" w:after="0" w:afterAutospacing="0"/>
              <w:ind w:right="0"/>
              <w:rPr>
                <w:rFonts w:hint="default"/>
              </w:rPr>
            </w:pPr>
            <w:r>
              <w:rPr>
                <w:rFonts w:hint="default"/>
                <w:lang w:val="en-US" w:eastAsia="zh-CN"/>
              </w:rPr>
              <w:t>4</w:t>
            </w:r>
            <w:r>
              <w:rPr>
                <w:rFonts w:hint="eastAsia"/>
                <w:lang w:val="en-US" w:eastAsia="zh-CN"/>
              </w:rPr>
              <w:t xml:space="preserve"> </w:t>
            </w:r>
            <w:r>
              <w:rPr>
                <w:rFonts w:hint="default"/>
              </w:rPr>
              <w:t>地下水、土壤环境质量现状调查与评价</w:t>
            </w:r>
          </w:p>
          <w:p w14:paraId="0A1EA118">
            <w:pPr>
              <w:keepNext w:val="0"/>
              <w:keepLines w:val="0"/>
              <w:suppressLineNumbers w:val="0"/>
              <w:bidi w:val="0"/>
              <w:spacing w:before="0" w:beforeAutospacing="0" w:after="0" w:afterAutospacing="0"/>
              <w:ind w:left="0" w:right="0"/>
              <w:rPr>
                <w:rFonts w:hint="default"/>
              </w:rPr>
            </w:pPr>
            <w:r>
              <w:rPr>
                <w:rFonts w:hint="default"/>
              </w:rPr>
              <w:t>本项目不存在土壤、地下水环境污染途径，无需对地下水、土壤环境现状进行调查。</w:t>
            </w:r>
          </w:p>
          <w:p w14:paraId="5584BD7A">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5 生态环境质量现状调查</w:t>
            </w:r>
          </w:p>
          <w:p w14:paraId="7706C17B">
            <w:pPr>
              <w:pStyle w:val="32"/>
              <w:keepNext w:val="0"/>
              <w:keepLines w:val="0"/>
              <w:suppressLineNumbers w:val="0"/>
              <w:spacing w:before="0" w:beforeAutospacing="0" w:afterAutospacing="0"/>
              <w:ind w:right="0"/>
              <w:rPr>
                <w:rFonts w:hint="eastAsia"/>
                <w:lang w:val="en-US" w:eastAsia="zh-CN"/>
              </w:rPr>
            </w:pPr>
            <w:r>
              <w:rPr>
                <w:rFonts w:hint="eastAsia"/>
                <w:lang w:val="en-US" w:eastAsia="zh-CN"/>
              </w:rPr>
              <w:t>本项目位于新疆巴音郭楞蒙古自治州和静县迎风路以西南华国商贸城4号维修仓储车间，根据《建设项目环境影响报告表编制技术指南（污染影响类）（试行）》的要求，本项目土地用途为工业用地，用地范围内无生态环境保护目标，可不进行生态现状调查。</w:t>
            </w:r>
          </w:p>
        </w:tc>
      </w:tr>
      <w:tr w14:paraId="786A7E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00" w:hRule="atLeast"/>
          <w:jc w:val="center"/>
        </w:trPr>
        <w:tc>
          <w:tcPr>
            <w:tcW w:w="751" w:type="dxa"/>
            <w:noWrap w:val="0"/>
            <w:vAlign w:val="center"/>
          </w:tcPr>
          <w:p w14:paraId="4CA1ABDA">
            <w:pPr>
              <w:pStyle w:val="7"/>
              <w:keepNext w:val="0"/>
              <w:keepLines w:val="0"/>
              <w:suppressLineNumbers w:val="0"/>
              <w:bidi w:val="0"/>
              <w:spacing w:before="0" w:beforeAutospacing="0" w:after="0" w:afterAutospacing="0"/>
              <w:ind w:left="0" w:right="0"/>
              <w:rPr>
                <w:rFonts w:hint="default"/>
              </w:rPr>
            </w:pPr>
            <w:r>
              <w:rPr>
                <w:rFonts w:hint="default"/>
              </w:rPr>
              <w:t>环境保护目标</w:t>
            </w:r>
          </w:p>
        </w:tc>
        <w:tc>
          <w:tcPr>
            <w:tcW w:w="8310" w:type="dxa"/>
            <w:noWrap w:val="0"/>
            <w:vAlign w:val="center"/>
          </w:tcPr>
          <w:p w14:paraId="69B0E2EB">
            <w:pPr>
              <w:pStyle w:val="3"/>
              <w:keepLines w:val="0"/>
              <w:suppressLineNumbers w:val="0"/>
              <w:bidi w:val="0"/>
              <w:spacing w:before="0" w:beforeAutospacing="0" w:after="0" w:afterAutospacing="0"/>
              <w:ind w:right="0"/>
              <w:rPr>
                <w:rFonts w:hint="default"/>
              </w:rPr>
            </w:pPr>
            <w:r>
              <w:rPr>
                <w:rFonts w:hint="eastAsia"/>
                <w:lang w:val="en-US" w:eastAsia="zh-CN"/>
              </w:rPr>
              <w:t xml:space="preserve">1 </w:t>
            </w:r>
            <w:r>
              <w:rPr>
                <w:rFonts w:hint="default"/>
              </w:rPr>
              <w:t>大气环境</w:t>
            </w:r>
          </w:p>
          <w:p w14:paraId="6D052FE2">
            <w:pPr>
              <w:keepNext w:val="0"/>
              <w:keepLines w:val="0"/>
              <w:suppressLineNumbers w:val="0"/>
              <w:bidi w:val="0"/>
              <w:spacing w:before="0" w:beforeAutospacing="0" w:after="0" w:afterAutospacing="0"/>
              <w:ind w:left="0" w:right="0"/>
              <w:rPr>
                <w:rFonts w:hint="default"/>
              </w:rPr>
            </w:pPr>
            <w:r>
              <w:rPr>
                <w:rFonts w:hint="default"/>
              </w:rPr>
              <w:t>经现场踏勘，本项目厂界外500</w:t>
            </w:r>
            <w:r>
              <w:rPr>
                <w:rFonts w:hint="default"/>
                <w:lang w:val="en-US" w:eastAsia="zh-CN"/>
              </w:rPr>
              <w:t>m</w:t>
            </w:r>
            <w:r>
              <w:rPr>
                <w:rFonts w:hint="default"/>
              </w:rPr>
              <w:t>范围内无敏感点，无大气环境保护目标。</w:t>
            </w:r>
          </w:p>
          <w:p w14:paraId="38BA5417">
            <w:pPr>
              <w:pStyle w:val="3"/>
              <w:keepLines w:val="0"/>
              <w:suppressLineNumbers w:val="0"/>
              <w:bidi w:val="0"/>
              <w:spacing w:before="0" w:beforeAutospacing="0" w:after="0" w:afterAutospacing="0"/>
              <w:ind w:right="0"/>
              <w:rPr>
                <w:rFonts w:hint="default"/>
              </w:rPr>
            </w:pPr>
            <w:r>
              <w:rPr>
                <w:rFonts w:hint="default"/>
              </w:rPr>
              <w:t>2</w:t>
            </w:r>
            <w:r>
              <w:rPr>
                <w:rFonts w:hint="eastAsia"/>
                <w:lang w:val="en-US" w:eastAsia="zh-CN"/>
              </w:rPr>
              <w:t xml:space="preserve"> </w:t>
            </w:r>
            <w:r>
              <w:rPr>
                <w:rFonts w:hint="default"/>
              </w:rPr>
              <w:t>声环境</w:t>
            </w:r>
          </w:p>
          <w:p w14:paraId="28EA4A54">
            <w:pPr>
              <w:keepNext w:val="0"/>
              <w:keepLines w:val="0"/>
              <w:suppressLineNumbers w:val="0"/>
              <w:bidi w:val="0"/>
              <w:spacing w:before="0" w:beforeAutospacing="0" w:after="0" w:afterAutospacing="0"/>
              <w:ind w:left="0" w:right="0"/>
              <w:rPr>
                <w:rFonts w:hint="default"/>
              </w:rPr>
            </w:pPr>
            <w:r>
              <w:rPr>
                <w:rFonts w:hint="default"/>
              </w:rPr>
              <w:t>经现场踏勘，本项目厂界外50</w:t>
            </w:r>
            <w:r>
              <w:rPr>
                <w:rFonts w:hint="default"/>
                <w:lang w:val="en-US" w:eastAsia="zh-CN"/>
              </w:rPr>
              <w:t>m</w:t>
            </w:r>
            <w:r>
              <w:rPr>
                <w:rFonts w:hint="default"/>
              </w:rPr>
              <w:t>范围内无敏感点，无声环境保护目标。</w:t>
            </w:r>
          </w:p>
          <w:p w14:paraId="0F0C7F65">
            <w:pPr>
              <w:pStyle w:val="3"/>
              <w:keepLines w:val="0"/>
              <w:suppressLineNumbers w:val="0"/>
              <w:bidi w:val="0"/>
              <w:spacing w:before="0" w:beforeAutospacing="0" w:after="0" w:afterAutospacing="0"/>
              <w:ind w:right="0"/>
              <w:rPr>
                <w:rFonts w:hint="default"/>
              </w:rPr>
            </w:pPr>
            <w:r>
              <w:rPr>
                <w:rFonts w:hint="default"/>
              </w:rPr>
              <w:t>3</w:t>
            </w:r>
            <w:r>
              <w:rPr>
                <w:rFonts w:hint="eastAsia"/>
                <w:lang w:val="en-US" w:eastAsia="zh-CN"/>
              </w:rPr>
              <w:t xml:space="preserve"> </w:t>
            </w:r>
            <w:r>
              <w:rPr>
                <w:rFonts w:hint="default"/>
              </w:rPr>
              <w:t>地下水</w:t>
            </w:r>
          </w:p>
          <w:p w14:paraId="501A6660">
            <w:pPr>
              <w:keepNext w:val="0"/>
              <w:keepLines w:val="0"/>
              <w:suppressLineNumbers w:val="0"/>
              <w:bidi w:val="0"/>
              <w:spacing w:before="0" w:beforeAutospacing="0" w:after="0" w:afterAutospacing="0"/>
              <w:ind w:left="0" w:right="0"/>
              <w:rPr>
                <w:rFonts w:hint="default"/>
              </w:rPr>
            </w:pPr>
            <w:r>
              <w:rPr>
                <w:rFonts w:hint="default"/>
              </w:rPr>
              <w:t>经现场踏勘及收集相关资料，本项目厂界外500m范围内无地下水集中式饮用水水源和热源、矿泉水、温泉等特殊地下水资源。</w:t>
            </w:r>
          </w:p>
          <w:p w14:paraId="0F67FB44">
            <w:pPr>
              <w:pStyle w:val="3"/>
              <w:keepLines w:val="0"/>
              <w:suppressLineNumbers w:val="0"/>
              <w:bidi w:val="0"/>
              <w:spacing w:before="0" w:beforeAutospacing="0" w:after="0" w:afterAutospacing="0"/>
              <w:ind w:right="0"/>
              <w:rPr>
                <w:rFonts w:hint="default"/>
              </w:rPr>
            </w:pPr>
            <w:r>
              <w:rPr>
                <w:rFonts w:hint="default"/>
              </w:rPr>
              <w:t>4</w:t>
            </w:r>
            <w:r>
              <w:rPr>
                <w:rFonts w:hint="eastAsia"/>
                <w:lang w:val="en-US" w:eastAsia="zh-CN"/>
              </w:rPr>
              <w:t xml:space="preserve"> </w:t>
            </w:r>
            <w:r>
              <w:rPr>
                <w:rFonts w:hint="default"/>
              </w:rPr>
              <w:t>生态环境</w:t>
            </w:r>
          </w:p>
          <w:p w14:paraId="7B873EB3">
            <w:pPr>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项目用地范围内无生态环境保护目标。</w:t>
            </w:r>
          </w:p>
        </w:tc>
      </w:tr>
      <w:tr w14:paraId="205BFC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75" w:hRule="atLeast"/>
          <w:jc w:val="center"/>
        </w:trPr>
        <w:tc>
          <w:tcPr>
            <w:tcW w:w="751" w:type="dxa"/>
            <w:noWrap w:val="0"/>
            <w:tcMar>
              <w:left w:w="28" w:type="dxa"/>
              <w:right w:w="28" w:type="dxa"/>
            </w:tcMar>
            <w:vAlign w:val="center"/>
          </w:tcPr>
          <w:p w14:paraId="04877CC5">
            <w:pPr>
              <w:pStyle w:val="7"/>
              <w:keepNext w:val="0"/>
              <w:keepLines w:val="0"/>
              <w:suppressLineNumbers w:val="0"/>
              <w:bidi w:val="0"/>
              <w:spacing w:before="0" w:beforeAutospacing="0" w:after="0" w:afterAutospacing="0"/>
              <w:ind w:left="0" w:right="0"/>
              <w:rPr>
                <w:rFonts w:hint="default"/>
              </w:rPr>
            </w:pPr>
            <w:r>
              <w:rPr>
                <w:rFonts w:hint="default"/>
              </w:rPr>
              <w:t>污染物排放控制标准</w:t>
            </w:r>
          </w:p>
        </w:tc>
        <w:tc>
          <w:tcPr>
            <w:tcW w:w="8310" w:type="dxa"/>
            <w:noWrap w:val="0"/>
            <w:vAlign w:val="center"/>
          </w:tcPr>
          <w:p w14:paraId="0DF8E383">
            <w:pPr>
              <w:pStyle w:val="3"/>
              <w:keepLines w:val="0"/>
              <w:suppressLineNumbers w:val="0"/>
              <w:bidi w:val="0"/>
              <w:spacing w:before="0" w:beforeAutospacing="0" w:after="0" w:afterAutospacing="0"/>
              <w:ind w:right="0"/>
              <w:rPr>
                <w:rFonts w:hint="default"/>
              </w:rPr>
            </w:pPr>
            <w:r>
              <w:rPr>
                <w:rFonts w:hint="eastAsia"/>
                <w:lang w:val="en-US" w:eastAsia="zh-CN"/>
              </w:rPr>
              <w:t xml:space="preserve">1 </w:t>
            </w:r>
            <w:r>
              <w:rPr>
                <w:rFonts w:hint="default"/>
              </w:rPr>
              <w:t>运营期污染物排放控制标准</w:t>
            </w:r>
          </w:p>
          <w:p w14:paraId="5ADF6AF0">
            <w:pPr>
              <w:keepNext w:val="0"/>
              <w:keepLines w:val="0"/>
              <w:suppressLineNumbers w:val="0"/>
              <w:bidi w:val="0"/>
              <w:spacing w:before="0" w:beforeAutospacing="0" w:after="0" w:afterAutospacing="0"/>
              <w:ind w:left="0" w:right="0"/>
              <w:rPr>
                <w:rFonts w:hint="default"/>
              </w:rPr>
            </w:pPr>
            <w:r>
              <w:rPr>
                <w:rFonts w:hint="default"/>
              </w:rPr>
              <w:t>（1）废气</w:t>
            </w:r>
          </w:p>
          <w:p w14:paraId="34B04311">
            <w:pPr>
              <w:keepNext w:val="0"/>
              <w:keepLines w:val="0"/>
              <w:suppressLineNumbers w:val="0"/>
              <w:bidi w:val="0"/>
              <w:spacing w:before="0" w:beforeAutospacing="0" w:after="0" w:afterAutospacing="0"/>
              <w:ind w:left="0" w:right="0"/>
              <w:rPr>
                <w:rFonts w:hint="default"/>
              </w:rPr>
            </w:pPr>
            <w:r>
              <w:rPr>
                <w:rFonts w:hint="default"/>
                <w:lang w:val="en-US" w:eastAsia="zh-CN"/>
              </w:rPr>
              <w:t>本项目有组织颗粒物</w:t>
            </w:r>
            <w:r>
              <w:rPr>
                <w:rFonts w:hint="default"/>
              </w:rPr>
              <w:t>执行《水泥工业大气污染物排放标准》（含2025年修改单）（GB4915-2013）表</w:t>
            </w:r>
            <w:r>
              <w:rPr>
                <w:rFonts w:hint="eastAsia"/>
                <w:lang w:val="en-US" w:eastAsia="zh-CN"/>
              </w:rPr>
              <w:t>1</w:t>
            </w:r>
            <w:r>
              <w:rPr>
                <w:rFonts w:hint="default"/>
                <w:lang w:val="en-US" w:eastAsia="zh-CN"/>
              </w:rPr>
              <w:t>现有企业与新建企业大气污染物排放限值；</w:t>
            </w:r>
            <w:r>
              <w:rPr>
                <w:rFonts w:hint="default"/>
              </w:rPr>
              <w:t>无组织排放颗粒物执行《水泥工业大气污染物排放标准》（含2025年修改单）（GB4915-2013）表3标准</w:t>
            </w:r>
            <w:r>
              <w:rPr>
                <w:rFonts w:hint="eastAsia"/>
                <w:lang w:eastAsia="zh-CN"/>
              </w:rPr>
              <w:t>；</w:t>
            </w:r>
            <w:r>
              <w:rPr>
                <w:rFonts w:hint="default"/>
                <w:lang w:val="en-US" w:eastAsia="zh-CN"/>
              </w:rPr>
              <w:t>非甲烷总烃执行《大气污染物综合排放标准》（GB16297-1996）和《挥发性有机物无组织排放控制标准》（GB37822—2019）</w:t>
            </w:r>
            <w:r>
              <w:rPr>
                <w:rFonts w:hint="default"/>
                <w:lang w:eastAsia="zh-CN"/>
              </w:rPr>
              <w:t>。</w:t>
            </w:r>
          </w:p>
          <w:p w14:paraId="2325FD9C">
            <w:pPr>
              <w:pStyle w:val="5"/>
              <w:suppressLineNumbers w:val="0"/>
              <w:bidi w:val="0"/>
              <w:spacing w:before="0" w:beforeAutospacing="0" w:after="0" w:afterAutospacing="0"/>
              <w:ind w:left="0" w:right="0"/>
              <w:rPr>
                <w:rFonts w:hint="default"/>
              </w:rPr>
            </w:pPr>
            <w:r>
              <w:rPr>
                <w:rFonts w:hint="default"/>
              </w:rPr>
              <w:t>表</w:t>
            </w:r>
            <w:r>
              <w:rPr>
                <w:rFonts w:hint="eastAsia"/>
                <w:lang w:val="en-US" w:eastAsia="zh-CN"/>
              </w:rPr>
              <w:t>3</w:t>
            </w:r>
            <w:r>
              <w:rPr>
                <w:rFonts w:hint="default"/>
                <w:lang w:val="en-US" w:eastAsia="zh-CN"/>
              </w:rPr>
              <w:t>-</w:t>
            </w:r>
            <w:r>
              <w:rPr>
                <w:rFonts w:hint="eastAsia"/>
                <w:lang w:val="en-US" w:eastAsia="zh-CN"/>
              </w:rPr>
              <w:t>3</w:t>
            </w:r>
            <w:r>
              <w:rPr>
                <w:rFonts w:hint="default"/>
                <w:lang w:val="en-US" w:eastAsia="zh-CN"/>
              </w:rPr>
              <w:t xml:space="preserve">  </w:t>
            </w:r>
            <w:r>
              <w:rPr>
                <w:rFonts w:hint="eastAsia"/>
                <w:lang w:val="en-US" w:eastAsia="zh-CN"/>
              </w:rPr>
              <w:t>废气</w:t>
            </w:r>
            <w:r>
              <w:rPr>
                <w:rFonts w:hint="default"/>
              </w:rPr>
              <w:t>最高允许排放浓度</w:t>
            </w:r>
          </w:p>
          <w:tbl>
            <w:tblPr>
              <w:tblStyle w:val="33"/>
              <w:tblW w:w="4998"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97"/>
              <w:gridCol w:w="783"/>
              <w:gridCol w:w="2332"/>
              <w:gridCol w:w="1389"/>
              <w:gridCol w:w="2880"/>
            </w:tblGrid>
            <w:tr w14:paraId="06FD02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31" w:type="pct"/>
                  <w:tcBorders>
                    <w:bottom w:val="single" w:color="auto" w:sz="4" w:space="0"/>
                  </w:tcBorders>
                  <w:noWrap w:val="0"/>
                  <w:vAlign w:val="center"/>
                </w:tcPr>
                <w:p w14:paraId="50BCF157">
                  <w:pPr>
                    <w:pStyle w:val="7"/>
                    <w:keepNext w:val="0"/>
                    <w:keepLines w:val="0"/>
                    <w:suppressLineNumbers w:val="0"/>
                    <w:bidi w:val="0"/>
                    <w:spacing w:before="0" w:beforeAutospacing="0" w:after="0" w:afterAutospacing="0"/>
                    <w:ind w:left="0" w:right="0"/>
                    <w:rPr>
                      <w:rFonts w:hint="eastAsia" w:eastAsia="宋体"/>
                      <w:lang w:eastAsia="zh-CN"/>
                    </w:rPr>
                  </w:pPr>
                  <w:r>
                    <w:rPr>
                      <w:rFonts w:hint="eastAsia"/>
                      <w:lang w:val="en-US" w:eastAsia="zh-CN"/>
                    </w:rPr>
                    <w:t>污染物</w:t>
                  </w:r>
                </w:p>
              </w:tc>
              <w:tc>
                <w:tcPr>
                  <w:tcW w:w="484" w:type="pct"/>
                  <w:noWrap w:val="0"/>
                  <w:vAlign w:val="center"/>
                </w:tcPr>
                <w:p w14:paraId="6B81E8B1">
                  <w:pPr>
                    <w:pStyle w:val="7"/>
                    <w:keepNext w:val="0"/>
                    <w:keepLines w:val="0"/>
                    <w:suppressLineNumbers w:val="0"/>
                    <w:bidi w:val="0"/>
                    <w:spacing w:before="0" w:beforeAutospacing="0" w:after="0" w:afterAutospacing="0"/>
                    <w:ind w:left="0" w:right="0"/>
                    <w:rPr>
                      <w:rFonts w:hint="default"/>
                    </w:rPr>
                  </w:pPr>
                  <w:r>
                    <w:rPr>
                      <w:rFonts w:hint="default"/>
                    </w:rPr>
                    <w:t>排放方式</w:t>
                  </w:r>
                </w:p>
              </w:tc>
              <w:tc>
                <w:tcPr>
                  <w:tcW w:w="1442" w:type="pct"/>
                  <w:noWrap w:val="0"/>
                  <w:vAlign w:val="center"/>
                </w:tcPr>
                <w:p w14:paraId="0C88008A">
                  <w:pPr>
                    <w:pStyle w:val="7"/>
                    <w:keepNext w:val="0"/>
                    <w:keepLines w:val="0"/>
                    <w:suppressLineNumbers w:val="0"/>
                    <w:bidi w:val="0"/>
                    <w:spacing w:before="0" w:beforeAutospacing="0" w:after="0" w:afterAutospacing="0"/>
                    <w:ind w:left="0" w:right="0"/>
                    <w:rPr>
                      <w:rFonts w:hint="default"/>
                    </w:rPr>
                  </w:pPr>
                  <w:r>
                    <w:rPr>
                      <w:rFonts w:hint="default"/>
                    </w:rPr>
                    <w:t>排放浓度</w:t>
                  </w:r>
                </w:p>
              </w:tc>
              <w:tc>
                <w:tcPr>
                  <w:tcW w:w="859" w:type="pct"/>
                  <w:noWrap w:val="0"/>
                  <w:vAlign w:val="center"/>
                </w:tcPr>
                <w:p w14:paraId="1419C07D">
                  <w:pPr>
                    <w:pStyle w:val="7"/>
                    <w:keepNext w:val="0"/>
                    <w:keepLines w:val="0"/>
                    <w:suppressLineNumbers w:val="0"/>
                    <w:bidi w:val="0"/>
                    <w:spacing w:before="0" w:beforeAutospacing="0" w:after="0" w:afterAutospacing="0"/>
                    <w:ind w:left="0" w:right="0"/>
                    <w:rPr>
                      <w:rFonts w:hint="default"/>
                    </w:rPr>
                  </w:pPr>
                  <w:r>
                    <w:rPr>
                      <w:rFonts w:hint="default"/>
                    </w:rPr>
                    <w:t>监测点位</w:t>
                  </w:r>
                </w:p>
              </w:tc>
              <w:tc>
                <w:tcPr>
                  <w:tcW w:w="1781" w:type="pct"/>
                  <w:noWrap w:val="0"/>
                  <w:vAlign w:val="center"/>
                </w:tcPr>
                <w:p w14:paraId="58D5B47C">
                  <w:pPr>
                    <w:pStyle w:val="7"/>
                    <w:keepNext w:val="0"/>
                    <w:keepLines w:val="0"/>
                    <w:suppressLineNumbers w:val="0"/>
                    <w:bidi w:val="0"/>
                    <w:spacing w:before="0" w:beforeAutospacing="0" w:after="0" w:afterAutospacing="0"/>
                    <w:ind w:left="0" w:right="0"/>
                    <w:rPr>
                      <w:rFonts w:hint="default"/>
                    </w:rPr>
                  </w:pPr>
                  <w:r>
                    <w:rPr>
                      <w:rFonts w:hint="default"/>
                    </w:rPr>
                    <w:t>执行标准</w:t>
                  </w:r>
                </w:p>
              </w:tc>
            </w:tr>
            <w:tr w14:paraId="78B3612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31" w:type="pct"/>
                  <w:vMerge w:val="restart"/>
                  <w:tcBorders>
                    <w:top w:val="single" w:color="auto" w:sz="4" w:space="0"/>
                    <w:bottom w:val="single" w:color="auto" w:sz="4" w:space="0"/>
                    <w:right w:val="single" w:color="auto" w:sz="4" w:space="0"/>
                  </w:tcBorders>
                  <w:noWrap w:val="0"/>
                  <w:vAlign w:val="center"/>
                </w:tcPr>
                <w:p w14:paraId="6148554C">
                  <w:pPr>
                    <w:pStyle w:val="7"/>
                    <w:keepNext w:val="0"/>
                    <w:keepLines w:val="0"/>
                    <w:suppressLineNumbers w:val="0"/>
                    <w:bidi w:val="0"/>
                    <w:spacing w:before="0" w:beforeAutospacing="0" w:after="0" w:afterAutospacing="0"/>
                    <w:ind w:left="0" w:right="0"/>
                    <w:rPr>
                      <w:rFonts w:hint="default"/>
                    </w:rPr>
                  </w:pPr>
                  <w:r>
                    <w:rPr>
                      <w:rFonts w:hint="default"/>
                    </w:rPr>
                    <w:t>颗粒物</w:t>
                  </w:r>
                </w:p>
              </w:tc>
              <w:tc>
                <w:tcPr>
                  <w:tcW w:w="484" w:type="pct"/>
                  <w:tcBorders>
                    <w:left w:val="single" w:color="auto" w:sz="4" w:space="0"/>
                  </w:tcBorders>
                  <w:noWrap w:val="0"/>
                  <w:vAlign w:val="center"/>
                </w:tcPr>
                <w:p w14:paraId="688D3EB9">
                  <w:pPr>
                    <w:pStyle w:val="7"/>
                    <w:keepNext w:val="0"/>
                    <w:keepLines w:val="0"/>
                    <w:suppressLineNumbers w:val="0"/>
                    <w:bidi w:val="0"/>
                    <w:spacing w:before="0" w:beforeAutospacing="0" w:after="0" w:afterAutospacing="0"/>
                    <w:ind w:left="0" w:right="0"/>
                    <w:rPr>
                      <w:rFonts w:hint="default"/>
                    </w:rPr>
                  </w:pPr>
                  <w:r>
                    <w:rPr>
                      <w:rFonts w:hint="default"/>
                    </w:rPr>
                    <w:t>有组织</w:t>
                  </w:r>
                </w:p>
              </w:tc>
              <w:tc>
                <w:tcPr>
                  <w:tcW w:w="1442" w:type="pct"/>
                  <w:noWrap w:val="0"/>
                  <w:vAlign w:val="center"/>
                </w:tcPr>
                <w:p w14:paraId="332A5ECC">
                  <w:pPr>
                    <w:pStyle w:val="7"/>
                    <w:keepNext w:val="0"/>
                    <w:keepLines w:val="0"/>
                    <w:suppressLineNumbers w:val="0"/>
                    <w:bidi w:val="0"/>
                    <w:spacing w:before="0" w:beforeAutospacing="0" w:after="0" w:afterAutospacing="0"/>
                    <w:ind w:left="0" w:right="0"/>
                    <w:rPr>
                      <w:rFonts w:hint="default"/>
                    </w:rPr>
                  </w:pPr>
                  <w:r>
                    <w:rPr>
                      <w:rFonts w:hint="eastAsia"/>
                      <w:lang w:val="en-US" w:eastAsia="zh-CN"/>
                    </w:rPr>
                    <w:t>20</w:t>
                  </w:r>
                  <w:r>
                    <w:rPr>
                      <w:rFonts w:hint="default"/>
                    </w:rPr>
                    <w:t>mg/m</w:t>
                  </w:r>
                  <w:r>
                    <w:rPr>
                      <w:rFonts w:hint="default"/>
                      <w:vertAlign w:val="superscript"/>
                    </w:rPr>
                    <w:t>3</w:t>
                  </w:r>
                </w:p>
              </w:tc>
              <w:tc>
                <w:tcPr>
                  <w:tcW w:w="859" w:type="pct"/>
                  <w:noWrap w:val="0"/>
                  <w:vAlign w:val="center"/>
                </w:tcPr>
                <w:p w14:paraId="3CD58983">
                  <w:pPr>
                    <w:pStyle w:val="7"/>
                    <w:keepNext w:val="0"/>
                    <w:keepLines w:val="0"/>
                    <w:suppressLineNumbers w:val="0"/>
                    <w:bidi w:val="0"/>
                    <w:spacing w:before="0" w:beforeAutospacing="0" w:after="0" w:afterAutospacing="0"/>
                    <w:ind w:left="0" w:right="0"/>
                    <w:rPr>
                      <w:rFonts w:hint="default"/>
                    </w:rPr>
                  </w:pPr>
                  <w:r>
                    <w:rPr>
                      <w:rFonts w:hint="eastAsia"/>
                      <w:lang w:val="en-US" w:eastAsia="zh-CN"/>
                    </w:rPr>
                    <w:t>DA001</w:t>
                  </w:r>
                  <w:r>
                    <w:rPr>
                      <w:rFonts w:hint="default"/>
                    </w:rPr>
                    <w:t>排气筒出口</w:t>
                  </w:r>
                </w:p>
              </w:tc>
              <w:tc>
                <w:tcPr>
                  <w:tcW w:w="1781" w:type="pct"/>
                  <w:noWrap w:val="0"/>
                  <w:vAlign w:val="center"/>
                </w:tcPr>
                <w:p w14:paraId="5CF029E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eastAsia" w:eastAsia="宋体"/>
                      <w:lang w:eastAsia="zh-CN"/>
                    </w:rPr>
                  </w:pPr>
                  <w:r>
                    <w:rPr>
                      <w:rFonts w:hint="default"/>
                    </w:rPr>
                    <w:t>《水泥工业大气污染物排放标准》（含2025年修改单）（GB4915-2013）表</w:t>
                  </w:r>
                  <w:r>
                    <w:rPr>
                      <w:rFonts w:hint="eastAsia"/>
                      <w:lang w:val="en-US" w:eastAsia="zh-CN"/>
                    </w:rPr>
                    <w:t>1</w:t>
                  </w:r>
                </w:p>
              </w:tc>
            </w:tr>
            <w:tr w14:paraId="309A22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31" w:type="pct"/>
                  <w:vMerge w:val="continue"/>
                  <w:tcBorders>
                    <w:top w:val="single" w:color="auto" w:sz="4" w:space="0"/>
                    <w:bottom w:val="single" w:color="auto" w:sz="4" w:space="0"/>
                    <w:right w:val="single" w:color="auto" w:sz="4" w:space="0"/>
                  </w:tcBorders>
                  <w:noWrap w:val="0"/>
                  <w:vAlign w:val="center"/>
                </w:tcPr>
                <w:p w14:paraId="0A70B865">
                  <w:pPr>
                    <w:pStyle w:val="7"/>
                    <w:keepNext w:val="0"/>
                    <w:keepLines w:val="0"/>
                    <w:suppressLineNumbers w:val="0"/>
                    <w:bidi w:val="0"/>
                    <w:spacing w:before="0" w:beforeAutospacing="0" w:after="0" w:afterAutospacing="0"/>
                    <w:ind w:left="0" w:right="0"/>
                    <w:rPr>
                      <w:rFonts w:hint="default"/>
                    </w:rPr>
                  </w:pPr>
                </w:p>
              </w:tc>
              <w:tc>
                <w:tcPr>
                  <w:tcW w:w="484" w:type="pct"/>
                  <w:tcBorders>
                    <w:left w:val="single" w:color="auto" w:sz="4" w:space="0"/>
                  </w:tcBorders>
                  <w:noWrap w:val="0"/>
                  <w:vAlign w:val="center"/>
                </w:tcPr>
                <w:p w14:paraId="0E4D894D">
                  <w:pPr>
                    <w:pStyle w:val="7"/>
                    <w:keepNext w:val="0"/>
                    <w:keepLines w:val="0"/>
                    <w:suppressLineNumbers w:val="0"/>
                    <w:bidi w:val="0"/>
                    <w:spacing w:before="0" w:beforeAutospacing="0" w:after="0" w:afterAutospacing="0"/>
                    <w:ind w:left="0" w:right="0"/>
                    <w:rPr>
                      <w:rFonts w:hint="default"/>
                    </w:rPr>
                  </w:pPr>
                  <w:r>
                    <w:rPr>
                      <w:rFonts w:hint="default"/>
                    </w:rPr>
                    <w:t>无组织</w:t>
                  </w:r>
                </w:p>
              </w:tc>
              <w:tc>
                <w:tcPr>
                  <w:tcW w:w="1442" w:type="pct"/>
                  <w:noWrap w:val="0"/>
                  <w:vAlign w:val="center"/>
                </w:tcPr>
                <w:p w14:paraId="2F1F4355">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0.5mg/m</w:t>
                  </w:r>
                  <w:r>
                    <w:rPr>
                      <w:rFonts w:hint="default"/>
                      <w:vertAlign w:val="superscript"/>
                    </w:rPr>
                    <w:t>3</w:t>
                  </w:r>
                  <w:r>
                    <w:rPr>
                      <w:rFonts w:hint="default"/>
                      <w:vertAlign w:val="baseline"/>
                    </w:rPr>
                    <w:t>（监控点与参照点总悬浮颗粒物（TSP）1h浓度值的差值）</w:t>
                  </w:r>
                </w:p>
              </w:tc>
              <w:tc>
                <w:tcPr>
                  <w:tcW w:w="859" w:type="pct"/>
                  <w:noWrap w:val="0"/>
                  <w:vAlign w:val="center"/>
                </w:tcPr>
                <w:p w14:paraId="4CED02A1">
                  <w:pPr>
                    <w:pStyle w:val="7"/>
                    <w:keepNext w:val="0"/>
                    <w:keepLines w:val="0"/>
                    <w:suppressLineNumbers w:val="0"/>
                    <w:bidi w:val="0"/>
                    <w:spacing w:before="0" w:beforeAutospacing="0" w:after="0" w:afterAutospacing="0"/>
                    <w:ind w:left="0" w:right="0"/>
                    <w:rPr>
                      <w:rFonts w:hint="default"/>
                    </w:rPr>
                  </w:pPr>
                  <w:r>
                    <w:rPr>
                      <w:rFonts w:hint="default"/>
                    </w:rPr>
                    <w:t>厂界外下风向20m处</w:t>
                  </w:r>
                </w:p>
              </w:tc>
              <w:tc>
                <w:tcPr>
                  <w:tcW w:w="1781" w:type="pct"/>
                  <w:noWrap w:val="0"/>
                  <w:vAlign w:val="center"/>
                </w:tcPr>
                <w:p w14:paraId="6519CC6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《水泥工业大气污染物排放标准》（含2025年修改单）（GB4915-2013）表3</w:t>
                  </w:r>
                </w:p>
              </w:tc>
            </w:tr>
            <w:tr w14:paraId="2EE0EB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31" w:type="pct"/>
                  <w:vMerge w:val="restart"/>
                  <w:tcBorders>
                    <w:top w:val="single" w:color="auto" w:sz="4" w:space="0"/>
                    <w:right w:val="single" w:color="auto" w:sz="4" w:space="0"/>
                  </w:tcBorders>
                  <w:shd w:val="clear" w:color="auto" w:fill="auto"/>
                  <w:noWrap w:val="0"/>
                  <w:vAlign w:val="center"/>
                </w:tcPr>
                <w:p w14:paraId="626369A4">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非甲烷总烃</w:t>
                  </w:r>
                </w:p>
              </w:tc>
              <w:tc>
                <w:tcPr>
                  <w:tcW w:w="484" w:type="pct"/>
                  <w:vMerge w:val="restart"/>
                  <w:tcBorders>
                    <w:left w:val="single" w:color="auto" w:sz="4" w:space="0"/>
                  </w:tcBorders>
                  <w:shd w:val="clear" w:color="auto" w:fill="auto"/>
                  <w:noWrap w:val="0"/>
                  <w:vAlign w:val="center"/>
                </w:tcPr>
                <w:p w14:paraId="5A20B1E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无组织</w:t>
                  </w:r>
                </w:p>
              </w:tc>
              <w:tc>
                <w:tcPr>
                  <w:tcW w:w="1442" w:type="pct"/>
                  <w:shd w:val="clear" w:color="auto" w:fill="auto"/>
                  <w:noWrap w:val="0"/>
                  <w:vAlign w:val="center"/>
                </w:tcPr>
                <w:p w14:paraId="70AD4F08">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4.0mg/m</w:t>
                  </w:r>
                  <w:r>
                    <w:rPr>
                      <w:rFonts w:hint="default"/>
                      <w:vertAlign w:val="superscript"/>
                      <w:lang w:val="en-US" w:eastAsia="zh-CN"/>
                    </w:rPr>
                    <w:t>3</w:t>
                  </w:r>
                </w:p>
              </w:tc>
              <w:tc>
                <w:tcPr>
                  <w:tcW w:w="859" w:type="pct"/>
                  <w:shd w:val="clear" w:color="auto" w:fill="auto"/>
                  <w:noWrap w:val="0"/>
                  <w:vAlign w:val="center"/>
                </w:tcPr>
                <w:p w14:paraId="070CCADB">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厂界</w:t>
                  </w:r>
                </w:p>
              </w:tc>
              <w:tc>
                <w:tcPr>
                  <w:tcW w:w="1781" w:type="pct"/>
                  <w:shd w:val="clear" w:color="auto" w:fill="auto"/>
                  <w:noWrap w:val="0"/>
                  <w:vAlign w:val="center"/>
                </w:tcPr>
                <w:p w14:paraId="44572EA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《大气污染物综合排放标准》（GB16297-1996）</w:t>
                  </w:r>
                </w:p>
              </w:tc>
            </w:tr>
            <w:tr w14:paraId="1D6071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31" w:type="pct"/>
                  <w:vMerge w:val="continue"/>
                  <w:tcBorders>
                    <w:right w:val="single" w:color="auto" w:sz="4" w:space="0"/>
                  </w:tcBorders>
                  <w:shd w:val="clear" w:color="auto" w:fill="auto"/>
                  <w:noWrap w:val="0"/>
                  <w:vAlign w:val="center"/>
                </w:tcPr>
                <w:p w14:paraId="75198FE6">
                  <w:pPr>
                    <w:pStyle w:val="7"/>
                    <w:keepNext w:val="0"/>
                    <w:keepLines w:val="0"/>
                    <w:suppressLineNumbers w:val="0"/>
                    <w:bidi w:val="0"/>
                    <w:spacing w:before="0" w:beforeAutospacing="0" w:after="0" w:afterAutospacing="0"/>
                    <w:ind w:left="0" w:right="0"/>
                    <w:rPr>
                      <w:rFonts w:hint="default"/>
                      <w:lang w:val="en-US" w:eastAsia="zh-CN"/>
                    </w:rPr>
                  </w:pPr>
                </w:p>
              </w:tc>
              <w:tc>
                <w:tcPr>
                  <w:tcW w:w="484" w:type="pct"/>
                  <w:vMerge w:val="continue"/>
                  <w:tcBorders>
                    <w:left w:val="single" w:color="auto" w:sz="4" w:space="0"/>
                  </w:tcBorders>
                  <w:shd w:val="clear" w:color="auto" w:fill="auto"/>
                  <w:noWrap w:val="0"/>
                  <w:vAlign w:val="center"/>
                </w:tcPr>
                <w:p w14:paraId="2F1599C2">
                  <w:pPr>
                    <w:pStyle w:val="7"/>
                    <w:keepNext w:val="0"/>
                    <w:keepLines w:val="0"/>
                    <w:suppressLineNumbers w:val="0"/>
                    <w:bidi w:val="0"/>
                    <w:spacing w:before="0" w:beforeAutospacing="0" w:after="0" w:afterAutospacing="0"/>
                    <w:ind w:left="0" w:right="0"/>
                    <w:rPr>
                      <w:rFonts w:hint="default"/>
                      <w:lang w:val="en-US" w:eastAsia="zh-CN"/>
                    </w:rPr>
                  </w:pPr>
                </w:p>
              </w:tc>
              <w:tc>
                <w:tcPr>
                  <w:tcW w:w="1442" w:type="pct"/>
                  <w:shd w:val="clear" w:color="auto" w:fill="auto"/>
                  <w:noWrap w:val="0"/>
                  <w:vAlign w:val="center"/>
                </w:tcPr>
                <w:p w14:paraId="32B545DD">
                  <w:pPr>
                    <w:pStyle w:val="6"/>
                    <w:suppressLineNumbers w:val="0"/>
                    <w:bidi w:val="0"/>
                    <w:spacing w:before="0" w:beforeAutospacing="0" w:after="0" w:afterAutospacing="0"/>
                    <w:ind w:left="0" w:leftChars="0" w:right="0" w:rightChars="0" w:firstLine="0" w:firstLineChars="0"/>
                    <w:rPr>
                      <w:rFonts w:hint="default"/>
                      <w:lang w:val="en-US" w:eastAsia="zh-CN"/>
                    </w:rPr>
                  </w:pPr>
                  <w:r>
                    <w:rPr>
                      <w:rFonts w:hint="eastAsia"/>
                      <w:lang w:val="en-US" w:eastAsia="zh-CN"/>
                    </w:rPr>
                    <w:t>10mg/m</w:t>
                  </w:r>
                  <w:r>
                    <w:rPr>
                      <w:rFonts w:hint="eastAsia"/>
                      <w:vertAlign w:val="superscript"/>
                      <w:lang w:val="en-US" w:eastAsia="zh-CN"/>
                    </w:rPr>
                    <w:t>3</w:t>
                  </w:r>
                  <w:r>
                    <w:rPr>
                      <w:rFonts w:hint="eastAsia"/>
                      <w:vertAlign w:val="baseline"/>
                      <w:lang w:val="en-US" w:eastAsia="zh-CN"/>
                    </w:rPr>
                    <w:t>（监控点处1h平均浓度值）</w:t>
                  </w:r>
                </w:p>
              </w:tc>
              <w:tc>
                <w:tcPr>
                  <w:tcW w:w="859" w:type="pct"/>
                  <w:vMerge w:val="restart"/>
                  <w:shd w:val="clear" w:color="auto" w:fill="auto"/>
                  <w:noWrap w:val="0"/>
                  <w:vAlign w:val="center"/>
                </w:tcPr>
                <w:p w14:paraId="328110A8">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厂内</w:t>
                  </w:r>
                </w:p>
              </w:tc>
              <w:tc>
                <w:tcPr>
                  <w:tcW w:w="1781" w:type="pct"/>
                  <w:vMerge w:val="restart"/>
                  <w:shd w:val="clear" w:color="auto" w:fill="auto"/>
                  <w:noWrap w:val="0"/>
                  <w:vAlign w:val="center"/>
                </w:tcPr>
                <w:p w14:paraId="2215D33E">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《挥发性有机物无组织排放控制标准》（GB37822—2019）</w:t>
                  </w:r>
                </w:p>
              </w:tc>
            </w:tr>
            <w:tr w14:paraId="1F965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431" w:type="pct"/>
                  <w:vMerge w:val="continue"/>
                  <w:tcBorders>
                    <w:right w:val="single" w:color="auto" w:sz="4" w:space="0"/>
                  </w:tcBorders>
                  <w:shd w:val="clear" w:color="auto" w:fill="auto"/>
                  <w:noWrap w:val="0"/>
                  <w:vAlign w:val="center"/>
                </w:tcPr>
                <w:p w14:paraId="20BE2AC1">
                  <w:pPr>
                    <w:pStyle w:val="7"/>
                    <w:keepNext w:val="0"/>
                    <w:keepLines w:val="0"/>
                    <w:suppressLineNumbers w:val="0"/>
                    <w:bidi w:val="0"/>
                    <w:spacing w:before="0" w:beforeAutospacing="0" w:after="0" w:afterAutospacing="0"/>
                    <w:ind w:left="0" w:right="0"/>
                    <w:rPr>
                      <w:rFonts w:hint="default"/>
                      <w:lang w:val="en-US" w:eastAsia="zh-CN"/>
                    </w:rPr>
                  </w:pPr>
                </w:p>
              </w:tc>
              <w:tc>
                <w:tcPr>
                  <w:tcW w:w="484" w:type="pct"/>
                  <w:vMerge w:val="continue"/>
                  <w:tcBorders>
                    <w:left w:val="single" w:color="auto" w:sz="4" w:space="0"/>
                  </w:tcBorders>
                  <w:shd w:val="clear" w:color="auto" w:fill="auto"/>
                  <w:noWrap w:val="0"/>
                  <w:vAlign w:val="center"/>
                </w:tcPr>
                <w:p w14:paraId="1D934236">
                  <w:pPr>
                    <w:pStyle w:val="7"/>
                    <w:keepNext w:val="0"/>
                    <w:keepLines w:val="0"/>
                    <w:suppressLineNumbers w:val="0"/>
                    <w:bidi w:val="0"/>
                    <w:spacing w:before="0" w:beforeAutospacing="0" w:after="0" w:afterAutospacing="0"/>
                    <w:ind w:left="0" w:right="0"/>
                    <w:rPr>
                      <w:rFonts w:hint="default"/>
                      <w:lang w:val="en-US" w:eastAsia="zh-CN"/>
                    </w:rPr>
                  </w:pPr>
                </w:p>
              </w:tc>
              <w:tc>
                <w:tcPr>
                  <w:tcW w:w="1442" w:type="pct"/>
                  <w:shd w:val="clear" w:color="auto" w:fill="auto"/>
                  <w:noWrap w:val="0"/>
                  <w:vAlign w:val="center"/>
                </w:tcPr>
                <w:p w14:paraId="39B09B28">
                  <w:pPr>
                    <w:pStyle w:val="6"/>
                    <w:suppressLineNumbers w:val="0"/>
                    <w:bidi w:val="0"/>
                    <w:spacing w:before="0" w:beforeAutospacing="0" w:after="0" w:afterAutospacing="0"/>
                    <w:ind w:left="0" w:leftChars="0" w:right="0" w:rightChars="0" w:firstLine="0" w:firstLineChars="0"/>
                    <w:rPr>
                      <w:rFonts w:hint="default"/>
                      <w:lang w:val="en-US" w:eastAsia="zh-CN"/>
                    </w:rPr>
                  </w:pPr>
                  <w:r>
                    <w:rPr>
                      <w:rFonts w:hint="eastAsia"/>
                      <w:lang w:val="en-US" w:eastAsia="zh-CN"/>
                    </w:rPr>
                    <w:t>30mg/m</w:t>
                  </w:r>
                  <w:r>
                    <w:rPr>
                      <w:rFonts w:hint="eastAsia"/>
                      <w:vertAlign w:val="superscript"/>
                      <w:lang w:val="en-US" w:eastAsia="zh-CN"/>
                    </w:rPr>
                    <w:t>3</w:t>
                  </w:r>
                  <w:r>
                    <w:rPr>
                      <w:rFonts w:hint="eastAsia"/>
                      <w:vertAlign w:val="baseline"/>
                      <w:lang w:val="en-US" w:eastAsia="zh-CN"/>
                    </w:rPr>
                    <w:t>（监控点处任意一次浓度值）</w:t>
                  </w:r>
                </w:p>
              </w:tc>
              <w:tc>
                <w:tcPr>
                  <w:tcW w:w="859" w:type="pct"/>
                  <w:vMerge w:val="continue"/>
                  <w:shd w:val="clear" w:color="auto" w:fill="auto"/>
                  <w:noWrap w:val="0"/>
                  <w:vAlign w:val="center"/>
                </w:tcPr>
                <w:p w14:paraId="244A32F8">
                  <w:pPr>
                    <w:pStyle w:val="7"/>
                    <w:keepNext w:val="0"/>
                    <w:keepLines w:val="0"/>
                    <w:suppressLineNumbers w:val="0"/>
                    <w:bidi w:val="0"/>
                    <w:spacing w:before="0" w:beforeAutospacing="0" w:after="0" w:afterAutospacing="0"/>
                    <w:ind w:left="0" w:right="0"/>
                    <w:rPr>
                      <w:rFonts w:hint="eastAsia"/>
                      <w:lang w:val="en-US" w:eastAsia="zh-CN"/>
                    </w:rPr>
                  </w:pPr>
                </w:p>
              </w:tc>
              <w:tc>
                <w:tcPr>
                  <w:tcW w:w="1781" w:type="pct"/>
                  <w:vMerge w:val="continue"/>
                  <w:shd w:val="clear" w:color="auto" w:fill="auto"/>
                  <w:noWrap w:val="0"/>
                  <w:vAlign w:val="center"/>
                </w:tcPr>
                <w:p w14:paraId="77F4703D">
                  <w:pPr>
                    <w:pStyle w:val="7"/>
                    <w:keepNext w:val="0"/>
                    <w:keepLines w:val="0"/>
                    <w:suppressLineNumbers w:val="0"/>
                    <w:bidi w:val="0"/>
                    <w:spacing w:before="0" w:beforeAutospacing="0" w:after="0" w:afterAutospacing="0"/>
                    <w:ind w:left="0" w:right="0"/>
                    <w:rPr>
                      <w:rFonts w:hint="default"/>
                      <w:lang w:val="en-US" w:eastAsia="zh-CN"/>
                    </w:rPr>
                  </w:pPr>
                </w:p>
              </w:tc>
            </w:tr>
          </w:tbl>
          <w:p w14:paraId="74B912E3">
            <w:pPr>
              <w:keepNext w:val="0"/>
              <w:keepLines w:val="0"/>
              <w:numPr>
                <w:ilvl w:val="0"/>
                <w:numId w:val="0"/>
              </w:numPr>
              <w:suppressLineNumbers w:val="0"/>
              <w:bidi w:val="0"/>
              <w:spacing w:before="0" w:beforeAutospacing="0" w:after="0" w:afterAutospacing="0"/>
              <w:ind w:left="0" w:right="0" w:firstLine="480" w:firstLineChars="200"/>
              <w:rPr>
                <w:rFonts w:hint="default"/>
              </w:rPr>
            </w:pPr>
            <w:r>
              <w:rPr>
                <w:rFonts w:hint="default" w:ascii="Times New Roman" w:hAnsi="Times New Roman" w:eastAsia="宋体" w:cs="Times New Roman"/>
                <w:kern w:val="2"/>
                <w:sz w:val="24"/>
                <w:szCs w:val="24"/>
                <w:lang w:val="en-US" w:eastAsia="zh-CN" w:bidi="ar-SA"/>
              </w:rPr>
              <w:t>（2）</w:t>
            </w:r>
            <w:r>
              <w:rPr>
                <w:rFonts w:hint="default"/>
              </w:rPr>
              <w:t>噪声</w:t>
            </w:r>
          </w:p>
          <w:p w14:paraId="51436E51">
            <w:pPr>
              <w:keepNext w:val="0"/>
              <w:keepLines w:val="0"/>
              <w:suppressLineNumbers w:val="0"/>
              <w:bidi w:val="0"/>
              <w:spacing w:before="0" w:beforeAutospacing="0" w:after="0" w:afterAutospacing="0"/>
              <w:ind w:left="0" w:right="0"/>
              <w:rPr>
                <w:rFonts w:hint="default"/>
              </w:rPr>
            </w:pPr>
            <w:r>
              <w:rPr>
                <w:rFonts w:hint="default"/>
                <w:lang w:val="en-US" w:eastAsia="zh-CN"/>
              </w:rPr>
              <w:t>根据《声环境质量标准》（GB3096-2008）项目属于</w:t>
            </w:r>
            <w:r>
              <w:rPr>
                <w:rFonts w:hint="eastAsia"/>
                <w:lang w:val="en-US" w:eastAsia="zh-CN"/>
              </w:rPr>
              <w:t>2</w:t>
            </w:r>
            <w:r>
              <w:rPr>
                <w:rFonts w:hint="default"/>
                <w:lang w:val="en-US" w:eastAsia="zh-CN"/>
              </w:rPr>
              <w:t>类声环境功能区，故</w:t>
            </w:r>
            <w:r>
              <w:rPr>
                <w:rFonts w:hint="default"/>
              </w:rPr>
              <w:t>运营期噪声执行《工业企业厂界环境噪声排放标准》（GB12348-2008）表中</w:t>
            </w:r>
            <w:r>
              <w:rPr>
                <w:rFonts w:hint="eastAsia"/>
                <w:lang w:val="en-US" w:eastAsia="zh-CN"/>
              </w:rPr>
              <w:t>2</w:t>
            </w:r>
            <w:r>
              <w:rPr>
                <w:rFonts w:hint="default"/>
              </w:rPr>
              <w:t>类区规定的排放限值。</w:t>
            </w:r>
          </w:p>
          <w:p w14:paraId="35C01B85">
            <w:pPr>
              <w:pStyle w:val="5"/>
              <w:suppressLineNumbers w:val="0"/>
              <w:bidi w:val="0"/>
              <w:spacing w:before="0" w:beforeAutospacing="0" w:after="0" w:afterAutospacing="0"/>
              <w:ind w:left="0" w:right="0"/>
              <w:rPr>
                <w:rFonts w:hint="default"/>
                <w:lang w:val="zh-CN"/>
              </w:rPr>
            </w:pPr>
            <w:r>
              <w:rPr>
                <w:rFonts w:hint="default"/>
              </w:rPr>
              <w:t>表</w:t>
            </w:r>
            <w:r>
              <w:rPr>
                <w:rFonts w:hint="eastAsia"/>
                <w:lang w:val="en-US" w:eastAsia="zh-CN"/>
              </w:rPr>
              <w:t>3-4</w:t>
            </w:r>
            <w:r>
              <w:rPr>
                <w:rFonts w:hint="default"/>
                <w:lang w:val="en-US" w:eastAsia="zh-CN"/>
              </w:rPr>
              <w:t xml:space="preserve">  </w:t>
            </w:r>
            <w:r>
              <w:rPr>
                <w:rFonts w:hint="default"/>
              </w:rPr>
              <w:t>工业企业厂界环境噪声排放限值</w:t>
            </w:r>
          </w:p>
          <w:tbl>
            <w:tblPr>
              <w:tblStyle w:val="33"/>
              <w:tblW w:w="4949"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0" w:type="dxa"/>
                <w:bottom w:w="0" w:type="dxa"/>
                <w:right w:w="0" w:type="dxa"/>
              </w:tblCellMar>
            </w:tblPr>
            <w:tblGrid>
              <w:gridCol w:w="1297"/>
              <w:gridCol w:w="1362"/>
              <w:gridCol w:w="1881"/>
              <w:gridCol w:w="3462"/>
            </w:tblGrid>
            <w:tr w14:paraId="1324FC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3" w:hRule="atLeast"/>
                <w:jc w:val="center"/>
              </w:trPr>
              <w:tc>
                <w:tcPr>
                  <w:tcW w:w="810" w:type="pct"/>
                  <w:tcBorders>
                    <w:tl2br w:val="nil"/>
                    <w:tr2bl w:val="nil"/>
                  </w:tcBorders>
                  <w:vAlign w:val="center"/>
                </w:tcPr>
                <w:p w14:paraId="271FCF28">
                  <w:pPr>
                    <w:pStyle w:val="7"/>
                    <w:keepNext w:val="0"/>
                    <w:keepLines w:val="0"/>
                    <w:suppressLineNumbers w:val="0"/>
                    <w:bidi w:val="0"/>
                    <w:spacing w:before="0" w:beforeAutospacing="0" w:after="0" w:afterAutospacing="0"/>
                    <w:ind w:left="0" w:right="0"/>
                    <w:rPr>
                      <w:rFonts w:hint="default"/>
                    </w:rPr>
                  </w:pPr>
                  <w:r>
                    <w:rPr>
                      <w:rFonts w:hint="default"/>
                    </w:rPr>
                    <w:t>执行标准</w:t>
                  </w:r>
                </w:p>
              </w:tc>
              <w:tc>
                <w:tcPr>
                  <w:tcW w:w="2026" w:type="pct"/>
                  <w:gridSpan w:val="2"/>
                  <w:tcBorders>
                    <w:tl2br w:val="nil"/>
                    <w:tr2bl w:val="nil"/>
                  </w:tcBorders>
                  <w:vAlign w:val="center"/>
                </w:tcPr>
                <w:p w14:paraId="5F8AE01D">
                  <w:pPr>
                    <w:pStyle w:val="7"/>
                    <w:keepNext w:val="0"/>
                    <w:keepLines w:val="0"/>
                    <w:suppressLineNumbers w:val="0"/>
                    <w:bidi w:val="0"/>
                    <w:spacing w:before="0" w:beforeAutospacing="0" w:after="0" w:afterAutospacing="0"/>
                    <w:ind w:left="0" w:right="0"/>
                    <w:rPr>
                      <w:rFonts w:hint="default"/>
                    </w:rPr>
                  </w:pPr>
                  <w:r>
                    <w:rPr>
                      <w:rFonts w:hint="default"/>
                      <w:lang w:val="zh-CN"/>
                    </w:rPr>
                    <w:t>标准值</w:t>
                  </w:r>
                </w:p>
              </w:tc>
              <w:tc>
                <w:tcPr>
                  <w:tcW w:w="2162" w:type="pct"/>
                  <w:tcBorders>
                    <w:tl2br w:val="nil"/>
                    <w:tr2bl w:val="nil"/>
                  </w:tcBorders>
                  <w:vAlign w:val="center"/>
                </w:tcPr>
                <w:p w14:paraId="24F43455">
                  <w:pPr>
                    <w:pStyle w:val="7"/>
                    <w:keepNext w:val="0"/>
                    <w:keepLines w:val="0"/>
                    <w:suppressLineNumbers w:val="0"/>
                    <w:bidi w:val="0"/>
                    <w:spacing w:before="0" w:beforeAutospacing="0" w:after="0" w:afterAutospacing="0"/>
                    <w:ind w:left="0" w:right="0"/>
                    <w:rPr>
                      <w:rFonts w:hint="default"/>
                    </w:rPr>
                  </w:pPr>
                  <w:r>
                    <w:rPr>
                      <w:rFonts w:hint="default"/>
                    </w:rPr>
                    <w:t>标准来源</w:t>
                  </w:r>
                </w:p>
              </w:tc>
            </w:tr>
            <w:tr w14:paraId="77CEE40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3" w:hRule="atLeast"/>
                <w:jc w:val="center"/>
              </w:trPr>
              <w:tc>
                <w:tcPr>
                  <w:tcW w:w="810" w:type="pct"/>
                  <w:vMerge w:val="restart"/>
                  <w:tcBorders>
                    <w:tl2br w:val="nil"/>
                    <w:tr2bl w:val="nil"/>
                  </w:tcBorders>
                  <w:vAlign w:val="center"/>
                </w:tcPr>
                <w:p w14:paraId="4AC4F72A">
                  <w:pPr>
                    <w:pStyle w:val="7"/>
                    <w:keepNext w:val="0"/>
                    <w:keepLines w:val="0"/>
                    <w:suppressLineNumbers w:val="0"/>
                    <w:bidi w:val="0"/>
                    <w:spacing w:before="0" w:beforeAutospacing="0" w:after="0" w:afterAutospacing="0"/>
                    <w:ind w:left="0" w:right="0"/>
                    <w:rPr>
                      <w:rFonts w:hint="default"/>
                    </w:rPr>
                  </w:pPr>
                  <w:r>
                    <w:rPr>
                      <w:rFonts w:hint="eastAsia"/>
                      <w:lang w:val="en-US" w:eastAsia="zh-CN"/>
                    </w:rPr>
                    <w:t>2</w:t>
                  </w:r>
                  <w:r>
                    <w:rPr>
                      <w:rFonts w:hint="eastAsia"/>
                    </w:rPr>
                    <w:t>类</w:t>
                  </w:r>
                </w:p>
              </w:tc>
              <w:tc>
                <w:tcPr>
                  <w:tcW w:w="851" w:type="pct"/>
                  <w:tcBorders>
                    <w:tl2br w:val="nil"/>
                    <w:tr2bl w:val="nil"/>
                  </w:tcBorders>
                  <w:vAlign w:val="center"/>
                </w:tcPr>
                <w:p w14:paraId="28F26DE9">
                  <w:pPr>
                    <w:pStyle w:val="7"/>
                    <w:keepNext w:val="0"/>
                    <w:keepLines w:val="0"/>
                    <w:suppressLineNumbers w:val="0"/>
                    <w:bidi w:val="0"/>
                    <w:spacing w:before="0" w:beforeAutospacing="0" w:after="0" w:afterAutospacing="0"/>
                    <w:ind w:left="0" w:right="0"/>
                    <w:rPr>
                      <w:rFonts w:hint="default"/>
                    </w:rPr>
                  </w:pPr>
                  <w:r>
                    <w:rPr>
                      <w:rFonts w:hint="default"/>
                    </w:rPr>
                    <w:t>昼间</w:t>
                  </w:r>
                </w:p>
              </w:tc>
              <w:tc>
                <w:tcPr>
                  <w:tcW w:w="1175" w:type="pct"/>
                  <w:tcBorders>
                    <w:tl2br w:val="nil"/>
                    <w:tr2bl w:val="nil"/>
                  </w:tcBorders>
                  <w:vAlign w:val="center"/>
                </w:tcPr>
                <w:p w14:paraId="1B77DCEB">
                  <w:pPr>
                    <w:pStyle w:val="7"/>
                    <w:keepNext w:val="0"/>
                    <w:keepLines w:val="0"/>
                    <w:suppressLineNumbers w:val="0"/>
                    <w:bidi w:val="0"/>
                    <w:spacing w:before="0" w:beforeAutospacing="0" w:after="0" w:afterAutospacing="0"/>
                    <w:ind w:left="0" w:right="0"/>
                    <w:rPr>
                      <w:rFonts w:hint="default"/>
                    </w:rPr>
                  </w:pPr>
                  <w:r>
                    <w:rPr>
                      <w:rFonts w:hint="eastAsia"/>
                    </w:rPr>
                    <w:t>6</w:t>
                  </w:r>
                  <w:r>
                    <w:rPr>
                      <w:rFonts w:hint="eastAsia"/>
                      <w:lang w:val="en-US" w:eastAsia="zh-CN"/>
                    </w:rPr>
                    <w:t>0</w:t>
                  </w:r>
                  <w:r>
                    <w:rPr>
                      <w:rFonts w:hint="eastAsia"/>
                      <w:lang w:val="zh-CN"/>
                    </w:rPr>
                    <w:t>dB（A）</w:t>
                  </w:r>
                </w:p>
              </w:tc>
              <w:tc>
                <w:tcPr>
                  <w:tcW w:w="2162" w:type="pct"/>
                  <w:vMerge w:val="restart"/>
                  <w:tcBorders>
                    <w:tl2br w:val="nil"/>
                    <w:tr2bl w:val="nil"/>
                  </w:tcBorders>
                  <w:vAlign w:val="center"/>
                </w:tcPr>
                <w:p w14:paraId="62FFEAE8">
                  <w:pPr>
                    <w:pStyle w:val="7"/>
                    <w:keepNext w:val="0"/>
                    <w:keepLines w:val="0"/>
                    <w:suppressLineNumbers w:val="0"/>
                    <w:bidi w:val="0"/>
                    <w:spacing w:before="0" w:beforeAutospacing="0" w:after="0" w:afterAutospacing="0"/>
                    <w:ind w:left="0" w:right="0"/>
                    <w:rPr>
                      <w:rFonts w:hint="default"/>
                    </w:rPr>
                  </w:pPr>
                  <w:r>
                    <w:rPr>
                      <w:rFonts w:hint="eastAsia"/>
                    </w:rPr>
                    <w:t>《</w:t>
                  </w:r>
                  <w:r>
                    <w:rPr>
                      <w:rFonts w:hint="default"/>
                    </w:rPr>
                    <w:t>工业企业厂界环境噪声排放标准</w:t>
                  </w:r>
                  <w:r>
                    <w:rPr>
                      <w:rFonts w:hint="eastAsia"/>
                    </w:rPr>
                    <w:t>》（</w:t>
                  </w:r>
                  <w:r>
                    <w:rPr>
                      <w:rFonts w:hint="default"/>
                    </w:rPr>
                    <w:t>GB12348-2008</w:t>
                  </w:r>
                  <w:r>
                    <w:rPr>
                      <w:rFonts w:hint="eastAsia"/>
                    </w:rPr>
                    <w:t>）</w:t>
                  </w:r>
                </w:p>
              </w:tc>
            </w:tr>
            <w:tr w14:paraId="3311129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0" w:type="dxa"/>
                  <w:bottom w:w="0" w:type="dxa"/>
                  <w:right w:w="0" w:type="dxa"/>
                </w:tblCellMar>
              </w:tblPrEx>
              <w:trPr>
                <w:trHeight w:val="23" w:hRule="atLeast"/>
                <w:jc w:val="center"/>
              </w:trPr>
              <w:tc>
                <w:tcPr>
                  <w:tcW w:w="810" w:type="pct"/>
                  <w:vMerge w:val="continue"/>
                  <w:tcBorders>
                    <w:tl2br w:val="nil"/>
                    <w:tr2bl w:val="nil"/>
                  </w:tcBorders>
                  <w:vAlign w:val="center"/>
                </w:tcPr>
                <w:p w14:paraId="1CA9ADD3">
                  <w:pPr>
                    <w:pStyle w:val="7"/>
                    <w:keepNext w:val="0"/>
                    <w:keepLines w:val="0"/>
                    <w:suppressLineNumbers w:val="0"/>
                    <w:bidi w:val="0"/>
                    <w:spacing w:before="0" w:beforeAutospacing="0" w:after="0" w:afterAutospacing="0"/>
                    <w:ind w:left="0" w:right="0"/>
                    <w:rPr>
                      <w:rFonts w:hint="eastAsia"/>
                    </w:rPr>
                  </w:pPr>
                </w:p>
              </w:tc>
              <w:tc>
                <w:tcPr>
                  <w:tcW w:w="851" w:type="pct"/>
                  <w:tcBorders>
                    <w:tl2br w:val="nil"/>
                    <w:tr2bl w:val="nil"/>
                  </w:tcBorders>
                  <w:vAlign w:val="center"/>
                </w:tcPr>
                <w:p w14:paraId="6C941A1F">
                  <w:pPr>
                    <w:pStyle w:val="7"/>
                    <w:keepNext w:val="0"/>
                    <w:keepLines w:val="0"/>
                    <w:suppressLineNumbers w:val="0"/>
                    <w:bidi w:val="0"/>
                    <w:spacing w:before="0" w:beforeAutospacing="0" w:after="0" w:afterAutospacing="0"/>
                    <w:ind w:left="0" w:right="0"/>
                    <w:rPr>
                      <w:rFonts w:hint="eastAsia"/>
                    </w:rPr>
                  </w:pPr>
                  <w:r>
                    <w:rPr>
                      <w:rFonts w:hint="default"/>
                    </w:rPr>
                    <w:t>夜间</w:t>
                  </w:r>
                </w:p>
              </w:tc>
              <w:tc>
                <w:tcPr>
                  <w:tcW w:w="1175" w:type="pct"/>
                  <w:tcBorders>
                    <w:tl2br w:val="nil"/>
                    <w:tr2bl w:val="nil"/>
                  </w:tcBorders>
                  <w:vAlign w:val="center"/>
                </w:tcPr>
                <w:p w14:paraId="4C21BEB7">
                  <w:pPr>
                    <w:pStyle w:val="7"/>
                    <w:keepNext w:val="0"/>
                    <w:keepLines w:val="0"/>
                    <w:suppressLineNumbers w:val="0"/>
                    <w:bidi w:val="0"/>
                    <w:spacing w:before="0" w:beforeAutospacing="0" w:after="0" w:afterAutospacing="0"/>
                    <w:ind w:left="0" w:right="0"/>
                    <w:rPr>
                      <w:rFonts w:hint="eastAsia"/>
                    </w:rPr>
                  </w:pPr>
                  <w:r>
                    <w:rPr>
                      <w:rFonts w:hint="eastAsia"/>
                    </w:rPr>
                    <w:t>5</w:t>
                  </w:r>
                  <w:r>
                    <w:rPr>
                      <w:rFonts w:hint="eastAsia"/>
                      <w:lang w:val="en-US" w:eastAsia="zh-CN"/>
                    </w:rPr>
                    <w:t>0</w:t>
                  </w:r>
                  <w:r>
                    <w:rPr>
                      <w:rFonts w:hint="eastAsia"/>
                      <w:lang w:val="zh-CN"/>
                    </w:rPr>
                    <w:t>dB（A）</w:t>
                  </w:r>
                </w:p>
              </w:tc>
              <w:tc>
                <w:tcPr>
                  <w:tcW w:w="2162" w:type="pct"/>
                  <w:vMerge w:val="continue"/>
                  <w:tcBorders>
                    <w:tl2br w:val="nil"/>
                    <w:tr2bl w:val="nil"/>
                  </w:tcBorders>
                  <w:vAlign w:val="center"/>
                </w:tcPr>
                <w:p w14:paraId="274E4D7B">
                  <w:pPr>
                    <w:pStyle w:val="7"/>
                    <w:keepNext w:val="0"/>
                    <w:keepLines w:val="0"/>
                    <w:suppressLineNumbers w:val="0"/>
                    <w:bidi w:val="0"/>
                    <w:spacing w:before="0" w:beforeAutospacing="0" w:after="0" w:afterAutospacing="0"/>
                    <w:ind w:left="0" w:right="0"/>
                    <w:rPr>
                      <w:rFonts w:hint="eastAsia"/>
                    </w:rPr>
                  </w:pPr>
                </w:p>
              </w:tc>
            </w:tr>
          </w:tbl>
          <w:p w14:paraId="0984CDC4">
            <w:pPr>
              <w:keepNext w:val="0"/>
              <w:keepLines w:val="0"/>
              <w:numPr>
                <w:ilvl w:val="0"/>
                <w:numId w:val="0"/>
              </w:numPr>
              <w:suppressLineNumbers w:val="0"/>
              <w:bidi w:val="0"/>
              <w:spacing w:before="0" w:beforeAutospacing="0" w:after="0" w:afterAutospacing="0"/>
              <w:ind w:left="0" w:right="0" w:firstLine="480" w:firstLineChars="200"/>
              <w:rPr>
                <w:rFonts w:hint="eastAsia"/>
                <w:lang w:val="en-US" w:eastAsia="zh-CN"/>
              </w:rPr>
            </w:pPr>
            <w:r>
              <w:rPr>
                <w:rFonts w:hint="eastAsia" w:ascii="Times New Roman" w:hAnsi="Times New Roman" w:eastAsia="宋体" w:cs="Times New Roman"/>
                <w:kern w:val="2"/>
                <w:sz w:val="24"/>
                <w:szCs w:val="24"/>
                <w:lang w:val="en-US" w:eastAsia="zh-CN" w:bidi="ar-SA"/>
              </w:rPr>
              <w:t>（3）</w:t>
            </w:r>
            <w:r>
              <w:rPr>
                <w:rFonts w:hint="eastAsia"/>
                <w:lang w:val="en-US" w:eastAsia="zh-CN"/>
              </w:rPr>
              <w:t>生活污水</w:t>
            </w:r>
          </w:p>
          <w:p w14:paraId="5C7B9E66">
            <w:pPr>
              <w:keepNext w:val="0"/>
              <w:keepLines w:val="0"/>
              <w:numPr>
                <w:ilvl w:val="0"/>
                <w:numId w:val="0"/>
              </w:numPr>
              <w:suppressLineNumbers w:val="0"/>
              <w:bidi w:val="0"/>
              <w:spacing w:before="0" w:beforeAutospacing="0" w:after="0" w:afterAutospacing="0"/>
              <w:ind w:left="0" w:right="0" w:firstLine="480" w:firstLineChars="200"/>
              <w:rPr>
                <w:rFonts w:hint="default"/>
              </w:rPr>
            </w:pPr>
            <w:r>
              <w:rPr>
                <w:rFonts w:hint="eastAsia"/>
                <w:lang w:val="en-US" w:eastAsia="zh-CN"/>
              </w:rPr>
              <w:t>生活污水</w:t>
            </w:r>
            <w:r>
              <w:rPr>
                <w:rFonts w:hint="default"/>
              </w:rPr>
              <w:t>排水执行《污水综合排放标准》（GB8978-1996）三级标准；</w:t>
            </w:r>
          </w:p>
          <w:p w14:paraId="121A3C29">
            <w:pPr>
              <w:pStyle w:val="5"/>
              <w:suppressLineNumbers w:val="0"/>
              <w:bidi w:val="0"/>
              <w:spacing w:before="0" w:beforeAutospacing="0" w:after="0" w:afterAutospacing="0"/>
              <w:ind w:left="0" w:right="0"/>
              <w:rPr>
                <w:rFonts w:hint="default"/>
              </w:rPr>
            </w:pPr>
            <w:r>
              <w:rPr>
                <w:rFonts w:hint="default"/>
              </w:rPr>
              <w:t>表</w:t>
            </w:r>
            <w:r>
              <w:rPr>
                <w:rFonts w:hint="eastAsia"/>
                <w:lang w:val="en-US" w:eastAsia="zh-CN"/>
              </w:rPr>
              <w:t>3-5</w:t>
            </w:r>
            <w:r>
              <w:rPr>
                <w:rFonts w:hint="default"/>
              </w:rPr>
              <w:t xml:space="preserve">  </w:t>
            </w:r>
            <w:r>
              <w:rPr>
                <w:rFonts w:hint="eastAsia"/>
                <w:lang w:val="en-US" w:eastAsia="zh-CN"/>
              </w:rPr>
              <w:t>生活污水</w:t>
            </w:r>
            <w:r>
              <w:rPr>
                <w:rFonts w:hint="default"/>
              </w:rPr>
              <w:t>排放浓度限值</w:t>
            </w:r>
          </w:p>
          <w:tbl>
            <w:tblPr>
              <w:tblStyle w:val="33"/>
              <w:tblW w:w="4991"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9"/>
              <w:gridCol w:w="1980"/>
              <w:gridCol w:w="1980"/>
              <w:gridCol w:w="2130"/>
            </w:tblGrid>
            <w:tr w14:paraId="3991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pct"/>
                  <w:tcBorders>
                    <w:bottom w:val="single" w:color="auto" w:sz="2" w:space="0"/>
                    <w:right w:val="single" w:color="auto" w:sz="2" w:space="0"/>
                  </w:tcBorders>
                  <w:noWrap w:val="0"/>
                  <w:vAlign w:val="center"/>
                </w:tcPr>
                <w:p w14:paraId="0F52D124">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污染物</w:t>
                  </w:r>
                </w:p>
              </w:tc>
              <w:tc>
                <w:tcPr>
                  <w:tcW w:w="1226" w:type="pct"/>
                  <w:tcBorders>
                    <w:left w:val="single" w:color="auto" w:sz="2" w:space="0"/>
                    <w:bottom w:val="single" w:color="auto" w:sz="2" w:space="0"/>
                    <w:right w:val="single" w:color="auto" w:sz="4" w:space="0"/>
                  </w:tcBorders>
                  <w:noWrap w:val="0"/>
                  <w:vAlign w:val="center"/>
                </w:tcPr>
                <w:p w14:paraId="2CABC5F7">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单位</w:t>
                  </w:r>
                </w:p>
              </w:tc>
              <w:tc>
                <w:tcPr>
                  <w:tcW w:w="1226" w:type="pct"/>
                  <w:tcBorders>
                    <w:left w:val="single" w:color="auto" w:sz="4" w:space="0"/>
                    <w:bottom w:val="single" w:color="auto" w:sz="2" w:space="0"/>
                    <w:right w:val="single" w:color="auto" w:sz="4" w:space="0"/>
                  </w:tcBorders>
                  <w:noWrap w:val="0"/>
                  <w:vAlign w:val="center"/>
                </w:tcPr>
                <w:p w14:paraId="1C16C2D0">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标准值</w:t>
                  </w:r>
                </w:p>
              </w:tc>
              <w:tc>
                <w:tcPr>
                  <w:tcW w:w="1319" w:type="pct"/>
                  <w:tcBorders>
                    <w:left w:val="single" w:color="auto" w:sz="4" w:space="0"/>
                    <w:bottom w:val="single" w:color="auto" w:sz="2" w:space="0"/>
                  </w:tcBorders>
                  <w:noWrap w:val="0"/>
                  <w:vAlign w:val="center"/>
                </w:tcPr>
                <w:p w14:paraId="0E7E7A80">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执行标准</w:t>
                  </w:r>
                </w:p>
              </w:tc>
            </w:tr>
            <w:tr w14:paraId="7402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pct"/>
                  <w:tcBorders>
                    <w:top w:val="single" w:color="auto" w:sz="2" w:space="0"/>
                    <w:right w:val="single" w:color="auto" w:sz="2" w:space="0"/>
                  </w:tcBorders>
                  <w:noWrap w:val="0"/>
                  <w:vAlign w:val="center"/>
                </w:tcPr>
                <w:p w14:paraId="40845649">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pH</w:t>
                  </w:r>
                </w:p>
              </w:tc>
              <w:tc>
                <w:tcPr>
                  <w:tcW w:w="1226" w:type="pct"/>
                  <w:tcBorders>
                    <w:top w:val="single" w:color="auto" w:sz="2" w:space="0"/>
                    <w:left w:val="single" w:color="auto" w:sz="2" w:space="0"/>
                    <w:bottom w:val="single" w:color="auto" w:sz="2" w:space="0"/>
                    <w:right w:val="single" w:color="auto" w:sz="4" w:space="0"/>
                  </w:tcBorders>
                  <w:noWrap w:val="0"/>
                  <w:vAlign w:val="center"/>
                </w:tcPr>
                <w:p w14:paraId="6F78AC6B">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无量纲</w:t>
                  </w:r>
                </w:p>
              </w:tc>
              <w:tc>
                <w:tcPr>
                  <w:tcW w:w="1226" w:type="pct"/>
                  <w:tcBorders>
                    <w:top w:val="single" w:color="auto" w:sz="2" w:space="0"/>
                    <w:left w:val="single" w:color="auto" w:sz="4" w:space="0"/>
                    <w:bottom w:val="single" w:color="auto" w:sz="2" w:space="0"/>
                    <w:right w:val="single" w:color="auto" w:sz="4" w:space="0"/>
                  </w:tcBorders>
                  <w:noWrap w:val="0"/>
                  <w:vAlign w:val="center"/>
                </w:tcPr>
                <w:p w14:paraId="566FAC56">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6-9</w:t>
                  </w:r>
                </w:p>
              </w:tc>
              <w:tc>
                <w:tcPr>
                  <w:tcW w:w="1319" w:type="pct"/>
                  <w:vMerge w:val="restart"/>
                  <w:tcBorders>
                    <w:top w:val="single" w:color="auto" w:sz="2" w:space="0"/>
                    <w:left w:val="single" w:color="auto" w:sz="4" w:space="0"/>
                  </w:tcBorders>
                  <w:noWrap w:val="0"/>
                  <w:vAlign w:val="center"/>
                </w:tcPr>
                <w:p w14:paraId="0A0528BB">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《污水综合排放标准》（GB8978-1996）三级标准</w:t>
                  </w:r>
                </w:p>
              </w:tc>
            </w:tr>
            <w:tr w14:paraId="6345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pct"/>
                  <w:tcBorders>
                    <w:right w:val="single" w:color="auto" w:sz="2" w:space="0"/>
                  </w:tcBorders>
                  <w:noWrap w:val="0"/>
                  <w:vAlign w:val="center"/>
                </w:tcPr>
                <w:p w14:paraId="5D9B4611">
                  <w:pPr>
                    <w:pStyle w:val="7"/>
                    <w:keepNext w:val="0"/>
                    <w:keepLines w:val="0"/>
                    <w:suppressLineNumbers w:val="0"/>
                    <w:bidi w:val="0"/>
                    <w:spacing w:before="0" w:beforeAutospacing="0" w:after="0" w:afterAutospacing="0"/>
                    <w:ind w:left="0" w:right="0" w:firstLine="0"/>
                    <w:rPr>
                      <w:rFonts w:hint="eastAsia" w:ascii="Times New Roman" w:hAnsi="Times New Roman" w:eastAsia="宋体" w:cs="Times New Roman"/>
                      <w:lang w:val="en-US" w:eastAsia="zh-CN"/>
                    </w:rPr>
                  </w:pPr>
                  <w:r>
                    <w:rPr>
                      <w:rFonts w:hint="default" w:ascii="Times New Roman" w:hAnsi="Times New Roman" w:eastAsia="宋体" w:cs="Times New Roman"/>
                    </w:rPr>
                    <w:t>BOD</w:t>
                  </w:r>
                  <w:r>
                    <w:rPr>
                      <w:rFonts w:hint="eastAsia" w:cs="Times New Roman"/>
                      <w:vertAlign w:val="subscript"/>
                      <w:lang w:val="en-US" w:eastAsia="zh-CN"/>
                    </w:rPr>
                    <w:t>5</w:t>
                  </w:r>
                </w:p>
              </w:tc>
              <w:tc>
                <w:tcPr>
                  <w:tcW w:w="1226" w:type="pct"/>
                  <w:tcBorders>
                    <w:top w:val="single" w:color="auto" w:sz="2" w:space="0"/>
                    <w:left w:val="single" w:color="auto" w:sz="2" w:space="0"/>
                    <w:bottom w:val="single" w:color="auto" w:sz="2" w:space="0"/>
                    <w:right w:val="single" w:color="auto" w:sz="4" w:space="0"/>
                  </w:tcBorders>
                  <w:noWrap w:val="0"/>
                  <w:vAlign w:val="center"/>
                </w:tcPr>
                <w:p w14:paraId="3FEAD4B6">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mg/L</w:t>
                  </w:r>
                </w:p>
              </w:tc>
              <w:tc>
                <w:tcPr>
                  <w:tcW w:w="1226" w:type="pct"/>
                  <w:tcBorders>
                    <w:top w:val="single" w:color="auto" w:sz="2" w:space="0"/>
                    <w:left w:val="single" w:color="auto" w:sz="4" w:space="0"/>
                    <w:bottom w:val="single" w:color="auto" w:sz="2" w:space="0"/>
                    <w:right w:val="single" w:color="auto" w:sz="4" w:space="0"/>
                  </w:tcBorders>
                  <w:noWrap w:val="0"/>
                  <w:vAlign w:val="center"/>
                </w:tcPr>
                <w:p w14:paraId="24E9153B">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300</w:t>
                  </w:r>
                </w:p>
              </w:tc>
              <w:tc>
                <w:tcPr>
                  <w:tcW w:w="1319" w:type="pct"/>
                  <w:vMerge w:val="continue"/>
                  <w:tcBorders>
                    <w:left w:val="single" w:color="auto" w:sz="4" w:space="0"/>
                  </w:tcBorders>
                  <w:noWrap w:val="0"/>
                  <w:vAlign w:val="center"/>
                </w:tcPr>
                <w:p w14:paraId="004AE756">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p>
              </w:tc>
            </w:tr>
            <w:tr w14:paraId="7506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pct"/>
                  <w:tcBorders>
                    <w:right w:val="single" w:color="auto" w:sz="2" w:space="0"/>
                  </w:tcBorders>
                  <w:noWrap w:val="0"/>
                  <w:vAlign w:val="center"/>
                </w:tcPr>
                <w:p w14:paraId="0F70A645">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COD</w:t>
                  </w:r>
                </w:p>
              </w:tc>
              <w:tc>
                <w:tcPr>
                  <w:tcW w:w="1226" w:type="pct"/>
                  <w:tcBorders>
                    <w:top w:val="single" w:color="auto" w:sz="2" w:space="0"/>
                    <w:left w:val="single" w:color="auto" w:sz="2" w:space="0"/>
                    <w:bottom w:val="single" w:color="auto" w:sz="2" w:space="0"/>
                    <w:right w:val="single" w:color="auto" w:sz="4" w:space="0"/>
                  </w:tcBorders>
                  <w:noWrap w:val="0"/>
                  <w:vAlign w:val="center"/>
                </w:tcPr>
                <w:p w14:paraId="42A17BD4">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mg/L</w:t>
                  </w:r>
                </w:p>
              </w:tc>
              <w:tc>
                <w:tcPr>
                  <w:tcW w:w="1226" w:type="pct"/>
                  <w:tcBorders>
                    <w:top w:val="single" w:color="auto" w:sz="2" w:space="0"/>
                    <w:left w:val="single" w:color="auto" w:sz="4" w:space="0"/>
                    <w:bottom w:val="single" w:color="auto" w:sz="2" w:space="0"/>
                    <w:right w:val="single" w:color="auto" w:sz="4" w:space="0"/>
                  </w:tcBorders>
                  <w:noWrap w:val="0"/>
                  <w:vAlign w:val="center"/>
                </w:tcPr>
                <w:p w14:paraId="16E8E9B6">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500</w:t>
                  </w:r>
                </w:p>
              </w:tc>
              <w:tc>
                <w:tcPr>
                  <w:tcW w:w="1319" w:type="pct"/>
                  <w:vMerge w:val="continue"/>
                  <w:tcBorders>
                    <w:left w:val="single" w:color="auto" w:sz="4" w:space="0"/>
                  </w:tcBorders>
                  <w:noWrap w:val="0"/>
                  <w:vAlign w:val="center"/>
                </w:tcPr>
                <w:p w14:paraId="389638C5">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p>
              </w:tc>
            </w:tr>
            <w:tr w14:paraId="3950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1226" w:type="pct"/>
                  <w:tcBorders>
                    <w:right w:val="single" w:color="auto" w:sz="2" w:space="0"/>
                  </w:tcBorders>
                  <w:noWrap w:val="0"/>
                  <w:vAlign w:val="center"/>
                </w:tcPr>
                <w:p w14:paraId="0264523B">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氨氮</w:t>
                  </w:r>
                </w:p>
              </w:tc>
              <w:tc>
                <w:tcPr>
                  <w:tcW w:w="1226" w:type="pct"/>
                  <w:tcBorders>
                    <w:top w:val="single" w:color="auto" w:sz="2" w:space="0"/>
                    <w:left w:val="single" w:color="auto" w:sz="2" w:space="0"/>
                    <w:bottom w:val="single" w:color="auto" w:sz="2" w:space="0"/>
                    <w:right w:val="single" w:color="auto" w:sz="4" w:space="0"/>
                  </w:tcBorders>
                  <w:noWrap w:val="0"/>
                  <w:vAlign w:val="center"/>
                </w:tcPr>
                <w:p w14:paraId="46627429">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mg/L</w:t>
                  </w:r>
                </w:p>
              </w:tc>
              <w:tc>
                <w:tcPr>
                  <w:tcW w:w="1226" w:type="pct"/>
                  <w:tcBorders>
                    <w:top w:val="single" w:color="auto" w:sz="2" w:space="0"/>
                    <w:left w:val="single" w:color="auto" w:sz="4" w:space="0"/>
                    <w:bottom w:val="single" w:color="auto" w:sz="2" w:space="0"/>
                    <w:right w:val="single" w:color="auto" w:sz="4" w:space="0"/>
                  </w:tcBorders>
                  <w:noWrap w:val="0"/>
                  <w:vAlign w:val="center"/>
                </w:tcPr>
                <w:p w14:paraId="092C2DD5">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w:t>
                  </w:r>
                </w:p>
              </w:tc>
              <w:tc>
                <w:tcPr>
                  <w:tcW w:w="1319" w:type="pct"/>
                  <w:vMerge w:val="continue"/>
                  <w:tcBorders>
                    <w:left w:val="single" w:color="auto" w:sz="4" w:space="0"/>
                  </w:tcBorders>
                  <w:noWrap w:val="0"/>
                  <w:vAlign w:val="center"/>
                </w:tcPr>
                <w:p w14:paraId="3F68460F">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p>
              </w:tc>
            </w:tr>
            <w:tr w14:paraId="6B4AF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26" w:type="pct"/>
                  <w:tcBorders>
                    <w:right w:val="single" w:color="auto" w:sz="2" w:space="0"/>
                  </w:tcBorders>
                  <w:noWrap w:val="0"/>
                  <w:vAlign w:val="center"/>
                </w:tcPr>
                <w:p w14:paraId="06F00846">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SS</w:t>
                  </w:r>
                </w:p>
              </w:tc>
              <w:tc>
                <w:tcPr>
                  <w:tcW w:w="1226" w:type="pct"/>
                  <w:tcBorders>
                    <w:top w:val="single" w:color="auto" w:sz="2" w:space="0"/>
                    <w:left w:val="single" w:color="auto" w:sz="2" w:space="0"/>
                    <w:right w:val="single" w:color="auto" w:sz="4" w:space="0"/>
                  </w:tcBorders>
                  <w:noWrap w:val="0"/>
                  <w:vAlign w:val="center"/>
                </w:tcPr>
                <w:p w14:paraId="1F50B8C6">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mg/L</w:t>
                  </w:r>
                </w:p>
              </w:tc>
              <w:tc>
                <w:tcPr>
                  <w:tcW w:w="1226" w:type="pct"/>
                  <w:tcBorders>
                    <w:top w:val="single" w:color="auto" w:sz="2" w:space="0"/>
                    <w:left w:val="single" w:color="auto" w:sz="4" w:space="0"/>
                    <w:right w:val="single" w:color="auto" w:sz="4" w:space="0"/>
                  </w:tcBorders>
                  <w:noWrap w:val="0"/>
                  <w:vAlign w:val="center"/>
                </w:tcPr>
                <w:p w14:paraId="50182E8A">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r>
                    <w:rPr>
                      <w:rFonts w:hint="default" w:ascii="Times New Roman" w:hAnsi="Times New Roman" w:eastAsia="宋体" w:cs="Times New Roman"/>
                    </w:rPr>
                    <w:t>400</w:t>
                  </w:r>
                </w:p>
              </w:tc>
              <w:tc>
                <w:tcPr>
                  <w:tcW w:w="1319" w:type="pct"/>
                  <w:vMerge w:val="continue"/>
                  <w:tcBorders>
                    <w:left w:val="single" w:color="auto" w:sz="4" w:space="0"/>
                  </w:tcBorders>
                  <w:noWrap w:val="0"/>
                  <w:vAlign w:val="center"/>
                </w:tcPr>
                <w:p w14:paraId="03FA0E9E">
                  <w:pPr>
                    <w:pStyle w:val="7"/>
                    <w:keepNext w:val="0"/>
                    <w:keepLines w:val="0"/>
                    <w:suppressLineNumbers w:val="0"/>
                    <w:bidi w:val="0"/>
                    <w:spacing w:before="0" w:beforeAutospacing="0" w:after="0" w:afterAutospacing="0"/>
                    <w:ind w:left="0" w:right="0" w:firstLine="0"/>
                    <w:rPr>
                      <w:rFonts w:hint="default" w:ascii="Times New Roman" w:hAnsi="Times New Roman" w:eastAsia="宋体" w:cs="Times New Roman"/>
                    </w:rPr>
                  </w:pPr>
                </w:p>
              </w:tc>
            </w:tr>
          </w:tbl>
          <w:p w14:paraId="53A7AF47">
            <w:pPr>
              <w:keepNext w:val="0"/>
              <w:keepLines w:val="0"/>
              <w:suppressLineNumbers w:val="0"/>
              <w:bidi w:val="0"/>
              <w:spacing w:before="0" w:beforeAutospacing="0" w:after="0" w:afterAutospacing="0"/>
              <w:ind w:left="0" w:right="0"/>
              <w:rPr>
                <w:rFonts w:hint="default"/>
              </w:rPr>
            </w:pPr>
            <w:r>
              <w:rPr>
                <w:rFonts w:hint="default"/>
              </w:rPr>
              <w:t>（</w:t>
            </w:r>
            <w:r>
              <w:rPr>
                <w:rFonts w:hint="default"/>
                <w:lang w:val="en-US" w:eastAsia="zh-CN"/>
              </w:rPr>
              <w:t>4</w:t>
            </w:r>
            <w:r>
              <w:rPr>
                <w:rFonts w:hint="default"/>
              </w:rPr>
              <w:t>）固废</w:t>
            </w:r>
          </w:p>
          <w:p w14:paraId="5E4AC66E">
            <w:pPr>
              <w:keepNext w:val="0"/>
              <w:keepLines w:val="0"/>
              <w:suppressLineNumbers w:val="0"/>
              <w:bidi w:val="0"/>
              <w:spacing w:before="0" w:beforeAutospacing="0" w:after="0" w:afterAutospacing="0"/>
              <w:ind w:left="0" w:right="0"/>
              <w:rPr>
                <w:rFonts w:hint="default"/>
              </w:rPr>
            </w:pPr>
            <w:r>
              <w:rPr>
                <w:rFonts w:hint="default"/>
              </w:rPr>
              <w:t>1）一般固废</w:t>
            </w:r>
          </w:p>
          <w:p w14:paraId="3A41C22A">
            <w:pPr>
              <w:keepNext w:val="0"/>
              <w:keepLines w:val="0"/>
              <w:suppressLineNumbers w:val="0"/>
              <w:bidi w:val="0"/>
              <w:spacing w:before="0" w:beforeAutospacing="0" w:after="0" w:afterAutospacing="0"/>
              <w:ind w:left="0" w:right="0"/>
              <w:rPr>
                <w:rFonts w:hint="default"/>
              </w:rPr>
            </w:pPr>
            <w:r>
              <w:rPr>
                <w:rFonts w:hint="default"/>
              </w:rPr>
              <w:t>本项目一般工业固体废物的暂存管理执行《一般工业固体废物贮存和填埋污染控制标准》（GB18599-2020），采用库房、包装工具（罐、桶、包装袋等）贮存一般工业固体废物过程的污染控制，不适用《一般工业固体废物贮存和填埋污染控制标准》（GB18599-2020）的，应满足《中华人民共和国固体废物污染环境防治法》及其他相关法律法规的要求。</w:t>
            </w:r>
          </w:p>
          <w:p w14:paraId="0A889594">
            <w:pPr>
              <w:keepNext w:val="0"/>
              <w:keepLines w:val="0"/>
              <w:suppressLineNumbers w:val="0"/>
              <w:bidi w:val="0"/>
              <w:spacing w:before="0" w:beforeAutospacing="0" w:after="0" w:afterAutospacing="0"/>
              <w:ind w:left="0" w:right="0"/>
              <w:rPr>
                <w:rFonts w:hint="default"/>
              </w:rPr>
            </w:pPr>
            <w:r>
              <w:rPr>
                <w:rFonts w:hint="default"/>
                <w:lang w:val="en-US" w:eastAsia="zh-CN"/>
              </w:rPr>
              <w:t>2</w:t>
            </w:r>
            <w:r>
              <w:rPr>
                <w:rFonts w:hint="default"/>
              </w:rPr>
              <w:t>）危险废物</w:t>
            </w:r>
          </w:p>
          <w:p w14:paraId="689D9AAD">
            <w:pPr>
              <w:keepNext w:val="0"/>
              <w:keepLines w:val="0"/>
              <w:suppressLineNumbers w:val="0"/>
              <w:bidi w:val="0"/>
              <w:spacing w:before="0" w:beforeAutospacing="0" w:after="0" w:afterAutospacing="0"/>
              <w:ind w:left="0" w:right="0"/>
              <w:rPr>
                <w:rFonts w:hint="default"/>
              </w:rPr>
            </w:pPr>
            <w:r>
              <w:rPr>
                <w:rFonts w:hint="default"/>
              </w:rPr>
              <w:t>危险废物应按照《危险废物贮存污染控制标准》（GB18597—2023）和《危险废物收集</w:t>
            </w:r>
            <w:r>
              <w:rPr>
                <w:rFonts w:hint="default"/>
                <w:lang w:val="en-US" w:eastAsia="zh-CN"/>
              </w:rPr>
              <w:t xml:space="preserve"> </w:t>
            </w:r>
            <w:r>
              <w:rPr>
                <w:rFonts w:hint="default"/>
              </w:rPr>
              <w:t>贮存</w:t>
            </w:r>
            <w:r>
              <w:rPr>
                <w:rFonts w:hint="default"/>
                <w:lang w:val="en-US" w:eastAsia="zh-CN"/>
              </w:rPr>
              <w:t xml:space="preserve"> </w:t>
            </w:r>
            <w:r>
              <w:rPr>
                <w:rFonts w:hint="default"/>
              </w:rPr>
              <w:t>运输技术规范》(HJ2025-2012)中相关规定要求进行危险废物的包装、贮存设施的选址、设计、运行、安全防护、监测和关闭等要求进行合理的贮存。</w:t>
            </w:r>
          </w:p>
          <w:p w14:paraId="67FCF694">
            <w:pPr>
              <w:keepNext w:val="0"/>
              <w:keepLines w:val="0"/>
              <w:suppressLineNumbers w:val="0"/>
              <w:bidi w:val="0"/>
              <w:spacing w:before="0" w:beforeAutospacing="0" w:after="0" w:afterAutospacing="0"/>
              <w:ind w:left="0" w:right="0"/>
              <w:rPr>
                <w:rFonts w:hint="default"/>
              </w:rPr>
            </w:pPr>
            <w:r>
              <w:rPr>
                <w:rFonts w:hint="eastAsia"/>
                <w:lang w:val="en-US" w:eastAsia="zh-CN"/>
              </w:rPr>
              <w:t>3</w:t>
            </w:r>
            <w:r>
              <w:rPr>
                <w:rFonts w:hint="default"/>
              </w:rPr>
              <w:t>）生活垃圾</w:t>
            </w:r>
          </w:p>
          <w:p w14:paraId="579CB0A5">
            <w:pPr>
              <w:keepNext w:val="0"/>
              <w:keepLines w:val="0"/>
              <w:suppressLineNumbers w:val="0"/>
              <w:bidi w:val="0"/>
              <w:spacing w:before="0" w:beforeAutospacing="0" w:after="0" w:afterAutospacing="0"/>
              <w:ind w:left="0" w:right="0"/>
              <w:rPr>
                <w:rFonts w:hint="default"/>
                <w:lang w:val="en-US" w:eastAsia="zh-CN"/>
              </w:rPr>
            </w:pPr>
            <w:r>
              <w:rPr>
                <w:rFonts w:hint="default" w:ascii="Times New Roman" w:hAnsi="Times New Roman" w:cs="Times New Roman"/>
              </w:rPr>
              <w:t>生活垃圾处理执行《城市生活垃圾处理及污染防治技术政策》（建城</w:t>
            </w:r>
            <w:r>
              <w:rPr>
                <w:rFonts w:hint="eastAsia" w:cs="Times New Roman"/>
                <w:lang w:eastAsia="zh-CN"/>
              </w:rPr>
              <w:t>〔2000〕120号</w:t>
            </w:r>
            <w:r>
              <w:rPr>
                <w:rFonts w:hint="default" w:ascii="Times New Roman" w:hAnsi="Times New Roman" w:cs="Times New Roman"/>
              </w:rPr>
              <w:t>）和《生活垃圾处理技术指南》（建城</w:t>
            </w:r>
            <w:r>
              <w:rPr>
                <w:rFonts w:hint="default" w:ascii="Times New Roman" w:hAnsi="Times New Roman" w:cs="Times New Roman"/>
                <w:lang w:eastAsia="zh-CN"/>
              </w:rPr>
              <w:t>〔2010〕</w:t>
            </w:r>
            <w:r>
              <w:rPr>
                <w:rFonts w:hint="default" w:ascii="Times New Roman" w:hAnsi="Times New Roman" w:cs="Times New Roman"/>
              </w:rPr>
              <w:t>61号）以及国家、省市关于固体废物污染环境防治的法律法规。</w:t>
            </w:r>
          </w:p>
        </w:tc>
      </w:tr>
      <w:tr w14:paraId="138C74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23" w:hRule="atLeast"/>
          <w:jc w:val="center"/>
        </w:trPr>
        <w:tc>
          <w:tcPr>
            <w:tcW w:w="751" w:type="dxa"/>
            <w:noWrap w:val="0"/>
            <w:vAlign w:val="center"/>
          </w:tcPr>
          <w:p w14:paraId="59886E54">
            <w:pPr>
              <w:pStyle w:val="7"/>
              <w:keepNext w:val="0"/>
              <w:keepLines w:val="0"/>
              <w:suppressLineNumbers w:val="0"/>
              <w:bidi w:val="0"/>
              <w:spacing w:before="0" w:beforeAutospacing="0" w:after="0" w:afterAutospacing="0"/>
              <w:ind w:left="0" w:right="0"/>
              <w:rPr>
                <w:rFonts w:hint="default"/>
              </w:rPr>
            </w:pPr>
            <w:r>
              <w:rPr>
                <w:rFonts w:hint="default"/>
              </w:rPr>
              <w:t>总量</w:t>
            </w:r>
          </w:p>
          <w:p w14:paraId="6C5750DE">
            <w:pPr>
              <w:pStyle w:val="7"/>
              <w:keepNext w:val="0"/>
              <w:keepLines w:val="0"/>
              <w:suppressLineNumbers w:val="0"/>
              <w:bidi w:val="0"/>
              <w:spacing w:before="0" w:beforeAutospacing="0" w:after="0" w:afterAutospacing="0"/>
              <w:ind w:left="0" w:right="0"/>
              <w:rPr>
                <w:rFonts w:hint="default"/>
              </w:rPr>
            </w:pPr>
            <w:r>
              <w:rPr>
                <w:rFonts w:hint="default"/>
              </w:rPr>
              <w:t>控制</w:t>
            </w:r>
          </w:p>
          <w:p w14:paraId="1638CF29">
            <w:pPr>
              <w:pStyle w:val="7"/>
              <w:keepNext w:val="0"/>
              <w:keepLines w:val="0"/>
              <w:suppressLineNumbers w:val="0"/>
              <w:bidi w:val="0"/>
              <w:spacing w:before="0" w:beforeAutospacing="0" w:after="0" w:afterAutospacing="0"/>
              <w:ind w:left="0" w:right="0"/>
              <w:rPr>
                <w:rFonts w:hint="default"/>
              </w:rPr>
            </w:pPr>
            <w:r>
              <w:rPr>
                <w:rFonts w:hint="default"/>
              </w:rPr>
              <w:t>指标</w:t>
            </w:r>
          </w:p>
        </w:tc>
        <w:tc>
          <w:tcPr>
            <w:tcW w:w="8310" w:type="dxa"/>
            <w:noWrap w:val="0"/>
            <w:vAlign w:val="center"/>
          </w:tcPr>
          <w:p w14:paraId="5F7C177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lang w:val="en-US" w:eastAsia="zh-CN"/>
              </w:rPr>
            </w:pPr>
            <w:r>
              <w:rPr>
                <w:rFonts w:hint="eastAsia"/>
                <w:lang w:val="en-US" w:eastAsia="zh-CN"/>
              </w:rPr>
              <w:t>无</w:t>
            </w:r>
          </w:p>
        </w:tc>
      </w:tr>
    </w:tbl>
    <w:p w14:paraId="56CB329A">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hint="eastAsia" w:ascii="黑体" w:hAnsi="黑体" w:eastAsia="黑体" w:cs="Times New Roman"/>
          <w:b w:val="0"/>
          <w:bCs w:val="0"/>
          <w:snapToGrid w:val="0"/>
          <w:color w:val="000000"/>
          <w:sz w:val="30"/>
          <w:szCs w:val="30"/>
          <w:highlight w:val="none"/>
          <w:rPrChange w:id="79" w:author="张茜" w:date="2026-03-04T16:48:39Z">
            <w:rPr>
              <w:rFonts w:hint="eastAsia" w:ascii="黑体" w:hAnsi="黑体" w:eastAsia="黑体" w:cs="黑体"/>
              <w:b w:val="0"/>
              <w:bCs w:val="0"/>
              <w:snapToGrid w:val="0"/>
              <w:color w:val="000000"/>
              <w:sz w:val="30"/>
              <w:szCs w:val="30"/>
              <w:highlight w:val="none"/>
            </w:rPr>
          </w:rPrChange>
        </w:rPr>
      </w:pPr>
      <w:r>
        <w:rPr>
          <w:rFonts w:ascii="黑体" w:hAnsi="黑体" w:eastAsia="黑体"/>
          <w:snapToGrid w:val="0"/>
          <w:color w:val="000000"/>
          <w:szCs w:val="36"/>
          <w:highlight w:val="none"/>
        </w:rPr>
        <w:br w:type="page"/>
      </w:r>
      <w:r>
        <w:rPr>
          <w:rFonts w:hint="eastAsia" w:ascii="黑体" w:hAnsi="黑体" w:eastAsia="黑体" w:cs="Times New Roman"/>
          <w:b w:val="0"/>
          <w:bCs w:val="0"/>
          <w:snapToGrid w:val="0"/>
          <w:color w:val="000000"/>
          <w:sz w:val="30"/>
          <w:szCs w:val="30"/>
          <w:highlight w:val="none"/>
        </w:rPr>
        <w:t>四、主要环境影响和保护措施</w:t>
      </w:r>
    </w:p>
    <w:tbl>
      <w:tblPr>
        <w:tblStyle w:val="33"/>
        <w:tblW w:w="898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263"/>
      </w:tblGrid>
      <w:tr w14:paraId="425CC9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718" w:type="dxa"/>
            <w:noWrap w:val="0"/>
            <w:tcMar>
              <w:left w:w="28" w:type="dxa"/>
              <w:right w:w="28" w:type="dxa"/>
            </w:tcMar>
            <w:vAlign w:val="center"/>
          </w:tcPr>
          <w:p w14:paraId="727D3753">
            <w:pPr>
              <w:keepNext w:val="0"/>
              <w:keepLines w:val="0"/>
              <w:widowControl/>
              <w:suppressLineNumbers w:val="0"/>
              <w:spacing w:before="0" w:beforeAutospacing="0" w:after="0" w:afterAutospacing="0" w:line="240" w:lineRule="auto"/>
              <w:ind w:left="0" w:leftChars="0" w:right="0" w:firstLine="0" w:firstLineChars="0"/>
              <w:jc w:val="center"/>
              <w:rPr>
                <w:rFonts w:hint="default" w:ascii="Times New Roman" w:hAnsi="Times New Roman" w:cs="Times New Roman"/>
                <w:color w:val="000000"/>
                <w:sz w:val="28"/>
                <w:szCs w:val="28"/>
                <w:highlight w:val="none"/>
              </w:rPr>
            </w:pPr>
            <w:r>
              <w:rPr>
                <w:rStyle w:val="51"/>
                <w:rFonts w:hint="eastAsia"/>
                <w:lang w:val="en-US" w:eastAsia="zh-CN"/>
              </w:rPr>
              <w:t>施</w:t>
            </w:r>
            <w:r>
              <w:rPr>
                <w:rStyle w:val="51"/>
                <w:rFonts w:hint="default"/>
              </w:rPr>
              <w:t>工期环境保护措施</w:t>
            </w:r>
          </w:p>
        </w:tc>
        <w:tc>
          <w:tcPr>
            <w:tcW w:w="8263" w:type="dxa"/>
            <w:noWrap w:val="0"/>
            <w:vAlign w:val="center"/>
          </w:tcPr>
          <w:p w14:paraId="547EAC05">
            <w:pPr>
              <w:keepNext w:val="0"/>
              <w:keepLines w:val="0"/>
              <w:suppressLineNumbers w:val="0"/>
              <w:spacing w:before="0" w:beforeAutospacing="0" w:after="0" w:afterAutospacing="0" w:line="500" w:lineRule="exact"/>
              <w:ind w:left="0" w:right="0" w:firstLine="480" w:firstLineChars="200"/>
              <w:rPr>
                <w:rFonts w:hint="default" w:ascii="Times New Roman" w:hAnsi="Times New Roman" w:cs="Times New Roman"/>
                <w:bCs/>
                <w:color w:val="000000"/>
                <w:spacing w:val="-10"/>
                <w:szCs w:val="21"/>
                <w:highlight w:val="none"/>
              </w:rPr>
            </w:pPr>
            <w:r>
              <w:rPr>
                <w:rFonts w:hint="default" w:ascii="Times New Roman" w:hAnsi="Times New Roman" w:eastAsia="宋体" w:cs="Times New Roman"/>
                <w:color w:val="auto"/>
                <w:kern w:val="2"/>
                <w:sz w:val="24"/>
                <w:szCs w:val="24"/>
                <w:highlight w:val="none"/>
                <w:lang w:val="en-US" w:eastAsia="zh-CN" w:bidi="ar-SA"/>
              </w:rPr>
              <w:t>本项目已建设完成，施工期环境影响已随施工期结束而消失，本次环评不对其进行评价。</w:t>
            </w:r>
          </w:p>
        </w:tc>
      </w:tr>
      <w:tr w14:paraId="7D0327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0" w:hRule="atLeast"/>
          <w:jc w:val="center"/>
        </w:trPr>
        <w:tc>
          <w:tcPr>
            <w:tcW w:w="718" w:type="dxa"/>
            <w:noWrap w:val="0"/>
            <w:tcMar>
              <w:left w:w="28" w:type="dxa"/>
              <w:right w:w="28" w:type="dxa"/>
            </w:tcMar>
            <w:vAlign w:val="center"/>
          </w:tcPr>
          <w:p w14:paraId="0B1CEF12">
            <w:pPr>
              <w:keepNext w:val="0"/>
              <w:keepLines w:val="0"/>
              <w:widowControl/>
              <w:suppressLineNumbers w:val="0"/>
              <w:spacing w:before="0" w:beforeAutospacing="0" w:after="0" w:afterAutospacing="0" w:line="240" w:lineRule="auto"/>
              <w:ind w:left="0" w:leftChars="0" w:right="0" w:firstLine="0" w:firstLineChars="0"/>
              <w:jc w:val="center"/>
              <w:rPr>
                <w:rStyle w:val="51"/>
                <w:rFonts w:hint="eastAsia"/>
                <w:lang w:val="en-US" w:eastAsia="zh-CN"/>
              </w:rPr>
            </w:pPr>
            <w:r>
              <w:rPr>
                <w:rStyle w:val="51"/>
                <w:rFonts w:hint="default"/>
              </w:rPr>
              <w:t>运营期环境影响和保护措施</w:t>
            </w:r>
          </w:p>
        </w:tc>
        <w:tc>
          <w:tcPr>
            <w:tcW w:w="8263" w:type="dxa"/>
            <w:noWrap w:val="0"/>
            <w:vAlign w:val="center"/>
          </w:tcPr>
          <w:p w14:paraId="33A19A78">
            <w:pPr>
              <w:pStyle w:val="3"/>
              <w:keepLines w:val="0"/>
              <w:suppressLineNumbers w:val="0"/>
              <w:bidi w:val="0"/>
              <w:spacing w:before="0" w:beforeAutospacing="0" w:after="0" w:afterAutospacing="0"/>
              <w:ind w:right="0"/>
              <w:rPr>
                <w:rFonts w:hint="default"/>
              </w:rPr>
            </w:pPr>
            <w:r>
              <w:rPr>
                <w:rFonts w:hint="default"/>
              </w:rPr>
              <w:t>1</w:t>
            </w:r>
            <w:r>
              <w:rPr>
                <w:rFonts w:hint="eastAsia"/>
                <w:lang w:val="en-US" w:eastAsia="zh-CN"/>
              </w:rPr>
              <w:t xml:space="preserve"> </w:t>
            </w:r>
            <w:r>
              <w:rPr>
                <w:rFonts w:hint="default"/>
              </w:rPr>
              <w:t>废气影响分析及防治措施</w:t>
            </w:r>
          </w:p>
          <w:p w14:paraId="3018B8F1">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1.1 营运期大气环境影响分析</w:t>
            </w:r>
          </w:p>
          <w:p w14:paraId="53712D87">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本项目生产过程中主要产生上料废气、搅拌粉尘、水泥筒仓粉尘、原料堆场扬尘、脱模剂挥发产生的VOCs废气。</w:t>
            </w:r>
          </w:p>
          <w:p w14:paraId="4E61E3B9">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①上料废气</w:t>
            </w:r>
          </w:p>
          <w:p w14:paraId="545FC87A">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本项目的主要原料输送流程为：水泥储存于专用筒仓，经密闭管道输送至计量系统后进入搅拌器；石子、砂子等骨料通过铲车转运至计量系统，计量后送入搅拌器；根据《3021水泥制品制造（含3022砼结构构件制造、3029 其他水泥类似制品制造）行业系数手册》，项目上料时颗粒物产污系数为0.19kg/t（产品），项目产品产量为30000t/a，则本项目上料粉尘产生量为5.7t/a，产生速率为2.9687kg/h，上料口上方设置集气罩（风机风量2000m</w:t>
            </w:r>
            <w:r>
              <w:rPr>
                <w:rFonts w:hint="eastAsia"/>
                <w:vertAlign w:val="superscript"/>
                <w:lang w:val="en-US" w:eastAsia="zh-CN"/>
              </w:rPr>
              <w:t>3</w:t>
            </w:r>
            <w:r>
              <w:rPr>
                <w:rFonts w:hint="eastAsia"/>
                <w:lang w:val="en-US" w:eastAsia="zh-CN"/>
              </w:rPr>
              <w:t>/h），收集的粉尘经袋式除尘器处理后经15m高排气筒高空排放（收集效率90%，治理效率为99.7%）。则有组织颗粒物排放量为0.0154t/a，排放速率为0.008kg/h，排放浓度4.01mg/m</w:t>
            </w:r>
            <w:r>
              <w:rPr>
                <w:rFonts w:hint="eastAsia"/>
                <w:vertAlign w:val="superscript"/>
                <w:lang w:val="en-US" w:eastAsia="zh-CN"/>
              </w:rPr>
              <w:t>3</w:t>
            </w:r>
            <w:r>
              <w:rPr>
                <w:rFonts w:hint="eastAsia"/>
                <w:lang w:val="en-US" w:eastAsia="zh-CN"/>
              </w:rPr>
              <w:t>。为控制该环节颗粒物无组织排放，项目上料口处于封闭厂房（治理效率为99%），则无组织颗粒物排放量0.0057t/a，排放速率为0.003kg/h。</w:t>
            </w:r>
          </w:p>
          <w:p w14:paraId="65C3D4F2">
            <w:pPr>
              <w:keepNext w:val="0"/>
              <w:keepLines w:val="0"/>
              <w:suppressLineNumbers w:val="0"/>
              <w:spacing w:before="0" w:beforeAutospacing="0" w:after="0" w:afterAutospacing="0"/>
              <w:ind w:left="0" w:right="0"/>
              <w:rPr>
                <w:rFonts w:hint="eastAsia"/>
                <w:lang w:val="en-US" w:eastAsia="zh-CN"/>
              </w:rPr>
            </w:pPr>
            <w:r>
              <w:rPr>
                <w:rFonts w:hint="eastAsia"/>
                <w:lang w:val="en-US" w:eastAsia="zh-CN"/>
              </w:rPr>
              <w:t>综上所述，项目上料粉尘产生量较小，上料口位于密闭厂房并配套集气罩对该区域粉尘进行收集，收集的粉尘经袋式除尘器处理后通过15米高排气筒排放，能够有效控制颗粒物废气排放，使其满足《水泥工业大气污染物排放标准》（含2025年修改单）（GB4915-2013）表1限值要求，对周边环境影响较小。</w:t>
            </w:r>
          </w:p>
          <w:p w14:paraId="4845882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②搅拌粉尘</w:t>
            </w:r>
          </w:p>
          <w:p w14:paraId="443B45A5">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本项目水泥通过筒仓由管道输送至计量系统后进入搅拌器。石子、砂子由铲车输送至计量系统后进入搅拌器。搅拌器内加水投料、搅拌时会产生粉尘。</w:t>
            </w:r>
          </w:p>
          <w:p w14:paraId="22F81CC3">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根据《3021水泥制品制造（含3022砼结构构件制造、3029其他水泥类似制品制造）行业系数手册》本项目颗粒物的产污系数为0.523kg/t（产品），项目产品产量为</w:t>
            </w:r>
            <w:r>
              <w:rPr>
                <w:rFonts w:hint="eastAsia"/>
                <w:lang w:val="en-US" w:eastAsia="zh-CN"/>
              </w:rPr>
              <w:t>30000</w:t>
            </w:r>
            <w:r>
              <w:rPr>
                <w:rFonts w:hint="default"/>
                <w:lang w:val="en-US" w:eastAsia="zh-CN"/>
              </w:rPr>
              <w:t>t/a，则物料混合搅拌过程中粉尘的产生量为</w:t>
            </w:r>
            <w:r>
              <w:rPr>
                <w:rFonts w:hint="eastAsia"/>
                <w:lang w:val="en-US" w:eastAsia="zh-CN"/>
              </w:rPr>
              <w:t>15.69</w:t>
            </w:r>
            <w:r>
              <w:rPr>
                <w:rFonts w:hint="default"/>
                <w:lang w:val="en-US" w:eastAsia="zh-CN"/>
              </w:rPr>
              <w:t>t/a。本项目选用全密闭搅拌设备，参照《固体物料堆存颗粒物产排污核算系数手册》附录5，控制效率为99%，且搅拌过程中同步投加水。则本项目搅拌粉尘无组织排放量为</w:t>
            </w:r>
            <w:r>
              <w:rPr>
                <w:rFonts w:hint="eastAsia"/>
                <w:lang w:val="en-US" w:eastAsia="zh-CN"/>
              </w:rPr>
              <w:t>0.1569</w:t>
            </w:r>
            <w:r>
              <w:rPr>
                <w:rFonts w:hint="default"/>
                <w:lang w:val="en-US" w:eastAsia="zh-CN"/>
              </w:rPr>
              <w:t>t/a，排放速率为</w:t>
            </w:r>
            <w:r>
              <w:rPr>
                <w:rFonts w:hint="eastAsia"/>
                <w:lang w:val="en-US" w:eastAsia="zh-CN"/>
              </w:rPr>
              <w:t>0.0817</w:t>
            </w:r>
            <w:r>
              <w:rPr>
                <w:rFonts w:hint="default"/>
                <w:lang w:val="en-US" w:eastAsia="zh-CN"/>
              </w:rPr>
              <w:t>kg/h。</w:t>
            </w:r>
          </w:p>
          <w:p w14:paraId="793A4388">
            <w:pPr>
              <w:keepNext w:val="0"/>
              <w:keepLines w:val="0"/>
              <w:suppressLineNumbers w:val="0"/>
              <w:spacing w:before="0" w:beforeAutospacing="0" w:after="0" w:afterAutospacing="0"/>
              <w:ind w:left="0" w:right="0"/>
              <w:rPr>
                <w:rFonts w:hint="default"/>
                <w:lang w:val="en-US" w:eastAsia="zh-CN"/>
              </w:rPr>
            </w:pPr>
            <w:r>
              <w:rPr>
                <w:rFonts w:hint="default"/>
                <w:lang w:val="en-US" w:eastAsia="zh-CN"/>
              </w:rPr>
              <w:t>综上所述，项目搅拌粉尘产生量较少，通过全封闭式设施，能够有效控制颗粒物无组织废气排放，使其满足《水泥工业大气污染物排放标准》（含2025年修改单）（GB4915-2013）表3浓度限值要求，对周边环境影响较小。</w:t>
            </w:r>
          </w:p>
          <w:p w14:paraId="1055E855">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③水泥筒仓粉尘</w:t>
            </w:r>
          </w:p>
          <w:p w14:paraId="238EE248">
            <w:pPr>
              <w:keepNext w:val="0"/>
              <w:keepLines w:val="0"/>
              <w:suppressLineNumbers w:val="0"/>
              <w:bidi w:val="0"/>
              <w:spacing w:before="0" w:beforeAutospacing="0" w:after="0" w:afterAutospacing="0"/>
              <w:ind w:left="0" w:right="0"/>
              <w:rPr>
                <w:rFonts w:hint="default"/>
              </w:rPr>
            </w:pPr>
            <w:r>
              <w:rPr>
                <w:rFonts w:hint="default"/>
                <w:lang w:val="en-US" w:eastAsia="zh-CN"/>
              </w:rPr>
              <w:t>本项目水泥采用水泥筒仓储存，设置</w:t>
            </w:r>
            <w:r>
              <w:rPr>
                <w:rFonts w:hint="eastAsia"/>
                <w:lang w:val="en-US" w:eastAsia="zh-CN"/>
              </w:rPr>
              <w:t>1</w:t>
            </w:r>
            <w:r>
              <w:rPr>
                <w:rFonts w:hint="default"/>
                <w:lang w:val="en-US" w:eastAsia="zh-CN"/>
              </w:rPr>
              <w:t>座100t水泥筒仓，顶部配有滤筒式过滤器。外购的水泥进料时筒仓顶部排气口需要向外界排气，排气过程中会有粉尘产生，筒仓产污系数参照《逸散性工业粉尘控制技术》（中国环境科学出版社出版、1989年12月第一版）第二十二章混凝土分批搅拌厂表22-1混凝土分批搅拌厂的逸散尘排放因子，卸水泥至高架贮仓，粉尘产生量为0.12kg/t（卸料），本项目水泥使用量为</w:t>
            </w:r>
            <w:r>
              <w:rPr>
                <w:rFonts w:hint="eastAsia"/>
                <w:lang w:val="en-US" w:eastAsia="zh-CN"/>
              </w:rPr>
              <w:t>5163</w:t>
            </w:r>
            <w:r>
              <w:rPr>
                <w:rFonts w:hint="default"/>
                <w:lang w:val="en-US" w:eastAsia="zh-CN"/>
              </w:rPr>
              <w:t>吨，筒仓进料时间约为</w:t>
            </w:r>
            <w:r>
              <w:rPr>
                <w:rFonts w:hint="eastAsia"/>
                <w:lang w:val="en-US" w:eastAsia="zh-CN"/>
              </w:rPr>
              <w:t>52</w:t>
            </w:r>
            <w:r>
              <w:rPr>
                <w:rFonts w:hint="default"/>
                <w:lang w:val="en-US" w:eastAsia="zh-CN"/>
              </w:rPr>
              <w:t>h（卸料次数为</w:t>
            </w:r>
            <w:r>
              <w:rPr>
                <w:rFonts w:hint="eastAsia"/>
                <w:lang w:val="en-US" w:eastAsia="zh-CN"/>
              </w:rPr>
              <w:t>52</w:t>
            </w:r>
            <w:r>
              <w:rPr>
                <w:rFonts w:hint="default"/>
                <w:lang w:val="en-US" w:eastAsia="zh-CN"/>
              </w:rPr>
              <w:t>次，单次卸料时间为1h）。</w:t>
            </w:r>
          </w:p>
          <w:p w14:paraId="34A6E6C9">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筒仓粉尘的产生量为</w:t>
            </w:r>
            <w:r>
              <w:rPr>
                <w:rFonts w:hint="eastAsia"/>
                <w:lang w:val="en-US" w:eastAsia="zh-CN"/>
              </w:rPr>
              <w:t>0.6196</w:t>
            </w:r>
            <w:r>
              <w:rPr>
                <w:rFonts w:hint="default"/>
                <w:lang w:val="en-US" w:eastAsia="zh-CN"/>
              </w:rPr>
              <w:t>t/a，产生速率为</w:t>
            </w:r>
            <w:r>
              <w:rPr>
                <w:rFonts w:hint="eastAsia"/>
                <w:lang w:val="en-US" w:eastAsia="zh-CN"/>
              </w:rPr>
              <w:t>11.9146</w:t>
            </w:r>
            <w:r>
              <w:rPr>
                <w:rFonts w:hint="default"/>
                <w:lang w:val="en-US" w:eastAsia="zh-CN"/>
              </w:rPr>
              <w:t>kg/h，水泥筒仓经上方自带的滤筒式过滤器（收集效率100%，治理效率为99.7%，治理效率参照《排放源统计调查产排污核算方法和系数手册》中“3021水泥制品制造（含3022砼结构构件、3029其他水泥类似制品制造）行业系数手册”）处理后无组织排放，则排放量为0.00</w:t>
            </w:r>
            <w:r>
              <w:rPr>
                <w:rFonts w:hint="eastAsia"/>
                <w:lang w:val="en-US" w:eastAsia="zh-CN"/>
              </w:rPr>
              <w:t>186</w:t>
            </w:r>
            <w:r>
              <w:rPr>
                <w:rFonts w:hint="default"/>
                <w:lang w:val="en-US" w:eastAsia="zh-CN"/>
              </w:rPr>
              <w:t>t/a，排放速率为0.0</w:t>
            </w:r>
            <w:r>
              <w:rPr>
                <w:rFonts w:hint="eastAsia"/>
                <w:lang w:val="en-US" w:eastAsia="zh-CN"/>
              </w:rPr>
              <w:t>357</w:t>
            </w:r>
            <w:r>
              <w:rPr>
                <w:rFonts w:hint="default"/>
                <w:lang w:val="en-US" w:eastAsia="zh-CN"/>
              </w:rPr>
              <w:t>kg/h。</w:t>
            </w:r>
          </w:p>
          <w:p w14:paraId="3E5FE7D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综上所述，项目水泥筒仓粉尘产生量较少，通过滤筒式过滤器，能够有效控制颗粒物无组织废气排放，使其满足《水泥工业大气污染物排放标准》（含2025年修改单）（GB4915-2013）表3浓度限值要求，对周边环境影响较小。</w:t>
            </w:r>
          </w:p>
          <w:p w14:paraId="09301F97">
            <w:pPr>
              <w:keepNext w:val="0"/>
              <w:keepLines w:val="0"/>
              <w:suppressLineNumbers w:val="0"/>
              <w:bidi w:val="0"/>
              <w:spacing w:before="0" w:beforeAutospacing="0" w:after="0" w:afterAutospacing="0"/>
              <w:ind w:left="0" w:right="0"/>
              <w:rPr>
                <w:rFonts w:hint="default"/>
              </w:rPr>
            </w:pPr>
            <w:r>
              <w:rPr>
                <w:rFonts w:hint="eastAsia"/>
                <w:lang w:val="en-US" w:eastAsia="zh-CN"/>
              </w:rPr>
              <w:t>④原料堆场扬尘</w:t>
            </w:r>
          </w:p>
          <w:p w14:paraId="519D4B48">
            <w:pPr>
              <w:keepNext w:val="0"/>
              <w:keepLines w:val="0"/>
              <w:suppressLineNumbers w:val="0"/>
              <w:bidi w:val="0"/>
              <w:spacing w:before="0" w:beforeAutospacing="0" w:after="0" w:afterAutospacing="0"/>
              <w:ind w:left="0" w:right="0"/>
              <w:rPr>
                <w:rFonts w:hint="default"/>
                <w:lang w:eastAsia="zh-CN"/>
              </w:rPr>
            </w:pPr>
            <w:r>
              <w:rPr>
                <w:rFonts w:hint="default"/>
              </w:rPr>
              <w:t>根据《</w:t>
            </w:r>
            <w:r>
              <w:rPr>
                <w:rFonts w:hint="default"/>
                <w:lang w:val="en-US" w:eastAsia="zh-CN"/>
              </w:rPr>
              <w:t>排放源统计调查产排污核算方法和系数手册</w:t>
            </w:r>
            <w:r>
              <w:rPr>
                <w:rFonts w:hint="default"/>
              </w:rPr>
              <w:t>》固体物料堆存颗粒物产排污核算系数手册</w:t>
            </w:r>
            <w:r>
              <w:rPr>
                <w:rFonts w:hint="default"/>
                <w:lang w:eastAsia="zh-CN"/>
              </w:rPr>
              <w:t>，工业企业固体物料堆存颗粒物包括装卸扬尘和风蚀扬尘，颗粒物产生量核算公式如下：</w:t>
            </w:r>
          </w:p>
          <w:p w14:paraId="145B1D47">
            <w:pPr>
              <w:pStyle w:val="55"/>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ind w:left="0" w:right="0"/>
              <w:jc w:val="center"/>
              <w:textAlignment w:val="auto"/>
              <w:rPr>
                <w:rFonts w:hint="eastAsia" w:ascii="Times New Roman" w:hAnsi="Times New Roman" w:cs="Times New Roman"/>
                <w:vertAlign w:val="superscript"/>
                <w:lang w:val="en-US" w:eastAsia="zh-CN"/>
              </w:rPr>
            </w:pPr>
            <w:r>
              <w:rPr>
                <w:rFonts w:hint="default" w:ascii="Times New Roman" w:hAnsi="Times New Roman" w:cs="Times New Roman"/>
                <w:lang w:val="en-US" w:eastAsia="zh-CN"/>
              </w:rPr>
              <w:t>P=ZC</w:t>
            </w:r>
            <w:r>
              <w:rPr>
                <w:rFonts w:hint="eastAsia" w:ascii="Times New Roman" w:hAnsi="Times New Roman" w:cs="Times New Roman"/>
                <w:lang w:val="en-US" w:eastAsia="zh-CN"/>
              </w:rPr>
              <w:t>y</w:t>
            </w:r>
            <w:r>
              <w:rPr>
                <w:rFonts w:hint="default" w:ascii="Times New Roman" w:hAnsi="Times New Roman" w:cs="Times New Roman"/>
                <w:lang w:val="en-US" w:eastAsia="zh-CN"/>
              </w:rPr>
              <w:t>+FC</w:t>
            </w:r>
            <w:r>
              <w:rPr>
                <w:rFonts w:hint="eastAsia" w:ascii="Times New Roman" w:hAnsi="Times New Roman" w:cs="Times New Roman"/>
                <w:lang w:val="en-US" w:eastAsia="zh-CN"/>
              </w:rPr>
              <w:t>y</w:t>
            </w:r>
            <w:r>
              <w:rPr>
                <w:rFonts w:hint="default" w:ascii="Times New Roman" w:hAnsi="Times New Roman" w:cs="Times New Roman"/>
                <w:lang w:val="en-US" w:eastAsia="zh-CN"/>
              </w:rPr>
              <w:t>={N</w:t>
            </w:r>
            <w:r>
              <w:rPr>
                <w:rFonts w:hint="default" w:ascii="Times New Roman" w:hAnsi="Times New Roman" w:cs="Times New Roman"/>
                <w:vertAlign w:val="subscript"/>
                <w:lang w:val="en-US" w:eastAsia="zh-CN"/>
              </w:rPr>
              <w:t>C</w:t>
            </w:r>
            <w:r>
              <w:rPr>
                <w:rFonts w:hint="default" w:ascii="Times New Roman" w:hAnsi="Times New Roman" w:cs="Times New Roman"/>
                <w:lang w:val="en-US" w:eastAsia="zh-CN"/>
              </w:rPr>
              <w:t>×D×(a/b)+2×Ef×S}</w:t>
            </w:r>
            <w:r>
              <w:rPr>
                <w:rFonts w:hint="default" w:ascii="Arial" w:hAnsi="Arial" w:cs="Arial"/>
                <w:lang w:val="en-US" w:eastAsia="zh-CN"/>
              </w:rPr>
              <w:t>×</w:t>
            </w:r>
            <w:r>
              <w:rPr>
                <w:rFonts w:hint="eastAsia" w:ascii="Times New Roman" w:hAnsi="Times New Roman" w:cs="Times New Roman"/>
                <w:lang w:val="en-US" w:eastAsia="zh-CN"/>
              </w:rPr>
              <w:t>10</w:t>
            </w:r>
            <w:r>
              <w:rPr>
                <w:rFonts w:hint="eastAsia" w:ascii="Times New Roman" w:hAnsi="Times New Roman" w:cs="Times New Roman"/>
                <w:vertAlign w:val="superscript"/>
                <w:lang w:val="en-US" w:eastAsia="zh-CN"/>
              </w:rPr>
              <w:t>-3</w:t>
            </w:r>
          </w:p>
          <w:p w14:paraId="7690B837">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式中：P值颗粒物产生量（单位：吨）；</w:t>
            </w:r>
          </w:p>
          <w:p w14:paraId="319055AC">
            <w:pPr>
              <w:keepNext w:val="0"/>
              <w:keepLines w:val="0"/>
              <w:suppressLineNumbers w:val="0"/>
              <w:bidi w:val="0"/>
              <w:spacing w:before="0" w:beforeAutospacing="0" w:after="0" w:afterAutospacing="0"/>
              <w:ind w:left="0" w:right="0" w:firstLine="1200" w:firstLineChars="500"/>
              <w:rPr>
                <w:rFonts w:hint="default"/>
                <w:lang w:val="en-US" w:eastAsia="zh-CN"/>
              </w:rPr>
            </w:pPr>
            <w:r>
              <w:rPr>
                <w:rFonts w:hint="default"/>
                <w:lang w:val="en-US" w:eastAsia="zh-CN"/>
              </w:rPr>
              <w:t>ZCy</w:t>
            </w:r>
            <w:r>
              <w:rPr>
                <w:rFonts w:hint="eastAsia"/>
                <w:lang w:val="en-US" w:eastAsia="zh-CN"/>
              </w:rPr>
              <w:t>指装卸场扬尘产生量（单位：吨）；</w:t>
            </w:r>
          </w:p>
          <w:p w14:paraId="6B3328BC">
            <w:pPr>
              <w:keepNext w:val="0"/>
              <w:keepLines w:val="0"/>
              <w:suppressLineNumbers w:val="0"/>
              <w:bidi w:val="0"/>
              <w:spacing w:before="0" w:beforeAutospacing="0" w:after="0" w:afterAutospacing="0"/>
              <w:ind w:left="0" w:right="0" w:firstLine="1200" w:firstLineChars="500"/>
              <w:rPr>
                <w:rFonts w:hint="default"/>
                <w:lang w:val="en-US" w:eastAsia="zh-CN"/>
              </w:rPr>
            </w:pPr>
            <w:r>
              <w:rPr>
                <w:rFonts w:hint="default"/>
                <w:lang w:val="en-US" w:eastAsia="zh-CN"/>
              </w:rPr>
              <w:t>FCy</w:t>
            </w:r>
            <w:r>
              <w:rPr>
                <w:rFonts w:hint="eastAsia"/>
                <w:lang w:val="en-US" w:eastAsia="zh-CN"/>
              </w:rPr>
              <w:t>指风蚀扬尘产生量（单位：吨）；</w:t>
            </w:r>
          </w:p>
          <w:p w14:paraId="689C3FAC">
            <w:pPr>
              <w:keepNext w:val="0"/>
              <w:keepLines w:val="0"/>
              <w:suppressLineNumbers w:val="0"/>
              <w:bidi w:val="0"/>
              <w:spacing w:before="0" w:beforeAutospacing="0" w:after="0" w:afterAutospacing="0"/>
              <w:ind w:left="0" w:right="0" w:firstLine="1200" w:firstLineChars="500"/>
              <w:rPr>
                <w:rFonts w:hint="default"/>
                <w:lang w:val="en-US" w:eastAsia="zh-CN"/>
              </w:rPr>
            </w:pPr>
            <w:r>
              <w:rPr>
                <w:rFonts w:hint="default"/>
                <w:lang w:val="en-US" w:eastAsia="zh-CN"/>
              </w:rPr>
              <w:t>N</w:t>
            </w:r>
            <w:r>
              <w:rPr>
                <w:rFonts w:hint="default"/>
                <w:vertAlign w:val="subscript"/>
                <w:lang w:val="en-US" w:eastAsia="zh-CN"/>
              </w:rPr>
              <w:t>C</w:t>
            </w:r>
            <w:r>
              <w:rPr>
                <w:rFonts w:hint="eastAsia"/>
                <w:lang w:val="en-US" w:eastAsia="zh-CN"/>
              </w:rPr>
              <w:t>指年物料运载车次（单位：车）；</w:t>
            </w:r>
          </w:p>
          <w:p w14:paraId="48ED9CEB">
            <w:pPr>
              <w:keepNext w:val="0"/>
              <w:keepLines w:val="0"/>
              <w:suppressLineNumbers w:val="0"/>
              <w:bidi w:val="0"/>
              <w:spacing w:before="0" w:beforeAutospacing="0" w:after="0" w:afterAutospacing="0"/>
              <w:ind w:left="0" w:right="0" w:firstLine="1200" w:firstLineChars="500"/>
              <w:rPr>
                <w:rFonts w:hint="eastAsia"/>
                <w:lang w:val="en-US" w:eastAsia="zh-CN"/>
              </w:rPr>
            </w:pPr>
            <w:r>
              <w:rPr>
                <w:rFonts w:hint="eastAsia"/>
                <w:lang w:val="en-US" w:eastAsia="zh-CN"/>
              </w:rPr>
              <w:t>D指单车平均运载量（单位：吨/车）；</w:t>
            </w:r>
          </w:p>
          <w:p w14:paraId="51480D17">
            <w:pPr>
              <w:keepNext w:val="0"/>
              <w:keepLines w:val="0"/>
              <w:suppressLineNumbers w:val="0"/>
              <w:bidi w:val="0"/>
              <w:spacing w:before="0" w:beforeAutospacing="0" w:after="0" w:afterAutospacing="0"/>
              <w:ind w:left="0" w:right="0" w:firstLine="1200" w:firstLineChars="500"/>
              <w:rPr>
                <w:rFonts w:hint="eastAsia"/>
                <w:lang w:val="en-US" w:eastAsia="zh-CN"/>
              </w:rPr>
            </w:pPr>
            <w:r>
              <w:rPr>
                <w:rFonts w:hint="eastAsia"/>
                <w:lang w:val="en-US" w:eastAsia="zh-CN"/>
              </w:rPr>
              <w:t>(a/b)指装卸扬尘概化系数（单位：千克/吨），a指各省风速概化系数，b指物料含水率概化系数2；</w:t>
            </w:r>
          </w:p>
          <w:p w14:paraId="32E7FBDE">
            <w:pPr>
              <w:keepNext w:val="0"/>
              <w:keepLines w:val="0"/>
              <w:suppressLineNumbers w:val="0"/>
              <w:bidi w:val="0"/>
              <w:spacing w:before="0" w:beforeAutospacing="0" w:after="0" w:afterAutospacing="0"/>
              <w:ind w:left="0" w:right="0" w:firstLine="1200" w:firstLineChars="500"/>
              <w:rPr>
                <w:rFonts w:hint="eastAsia"/>
                <w:lang w:val="en-US" w:eastAsia="zh-CN"/>
              </w:rPr>
            </w:pPr>
            <w:r>
              <w:rPr>
                <w:rFonts w:hint="default"/>
                <w:lang w:val="en-US" w:eastAsia="zh-CN"/>
              </w:rPr>
              <w:t>Ef</w:t>
            </w:r>
            <w:r>
              <w:rPr>
                <w:rFonts w:hint="eastAsia"/>
                <w:lang w:val="en-US" w:eastAsia="zh-CN"/>
              </w:rPr>
              <w:t>指堆场风蚀扬尘概化系数，单位：千克/平方米）；</w:t>
            </w:r>
          </w:p>
          <w:p w14:paraId="004C3A77">
            <w:pPr>
              <w:keepNext w:val="0"/>
              <w:keepLines w:val="0"/>
              <w:suppressLineNumbers w:val="0"/>
              <w:bidi w:val="0"/>
              <w:spacing w:before="0" w:beforeAutospacing="0" w:after="0" w:afterAutospacing="0"/>
              <w:ind w:left="0" w:right="0" w:firstLine="1200" w:firstLineChars="500"/>
              <w:rPr>
                <w:rFonts w:hint="eastAsia"/>
                <w:lang w:val="en-US" w:eastAsia="zh-CN"/>
              </w:rPr>
            </w:pPr>
            <w:r>
              <w:rPr>
                <w:rFonts w:hint="eastAsia"/>
                <w:lang w:val="en-US" w:eastAsia="zh-CN"/>
              </w:rPr>
              <w:t>S指堆场占地面积（单位：平方米）。</w:t>
            </w:r>
          </w:p>
          <w:p w14:paraId="5E3D2238">
            <w:pPr>
              <w:keepNext w:val="0"/>
              <w:keepLines w:val="0"/>
              <w:suppressLineNumbers w:val="0"/>
              <w:bidi w:val="0"/>
              <w:spacing w:before="0" w:beforeAutospacing="0" w:after="0" w:afterAutospacing="0"/>
              <w:ind w:left="0" w:right="0"/>
              <w:rPr>
                <w:rFonts w:hint="eastAsia"/>
                <w:highlight w:val="none"/>
                <w:lang w:val="en-US" w:eastAsia="zh-CN"/>
              </w:rPr>
            </w:pPr>
            <w:r>
              <w:rPr>
                <w:rFonts w:hint="default"/>
                <w:highlight w:val="none"/>
                <w:lang w:val="en-US" w:eastAsia="zh-CN"/>
              </w:rPr>
              <w:t>原料堆场堆存物料为石子、砂子。堆存量为</w:t>
            </w:r>
            <w:r>
              <w:rPr>
                <w:rFonts w:hint="eastAsia"/>
                <w:highlight w:val="none"/>
                <w:lang w:val="en-US" w:eastAsia="zh-CN"/>
              </w:rPr>
              <w:t>22828.36</w:t>
            </w:r>
            <w:r>
              <w:rPr>
                <w:rFonts w:hint="default"/>
                <w:highlight w:val="none"/>
                <w:lang w:val="en-US" w:eastAsia="zh-CN"/>
              </w:rPr>
              <w:t>t/a</w:t>
            </w:r>
            <w:r>
              <w:rPr>
                <w:rFonts w:hint="eastAsia"/>
                <w:highlight w:val="none"/>
                <w:lang w:val="en-US" w:eastAsia="zh-CN"/>
              </w:rPr>
              <w:t>，</w:t>
            </w:r>
            <w:r>
              <w:rPr>
                <w:rFonts w:hint="default"/>
                <w:highlight w:val="none"/>
                <w:lang w:val="en-US" w:eastAsia="zh-CN"/>
              </w:rPr>
              <w:t>其中Nc为</w:t>
            </w:r>
            <w:r>
              <w:rPr>
                <w:rFonts w:hint="eastAsia"/>
                <w:highlight w:val="none"/>
                <w:lang w:val="en-US" w:eastAsia="zh-CN"/>
              </w:rPr>
              <w:t>1522</w:t>
            </w:r>
            <w:r>
              <w:rPr>
                <w:rFonts w:hint="default"/>
                <w:highlight w:val="none"/>
                <w:lang w:val="en-US" w:eastAsia="zh-CN"/>
              </w:rPr>
              <w:t>、D为</w:t>
            </w:r>
            <w:r>
              <w:rPr>
                <w:rFonts w:hint="eastAsia"/>
                <w:highlight w:val="none"/>
                <w:lang w:val="en-US" w:eastAsia="zh-CN"/>
              </w:rPr>
              <w:t>15</w:t>
            </w:r>
            <w:r>
              <w:rPr>
                <w:rFonts w:hint="default"/>
                <w:highlight w:val="none"/>
                <w:lang w:val="en-US" w:eastAsia="zh-CN"/>
              </w:rPr>
              <w:t>、a为0.0011、b为0.0017、Ef为3.6062、S为</w:t>
            </w:r>
            <w:r>
              <w:rPr>
                <w:rFonts w:hint="eastAsia"/>
                <w:highlight w:val="none"/>
                <w:lang w:val="en-US" w:eastAsia="zh-CN"/>
              </w:rPr>
              <w:t>300</w:t>
            </w:r>
            <w:r>
              <w:rPr>
                <w:rFonts w:hint="default"/>
                <w:highlight w:val="none"/>
                <w:lang w:val="en-US" w:eastAsia="zh-CN"/>
              </w:rPr>
              <w:t>，</w:t>
            </w:r>
            <w:r>
              <w:rPr>
                <w:rFonts w:hint="eastAsia"/>
                <w:highlight w:val="none"/>
                <w:lang w:val="en-US" w:eastAsia="zh-CN"/>
              </w:rPr>
              <w:t>则</w:t>
            </w:r>
            <w:r>
              <w:rPr>
                <w:rFonts w:hint="default"/>
                <w:highlight w:val="none"/>
                <w:lang w:val="en-US" w:eastAsia="zh-CN"/>
              </w:rPr>
              <w:t>颗粒物产生量为</w:t>
            </w:r>
            <w:r>
              <w:rPr>
                <w:rFonts w:hint="eastAsia"/>
                <w:highlight w:val="none"/>
                <w:lang w:val="en-US" w:eastAsia="zh-CN"/>
              </w:rPr>
              <w:t>16.9361</w:t>
            </w:r>
            <w:r>
              <w:rPr>
                <w:rFonts w:hint="default"/>
                <w:highlight w:val="none"/>
                <w:lang w:val="en-US" w:eastAsia="zh-CN"/>
              </w:rPr>
              <w:t>t/a，产生速率为</w:t>
            </w:r>
            <w:r>
              <w:rPr>
                <w:rFonts w:hint="eastAsia"/>
                <w:highlight w:val="none"/>
                <w:lang w:val="en-US" w:eastAsia="zh-CN"/>
              </w:rPr>
              <w:t>2.94</w:t>
            </w:r>
            <w:r>
              <w:rPr>
                <w:rFonts w:hint="default"/>
                <w:highlight w:val="none"/>
                <w:lang w:val="en-US" w:eastAsia="zh-CN"/>
              </w:rPr>
              <w:t>kg/h（堆存时间为</w:t>
            </w:r>
            <w:r>
              <w:rPr>
                <w:rFonts w:hint="eastAsia"/>
                <w:highlight w:val="none"/>
                <w:lang w:val="en-US" w:eastAsia="zh-CN"/>
              </w:rPr>
              <w:t>5760</w:t>
            </w:r>
            <w:r>
              <w:rPr>
                <w:rFonts w:hint="default"/>
                <w:highlight w:val="none"/>
                <w:lang w:val="en-US" w:eastAsia="zh-CN"/>
              </w:rPr>
              <w:t>h/a）。</w:t>
            </w:r>
          </w:p>
          <w:p w14:paraId="762BB92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工业企业固体物料堆场颗粒物排放量核算公式如下：</w:t>
            </w:r>
          </w:p>
          <w:p w14:paraId="45BA09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lang w:val="en-US" w:eastAsia="zh-CN"/>
              </w:rPr>
            </w:pPr>
            <w:r>
              <w:rPr>
                <w:rFonts w:hint="eastAsia"/>
                <w:lang w:val="en-US" w:eastAsia="zh-CN"/>
              </w:rPr>
              <w:t>Uc=P</w:t>
            </w:r>
            <w:r>
              <w:rPr>
                <w:rFonts w:hint="default"/>
                <w:lang w:val="en-US" w:eastAsia="zh-CN"/>
              </w:rPr>
              <w:t>×</w:t>
            </w:r>
            <w:r>
              <w:rPr>
                <w:rFonts w:hint="eastAsia"/>
                <w:lang w:val="en-US" w:eastAsia="zh-CN"/>
              </w:rPr>
              <w:t>(1-Cm)</w:t>
            </w:r>
            <w:r>
              <w:rPr>
                <w:rFonts w:hint="default"/>
                <w:lang w:val="en-US" w:eastAsia="zh-CN"/>
              </w:rPr>
              <w:t>×</w:t>
            </w:r>
            <w:r>
              <w:rPr>
                <w:rFonts w:hint="eastAsia"/>
                <w:lang w:val="en-US" w:eastAsia="zh-CN"/>
              </w:rPr>
              <w:t>(1-Tm)</w:t>
            </w:r>
          </w:p>
          <w:p w14:paraId="00EF7598">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式中：P指颗粒物产生量（单位：吨）；</w:t>
            </w:r>
          </w:p>
          <w:p w14:paraId="35F5B064">
            <w:pPr>
              <w:keepNext w:val="0"/>
              <w:keepLines w:val="0"/>
              <w:suppressLineNumbers w:val="0"/>
              <w:bidi w:val="0"/>
              <w:spacing w:before="0" w:beforeAutospacing="0" w:after="0" w:afterAutospacing="0"/>
              <w:ind w:left="0" w:right="0" w:firstLine="1200" w:firstLineChars="500"/>
              <w:rPr>
                <w:rFonts w:hint="default"/>
                <w:lang w:val="en-US" w:eastAsia="zh-CN"/>
              </w:rPr>
            </w:pPr>
            <w:r>
              <w:rPr>
                <w:rFonts w:hint="default"/>
                <w:lang w:val="en-US" w:eastAsia="zh-CN"/>
              </w:rPr>
              <w:t>Uc</w:t>
            </w:r>
            <w:r>
              <w:rPr>
                <w:rFonts w:hint="eastAsia"/>
                <w:lang w:val="en-US" w:eastAsia="zh-CN"/>
              </w:rPr>
              <w:t>指颗粒物排放量（单位：吨）；</w:t>
            </w:r>
          </w:p>
          <w:p w14:paraId="3F119038">
            <w:pPr>
              <w:keepNext w:val="0"/>
              <w:keepLines w:val="0"/>
              <w:suppressLineNumbers w:val="0"/>
              <w:bidi w:val="0"/>
              <w:spacing w:before="0" w:beforeAutospacing="0" w:after="0" w:afterAutospacing="0"/>
              <w:ind w:left="0" w:right="0" w:firstLine="1200" w:firstLineChars="500"/>
              <w:rPr>
                <w:rFonts w:hint="default"/>
                <w:lang w:val="en-US" w:eastAsia="zh-CN"/>
              </w:rPr>
            </w:pPr>
            <w:r>
              <w:rPr>
                <w:rFonts w:hint="default"/>
                <w:lang w:val="en-US" w:eastAsia="zh-CN"/>
              </w:rPr>
              <w:t>Cm</w:t>
            </w:r>
            <w:r>
              <w:rPr>
                <w:rFonts w:hint="eastAsia"/>
                <w:lang w:val="en-US" w:eastAsia="zh-CN"/>
              </w:rPr>
              <w:t>指颗粒物控制措施控制效率（单位：%）；</w:t>
            </w:r>
          </w:p>
          <w:p w14:paraId="0A633563">
            <w:pPr>
              <w:keepNext w:val="0"/>
              <w:keepLines w:val="0"/>
              <w:suppressLineNumbers w:val="0"/>
              <w:bidi w:val="0"/>
              <w:spacing w:before="0" w:beforeAutospacing="0" w:after="0" w:afterAutospacing="0"/>
              <w:ind w:left="0" w:right="0" w:firstLine="1200" w:firstLineChars="500"/>
              <w:rPr>
                <w:rFonts w:hint="default"/>
                <w:lang w:val="en-US" w:eastAsia="zh-CN"/>
              </w:rPr>
            </w:pPr>
            <w:r>
              <w:rPr>
                <w:rFonts w:hint="default"/>
                <w:lang w:val="en-US" w:eastAsia="zh-CN"/>
              </w:rPr>
              <w:t>Tm</w:t>
            </w:r>
            <w:r>
              <w:rPr>
                <w:rFonts w:hint="eastAsia"/>
                <w:lang w:val="en-US" w:eastAsia="zh-CN"/>
              </w:rPr>
              <w:t>指堆场类型控制效率（单位：%）；</w:t>
            </w:r>
          </w:p>
          <w:p w14:paraId="3ADFC29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原料堆场颗粒物排放量计算如下，其中P为</w:t>
            </w:r>
            <w:r>
              <w:rPr>
                <w:rFonts w:hint="eastAsia"/>
                <w:lang w:val="en-US" w:eastAsia="zh-CN"/>
              </w:rPr>
              <w:t>16.9361</w:t>
            </w:r>
            <w:r>
              <w:rPr>
                <w:rFonts w:hint="default"/>
                <w:lang w:val="en-US" w:eastAsia="zh-CN"/>
              </w:rPr>
              <w:t>、Cm为</w:t>
            </w:r>
            <w:r>
              <w:rPr>
                <w:rFonts w:hint="eastAsia"/>
                <w:lang w:val="en-US" w:eastAsia="zh-CN"/>
              </w:rPr>
              <w:t>74</w:t>
            </w:r>
            <w:r>
              <w:rPr>
                <w:rFonts w:hint="default"/>
                <w:lang w:val="en-US" w:eastAsia="zh-CN"/>
              </w:rPr>
              <w:t>%、Tm为99%，颗粒物排放量为</w:t>
            </w:r>
            <w:r>
              <w:rPr>
                <w:rFonts w:hint="eastAsia"/>
                <w:lang w:val="en-US" w:eastAsia="zh-CN"/>
              </w:rPr>
              <w:t>0.044</w:t>
            </w:r>
            <w:r>
              <w:rPr>
                <w:rFonts w:hint="default"/>
                <w:lang w:val="en-US" w:eastAsia="zh-CN"/>
              </w:rPr>
              <w:t>t/a，排放速率为</w:t>
            </w:r>
            <w:r>
              <w:rPr>
                <w:rFonts w:hint="eastAsia"/>
                <w:lang w:val="en-US" w:eastAsia="zh-CN"/>
              </w:rPr>
              <w:t>7.64</w:t>
            </w:r>
            <w:r>
              <w:rPr>
                <w:rFonts w:hint="default" w:ascii="Arial" w:hAnsi="Arial" w:cs="Arial"/>
                <w:lang w:val="en-US" w:eastAsia="zh-CN"/>
              </w:rPr>
              <w:t>×</w:t>
            </w:r>
            <w:r>
              <w:rPr>
                <w:rFonts w:hint="eastAsia"/>
                <w:lang w:val="en-US" w:eastAsia="zh-CN"/>
              </w:rPr>
              <w:t>10</w:t>
            </w:r>
            <w:r>
              <w:rPr>
                <w:rFonts w:hint="eastAsia"/>
                <w:vertAlign w:val="superscript"/>
                <w:lang w:val="en-US" w:eastAsia="zh-CN"/>
              </w:rPr>
              <w:t>-3</w:t>
            </w:r>
            <w:r>
              <w:rPr>
                <w:rFonts w:hint="default"/>
                <w:lang w:val="en-US" w:eastAsia="zh-CN"/>
              </w:rPr>
              <w:t>kg/h。</w:t>
            </w:r>
          </w:p>
          <w:p w14:paraId="686F32EF">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综上所述，项目原料堆场无组织颗粒物产生量较少，通过密闭厂房+洒水降尘设施，能够满足《水泥工业大气污染物排放标准》（含2025年修改单）（GB4915-2013）表3浓度限值要求，对周边环境影响较小。</w:t>
            </w:r>
          </w:p>
          <w:p w14:paraId="134075D7">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⑤脱模剂挥发产生的VOCs废气</w:t>
            </w:r>
          </w:p>
          <w:p w14:paraId="730F91BE">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脱模作业环节产生的VOCs废气为无组织排放形式，项目选用CX801水溶性混凝土制品脱模剂，该产品为水性低VOCs型脱模剂。脱模剂储存于密闭容器中，取用后及时加盖封口，从储存环节避免有机组分无组织逸散；脱模剂使用为厂区开放式作业，过程中少量微量VOCs随操作无组织释放，经上述防控措施后，废气可得到有效稀释扩散，对周边大气环境及厂界空气质量影响较小，厂界非甲烷总烃无组织排放浓度可满足《大气污染物综合排放标准》（GB 16297-1996）表2相关限值要求，防控措施可行。</w:t>
            </w:r>
          </w:p>
          <w:p w14:paraId="2D432497">
            <w:pPr>
              <w:keepNext w:val="0"/>
              <w:keepLines w:val="0"/>
              <w:suppressLineNumbers w:val="0"/>
              <w:bidi w:val="0"/>
              <w:spacing w:before="0" w:beforeAutospacing="0" w:after="0" w:afterAutospacing="0"/>
              <w:ind w:left="0" w:right="0"/>
              <w:rPr>
                <w:rFonts w:hint="eastAsia"/>
                <w:lang w:val="en-US" w:eastAsia="zh-CN"/>
              </w:rPr>
            </w:pPr>
          </w:p>
          <w:p w14:paraId="47E13FB0">
            <w:pPr>
              <w:keepNext w:val="0"/>
              <w:keepLines w:val="0"/>
              <w:suppressLineNumbers w:val="0"/>
              <w:bidi w:val="0"/>
              <w:spacing w:before="0" w:beforeAutospacing="0" w:after="0" w:afterAutospacing="0"/>
              <w:ind w:left="0" w:right="0"/>
              <w:rPr>
                <w:rFonts w:hint="eastAsia"/>
                <w:lang w:val="en-US" w:eastAsia="zh-CN"/>
              </w:rPr>
            </w:pPr>
          </w:p>
          <w:p w14:paraId="253ACE0C">
            <w:pPr>
              <w:keepNext w:val="0"/>
              <w:keepLines w:val="0"/>
              <w:suppressLineNumbers w:val="0"/>
              <w:bidi w:val="0"/>
              <w:spacing w:before="0" w:beforeAutospacing="0" w:after="0" w:afterAutospacing="0"/>
              <w:ind w:left="0" w:right="0"/>
              <w:rPr>
                <w:rFonts w:hint="eastAsia"/>
                <w:lang w:val="en-US" w:eastAsia="zh-CN"/>
              </w:rPr>
            </w:pPr>
          </w:p>
          <w:p w14:paraId="501E0BD6">
            <w:pPr>
              <w:keepNext w:val="0"/>
              <w:keepLines w:val="0"/>
              <w:suppressLineNumbers w:val="0"/>
              <w:bidi w:val="0"/>
              <w:spacing w:before="0" w:beforeAutospacing="0" w:after="0" w:afterAutospacing="0"/>
              <w:ind w:left="0" w:right="0"/>
              <w:rPr>
                <w:rFonts w:hint="eastAsia"/>
                <w:lang w:val="en-US" w:eastAsia="zh-CN"/>
              </w:rPr>
            </w:pPr>
          </w:p>
          <w:p w14:paraId="607D5BEF">
            <w:pPr>
              <w:keepNext w:val="0"/>
              <w:keepLines w:val="0"/>
              <w:suppressLineNumbers w:val="0"/>
              <w:bidi w:val="0"/>
              <w:spacing w:before="0" w:beforeAutospacing="0" w:after="0" w:afterAutospacing="0"/>
              <w:ind w:left="0" w:right="0"/>
              <w:rPr>
                <w:rFonts w:hint="eastAsia"/>
                <w:lang w:val="en-US" w:eastAsia="zh-CN"/>
              </w:rPr>
            </w:pPr>
          </w:p>
          <w:p w14:paraId="7FC848EF">
            <w:pPr>
              <w:keepNext w:val="0"/>
              <w:keepLines w:val="0"/>
              <w:suppressLineNumbers w:val="0"/>
              <w:bidi w:val="0"/>
              <w:spacing w:before="0" w:beforeAutospacing="0" w:after="0" w:afterAutospacing="0"/>
              <w:ind w:left="0" w:right="0"/>
              <w:rPr>
                <w:rFonts w:hint="eastAsia"/>
                <w:lang w:val="en-US" w:eastAsia="zh-CN"/>
              </w:rPr>
            </w:pPr>
          </w:p>
          <w:p w14:paraId="5E040B1C">
            <w:pPr>
              <w:keepNext w:val="0"/>
              <w:keepLines w:val="0"/>
              <w:suppressLineNumbers w:val="0"/>
              <w:bidi w:val="0"/>
              <w:spacing w:before="0" w:beforeAutospacing="0" w:after="0" w:afterAutospacing="0"/>
              <w:ind w:left="0" w:right="0"/>
              <w:rPr>
                <w:rFonts w:hint="eastAsia"/>
                <w:lang w:val="en-US" w:eastAsia="zh-CN"/>
              </w:rPr>
            </w:pPr>
          </w:p>
          <w:p w14:paraId="2DAB65A6">
            <w:pPr>
              <w:keepNext w:val="0"/>
              <w:keepLines w:val="0"/>
              <w:suppressLineNumbers w:val="0"/>
              <w:bidi w:val="0"/>
              <w:spacing w:before="0" w:beforeAutospacing="0" w:after="0" w:afterAutospacing="0"/>
              <w:ind w:left="0" w:right="0"/>
              <w:rPr>
                <w:rFonts w:hint="eastAsia"/>
                <w:lang w:val="en-US" w:eastAsia="zh-CN"/>
              </w:rPr>
            </w:pPr>
          </w:p>
          <w:p w14:paraId="677D079A">
            <w:pPr>
              <w:keepNext w:val="0"/>
              <w:keepLines w:val="0"/>
              <w:suppressLineNumbers w:val="0"/>
              <w:bidi w:val="0"/>
              <w:spacing w:before="0" w:beforeAutospacing="0" w:after="0" w:afterAutospacing="0"/>
              <w:ind w:left="0" w:right="0"/>
              <w:rPr>
                <w:rFonts w:hint="eastAsia"/>
                <w:lang w:val="en-US" w:eastAsia="zh-CN"/>
              </w:rPr>
            </w:pPr>
          </w:p>
          <w:p w14:paraId="0BEAEC66">
            <w:pPr>
              <w:pStyle w:val="52"/>
              <w:keepNext w:val="0"/>
              <w:keepLines w:val="0"/>
              <w:suppressLineNumbers w:val="0"/>
              <w:spacing w:before="0" w:beforeAutospacing="0" w:after="0" w:afterAutospacing="0"/>
              <w:ind w:left="0" w:right="0"/>
              <w:jc w:val="both"/>
              <w:rPr>
                <w:rFonts w:hint="default"/>
                <w:lang w:val="en-US" w:eastAsia="zh-CN"/>
              </w:rPr>
            </w:pPr>
          </w:p>
        </w:tc>
      </w:tr>
    </w:tbl>
    <w:p w14:paraId="624883C5">
      <w:pPr>
        <w:adjustRightInd w:val="0"/>
        <w:snapToGrid w:val="0"/>
        <w:spacing w:line="520" w:lineRule="exact"/>
        <w:jc w:val="center"/>
        <w:rPr>
          <w:rFonts w:hint="default" w:ascii="Times New Roman" w:hAnsi="Times New Roman" w:cs="Times New Roman"/>
          <w:bCs/>
          <w:color w:val="00000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2616"/>
      </w:tblGrid>
      <w:tr w14:paraId="4FB9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9" w:hRule="atLeast"/>
        </w:trPr>
        <w:tc>
          <w:tcPr>
            <w:tcW w:w="612" w:type="dxa"/>
          </w:tcPr>
          <w:p w14:paraId="08D11196">
            <w:pPr>
              <w:keepNext w:val="0"/>
              <w:keepLines w:val="0"/>
              <w:suppressLineNumbers w:val="0"/>
              <w:adjustRightInd w:val="0"/>
              <w:snapToGrid w:val="0"/>
              <w:spacing w:before="0" w:beforeAutospacing="0" w:after="0" w:afterAutospacing="0" w:line="520" w:lineRule="exact"/>
              <w:ind w:left="0" w:right="0"/>
              <w:jc w:val="center"/>
              <w:rPr>
                <w:rFonts w:hint="default" w:ascii="Times New Roman" w:hAnsi="Times New Roman" w:cs="Times New Roman"/>
                <w:bCs/>
                <w:color w:val="000000"/>
                <w:sz w:val="28"/>
                <w:szCs w:val="28"/>
                <w:highlight w:val="none"/>
                <w:vertAlign w:val="baseline"/>
              </w:rPr>
            </w:pPr>
          </w:p>
        </w:tc>
        <w:tc>
          <w:tcPr>
            <w:tcW w:w="12616" w:type="dxa"/>
          </w:tcPr>
          <w:p w14:paraId="6BA2CB52">
            <w:pPr>
              <w:pStyle w:val="5"/>
              <w:suppressLineNumbers w:val="0"/>
              <w:bidi w:val="0"/>
              <w:spacing w:before="0" w:beforeAutospacing="0" w:after="0" w:afterAutospacing="0"/>
              <w:ind w:left="0" w:right="0"/>
              <w:rPr>
                <w:rFonts w:hint="default" w:ascii="Times New Roman" w:hAnsi="Times New Roman" w:cs="Times New Roman"/>
                <w:bCs/>
                <w:color w:val="000000"/>
                <w:sz w:val="28"/>
                <w:szCs w:val="28"/>
                <w:highlight w:val="none"/>
                <w:vertAlign w:val="baseline"/>
              </w:rPr>
            </w:pPr>
            <w:r>
              <w:rPr>
                <w:rFonts w:hint="default" w:ascii="Times New Roman" w:hAnsi="Times New Roman" w:cs="Times New Roman"/>
                <w:bCs/>
                <w:color w:val="000000"/>
                <w:sz w:val="28"/>
                <w:szCs w:val="28"/>
                <w:highlight w:val="none"/>
                <w:vertAlign w:val="baseline"/>
                <w:lang w:val="en-US" w:eastAsia="zh-CN"/>
              </w:rPr>
              <w:t>表4-1  废气污染源源强核算一览表</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771"/>
              <w:gridCol w:w="477"/>
              <w:gridCol w:w="555"/>
              <w:gridCol w:w="825"/>
              <w:gridCol w:w="870"/>
              <w:gridCol w:w="960"/>
              <w:gridCol w:w="1020"/>
              <w:gridCol w:w="693"/>
              <w:gridCol w:w="694"/>
              <w:gridCol w:w="656"/>
              <w:gridCol w:w="900"/>
              <w:gridCol w:w="863"/>
              <w:gridCol w:w="1181"/>
              <w:gridCol w:w="825"/>
              <w:gridCol w:w="642"/>
            </w:tblGrid>
            <w:tr w14:paraId="0C9E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84" w:type="pct"/>
                  <w:vMerge w:val="restart"/>
                  <w:shd w:val="clear" w:color="auto" w:fill="auto"/>
                  <w:vAlign w:val="center"/>
                </w:tcPr>
                <w:p w14:paraId="7647D956">
                  <w:pPr>
                    <w:pStyle w:val="6"/>
                    <w:suppressLineNumbers w:val="0"/>
                    <w:bidi w:val="0"/>
                    <w:spacing w:before="0" w:beforeAutospacing="0" w:after="0" w:afterAutospacing="0"/>
                    <w:ind w:left="0" w:right="0"/>
                    <w:rPr>
                      <w:rFonts w:hint="eastAsia" w:eastAsia="宋体"/>
                      <w:sz w:val="21"/>
                      <w:szCs w:val="21"/>
                      <w:lang w:val="en-US" w:eastAsia="zh-CN"/>
                    </w:rPr>
                  </w:pPr>
                  <w:r>
                    <w:rPr>
                      <w:rFonts w:hint="eastAsia"/>
                      <w:sz w:val="21"/>
                      <w:szCs w:val="21"/>
                      <w:lang w:val="en-US" w:eastAsia="zh-CN"/>
                    </w:rPr>
                    <w:t>序号</w:t>
                  </w:r>
                </w:p>
              </w:tc>
              <w:tc>
                <w:tcPr>
                  <w:tcW w:w="1799" w:type="pct"/>
                  <w:gridSpan w:val="6"/>
                  <w:shd w:val="clear" w:color="auto" w:fill="auto"/>
                  <w:vAlign w:val="center"/>
                </w:tcPr>
                <w:p w14:paraId="03E0469B">
                  <w:pPr>
                    <w:pStyle w:val="6"/>
                    <w:suppressLineNumbers w:val="0"/>
                    <w:bidi w:val="0"/>
                    <w:spacing w:before="0" w:beforeAutospacing="0" w:after="0" w:afterAutospacing="0"/>
                    <w:ind w:left="0" w:right="0"/>
                    <w:rPr>
                      <w:rFonts w:hint="eastAsia"/>
                      <w:sz w:val="21"/>
                      <w:szCs w:val="21"/>
                      <w:lang w:val="en-US" w:eastAsia="zh-CN"/>
                    </w:rPr>
                  </w:pPr>
                  <w:r>
                    <w:rPr>
                      <w:rFonts w:hint="eastAsia"/>
                      <w:sz w:val="21"/>
                      <w:szCs w:val="21"/>
                      <w:lang w:val="en-US" w:eastAsia="zh-CN"/>
                    </w:rPr>
                    <w:t>污染物产生情况</w:t>
                  </w:r>
                </w:p>
              </w:tc>
              <w:tc>
                <w:tcPr>
                  <w:tcW w:w="1599" w:type="pct"/>
                  <w:gridSpan w:val="5"/>
                  <w:vAlign w:val="center"/>
                </w:tcPr>
                <w:p w14:paraId="54C642AF">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污染物治理措施</w:t>
                  </w:r>
                </w:p>
              </w:tc>
              <w:tc>
                <w:tcPr>
                  <w:tcW w:w="1417" w:type="pct"/>
                  <w:gridSpan w:val="4"/>
                  <w:vAlign w:val="center"/>
                </w:tcPr>
                <w:p w14:paraId="489743B7">
                  <w:pPr>
                    <w:pStyle w:val="6"/>
                    <w:suppressLineNumbers w:val="0"/>
                    <w:bidi w:val="0"/>
                    <w:spacing w:before="0" w:beforeAutospacing="0" w:after="0" w:afterAutospacing="0"/>
                    <w:ind w:left="0" w:right="0"/>
                    <w:rPr>
                      <w:rFonts w:hint="eastAsia"/>
                      <w:sz w:val="21"/>
                      <w:szCs w:val="21"/>
                      <w:lang w:val="en-US" w:eastAsia="zh-CN"/>
                    </w:rPr>
                  </w:pPr>
                  <w:r>
                    <w:rPr>
                      <w:rFonts w:hint="eastAsia"/>
                      <w:sz w:val="21"/>
                      <w:szCs w:val="21"/>
                      <w:lang w:val="en-US" w:eastAsia="zh-CN"/>
                    </w:rPr>
                    <w:t>污染物排放情况</w:t>
                  </w:r>
                </w:p>
              </w:tc>
            </w:tr>
            <w:tr w14:paraId="2803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84" w:type="pct"/>
                  <w:vMerge w:val="continue"/>
                  <w:shd w:val="clear" w:color="auto" w:fill="auto"/>
                  <w:vAlign w:val="center"/>
                </w:tcPr>
                <w:p w14:paraId="4336F9D9">
                  <w:pPr>
                    <w:pStyle w:val="6"/>
                    <w:suppressLineNumbers w:val="0"/>
                    <w:bidi w:val="0"/>
                    <w:spacing w:before="0" w:beforeAutospacing="0" w:after="0" w:afterAutospacing="0"/>
                    <w:ind w:left="0" w:right="0"/>
                    <w:rPr>
                      <w:rFonts w:hint="default"/>
                      <w:sz w:val="21"/>
                      <w:szCs w:val="21"/>
                    </w:rPr>
                  </w:pPr>
                </w:p>
              </w:tc>
              <w:tc>
                <w:tcPr>
                  <w:tcW w:w="311" w:type="pct"/>
                  <w:shd w:val="clear" w:color="auto" w:fill="auto"/>
                  <w:vAlign w:val="center"/>
                </w:tcPr>
                <w:p w14:paraId="46795DD0">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产排污环节</w:t>
                  </w:r>
                </w:p>
              </w:tc>
              <w:tc>
                <w:tcPr>
                  <w:tcW w:w="192" w:type="pct"/>
                  <w:shd w:val="clear" w:color="auto" w:fill="auto"/>
                  <w:vAlign w:val="center"/>
                </w:tcPr>
                <w:p w14:paraId="4D69D300">
                  <w:pPr>
                    <w:pStyle w:val="6"/>
                    <w:suppressLineNumbers w:val="0"/>
                    <w:bidi w:val="0"/>
                    <w:spacing w:before="0" w:beforeAutospacing="0" w:after="0" w:afterAutospacing="0"/>
                    <w:ind w:left="0" w:right="0"/>
                    <w:rPr>
                      <w:rFonts w:hint="default"/>
                      <w:sz w:val="21"/>
                      <w:szCs w:val="21"/>
                    </w:rPr>
                  </w:pPr>
                  <w:r>
                    <w:rPr>
                      <w:rFonts w:hint="default"/>
                      <w:sz w:val="21"/>
                      <w:szCs w:val="21"/>
                    </w:rPr>
                    <w:t>污染物</w:t>
                  </w:r>
                </w:p>
              </w:tc>
              <w:tc>
                <w:tcPr>
                  <w:tcW w:w="224" w:type="pct"/>
                  <w:shd w:val="clear" w:color="auto" w:fill="auto"/>
                  <w:vAlign w:val="center"/>
                </w:tcPr>
                <w:p w14:paraId="2FC2E5E8">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排放</w:t>
                  </w:r>
                  <w:r>
                    <w:rPr>
                      <w:rFonts w:hint="default"/>
                      <w:sz w:val="21"/>
                      <w:szCs w:val="21"/>
                      <w:lang w:val="en-US" w:eastAsia="zh-CN"/>
                    </w:rPr>
                    <w:t>方</w:t>
                  </w:r>
                  <w:r>
                    <w:rPr>
                      <w:rFonts w:hint="default"/>
                      <w:sz w:val="21"/>
                      <w:szCs w:val="21"/>
                    </w:rPr>
                    <w:t>式</w:t>
                  </w:r>
                </w:p>
              </w:tc>
              <w:tc>
                <w:tcPr>
                  <w:tcW w:w="332" w:type="pct"/>
                  <w:shd w:val="clear" w:color="auto" w:fill="auto"/>
                  <w:vAlign w:val="center"/>
                </w:tcPr>
                <w:p w14:paraId="17E8E081">
                  <w:pPr>
                    <w:pStyle w:val="6"/>
                    <w:suppressLineNumbers w:val="0"/>
                    <w:bidi w:val="0"/>
                    <w:spacing w:before="0" w:beforeAutospacing="0" w:after="0" w:afterAutospacing="0"/>
                    <w:ind w:left="0" w:right="0"/>
                    <w:rPr>
                      <w:rFonts w:hint="default"/>
                      <w:sz w:val="21"/>
                      <w:szCs w:val="21"/>
                    </w:rPr>
                  </w:pPr>
                  <w:r>
                    <w:rPr>
                      <w:rFonts w:hint="default"/>
                      <w:sz w:val="21"/>
                      <w:szCs w:val="21"/>
                    </w:rPr>
                    <w:t>产生量</w:t>
                  </w:r>
                </w:p>
                <w:p w14:paraId="3A33CBC9">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(t/a)</w:t>
                  </w:r>
                </w:p>
              </w:tc>
              <w:tc>
                <w:tcPr>
                  <w:tcW w:w="351" w:type="pct"/>
                  <w:shd w:val="clear" w:color="auto" w:fill="auto"/>
                  <w:vAlign w:val="center"/>
                </w:tcPr>
                <w:p w14:paraId="126AEEF8">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产生速率(kg/h)</w:t>
                  </w:r>
                </w:p>
              </w:tc>
              <w:tc>
                <w:tcPr>
                  <w:tcW w:w="387" w:type="pct"/>
                  <w:shd w:val="clear" w:color="auto" w:fill="auto"/>
                  <w:vAlign w:val="center"/>
                </w:tcPr>
                <w:p w14:paraId="3689B2BC">
                  <w:pPr>
                    <w:pStyle w:val="6"/>
                    <w:keepNext/>
                    <w:keepLines/>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排放浓度</w:t>
                  </w:r>
                </w:p>
                <w:p w14:paraId="04A65F72">
                  <w:pPr>
                    <w:pStyle w:val="6"/>
                    <w:keepNext/>
                    <w:keepLines/>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textAlignment w:val="auto"/>
                    <w:rPr>
                      <w:rFonts w:hint="default"/>
                      <w:sz w:val="21"/>
                      <w:szCs w:val="21"/>
                      <w:lang w:val="en-US" w:eastAsia="zh-CN"/>
                    </w:rPr>
                  </w:pPr>
                  <w:r>
                    <w:rPr>
                      <w:rFonts w:hint="default" w:ascii="Times New Roman" w:hAnsi="Times New Roman" w:cs="Times New Roman"/>
                      <w:sz w:val="21"/>
                      <w:szCs w:val="21"/>
                      <w:lang w:val="en-US" w:eastAsia="zh-CN"/>
                    </w:rPr>
                    <w:t>(mg/m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w:t>
                  </w:r>
                </w:p>
              </w:tc>
              <w:tc>
                <w:tcPr>
                  <w:tcW w:w="411" w:type="pct"/>
                  <w:vAlign w:val="center"/>
                </w:tcPr>
                <w:p w14:paraId="61931D9D">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治理措施</w:t>
                  </w:r>
                </w:p>
              </w:tc>
              <w:tc>
                <w:tcPr>
                  <w:tcW w:w="279" w:type="pct"/>
                  <w:vAlign w:val="center"/>
                </w:tcPr>
                <w:p w14:paraId="02700B60">
                  <w:pPr>
                    <w:pStyle w:val="6"/>
                    <w:keepNext/>
                    <w:keepLines/>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textAlignment w:val="auto"/>
                    <w:rPr>
                      <w:rFonts w:hint="default"/>
                      <w:sz w:val="21"/>
                      <w:szCs w:val="21"/>
                      <w:lang w:val="en-US" w:eastAsia="zh-CN"/>
                    </w:rPr>
                  </w:pPr>
                  <w:r>
                    <w:rPr>
                      <w:rFonts w:hint="eastAsia"/>
                      <w:sz w:val="21"/>
                      <w:szCs w:val="21"/>
                      <w:lang w:val="en-US" w:eastAsia="zh-CN"/>
                    </w:rPr>
                    <w:t>处理能力（m</w:t>
                  </w:r>
                  <w:r>
                    <w:rPr>
                      <w:rFonts w:hint="eastAsia"/>
                      <w:sz w:val="21"/>
                      <w:szCs w:val="21"/>
                      <w:vertAlign w:val="superscript"/>
                      <w:lang w:val="en-US" w:eastAsia="zh-CN"/>
                    </w:rPr>
                    <w:t>3</w:t>
                  </w:r>
                  <w:r>
                    <w:rPr>
                      <w:rFonts w:hint="eastAsia"/>
                      <w:sz w:val="21"/>
                      <w:szCs w:val="21"/>
                      <w:lang w:val="en-US" w:eastAsia="zh-CN"/>
                    </w:rPr>
                    <w:t>/h）</w:t>
                  </w:r>
                </w:p>
              </w:tc>
              <w:tc>
                <w:tcPr>
                  <w:tcW w:w="280" w:type="pct"/>
                  <w:vAlign w:val="center"/>
                </w:tcPr>
                <w:p w14:paraId="2DD8A8B9">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收集效率%</w:t>
                  </w:r>
                </w:p>
              </w:tc>
              <w:tc>
                <w:tcPr>
                  <w:tcW w:w="264" w:type="pct"/>
                  <w:vAlign w:val="center"/>
                </w:tcPr>
                <w:p w14:paraId="546BE112">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处理效率%</w:t>
                  </w:r>
                </w:p>
              </w:tc>
              <w:tc>
                <w:tcPr>
                  <w:tcW w:w="363" w:type="pct"/>
                  <w:vAlign w:val="center"/>
                </w:tcPr>
                <w:p w14:paraId="0314E4E3">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是否为可行性技术</w:t>
                  </w:r>
                </w:p>
              </w:tc>
              <w:tc>
                <w:tcPr>
                  <w:tcW w:w="348" w:type="pct"/>
                  <w:vAlign w:val="center"/>
                </w:tcPr>
                <w:p w14:paraId="33509A6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排放量(t/a)</w:t>
                  </w:r>
                </w:p>
              </w:tc>
              <w:tc>
                <w:tcPr>
                  <w:tcW w:w="476" w:type="pct"/>
                  <w:vAlign w:val="center"/>
                </w:tcPr>
                <w:p w14:paraId="158FD7D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排放速率(kg/h)</w:t>
                  </w:r>
                </w:p>
              </w:tc>
              <w:tc>
                <w:tcPr>
                  <w:tcW w:w="332" w:type="pct"/>
                  <w:vAlign w:val="center"/>
                </w:tcPr>
                <w:p w14:paraId="2A2DBC6F">
                  <w:pPr>
                    <w:pStyle w:val="6"/>
                    <w:keepNext/>
                    <w:keepLines/>
                    <w:pageBreakBefore w:val="0"/>
                    <w:widowControl w:val="0"/>
                    <w:suppressLineNumbers w:val="0"/>
                    <w:kinsoku/>
                    <w:wordWrap w:val="0"/>
                    <w:overflowPunct/>
                    <w:topLinePunct w:val="0"/>
                    <w:autoSpaceDE w:val="0"/>
                    <w:autoSpaceDN w:val="0"/>
                    <w:bidi w:val="0"/>
                    <w:adjustRightInd/>
                    <w:snapToGrid/>
                    <w:spacing w:before="0" w:beforeAutospacing="0" w:after="0" w:afterAutospacing="0"/>
                    <w:ind w:left="0" w:right="0"/>
                    <w:textAlignment w:val="auto"/>
                    <w:rPr>
                      <w:rFonts w:hint="default"/>
                      <w:sz w:val="21"/>
                      <w:szCs w:val="21"/>
                      <w:lang w:val="en-US" w:eastAsia="zh-CN"/>
                    </w:rPr>
                  </w:pPr>
                  <w:r>
                    <w:rPr>
                      <w:rFonts w:hint="default"/>
                      <w:sz w:val="21"/>
                      <w:szCs w:val="21"/>
                    </w:rPr>
                    <w:t>排放浓度(mg/m</w:t>
                  </w:r>
                  <w:r>
                    <w:rPr>
                      <w:rFonts w:hint="default"/>
                      <w:sz w:val="21"/>
                      <w:szCs w:val="21"/>
                      <w:vertAlign w:val="superscript"/>
                    </w:rPr>
                    <w:t>3</w:t>
                  </w:r>
                  <w:r>
                    <w:rPr>
                      <w:rFonts w:hint="default"/>
                      <w:sz w:val="21"/>
                      <w:szCs w:val="21"/>
                    </w:rPr>
                    <w:t>)</w:t>
                  </w:r>
                </w:p>
              </w:tc>
              <w:tc>
                <w:tcPr>
                  <w:tcW w:w="259" w:type="pct"/>
                  <w:vAlign w:val="center"/>
                </w:tcPr>
                <w:p w14:paraId="22829FA5">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排放口名称</w:t>
                  </w:r>
                </w:p>
              </w:tc>
            </w:tr>
            <w:tr w14:paraId="194A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 w:type="pct"/>
                  <w:shd w:val="clear" w:color="auto" w:fill="auto"/>
                  <w:vAlign w:val="center"/>
                </w:tcPr>
                <w:p w14:paraId="06ABDDDD">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1</w:t>
                  </w:r>
                </w:p>
              </w:tc>
              <w:tc>
                <w:tcPr>
                  <w:tcW w:w="311" w:type="pct"/>
                  <w:vMerge w:val="restart"/>
                  <w:shd w:val="clear" w:color="auto" w:fill="auto"/>
                  <w:vAlign w:val="center"/>
                </w:tcPr>
                <w:p w14:paraId="5E9A4990">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上料废气</w:t>
                  </w:r>
                </w:p>
              </w:tc>
              <w:tc>
                <w:tcPr>
                  <w:tcW w:w="192" w:type="pct"/>
                  <w:vMerge w:val="restart"/>
                  <w:shd w:val="clear" w:color="auto" w:fill="auto"/>
                  <w:vAlign w:val="center"/>
                </w:tcPr>
                <w:p w14:paraId="5025413F">
                  <w:pPr>
                    <w:pStyle w:val="6"/>
                    <w:suppressLineNumbers w:val="0"/>
                    <w:bidi w:val="0"/>
                    <w:spacing w:before="0" w:beforeAutospacing="0" w:after="0" w:afterAutospacing="0"/>
                    <w:ind w:left="0" w:right="0"/>
                    <w:rPr>
                      <w:rFonts w:hint="default"/>
                      <w:sz w:val="21"/>
                      <w:szCs w:val="21"/>
                    </w:rPr>
                  </w:pPr>
                  <w:r>
                    <w:rPr>
                      <w:rFonts w:hint="default"/>
                      <w:sz w:val="21"/>
                      <w:szCs w:val="21"/>
                      <w:lang w:val="en-US" w:eastAsia="zh-CN"/>
                    </w:rPr>
                    <w:t>颗粒物</w:t>
                  </w:r>
                </w:p>
              </w:tc>
              <w:tc>
                <w:tcPr>
                  <w:tcW w:w="224" w:type="pct"/>
                  <w:shd w:val="clear" w:color="auto" w:fill="auto"/>
                  <w:vAlign w:val="center"/>
                </w:tcPr>
                <w:p w14:paraId="13A4B31A">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有组织</w:t>
                  </w:r>
                </w:p>
              </w:tc>
              <w:tc>
                <w:tcPr>
                  <w:tcW w:w="332" w:type="pct"/>
                  <w:shd w:val="clear" w:color="auto" w:fill="auto"/>
                  <w:vAlign w:val="center"/>
                </w:tcPr>
                <w:p w14:paraId="2C189E6F">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5.13</w:t>
                  </w:r>
                </w:p>
              </w:tc>
              <w:tc>
                <w:tcPr>
                  <w:tcW w:w="351" w:type="pct"/>
                  <w:shd w:val="clear" w:color="auto" w:fill="auto"/>
                  <w:vAlign w:val="center"/>
                </w:tcPr>
                <w:p w14:paraId="75578A88">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2.6719</w:t>
                  </w:r>
                </w:p>
              </w:tc>
              <w:tc>
                <w:tcPr>
                  <w:tcW w:w="387" w:type="pct"/>
                  <w:vAlign w:val="center"/>
                </w:tcPr>
                <w:p w14:paraId="4EB46A7B">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1335.9375</w:t>
                  </w:r>
                </w:p>
              </w:tc>
              <w:tc>
                <w:tcPr>
                  <w:tcW w:w="411" w:type="pct"/>
                  <w:vMerge w:val="restart"/>
                  <w:vAlign w:val="center"/>
                </w:tcPr>
                <w:p w14:paraId="3DE0A34F">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sz w:val="21"/>
                      <w:szCs w:val="21"/>
                      <w:lang w:val="en-US" w:eastAsia="zh-CN"/>
                    </w:rPr>
                    <w:t>集气罩+布袋除尘器+15m高排气筒</w:t>
                  </w:r>
                </w:p>
              </w:tc>
              <w:tc>
                <w:tcPr>
                  <w:tcW w:w="279" w:type="pct"/>
                  <w:vAlign w:val="center"/>
                </w:tcPr>
                <w:p w14:paraId="668BBACD">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2000</w:t>
                  </w:r>
                </w:p>
              </w:tc>
              <w:tc>
                <w:tcPr>
                  <w:tcW w:w="280" w:type="pct"/>
                  <w:vAlign w:val="center"/>
                </w:tcPr>
                <w:p w14:paraId="4D61A621">
                  <w:pPr>
                    <w:pStyle w:val="6"/>
                    <w:suppressLineNumbers w:val="0"/>
                    <w:bidi w:val="0"/>
                    <w:spacing w:before="0" w:beforeAutospacing="0" w:after="0" w:afterAutospacing="0"/>
                    <w:ind w:left="0" w:right="0"/>
                    <w:rPr>
                      <w:rFonts w:hint="default"/>
                      <w:sz w:val="21"/>
                      <w:szCs w:val="21"/>
                      <w:highlight w:val="yellow"/>
                      <w:lang w:val="en-US" w:eastAsia="zh-CN"/>
                    </w:rPr>
                  </w:pPr>
                  <w:r>
                    <w:rPr>
                      <w:rFonts w:hint="eastAsia"/>
                      <w:sz w:val="21"/>
                      <w:szCs w:val="21"/>
                      <w:highlight w:val="none"/>
                      <w:lang w:val="en-US" w:eastAsia="zh-CN"/>
                    </w:rPr>
                    <w:t>90</w:t>
                  </w:r>
                </w:p>
              </w:tc>
              <w:tc>
                <w:tcPr>
                  <w:tcW w:w="264" w:type="pct"/>
                  <w:vAlign w:val="center"/>
                </w:tcPr>
                <w:p w14:paraId="4D780217">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99.7</w:t>
                  </w:r>
                </w:p>
              </w:tc>
              <w:tc>
                <w:tcPr>
                  <w:tcW w:w="363" w:type="pct"/>
                  <w:vAlign w:val="center"/>
                </w:tcPr>
                <w:p w14:paraId="03FD9CBE">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是</w:t>
                  </w:r>
                </w:p>
              </w:tc>
              <w:tc>
                <w:tcPr>
                  <w:tcW w:w="348" w:type="pct"/>
                  <w:vAlign w:val="center"/>
                </w:tcPr>
                <w:p w14:paraId="2C91AE62">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0.0154</w:t>
                  </w:r>
                </w:p>
              </w:tc>
              <w:tc>
                <w:tcPr>
                  <w:tcW w:w="476" w:type="pct"/>
                  <w:vAlign w:val="center"/>
                </w:tcPr>
                <w:p w14:paraId="3F2EB5D1">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0.008</w:t>
                  </w:r>
                </w:p>
              </w:tc>
              <w:tc>
                <w:tcPr>
                  <w:tcW w:w="332" w:type="pct"/>
                  <w:vAlign w:val="center"/>
                </w:tcPr>
                <w:p w14:paraId="0F0CC5AB">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4.01</w:t>
                  </w:r>
                </w:p>
              </w:tc>
              <w:tc>
                <w:tcPr>
                  <w:tcW w:w="259" w:type="pct"/>
                  <w:vAlign w:val="center"/>
                </w:tcPr>
                <w:p w14:paraId="7EA0A88E">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DA001</w:t>
                  </w:r>
                </w:p>
              </w:tc>
            </w:tr>
            <w:tr w14:paraId="4725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84" w:type="pct"/>
                  <w:shd w:val="clear" w:color="auto" w:fill="auto"/>
                  <w:vAlign w:val="center"/>
                </w:tcPr>
                <w:p w14:paraId="261A8D2E">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2</w:t>
                  </w:r>
                </w:p>
              </w:tc>
              <w:tc>
                <w:tcPr>
                  <w:tcW w:w="311" w:type="pct"/>
                  <w:vMerge w:val="continue"/>
                  <w:shd w:val="clear" w:color="auto" w:fill="auto"/>
                  <w:vAlign w:val="center"/>
                </w:tcPr>
                <w:p w14:paraId="743963BA">
                  <w:pPr>
                    <w:pStyle w:val="6"/>
                    <w:suppressLineNumbers w:val="0"/>
                    <w:bidi w:val="0"/>
                    <w:spacing w:before="0" w:beforeAutospacing="0" w:after="0" w:afterAutospacing="0"/>
                    <w:ind w:left="0" w:right="0"/>
                    <w:rPr>
                      <w:rFonts w:hint="default"/>
                      <w:sz w:val="21"/>
                      <w:szCs w:val="21"/>
                    </w:rPr>
                  </w:pPr>
                </w:p>
              </w:tc>
              <w:tc>
                <w:tcPr>
                  <w:tcW w:w="192" w:type="pct"/>
                  <w:vMerge w:val="continue"/>
                  <w:shd w:val="clear" w:color="auto" w:fill="auto"/>
                  <w:vAlign w:val="center"/>
                </w:tcPr>
                <w:p w14:paraId="4E78B696">
                  <w:pPr>
                    <w:pStyle w:val="6"/>
                    <w:suppressLineNumbers w:val="0"/>
                    <w:bidi w:val="0"/>
                    <w:spacing w:before="0" w:beforeAutospacing="0" w:after="0" w:afterAutospacing="0"/>
                    <w:ind w:left="0" w:right="0"/>
                    <w:rPr>
                      <w:rFonts w:hint="default"/>
                      <w:sz w:val="21"/>
                      <w:szCs w:val="21"/>
                      <w:lang w:val="en-US" w:eastAsia="zh-CN"/>
                    </w:rPr>
                  </w:pPr>
                </w:p>
              </w:tc>
              <w:tc>
                <w:tcPr>
                  <w:tcW w:w="224" w:type="pct"/>
                  <w:vMerge w:val="restart"/>
                  <w:shd w:val="clear" w:color="auto" w:fill="auto"/>
                  <w:vAlign w:val="center"/>
                </w:tcPr>
                <w:p w14:paraId="4A183FC9">
                  <w:pPr>
                    <w:pStyle w:val="6"/>
                    <w:suppressLineNumbers w:val="0"/>
                    <w:bidi w:val="0"/>
                    <w:spacing w:before="0" w:beforeAutospacing="0" w:after="0" w:afterAutospacing="0"/>
                    <w:ind w:left="0" w:right="0"/>
                    <w:rPr>
                      <w:rFonts w:hint="default"/>
                      <w:sz w:val="21"/>
                      <w:szCs w:val="21"/>
                    </w:rPr>
                  </w:pPr>
                  <w:r>
                    <w:rPr>
                      <w:rFonts w:hint="default"/>
                      <w:sz w:val="21"/>
                      <w:szCs w:val="21"/>
                      <w:lang w:val="en-US" w:eastAsia="zh-CN"/>
                    </w:rPr>
                    <w:t>无组织</w:t>
                  </w:r>
                </w:p>
              </w:tc>
              <w:tc>
                <w:tcPr>
                  <w:tcW w:w="332" w:type="pct"/>
                  <w:shd w:val="clear" w:color="auto" w:fill="auto"/>
                  <w:vAlign w:val="center"/>
                </w:tcPr>
                <w:p w14:paraId="228470D7">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0.57</w:t>
                  </w:r>
                </w:p>
              </w:tc>
              <w:tc>
                <w:tcPr>
                  <w:tcW w:w="351" w:type="pct"/>
                  <w:shd w:val="clear" w:color="auto" w:fill="auto"/>
                  <w:vAlign w:val="center"/>
                </w:tcPr>
                <w:p w14:paraId="3D06D4A7">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0.2969</w:t>
                  </w:r>
                </w:p>
              </w:tc>
              <w:tc>
                <w:tcPr>
                  <w:tcW w:w="387" w:type="pct"/>
                  <w:vAlign w:val="center"/>
                </w:tcPr>
                <w:p w14:paraId="5B4BE68C">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w:t>
                  </w:r>
                </w:p>
              </w:tc>
              <w:tc>
                <w:tcPr>
                  <w:tcW w:w="411" w:type="pct"/>
                  <w:vMerge w:val="continue"/>
                  <w:vAlign w:val="center"/>
                </w:tcPr>
                <w:p w14:paraId="33EEA4BA">
                  <w:pPr>
                    <w:pStyle w:val="6"/>
                    <w:suppressLineNumbers w:val="0"/>
                    <w:bidi w:val="0"/>
                    <w:spacing w:before="0" w:beforeAutospacing="0" w:after="0" w:afterAutospacing="0"/>
                    <w:ind w:left="0" w:right="0"/>
                    <w:rPr>
                      <w:rFonts w:hint="default"/>
                      <w:sz w:val="21"/>
                      <w:szCs w:val="21"/>
                      <w:lang w:val="en-US" w:eastAsia="zh-CN"/>
                    </w:rPr>
                  </w:pPr>
                </w:p>
              </w:tc>
              <w:tc>
                <w:tcPr>
                  <w:tcW w:w="279" w:type="pct"/>
                  <w:vAlign w:val="center"/>
                </w:tcPr>
                <w:p w14:paraId="52D22496">
                  <w:pPr>
                    <w:pStyle w:val="6"/>
                    <w:suppressLineNumbers w:val="0"/>
                    <w:bidi w:val="0"/>
                    <w:spacing w:before="0" w:beforeAutospacing="0" w:after="0" w:afterAutospacing="0"/>
                    <w:ind w:left="0" w:right="0" w:firstLine="0" w:firstLineChars="0"/>
                    <w:rPr>
                      <w:rFonts w:hint="default"/>
                      <w:sz w:val="21"/>
                      <w:szCs w:val="21"/>
                      <w:lang w:val="en-US" w:eastAsia="zh-CN"/>
                    </w:rPr>
                  </w:pPr>
                  <w:r>
                    <w:rPr>
                      <w:rFonts w:hint="eastAsia"/>
                      <w:sz w:val="21"/>
                      <w:szCs w:val="21"/>
                      <w:lang w:val="en-US" w:eastAsia="zh-CN"/>
                    </w:rPr>
                    <w:t>/</w:t>
                  </w:r>
                </w:p>
              </w:tc>
              <w:tc>
                <w:tcPr>
                  <w:tcW w:w="280" w:type="pct"/>
                  <w:vAlign w:val="center"/>
                </w:tcPr>
                <w:p w14:paraId="35563D6E">
                  <w:pPr>
                    <w:pStyle w:val="6"/>
                    <w:suppressLineNumbers w:val="0"/>
                    <w:bidi w:val="0"/>
                    <w:spacing w:before="0" w:beforeAutospacing="0" w:after="0" w:afterAutospacing="0"/>
                    <w:ind w:left="0" w:right="0"/>
                    <w:rPr>
                      <w:rFonts w:hint="default"/>
                      <w:sz w:val="21"/>
                      <w:szCs w:val="21"/>
                      <w:highlight w:val="yellow"/>
                      <w:lang w:val="en-US" w:eastAsia="zh-CN"/>
                    </w:rPr>
                  </w:pPr>
                  <w:r>
                    <w:rPr>
                      <w:rFonts w:hint="eastAsia"/>
                      <w:sz w:val="21"/>
                      <w:szCs w:val="21"/>
                      <w:highlight w:val="none"/>
                      <w:lang w:val="en-US" w:eastAsia="zh-CN"/>
                    </w:rPr>
                    <w:t>/</w:t>
                  </w:r>
                </w:p>
              </w:tc>
              <w:tc>
                <w:tcPr>
                  <w:tcW w:w="264" w:type="pct"/>
                  <w:vAlign w:val="center"/>
                </w:tcPr>
                <w:p w14:paraId="2704432D">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99</w:t>
                  </w:r>
                </w:p>
              </w:tc>
              <w:tc>
                <w:tcPr>
                  <w:tcW w:w="363" w:type="pct"/>
                  <w:vAlign w:val="center"/>
                </w:tcPr>
                <w:p w14:paraId="724AC283">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是</w:t>
                  </w:r>
                </w:p>
              </w:tc>
              <w:tc>
                <w:tcPr>
                  <w:tcW w:w="348" w:type="pct"/>
                  <w:vAlign w:val="center"/>
                </w:tcPr>
                <w:p w14:paraId="4699C11B">
                  <w:pPr>
                    <w:pStyle w:val="6"/>
                    <w:suppressLineNumbers w:val="0"/>
                    <w:bidi w:val="0"/>
                    <w:spacing w:before="0" w:beforeAutospacing="0" w:after="0" w:afterAutospacing="0"/>
                    <w:ind w:left="0" w:right="0"/>
                    <w:rPr>
                      <w:rFonts w:hint="default"/>
                      <w:sz w:val="21"/>
                      <w:szCs w:val="21"/>
                      <w:lang w:val="en-US"/>
                    </w:rPr>
                  </w:pPr>
                  <w:r>
                    <w:rPr>
                      <w:rFonts w:hint="eastAsia"/>
                      <w:sz w:val="21"/>
                      <w:szCs w:val="21"/>
                      <w:lang w:val="en-US" w:eastAsia="zh-CN"/>
                    </w:rPr>
                    <w:t>0.0057</w:t>
                  </w:r>
                </w:p>
              </w:tc>
              <w:tc>
                <w:tcPr>
                  <w:tcW w:w="476" w:type="pct"/>
                  <w:vAlign w:val="center"/>
                </w:tcPr>
                <w:p w14:paraId="0A81EA5C">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0.003</w:t>
                  </w:r>
                </w:p>
              </w:tc>
              <w:tc>
                <w:tcPr>
                  <w:tcW w:w="332" w:type="pct"/>
                  <w:vAlign w:val="center"/>
                </w:tcPr>
                <w:p w14:paraId="4FAB55DF">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w:t>
                  </w:r>
                </w:p>
              </w:tc>
              <w:tc>
                <w:tcPr>
                  <w:tcW w:w="259" w:type="pct"/>
                  <w:vAlign w:val="center"/>
                </w:tcPr>
                <w:p w14:paraId="496E3512">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w:t>
                  </w:r>
                </w:p>
              </w:tc>
            </w:tr>
            <w:tr w14:paraId="6843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 w:type="pct"/>
                  <w:shd w:val="clear" w:color="auto" w:fill="auto"/>
                  <w:vAlign w:val="center"/>
                </w:tcPr>
                <w:p w14:paraId="64E578A3">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3</w:t>
                  </w:r>
                </w:p>
              </w:tc>
              <w:tc>
                <w:tcPr>
                  <w:tcW w:w="311" w:type="pct"/>
                  <w:shd w:val="clear" w:color="auto" w:fill="auto"/>
                  <w:vAlign w:val="center"/>
                </w:tcPr>
                <w:p w14:paraId="31D7726A">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搅拌粉尘</w:t>
                  </w:r>
                </w:p>
              </w:tc>
              <w:tc>
                <w:tcPr>
                  <w:tcW w:w="192" w:type="pct"/>
                  <w:vMerge w:val="continue"/>
                  <w:shd w:val="clear" w:color="auto" w:fill="auto"/>
                  <w:vAlign w:val="center"/>
                </w:tcPr>
                <w:p w14:paraId="48CF39D5">
                  <w:pPr>
                    <w:pStyle w:val="6"/>
                    <w:suppressLineNumbers w:val="0"/>
                    <w:bidi w:val="0"/>
                    <w:spacing w:before="0" w:beforeAutospacing="0" w:after="0" w:afterAutospacing="0"/>
                    <w:ind w:left="0" w:right="0"/>
                    <w:rPr>
                      <w:rFonts w:hint="default"/>
                      <w:sz w:val="21"/>
                      <w:szCs w:val="21"/>
                      <w:lang w:val="en-US" w:eastAsia="zh-CN"/>
                    </w:rPr>
                  </w:pPr>
                </w:p>
              </w:tc>
              <w:tc>
                <w:tcPr>
                  <w:tcW w:w="224" w:type="pct"/>
                  <w:vMerge w:val="continue"/>
                  <w:shd w:val="clear" w:color="auto" w:fill="auto"/>
                  <w:vAlign w:val="center"/>
                </w:tcPr>
                <w:p w14:paraId="289F5A99">
                  <w:pPr>
                    <w:pStyle w:val="6"/>
                    <w:suppressLineNumbers w:val="0"/>
                    <w:bidi w:val="0"/>
                    <w:spacing w:before="0" w:beforeAutospacing="0" w:after="0" w:afterAutospacing="0"/>
                    <w:ind w:left="0" w:right="0"/>
                    <w:rPr>
                      <w:rFonts w:hint="default"/>
                      <w:sz w:val="21"/>
                      <w:szCs w:val="21"/>
                    </w:rPr>
                  </w:pPr>
                </w:p>
              </w:tc>
              <w:tc>
                <w:tcPr>
                  <w:tcW w:w="332" w:type="pct"/>
                  <w:shd w:val="clear" w:color="auto" w:fill="auto"/>
                  <w:vAlign w:val="center"/>
                </w:tcPr>
                <w:p w14:paraId="3F78587A">
                  <w:pPr>
                    <w:pStyle w:val="6"/>
                    <w:suppressLineNumbers w:val="0"/>
                    <w:bidi w:val="0"/>
                    <w:spacing w:before="0" w:beforeAutospacing="0" w:after="0" w:afterAutospacing="0"/>
                    <w:ind w:left="0" w:right="0"/>
                    <w:rPr>
                      <w:rFonts w:hint="default"/>
                      <w:sz w:val="21"/>
                      <w:szCs w:val="21"/>
                      <w:lang w:val="en-US"/>
                    </w:rPr>
                  </w:pPr>
                  <w:r>
                    <w:rPr>
                      <w:rFonts w:hint="eastAsia"/>
                      <w:sz w:val="21"/>
                      <w:szCs w:val="21"/>
                      <w:lang w:val="en-US" w:eastAsia="zh-CN"/>
                    </w:rPr>
                    <w:t>15.69</w:t>
                  </w:r>
                </w:p>
              </w:tc>
              <w:tc>
                <w:tcPr>
                  <w:tcW w:w="351" w:type="pct"/>
                  <w:shd w:val="clear" w:color="auto" w:fill="auto"/>
                  <w:vAlign w:val="center"/>
                </w:tcPr>
                <w:p w14:paraId="327E13CD">
                  <w:pPr>
                    <w:pStyle w:val="6"/>
                    <w:suppressLineNumbers w:val="0"/>
                    <w:bidi w:val="0"/>
                    <w:spacing w:before="0" w:beforeAutospacing="0" w:after="0" w:afterAutospacing="0"/>
                    <w:ind w:left="0" w:right="0"/>
                    <w:rPr>
                      <w:rFonts w:hint="default"/>
                      <w:sz w:val="21"/>
                      <w:szCs w:val="21"/>
                      <w:lang w:val="en-US"/>
                    </w:rPr>
                  </w:pPr>
                  <w:r>
                    <w:rPr>
                      <w:rFonts w:hint="eastAsia"/>
                      <w:sz w:val="21"/>
                      <w:szCs w:val="21"/>
                      <w:lang w:val="en-US" w:eastAsia="zh-CN"/>
                    </w:rPr>
                    <w:t>8.1719</w:t>
                  </w:r>
                </w:p>
              </w:tc>
              <w:tc>
                <w:tcPr>
                  <w:tcW w:w="387" w:type="pct"/>
                  <w:vAlign w:val="center"/>
                </w:tcPr>
                <w:p w14:paraId="19D85C0B">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w:t>
                  </w:r>
                </w:p>
              </w:tc>
              <w:tc>
                <w:tcPr>
                  <w:tcW w:w="411" w:type="pct"/>
                  <w:vAlign w:val="center"/>
                </w:tcPr>
                <w:p w14:paraId="29585597">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全封闭设施</w:t>
                  </w:r>
                </w:p>
              </w:tc>
              <w:tc>
                <w:tcPr>
                  <w:tcW w:w="279" w:type="pct"/>
                  <w:vAlign w:val="center"/>
                </w:tcPr>
                <w:p w14:paraId="6B96EADA">
                  <w:pPr>
                    <w:pStyle w:val="6"/>
                    <w:suppressLineNumbers w:val="0"/>
                    <w:bidi w:val="0"/>
                    <w:spacing w:before="0" w:beforeAutospacing="0" w:after="0" w:afterAutospacing="0"/>
                    <w:ind w:left="0" w:right="0" w:firstLine="0" w:firstLineChars="0"/>
                    <w:rPr>
                      <w:rFonts w:hint="default"/>
                      <w:sz w:val="21"/>
                      <w:szCs w:val="21"/>
                      <w:lang w:val="en-US" w:eastAsia="zh-CN"/>
                    </w:rPr>
                  </w:pPr>
                  <w:r>
                    <w:rPr>
                      <w:rFonts w:hint="eastAsia"/>
                      <w:sz w:val="21"/>
                      <w:szCs w:val="21"/>
                      <w:lang w:val="en-US" w:eastAsia="zh-CN"/>
                    </w:rPr>
                    <w:t>/</w:t>
                  </w:r>
                </w:p>
              </w:tc>
              <w:tc>
                <w:tcPr>
                  <w:tcW w:w="280" w:type="pct"/>
                  <w:vAlign w:val="center"/>
                </w:tcPr>
                <w:p w14:paraId="4F16215A">
                  <w:pPr>
                    <w:pStyle w:val="6"/>
                    <w:suppressLineNumbers w:val="0"/>
                    <w:bidi w:val="0"/>
                    <w:spacing w:before="0" w:beforeAutospacing="0" w:after="0" w:afterAutospacing="0"/>
                    <w:ind w:left="0" w:right="0"/>
                    <w:rPr>
                      <w:rFonts w:hint="default"/>
                      <w:sz w:val="21"/>
                      <w:szCs w:val="21"/>
                      <w:highlight w:val="yellow"/>
                      <w:lang w:val="en-US" w:eastAsia="zh-CN"/>
                    </w:rPr>
                  </w:pPr>
                  <w:r>
                    <w:rPr>
                      <w:rFonts w:hint="eastAsia"/>
                      <w:sz w:val="21"/>
                      <w:szCs w:val="21"/>
                      <w:highlight w:val="none"/>
                      <w:lang w:val="en-US" w:eastAsia="zh-CN"/>
                    </w:rPr>
                    <w:t>/</w:t>
                  </w:r>
                </w:p>
              </w:tc>
              <w:tc>
                <w:tcPr>
                  <w:tcW w:w="264" w:type="pct"/>
                  <w:vAlign w:val="center"/>
                </w:tcPr>
                <w:p w14:paraId="6659F42D">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99</w:t>
                  </w:r>
                </w:p>
              </w:tc>
              <w:tc>
                <w:tcPr>
                  <w:tcW w:w="363" w:type="pct"/>
                  <w:vAlign w:val="center"/>
                </w:tcPr>
                <w:p w14:paraId="01A85209">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是</w:t>
                  </w:r>
                </w:p>
              </w:tc>
              <w:tc>
                <w:tcPr>
                  <w:tcW w:w="348" w:type="pct"/>
                  <w:vAlign w:val="center"/>
                </w:tcPr>
                <w:p w14:paraId="1B5172B9">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0.1569</w:t>
                  </w:r>
                </w:p>
              </w:tc>
              <w:tc>
                <w:tcPr>
                  <w:tcW w:w="476" w:type="pct"/>
                  <w:vAlign w:val="center"/>
                </w:tcPr>
                <w:p w14:paraId="47E6C5C8">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0.0817</w:t>
                  </w:r>
                </w:p>
              </w:tc>
              <w:tc>
                <w:tcPr>
                  <w:tcW w:w="332" w:type="pct"/>
                  <w:vAlign w:val="center"/>
                </w:tcPr>
                <w:p w14:paraId="5358C439">
                  <w:pPr>
                    <w:pStyle w:val="6"/>
                    <w:suppressLineNumbers w:val="0"/>
                    <w:bidi w:val="0"/>
                    <w:spacing w:before="0" w:beforeAutospacing="0" w:after="0" w:afterAutospacing="0"/>
                    <w:ind w:left="0" w:right="0"/>
                    <w:rPr>
                      <w:rFonts w:hint="default"/>
                      <w:sz w:val="21"/>
                      <w:szCs w:val="21"/>
                    </w:rPr>
                  </w:pPr>
                  <w:r>
                    <w:rPr>
                      <w:rFonts w:hint="default"/>
                      <w:sz w:val="21"/>
                      <w:szCs w:val="21"/>
                      <w:lang w:val="en-US" w:eastAsia="zh-CN"/>
                    </w:rPr>
                    <w:t>/</w:t>
                  </w:r>
                </w:p>
              </w:tc>
              <w:tc>
                <w:tcPr>
                  <w:tcW w:w="259" w:type="pct"/>
                  <w:vAlign w:val="center"/>
                </w:tcPr>
                <w:p w14:paraId="56C43333">
                  <w:pPr>
                    <w:pStyle w:val="6"/>
                    <w:suppressLineNumbers w:val="0"/>
                    <w:bidi w:val="0"/>
                    <w:spacing w:before="0" w:beforeAutospacing="0" w:after="0" w:afterAutospacing="0"/>
                    <w:ind w:left="0" w:right="0"/>
                    <w:rPr>
                      <w:rFonts w:hint="eastAsia" w:eastAsia="宋体"/>
                      <w:sz w:val="21"/>
                      <w:szCs w:val="21"/>
                      <w:lang w:val="en-US" w:eastAsia="zh-CN"/>
                    </w:rPr>
                  </w:pPr>
                  <w:r>
                    <w:rPr>
                      <w:rFonts w:hint="eastAsia"/>
                      <w:sz w:val="21"/>
                      <w:szCs w:val="21"/>
                      <w:lang w:val="en-US" w:eastAsia="zh-CN"/>
                    </w:rPr>
                    <w:t>/</w:t>
                  </w:r>
                </w:p>
              </w:tc>
            </w:tr>
            <w:tr w14:paraId="1C14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 w:type="pct"/>
                  <w:shd w:val="clear" w:color="auto" w:fill="auto"/>
                  <w:vAlign w:val="center"/>
                </w:tcPr>
                <w:p w14:paraId="773F55BA">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4</w:t>
                  </w:r>
                </w:p>
              </w:tc>
              <w:tc>
                <w:tcPr>
                  <w:tcW w:w="311" w:type="pct"/>
                  <w:shd w:val="clear" w:color="auto" w:fill="auto"/>
                  <w:vAlign w:val="center"/>
                </w:tcPr>
                <w:p w14:paraId="238B604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水泥筒仓</w:t>
                  </w:r>
                </w:p>
              </w:tc>
              <w:tc>
                <w:tcPr>
                  <w:tcW w:w="192" w:type="pct"/>
                  <w:vMerge w:val="continue"/>
                  <w:shd w:val="clear" w:color="auto" w:fill="auto"/>
                  <w:vAlign w:val="center"/>
                </w:tcPr>
                <w:p w14:paraId="290F821C">
                  <w:pPr>
                    <w:pStyle w:val="6"/>
                    <w:suppressLineNumbers w:val="0"/>
                    <w:bidi w:val="0"/>
                    <w:spacing w:before="0" w:beforeAutospacing="0" w:after="0" w:afterAutospacing="0"/>
                    <w:ind w:left="0" w:right="0"/>
                    <w:rPr>
                      <w:rFonts w:hint="default"/>
                      <w:sz w:val="21"/>
                      <w:szCs w:val="21"/>
                    </w:rPr>
                  </w:pPr>
                </w:p>
              </w:tc>
              <w:tc>
                <w:tcPr>
                  <w:tcW w:w="224" w:type="pct"/>
                  <w:vMerge w:val="continue"/>
                  <w:shd w:val="clear" w:color="auto" w:fill="auto"/>
                  <w:vAlign w:val="center"/>
                </w:tcPr>
                <w:p w14:paraId="78061CE3">
                  <w:pPr>
                    <w:pStyle w:val="6"/>
                    <w:suppressLineNumbers w:val="0"/>
                    <w:bidi w:val="0"/>
                    <w:spacing w:before="0" w:beforeAutospacing="0" w:after="0" w:afterAutospacing="0"/>
                    <w:ind w:left="0" w:right="0"/>
                    <w:rPr>
                      <w:rFonts w:hint="default"/>
                      <w:sz w:val="21"/>
                      <w:szCs w:val="21"/>
                    </w:rPr>
                  </w:pPr>
                </w:p>
              </w:tc>
              <w:tc>
                <w:tcPr>
                  <w:tcW w:w="332" w:type="pct"/>
                  <w:shd w:val="clear" w:color="auto" w:fill="auto"/>
                  <w:vAlign w:val="center"/>
                </w:tcPr>
                <w:p w14:paraId="53C6DCB9">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0.6196</w:t>
                  </w:r>
                </w:p>
              </w:tc>
              <w:tc>
                <w:tcPr>
                  <w:tcW w:w="351" w:type="pct"/>
                  <w:shd w:val="clear" w:color="auto" w:fill="auto"/>
                  <w:vAlign w:val="center"/>
                </w:tcPr>
                <w:p w14:paraId="6FC4A98E">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11.9146</w:t>
                  </w:r>
                </w:p>
              </w:tc>
              <w:tc>
                <w:tcPr>
                  <w:tcW w:w="387" w:type="pct"/>
                  <w:vAlign w:val="center"/>
                </w:tcPr>
                <w:p w14:paraId="5E8C43DD">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w:t>
                  </w:r>
                </w:p>
              </w:tc>
              <w:tc>
                <w:tcPr>
                  <w:tcW w:w="411" w:type="pct"/>
                  <w:vAlign w:val="center"/>
                </w:tcPr>
                <w:p w14:paraId="78F3AE5E">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滤筒式过滤器</w:t>
                  </w:r>
                </w:p>
              </w:tc>
              <w:tc>
                <w:tcPr>
                  <w:tcW w:w="279" w:type="pct"/>
                  <w:vAlign w:val="center"/>
                </w:tcPr>
                <w:p w14:paraId="61344932">
                  <w:pPr>
                    <w:pStyle w:val="6"/>
                    <w:suppressLineNumbers w:val="0"/>
                    <w:bidi w:val="0"/>
                    <w:spacing w:before="0" w:beforeAutospacing="0" w:after="0" w:afterAutospacing="0"/>
                    <w:ind w:left="0" w:right="0" w:firstLine="0" w:firstLineChars="0"/>
                    <w:rPr>
                      <w:rFonts w:hint="default"/>
                      <w:sz w:val="21"/>
                      <w:szCs w:val="21"/>
                      <w:lang w:val="en-US" w:eastAsia="zh-CN"/>
                    </w:rPr>
                  </w:pPr>
                  <w:r>
                    <w:rPr>
                      <w:rFonts w:hint="eastAsia"/>
                      <w:sz w:val="21"/>
                      <w:szCs w:val="21"/>
                      <w:lang w:val="en-US" w:eastAsia="zh-CN"/>
                    </w:rPr>
                    <w:t>/</w:t>
                  </w:r>
                </w:p>
              </w:tc>
              <w:tc>
                <w:tcPr>
                  <w:tcW w:w="280" w:type="pct"/>
                  <w:vAlign w:val="center"/>
                </w:tcPr>
                <w:p w14:paraId="72BA65E0">
                  <w:pPr>
                    <w:pStyle w:val="6"/>
                    <w:suppressLineNumbers w:val="0"/>
                    <w:bidi w:val="0"/>
                    <w:spacing w:before="0" w:beforeAutospacing="0" w:after="0" w:afterAutospacing="0"/>
                    <w:ind w:left="0" w:right="0"/>
                    <w:rPr>
                      <w:rFonts w:hint="default"/>
                      <w:sz w:val="21"/>
                      <w:szCs w:val="21"/>
                      <w:highlight w:val="none"/>
                      <w:lang w:val="en-US" w:eastAsia="zh-CN"/>
                    </w:rPr>
                  </w:pPr>
                  <w:r>
                    <w:rPr>
                      <w:rFonts w:hint="eastAsia"/>
                      <w:sz w:val="21"/>
                      <w:szCs w:val="21"/>
                      <w:highlight w:val="none"/>
                      <w:lang w:val="en-US" w:eastAsia="zh-CN"/>
                    </w:rPr>
                    <w:t>/</w:t>
                  </w:r>
                </w:p>
              </w:tc>
              <w:tc>
                <w:tcPr>
                  <w:tcW w:w="264" w:type="pct"/>
                  <w:vAlign w:val="center"/>
                </w:tcPr>
                <w:p w14:paraId="0706255F">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99.7</w:t>
                  </w:r>
                </w:p>
              </w:tc>
              <w:tc>
                <w:tcPr>
                  <w:tcW w:w="363" w:type="pct"/>
                  <w:vAlign w:val="center"/>
                </w:tcPr>
                <w:p w14:paraId="00BC90BC">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是</w:t>
                  </w:r>
                </w:p>
              </w:tc>
              <w:tc>
                <w:tcPr>
                  <w:tcW w:w="348" w:type="pct"/>
                  <w:vAlign w:val="center"/>
                </w:tcPr>
                <w:p w14:paraId="50A7FC5C">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0.00186</w:t>
                  </w:r>
                </w:p>
              </w:tc>
              <w:tc>
                <w:tcPr>
                  <w:tcW w:w="476" w:type="pct"/>
                  <w:vAlign w:val="center"/>
                </w:tcPr>
                <w:p w14:paraId="254825C6">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0.0357</w:t>
                  </w:r>
                </w:p>
              </w:tc>
              <w:tc>
                <w:tcPr>
                  <w:tcW w:w="332" w:type="pct"/>
                  <w:vAlign w:val="center"/>
                </w:tcPr>
                <w:p w14:paraId="4DB7AF49">
                  <w:pPr>
                    <w:pStyle w:val="6"/>
                    <w:suppressLineNumbers w:val="0"/>
                    <w:bidi w:val="0"/>
                    <w:spacing w:before="0" w:beforeAutospacing="0" w:after="0" w:afterAutospacing="0"/>
                    <w:ind w:left="0" w:right="0"/>
                    <w:rPr>
                      <w:rFonts w:hint="default"/>
                      <w:sz w:val="21"/>
                      <w:szCs w:val="21"/>
                    </w:rPr>
                  </w:pPr>
                  <w:r>
                    <w:rPr>
                      <w:rFonts w:hint="default"/>
                      <w:sz w:val="21"/>
                      <w:szCs w:val="21"/>
                      <w:lang w:val="en-US" w:eastAsia="zh-CN"/>
                    </w:rPr>
                    <w:t>/</w:t>
                  </w:r>
                </w:p>
              </w:tc>
              <w:tc>
                <w:tcPr>
                  <w:tcW w:w="259" w:type="pct"/>
                  <w:vAlign w:val="center"/>
                </w:tcPr>
                <w:p w14:paraId="1EC7E624">
                  <w:pPr>
                    <w:pStyle w:val="6"/>
                    <w:suppressLineNumbers w:val="0"/>
                    <w:bidi w:val="0"/>
                    <w:spacing w:before="0" w:beforeAutospacing="0" w:after="0" w:afterAutospacing="0"/>
                    <w:ind w:left="0" w:right="0"/>
                    <w:rPr>
                      <w:rFonts w:hint="eastAsia" w:eastAsia="宋体"/>
                      <w:sz w:val="21"/>
                      <w:szCs w:val="21"/>
                      <w:lang w:val="en-US" w:eastAsia="zh-CN"/>
                    </w:rPr>
                  </w:pPr>
                  <w:r>
                    <w:rPr>
                      <w:rFonts w:hint="eastAsia"/>
                      <w:sz w:val="21"/>
                      <w:szCs w:val="21"/>
                      <w:lang w:val="en-US" w:eastAsia="zh-CN"/>
                    </w:rPr>
                    <w:t>/</w:t>
                  </w:r>
                </w:p>
              </w:tc>
            </w:tr>
            <w:tr w14:paraId="3D3E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 w:type="pct"/>
                  <w:shd w:val="clear" w:color="auto" w:fill="auto"/>
                  <w:vAlign w:val="center"/>
                </w:tcPr>
                <w:p w14:paraId="74DCF930">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5</w:t>
                  </w:r>
                </w:p>
              </w:tc>
              <w:tc>
                <w:tcPr>
                  <w:tcW w:w="311" w:type="pct"/>
                  <w:shd w:val="clear" w:color="auto" w:fill="auto"/>
                  <w:vAlign w:val="center"/>
                </w:tcPr>
                <w:p w14:paraId="42B18086">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原料堆场</w:t>
                  </w:r>
                </w:p>
              </w:tc>
              <w:tc>
                <w:tcPr>
                  <w:tcW w:w="192" w:type="pct"/>
                  <w:vMerge w:val="continue"/>
                  <w:shd w:val="clear" w:color="auto" w:fill="auto"/>
                  <w:vAlign w:val="center"/>
                </w:tcPr>
                <w:p w14:paraId="6921BFA8">
                  <w:pPr>
                    <w:pStyle w:val="6"/>
                    <w:suppressLineNumbers w:val="0"/>
                    <w:bidi w:val="0"/>
                    <w:spacing w:before="0" w:beforeAutospacing="0" w:after="0" w:afterAutospacing="0"/>
                    <w:ind w:left="0" w:right="0"/>
                    <w:rPr>
                      <w:rFonts w:hint="default"/>
                      <w:sz w:val="21"/>
                      <w:szCs w:val="21"/>
                    </w:rPr>
                  </w:pPr>
                </w:p>
              </w:tc>
              <w:tc>
                <w:tcPr>
                  <w:tcW w:w="224" w:type="pct"/>
                  <w:vMerge w:val="continue"/>
                  <w:shd w:val="clear" w:color="auto" w:fill="auto"/>
                  <w:vAlign w:val="center"/>
                </w:tcPr>
                <w:p w14:paraId="33C18ABB">
                  <w:pPr>
                    <w:pStyle w:val="6"/>
                    <w:suppressLineNumbers w:val="0"/>
                    <w:bidi w:val="0"/>
                    <w:spacing w:before="0" w:beforeAutospacing="0" w:after="0" w:afterAutospacing="0"/>
                    <w:ind w:left="0" w:right="0"/>
                    <w:rPr>
                      <w:rFonts w:hint="default"/>
                      <w:sz w:val="21"/>
                      <w:szCs w:val="21"/>
                    </w:rPr>
                  </w:pPr>
                </w:p>
              </w:tc>
              <w:tc>
                <w:tcPr>
                  <w:tcW w:w="332" w:type="pct"/>
                  <w:shd w:val="clear" w:color="auto" w:fill="auto"/>
                  <w:vAlign w:val="center"/>
                </w:tcPr>
                <w:p w14:paraId="24FCF8CB">
                  <w:pPr>
                    <w:pStyle w:val="6"/>
                    <w:suppressLineNumbers w:val="0"/>
                    <w:bidi w:val="0"/>
                    <w:spacing w:before="0" w:beforeAutospacing="0" w:after="0" w:afterAutospacing="0"/>
                    <w:ind w:left="0" w:right="0" w:firstLine="0" w:firstLineChars="0"/>
                    <w:rPr>
                      <w:rFonts w:hint="default"/>
                      <w:sz w:val="21"/>
                      <w:szCs w:val="21"/>
                      <w:lang w:val="en-US" w:eastAsia="zh-CN"/>
                    </w:rPr>
                  </w:pPr>
                  <w:r>
                    <w:rPr>
                      <w:rFonts w:hint="eastAsia"/>
                      <w:sz w:val="21"/>
                      <w:szCs w:val="21"/>
                      <w:lang w:val="en-US" w:eastAsia="zh-CN"/>
                    </w:rPr>
                    <w:t>16.9361</w:t>
                  </w:r>
                </w:p>
              </w:tc>
              <w:tc>
                <w:tcPr>
                  <w:tcW w:w="351" w:type="pct"/>
                  <w:shd w:val="clear" w:color="auto" w:fill="auto"/>
                  <w:vAlign w:val="center"/>
                </w:tcPr>
                <w:p w14:paraId="3E129929">
                  <w:pPr>
                    <w:pStyle w:val="6"/>
                    <w:suppressLineNumbers w:val="0"/>
                    <w:bidi w:val="0"/>
                    <w:spacing w:before="0" w:beforeAutospacing="0" w:after="0" w:afterAutospacing="0"/>
                    <w:ind w:left="0" w:right="0" w:firstLine="0" w:firstLineChars="0"/>
                    <w:rPr>
                      <w:rFonts w:hint="default"/>
                      <w:sz w:val="21"/>
                      <w:szCs w:val="21"/>
                      <w:lang w:val="en-US" w:eastAsia="zh-CN"/>
                    </w:rPr>
                  </w:pPr>
                  <w:r>
                    <w:rPr>
                      <w:rFonts w:hint="eastAsia"/>
                      <w:sz w:val="21"/>
                      <w:szCs w:val="21"/>
                      <w:lang w:val="en-US" w:eastAsia="zh-CN"/>
                    </w:rPr>
                    <w:t>2.94</w:t>
                  </w:r>
                </w:p>
              </w:tc>
              <w:tc>
                <w:tcPr>
                  <w:tcW w:w="387" w:type="pct"/>
                  <w:vAlign w:val="center"/>
                </w:tcPr>
                <w:p w14:paraId="65B4A627">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w:t>
                  </w:r>
                </w:p>
              </w:tc>
              <w:tc>
                <w:tcPr>
                  <w:tcW w:w="411" w:type="pct"/>
                  <w:vAlign w:val="center"/>
                </w:tcPr>
                <w:p w14:paraId="0DA2B9D5">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sz w:val="21"/>
                      <w:szCs w:val="21"/>
                      <w:lang w:val="en-US" w:eastAsia="zh-CN"/>
                    </w:rPr>
                    <w:t>全封闭仓库</w:t>
                  </w:r>
                </w:p>
              </w:tc>
              <w:tc>
                <w:tcPr>
                  <w:tcW w:w="279" w:type="pct"/>
                  <w:vAlign w:val="center"/>
                </w:tcPr>
                <w:p w14:paraId="39C99DAF">
                  <w:pPr>
                    <w:pStyle w:val="6"/>
                    <w:suppressLineNumbers w:val="0"/>
                    <w:bidi w:val="0"/>
                    <w:spacing w:before="0" w:beforeAutospacing="0" w:after="0" w:afterAutospacing="0"/>
                    <w:ind w:left="0" w:right="0" w:firstLine="0" w:firstLineChars="0"/>
                    <w:rPr>
                      <w:rFonts w:hint="default"/>
                      <w:sz w:val="21"/>
                      <w:szCs w:val="21"/>
                      <w:lang w:val="en-US" w:eastAsia="zh-CN"/>
                    </w:rPr>
                  </w:pPr>
                  <w:r>
                    <w:rPr>
                      <w:rFonts w:hint="eastAsia"/>
                      <w:sz w:val="21"/>
                      <w:szCs w:val="21"/>
                      <w:lang w:val="en-US" w:eastAsia="zh-CN"/>
                    </w:rPr>
                    <w:t>/</w:t>
                  </w:r>
                </w:p>
              </w:tc>
              <w:tc>
                <w:tcPr>
                  <w:tcW w:w="280" w:type="pct"/>
                  <w:vAlign w:val="center"/>
                </w:tcPr>
                <w:p w14:paraId="28C16F87">
                  <w:pPr>
                    <w:pStyle w:val="6"/>
                    <w:suppressLineNumbers w:val="0"/>
                    <w:bidi w:val="0"/>
                    <w:spacing w:before="0" w:beforeAutospacing="0" w:after="0" w:afterAutospacing="0"/>
                    <w:ind w:left="0" w:right="0"/>
                    <w:rPr>
                      <w:rFonts w:hint="default"/>
                      <w:sz w:val="21"/>
                      <w:szCs w:val="21"/>
                      <w:highlight w:val="none"/>
                      <w:lang w:val="en-US" w:eastAsia="zh-CN"/>
                    </w:rPr>
                  </w:pPr>
                  <w:r>
                    <w:rPr>
                      <w:rFonts w:hint="eastAsia"/>
                      <w:sz w:val="21"/>
                      <w:szCs w:val="21"/>
                      <w:highlight w:val="none"/>
                      <w:lang w:val="en-US" w:eastAsia="zh-CN"/>
                    </w:rPr>
                    <w:t>/</w:t>
                  </w:r>
                </w:p>
              </w:tc>
              <w:tc>
                <w:tcPr>
                  <w:tcW w:w="264" w:type="pct"/>
                  <w:vAlign w:val="center"/>
                </w:tcPr>
                <w:p w14:paraId="79A21F2D">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99</w:t>
                  </w:r>
                  <w:r>
                    <w:rPr>
                      <w:rFonts w:hint="eastAsia"/>
                      <w:lang w:val="en-US" w:eastAsia="zh-CN"/>
                    </w:rPr>
                    <w:t>.74</w:t>
                  </w:r>
                </w:p>
              </w:tc>
              <w:tc>
                <w:tcPr>
                  <w:tcW w:w="363" w:type="pct"/>
                  <w:vAlign w:val="center"/>
                </w:tcPr>
                <w:p w14:paraId="2A9CE6DB">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是</w:t>
                  </w:r>
                </w:p>
              </w:tc>
              <w:tc>
                <w:tcPr>
                  <w:tcW w:w="348" w:type="pct"/>
                  <w:vAlign w:val="center"/>
                </w:tcPr>
                <w:p w14:paraId="5CA96A2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0.0</w:t>
                  </w:r>
                  <w:r>
                    <w:rPr>
                      <w:rFonts w:hint="eastAsia"/>
                      <w:sz w:val="21"/>
                      <w:szCs w:val="21"/>
                      <w:lang w:val="en-US" w:eastAsia="zh-CN"/>
                    </w:rPr>
                    <w:t>44</w:t>
                  </w:r>
                </w:p>
              </w:tc>
              <w:tc>
                <w:tcPr>
                  <w:tcW w:w="476" w:type="pct"/>
                  <w:vAlign w:val="center"/>
                </w:tcPr>
                <w:p w14:paraId="36F1CC98">
                  <w:pPr>
                    <w:pStyle w:val="6"/>
                    <w:suppressLineNumbers w:val="0"/>
                    <w:bidi w:val="0"/>
                    <w:spacing w:before="0" w:beforeAutospacing="0" w:after="0" w:afterAutospacing="0"/>
                    <w:ind w:left="0" w:right="0"/>
                    <w:rPr>
                      <w:rFonts w:hint="default"/>
                      <w:sz w:val="21"/>
                      <w:szCs w:val="21"/>
                      <w:lang w:val="en-US" w:eastAsia="zh-CN"/>
                    </w:rPr>
                  </w:pPr>
                  <w:r>
                    <w:rPr>
                      <w:rFonts w:hint="eastAsia"/>
                      <w:sz w:val="21"/>
                      <w:szCs w:val="21"/>
                      <w:lang w:val="en-US" w:eastAsia="zh-CN"/>
                    </w:rPr>
                    <w:t>7.64×10</w:t>
                  </w:r>
                  <w:r>
                    <w:rPr>
                      <w:rFonts w:hint="eastAsia"/>
                      <w:sz w:val="21"/>
                      <w:szCs w:val="21"/>
                      <w:vertAlign w:val="superscript"/>
                      <w:lang w:val="en-US" w:eastAsia="zh-CN"/>
                    </w:rPr>
                    <w:t>-3</w:t>
                  </w:r>
                </w:p>
              </w:tc>
              <w:tc>
                <w:tcPr>
                  <w:tcW w:w="332" w:type="pct"/>
                  <w:vAlign w:val="center"/>
                </w:tcPr>
                <w:p w14:paraId="4678FDB1">
                  <w:pPr>
                    <w:pStyle w:val="6"/>
                    <w:suppressLineNumbers w:val="0"/>
                    <w:bidi w:val="0"/>
                    <w:spacing w:before="0" w:beforeAutospacing="0" w:after="0" w:afterAutospacing="0"/>
                    <w:ind w:left="0" w:right="0"/>
                    <w:rPr>
                      <w:rFonts w:hint="default"/>
                      <w:sz w:val="21"/>
                      <w:szCs w:val="21"/>
                    </w:rPr>
                  </w:pPr>
                  <w:r>
                    <w:rPr>
                      <w:rFonts w:hint="default"/>
                      <w:sz w:val="21"/>
                      <w:szCs w:val="21"/>
                      <w:lang w:val="en-US" w:eastAsia="zh-CN"/>
                    </w:rPr>
                    <w:t>/</w:t>
                  </w:r>
                </w:p>
              </w:tc>
              <w:tc>
                <w:tcPr>
                  <w:tcW w:w="259" w:type="pct"/>
                  <w:vAlign w:val="center"/>
                </w:tcPr>
                <w:p w14:paraId="2473163D">
                  <w:pPr>
                    <w:pStyle w:val="6"/>
                    <w:suppressLineNumbers w:val="0"/>
                    <w:bidi w:val="0"/>
                    <w:spacing w:before="0" w:beforeAutospacing="0" w:after="0" w:afterAutospacing="0"/>
                    <w:ind w:left="0" w:right="0"/>
                    <w:rPr>
                      <w:rFonts w:hint="eastAsia" w:eastAsia="宋体"/>
                      <w:sz w:val="21"/>
                      <w:szCs w:val="21"/>
                      <w:lang w:val="en-US" w:eastAsia="zh-CN"/>
                    </w:rPr>
                  </w:pPr>
                  <w:r>
                    <w:rPr>
                      <w:rFonts w:hint="eastAsia"/>
                      <w:sz w:val="21"/>
                      <w:szCs w:val="21"/>
                      <w:lang w:val="en-US" w:eastAsia="zh-CN"/>
                    </w:rPr>
                    <w:t>/</w:t>
                  </w:r>
                </w:p>
              </w:tc>
            </w:tr>
          </w:tbl>
          <w:p w14:paraId="146DE628">
            <w:pPr>
              <w:keepNext w:val="0"/>
              <w:keepLines w:val="0"/>
              <w:suppressLineNumbers w:val="0"/>
              <w:bidi w:val="0"/>
              <w:spacing w:before="0" w:beforeAutospacing="0" w:after="0" w:afterAutospacing="0"/>
              <w:ind w:left="0" w:right="0"/>
              <w:rPr>
                <w:rFonts w:hint="default"/>
              </w:rPr>
            </w:pPr>
          </w:p>
          <w:p w14:paraId="26448CE3">
            <w:pPr>
              <w:keepNext w:val="0"/>
              <w:keepLines w:val="0"/>
              <w:suppressLineNumbers w:val="0"/>
              <w:bidi w:val="0"/>
              <w:spacing w:before="0" w:beforeAutospacing="0" w:after="0" w:afterAutospacing="0"/>
              <w:ind w:left="0" w:right="0"/>
              <w:rPr>
                <w:rFonts w:hint="default"/>
              </w:rPr>
            </w:pPr>
          </w:p>
          <w:p w14:paraId="748B54D2">
            <w:pPr>
              <w:keepNext w:val="0"/>
              <w:keepLines w:val="0"/>
              <w:suppressLineNumbers w:val="0"/>
              <w:bidi w:val="0"/>
              <w:spacing w:before="0" w:beforeAutospacing="0" w:after="0" w:afterAutospacing="0"/>
              <w:ind w:left="0" w:right="0"/>
              <w:rPr>
                <w:rFonts w:hint="default"/>
              </w:rPr>
            </w:pPr>
          </w:p>
          <w:p w14:paraId="58D7E6E0">
            <w:pPr>
              <w:keepNext w:val="0"/>
              <w:keepLines w:val="0"/>
              <w:suppressLineNumbers w:val="0"/>
              <w:bidi w:val="0"/>
              <w:spacing w:before="0" w:beforeAutospacing="0" w:after="0" w:afterAutospacing="0"/>
              <w:ind w:left="0" w:right="0"/>
              <w:rPr>
                <w:rFonts w:hint="default"/>
              </w:rPr>
            </w:pPr>
          </w:p>
          <w:p w14:paraId="639F2ACA">
            <w:pPr>
              <w:keepNext w:val="0"/>
              <w:keepLines w:val="0"/>
              <w:suppressLineNumbers w:val="0"/>
              <w:spacing w:before="0" w:beforeAutospacing="0" w:after="0" w:afterAutospacing="0"/>
              <w:ind w:left="0" w:right="0"/>
              <w:rPr>
                <w:rFonts w:hint="default"/>
              </w:rPr>
            </w:pPr>
          </w:p>
        </w:tc>
      </w:tr>
    </w:tbl>
    <w:p w14:paraId="7791606C">
      <w:pPr>
        <w:adjustRightInd w:val="0"/>
        <w:snapToGrid w:val="0"/>
        <w:spacing w:line="520" w:lineRule="exact"/>
        <w:jc w:val="center"/>
        <w:rPr>
          <w:rFonts w:hint="default" w:ascii="Times New Roman" w:hAnsi="Times New Roman" w:cs="Times New Roman"/>
          <w:bCs/>
          <w:color w:val="000000"/>
          <w:sz w:val="28"/>
          <w:szCs w:val="28"/>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397"/>
      </w:tblGrid>
      <w:tr w14:paraId="7A64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4" w:type="dxa"/>
          </w:tcPr>
          <w:p w14:paraId="777401CC">
            <w:pPr>
              <w:keepNext w:val="0"/>
              <w:keepLines w:val="0"/>
              <w:suppressLineNumbers w:val="0"/>
              <w:adjustRightInd w:val="0"/>
              <w:snapToGrid w:val="0"/>
              <w:spacing w:before="0" w:beforeAutospacing="0" w:after="0" w:afterAutospacing="0" w:line="520" w:lineRule="exact"/>
              <w:ind w:left="0" w:right="0"/>
              <w:jc w:val="center"/>
              <w:rPr>
                <w:rFonts w:hint="default" w:ascii="Times New Roman" w:hAnsi="Times New Roman" w:cs="Times New Roman"/>
                <w:bCs/>
                <w:color w:val="000000"/>
                <w:sz w:val="28"/>
                <w:szCs w:val="28"/>
                <w:highlight w:val="none"/>
                <w:vertAlign w:val="baseline"/>
              </w:rPr>
            </w:pPr>
          </w:p>
        </w:tc>
        <w:tc>
          <w:tcPr>
            <w:tcW w:w="8397" w:type="dxa"/>
          </w:tcPr>
          <w:p w14:paraId="3BB66C4D">
            <w:pPr>
              <w:pStyle w:val="3"/>
              <w:keepLines w:val="0"/>
              <w:suppressLineNumbers w:val="0"/>
              <w:bidi w:val="0"/>
              <w:spacing w:before="0" w:beforeAutospacing="0" w:after="0" w:afterAutospacing="0"/>
              <w:ind w:right="0"/>
              <w:rPr>
                <w:rFonts w:hint="default"/>
                <w:highlight w:val="none"/>
                <w:lang w:val="en-US" w:eastAsia="zh-CN"/>
              </w:rPr>
            </w:pPr>
            <w:r>
              <w:rPr>
                <w:rFonts w:hint="default"/>
                <w:highlight w:val="none"/>
              </w:rPr>
              <w:t>1</w:t>
            </w:r>
            <w:r>
              <w:rPr>
                <w:rFonts w:hint="default"/>
                <w:highlight w:val="none"/>
                <w:lang w:val="en-US" w:eastAsia="zh-CN"/>
              </w:rPr>
              <w:t>.2</w:t>
            </w:r>
            <w:r>
              <w:rPr>
                <w:rFonts w:hint="eastAsia"/>
                <w:highlight w:val="none"/>
                <w:lang w:val="en-US" w:eastAsia="zh-CN"/>
              </w:rPr>
              <w:t xml:space="preserve"> </w:t>
            </w:r>
            <w:r>
              <w:rPr>
                <w:rFonts w:hint="default"/>
                <w:highlight w:val="none"/>
              </w:rPr>
              <w:t>项目排气筒信息</w:t>
            </w:r>
          </w:p>
          <w:p w14:paraId="18AC418B">
            <w:pPr>
              <w:keepNext w:val="0"/>
              <w:keepLines w:val="0"/>
              <w:suppressLineNumbers w:val="0"/>
              <w:bidi w:val="0"/>
              <w:spacing w:before="0" w:beforeAutospacing="0" w:after="0" w:afterAutospacing="0"/>
              <w:ind w:left="0" w:right="0"/>
              <w:rPr>
                <w:rFonts w:hint="eastAsia" w:eastAsia="宋体"/>
                <w:highlight w:val="none"/>
                <w:lang w:eastAsia="zh-CN"/>
              </w:rPr>
            </w:pPr>
            <w:r>
              <w:rPr>
                <w:rFonts w:hint="default"/>
                <w:highlight w:val="none"/>
              </w:rPr>
              <w:t>本项目大气污染物排气口信息见表4-</w:t>
            </w:r>
            <w:r>
              <w:rPr>
                <w:rFonts w:hint="eastAsia"/>
                <w:highlight w:val="none"/>
                <w:lang w:val="en-US" w:eastAsia="zh-CN"/>
              </w:rPr>
              <w:t>2</w:t>
            </w:r>
          </w:p>
          <w:p w14:paraId="5BE13701">
            <w:pPr>
              <w:pStyle w:val="5"/>
              <w:suppressLineNumbers w:val="0"/>
              <w:bidi w:val="0"/>
              <w:spacing w:before="0" w:beforeAutospacing="0" w:after="0" w:afterAutospacing="0"/>
              <w:ind w:left="0" w:right="0"/>
              <w:rPr>
                <w:rFonts w:hint="default"/>
                <w:highlight w:val="none"/>
                <w:lang w:val="zh-CN"/>
              </w:rPr>
            </w:pPr>
            <w:r>
              <w:rPr>
                <w:rFonts w:hint="default"/>
                <w:highlight w:val="none"/>
                <w:lang w:val="zh-CN"/>
              </w:rPr>
              <w:t>表</w:t>
            </w:r>
            <w:r>
              <w:rPr>
                <w:rFonts w:hint="eastAsia"/>
                <w:highlight w:val="none"/>
                <w:lang w:val="en-US" w:eastAsia="zh-CN"/>
              </w:rPr>
              <w:t>4-2</w:t>
            </w:r>
            <w:r>
              <w:rPr>
                <w:rFonts w:hint="default"/>
                <w:highlight w:val="none"/>
                <w:lang w:val="en-US" w:eastAsia="zh-CN"/>
              </w:rPr>
              <w:t xml:space="preserve">  </w:t>
            </w:r>
            <w:r>
              <w:rPr>
                <w:rFonts w:hint="default"/>
                <w:highlight w:val="none"/>
                <w:lang w:val="zh-CN"/>
              </w:rPr>
              <w:t>废气排口情况一览表</w:t>
            </w:r>
          </w:p>
          <w:tbl>
            <w:tblPr>
              <w:tblStyle w:val="3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869"/>
              <w:gridCol w:w="1826"/>
              <w:gridCol w:w="908"/>
              <w:gridCol w:w="1152"/>
              <w:gridCol w:w="998"/>
              <w:gridCol w:w="1116"/>
            </w:tblGrid>
            <w:tr w14:paraId="0DA9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793" w:type="pct"/>
                  <w:vAlign w:val="center"/>
                </w:tcPr>
                <w:p w14:paraId="07B94FF5">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排放口名称</w:t>
                  </w:r>
                </w:p>
              </w:tc>
              <w:tc>
                <w:tcPr>
                  <w:tcW w:w="532" w:type="pct"/>
                  <w:vAlign w:val="center"/>
                </w:tcPr>
                <w:p w14:paraId="60DCDFD8">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排放口编号</w:t>
                  </w:r>
                </w:p>
              </w:tc>
              <w:tc>
                <w:tcPr>
                  <w:tcW w:w="1118" w:type="pct"/>
                  <w:vAlign w:val="center"/>
                </w:tcPr>
                <w:p w14:paraId="36F9A7F9">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排放口坐标</w:t>
                  </w:r>
                </w:p>
              </w:tc>
              <w:tc>
                <w:tcPr>
                  <w:tcW w:w="556" w:type="pct"/>
                  <w:vAlign w:val="center"/>
                </w:tcPr>
                <w:p w14:paraId="11A7BEF4">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排气筒高度/m</w:t>
                  </w:r>
                </w:p>
              </w:tc>
              <w:tc>
                <w:tcPr>
                  <w:tcW w:w="705" w:type="pct"/>
                  <w:vAlign w:val="center"/>
                </w:tcPr>
                <w:p w14:paraId="79EA68DA">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排气筒出口内径/m</w:t>
                  </w:r>
                </w:p>
              </w:tc>
              <w:tc>
                <w:tcPr>
                  <w:tcW w:w="611" w:type="pct"/>
                  <w:vAlign w:val="center"/>
                </w:tcPr>
                <w:p w14:paraId="118279A5">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烟气温度/℃</w:t>
                  </w:r>
                </w:p>
              </w:tc>
              <w:tc>
                <w:tcPr>
                  <w:tcW w:w="683" w:type="pct"/>
                  <w:vAlign w:val="center"/>
                </w:tcPr>
                <w:p w14:paraId="214EE92E">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类型</w:t>
                  </w:r>
                </w:p>
              </w:tc>
            </w:tr>
            <w:tr w14:paraId="49D8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3" w:type="pct"/>
                  <w:vAlign w:val="center"/>
                </w:tcPr>
                <w:p w14:paraId="32C7DA0F">
                  <w:pPr>
                    <w:pStyle w:val="7"/>
                    <w:keepNext w:val="0"/>
                    <w:keepLines w:val="0"/>
                    <w:suppressLineNumbers w:val="0"/>
                    <w:bidi w:val="0"/>
                    <w:spacing w:before="0" w:beforeAutospacing="0" w:after="0" w:afterAutospacing="0"/>
                    <w:ind w:left="0" w:right="0"/>
                    <w:rPr>
                      <w:rFonts w:hint="default"/>
                      <w:highlight w:val="none"/>
                    </w:rPr>
                  </w:pPr>
                  <w:r>
                    <w:rPr>
                      <w:rFonts w:hint="eastAsia"/>
                      <w:highlight w:val="none"/>
                      <w:lang w:val="en-US" w:eastAsia="zh-CN"/>
                    </w:rPr>
                    <w:t>上料口废气</w:t>
                  </w:r>
                  <w:r>
                    <w:rPr>
                      <w:rFonts w:hint="default"/>
                      <w:highlight w:val="none"/>
                    </w:rPr>
                    <w:t>排放口</w:t>
                  </w:r>
                </w:p>
              </w:tc>
              <w:tc>
                <w:tcPr>
                  <w:tcW w:w="532" w:type="pct"/>
                  <w:vAlign w:val="center"/>
                </w:tcPr>
                <w:p w14:paraId="5B4BFBAE">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DA001</w:t>
                  </w:r>
                </w:p>
              </w:tc>
              <w:tc>
                <w:tcPr>
                  <w:tcW w:w="1118" w:type="pct"/>
                  <w:vAlign w:val="center"/>
                </w:tcPr>
                <w:p w14:paraId="66912350">
                  <w:pPr>
                    <w:pStyle w:val="7"/>
                    <w:keepNext w:val="0"/>
                    <w:keepLines w:val="0"/>
                    <w:suppressLineNumbers w:val="0"/>
                    <w:bidi w:val="0"/>
                    <w:spacing w:before="0" w:beforeAutospacing="0" w:after="0" w:afterAutospacing="0"/>
                    <w:ind w:left="0" w:right="0"/>
                    <w:rPr>
                      <w:rFonts w:hint="default"/>
                      <w:highlight w:val="none"/>
                    </w:rPr>
                  </w:pPr>
                  <w:r>
                    <w:rPr>
                      <w:rFonts w:hint="default" w:ascii="Times New Roman" w:hAnsi="Times New Roman" w:cs="Times New Roman"/>
                      <w:highlight w:val="none"/>
                      <w:lang w:val="zh-CN"/>
                    </w:rPr>
                    <w:t>86°19′8.87</w:t>
                  </w:r>
                  <w:r>
                    <w:rPr>
                      <w:rFonts w:hint="default" w:ascii="Times New Roman" w:hAnsi="Times New Roman" w:cs="Times New Roman"/>
                      <w:highlight w:val="none"/>
                      <w:lang w:val="en-US" w:eastAsia="zh-CN"/>
                    </w:rPr>
                    <w:t>5</w:t>
                  </w:r>
                  <w:r>
                    <w:rPr>
                      <w:rFonts w:hint="default" w:ascii="Times New Roman" w:hAnsi="Times New Roman" w:cs="Times New Roman"/>
                      <w:highlight w:val="none"/>
                      <w:lang w:val="zh-CN"/>
                    </w:rPr>
                    <w:t>″，42°20′38.5</w:t>
                  </w:r>
                  <w:r>
                    <w:rPr>
                      <w:rFonts w:hint="default" w:ascii="Times New Roman" w:hAnsi="Times New Roman" w:cs="Times New Roman"/>
                      <w:highlight w:val="none"/>
                      <w:lang w:val="zh-CN" w:eastAsia="zh-CN"/>
                    </w:rPr>
                    <w:t>40</w:t>
                  </w:r>
                  <w:r>
                    <w:rPr>
                      <w:rFonts w:hint="default" w:ascii="Times New Roman" w:hAnsi="Times New Roman" w:cs="Times New Roman"/>
                      <w:highlight w:val="none"/>
                      <w:lang w:val="zh-CN"/>
                    </w:rPr>
                    <w:t>″</w:t>
                  </w:r>
                </w:p>
              </w:tc>
              <w:tc>
                <w:tcPr>
                  <w:tcW w:w="556" w:type="pct"/>
                  <w:vAlign w:val="center"/>
                </w:tcPr>
                <w:p w14:paraId="43F7F942">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15</w:t>
                  </w:r>
                </w:p>
              </w:tc>
              <w:tc>
                <w:tcPr>
                  <w:tcW w:w="705" w:type="pct"/>
                  <w:vAlign w:val="center"/>
                </w:tcPr>
                <w:p w14:paraId="44435F59">
                  <w:pPr>
                    <w:pStyle w:val="7"/>
                    <w:keepNext w:val="0"/>
                    <w:keepLines w:val="0"/>
                    <w:suppressLineNumbers w:val="0"/>
                    <w:bidi w:val="0"/>
                    <w:spacing w:before="0" w:beforeAutospacing="0" w:after="0" w:afterAutospacing="0"/>
                    <w:ind w:left="0" w:right="0"/>
                    <w:rPr>
                      <w:rFonts w:hint="default" w:eastAsia="宋体"/>
                      <w:highlight w:val="none"/>
                      <w:lang w:val="en-US" w:eastAsia="zh-CN"/>
                    </w:rPr>
                  </w:pPr>
                  <w:r>
                    <w:rPr>
                      <w:rFonts w:hint="eastAsia"/>
                      <w:highlight w:val="none"/>
                      <w:lang w:val="en-US" w:eastAsia="zh-CN"/>
                    </w:rPr>
                    <w:t>0.4</w:t>
                  </w:r>
                </w:p>
              </w:tc>
              <w:tc>
                <w:tcPr>
                  <w:tcW w:w="611" w:type="pct"/>
                  <w:vAlign w:val="center"/>
                </w:tcPr>
                <w:p w14:paraId="585905B1">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25</w:t>
                  </w:r>
                </w:p>
              </w:tc>
              <w:tc>
                <w:tcPr>
                  <w:tcW w:w="683" w:type="pct"/>
                  <w:vAlign w:val="center"/>
                </w:tcPr>
                <w:p w14:paraId="622B8F63">
                  <w:pPr>
                    <w:pStyle w:val="7"/>
                    <w:keepNext w:val="0"/>
                    <w:keepLines w:val="0"/>
                    <w:suppressLineNumbers w:val="0"/>
                    <w:bidi w:val="0"/>
                    <w:spacing w:before="0" w:beforeAutospacing="0" w:after="0" w:afterAutospacing="0"/>
                    <w:ind w:left="0" w:right="0"/>
                    <w:rPr>
                      <w:rFonts w:hint="default"/>
                      <w:highlight w:val="none"/>
                    </w:rPr>
                  </w:pPr>
                  <w:r>
                    <w:rPr>
                      <w:rFonts w:hint="default"/>
                      <w:highlight w:val="none"/>
                    </w:rPr>
                    <w:t>一般排放口</w:t>
                  </w:r>
                </w:p>
              </w:tc>
            </w:tr>
          </w:tbl>
          <w:p w14:paraId="67A6FE1C">
            <w:pPr>
              <w:pStyle w:val="3"/>
              <w:keepLines w:val="0"/>
              <w:suppressLineNumbers w:val="0"/>
              <w:bidi w:val="0"/>
              <w:spacing w:before="0" w:beforeAutospacing="0" w:after="0" w:afterAutospacing="0"/>
              <w:ind w:right="0"/>
              <w:rPr>
                <w:rFonts w:hint="eastAsia"/>
                <w:highlight w:val="none"/>
                <w:lang w:val="en-US" w:eastAsia="zh-CN"/>
              </w:rPr>
            </w:pPr>
            <w:r>
              <w:rPr>
                <w:rFonts w:hint="eastAsia"/>
                <w:highlight w:val="none"/>
                <w:lang w:val="en-US" w:eastAsia="zh-CN"/>
              </w:rPr>
              <w:t>1.3 非正常工况废气排放</w:t>
            </w:r>
          </w:p>
          <w:p w14:paraId="03CE0E6D">
            <w:pPr>
              <w:keepNext w:val="0"/>
              <w:keepLines w:val="0"/>
              <w:suppressLineNumbers w:val="0"/>
              <w:spacing w:before="0" w:beforeAutospacing="0" w:after="0" w:afterAutospacing="0"/>
              <w:ind w:left="0" w:right="0"/>
              <w:rPr>
                <w:rFonts w:hint="default"/>
                <w:highlight w:val="yellow"/>
                <w:lang w:val="en-US" w:eastAsia="zh-CN"/>
              </w:rPr>
            </w:pPr>
            <w:r>
              <w:rPr>
                <w:rFonts w:hint="default"/>
                <w:highlight w:val="none"/>
                <w:lang w:val="en-US" w:eastAsia="zh-CN"/>
              </w:rPr>
              <w:t>在非正常工况下，因环保设施未正常运转，废气处置装置无法发挥最大效率，去除效率降至设计效率的</w:t>
            </w:r>
            <w:r>
              <w:rPr>
                <w:rFonts w:hint="eastAsia"/>
                <w:highlight w:val="none"/>
                <w:lang w:val="en-US" w:eastAsia="zh-CN"/>
              </w:rPr>
              <w:t>一半</w:t>
            </w:r>
            <w:r>
              <w:rPr>
                <w:rFonts w:hint="default"/>
                <w:highlight w:val="none"/>
                <w:lang w:val="en-US" w:eastAsia="zh-CN"/>
              </w:rPr>
              <w:t>，则在非正常工况下本项目排放情况见下表。</w:t>
            </w:r>
          </w:p>
          <w:p w14:paraId="2D57F24B">
            <w:pPr>
              <w:pStyle w:val="5"/>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表4-</w:t>
            </w:r>
            <w:r>
              <w:rPr>
                <w:rFonts w:hint="eastAsia"/>
                <w:highlight w:val="none"/>
                <w:lang w:val="en-US" w:eastAsia="zh-CN"/>
              </w:rPr>
              <w:t>3</w:t>
            </w:r>
            <w:r>
              <w:rPr>
                <w:rFonts w:hint="default"/>
                <w:highlight w:val="none"/>
                <w:lang w:val="en-US" w:eastAsia="zh-CN"/>
              </w:rPr>
              <w:t xml:space="preserve">  非正常工况大气污染物排放情况</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10"/>
              <w:gridCol w:w="930"/>
              <w:gridCol w:w="1170"/>
              <w:gridCol w:w="1290"/>
              <w:gridCol w:w="1140"/>
              <w:gridCol w:w="855"/>
              <w:gridCol w:w="826"/>
            </w:tblGrid>
            <w:tr w14:paraId="6568E2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0" w:type="pct"/>
                  <w:noWrap/>
                  <w:vAlign w:val="center"/>
                </w:tcPr>
                <w:p w14:paraId="33187DCF">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污染物种类</w:t>
                  </w:r>
                </w:p>
              </w:tc>
              <w:tc>
                <w:tcPr>
                  <w:tcW w:w="679" w:type="pct"/>
                  <w:noWrap w:val="0"/>
                  <w:vAlign w:val="center"/>
                </w:tcPr>
                <w:p w14:paraId="08A95504">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位置</w:t>
                  </w:r>
                </w:p>
              </w:tc>
              <w:tc>
                <w:tcPr>
                  <w:tcW w:w="569" w:type="pct"/>
                  <w:noWrap/>
                  <w:vAlign w:val="center"/>
                </w:tcPr>
                <w:p w14:paraId="533F6C8F">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频次</w:t>
                  </w:r>
                </w:p>
                <w:p w14:paraId="768ADA65">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（次/a）</w:t>
                  </w:r>
                </w:p>
              </w:tc>
              <w:tc>
                <w:tcPr>
                  <w:tcW w:w="715" w:type="pct"/>
                  <w:noWrap/>
                  <w:vAlign w:val="center"/>
                </w:tcPr>
                <w:p w14:paraId="06050419">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持续时间（h/次）</w:t>
                  </w:r>
                </w:p>
              </w:tc>
              <w:tc>
                <w:tcPr>
                  <w:tcW w:w="789" w:type="pct"/>
                  <w:noWrap/>
                  <w:vAlign w:val="center"/>
                </w:tcPr>
                <w:p w14:paraId="3DFBBD36">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去除效率（%）</w:t>
                  </w:r>
                </w:p>
              </w:tc>
              <w:tc>
                <w:tcPr>
                  <w:tcW w:w="697" w:type="pct"/>
                  <w:noWrap/>
                  <w:vAlign w:val="center"/>
                </w:tcPr>
                <w:p w14:paraId="1D37ABDD">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排放速率（kg/h）</w:t>
                  </w:r>
                </w:p>
              </w:tc>
              <w:tc>
                <w:tcPr>
                  <w:tcW w:w="523" w:type="pct"/>
                  <w:noWrap/>
                  <w:vAlign w:val="center"/>
                </w:tcPr>
                <w:p w14:paraId="2735F84D">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排放量（kg）</w:t>
                  </w:r>
                </w:p>
              </w:tc>
              <w:tc>
                <w:tcPr>
                  <w:tcW w:w="505" w:type="pct"/>
                  <w:noWrap/>
                  <w:vAlign w:val="center"/>
                </w:tcPr>
                <w:p w14:paraId="5116580D">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措施</w:t>
                  </w:r>
                </w:p>
              </w:tc>
            </w:tr>
            <w:tr w14:paraId="2213D46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7" w:hRule="atLeast"/>
                <w:jc w:val="center"/>
              </w:trPr>
              <w:tc>
                <w:tcPr>
                  <w:tcW w:w="520" w:type="pct"/>
                  <w:vMerge w:val="restart"/>
                  <w:noWrap/>
                  <w:vAlign w:val="center"/>
                </w:tcPr>
                <w:p w14:paraId="525D498D">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颗粒物</w:t>
                  </w:r>
                </w:p>
              </w:tc>
              <w:tc>
                <w:tcPr>
                  <w:tcW w:w="679" w:type="pct"/>
                  <w:noWrap w:val="0"/>
                  <w:vAlign w:val="center"/>
                </w:tcPr>
                <w:p w14:paraId="54852C7F">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水泥筒仓</w:t>
                  </w:r>
                </w:p>
              </w:tc>
              <w:tc>
                <w:tcPr>
                  <w:tcW w:w="569" w:type="pct"/>
                  <w:noWrap/>
                  <w:vAlign w:val="center"/>
                </w:tcPr>
                <w:p w14:paraId="35BD56CF">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w:t>
                  </w:r>
                </w:p>
              </w:tc>
              <w:tc>
                <w:tcPr>
                  <w:tcW w:w="715" w:type="pct"/>
                  <w:noWrap/>
                  <w:vAlign w:val="center"/>
                </w:tcPr>
                <w:p w14:paraId="7D6E1CF1">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0.5</w:t>
                  </w:r>
                </w:p>
              </w:tc>
              <w:tc>
                <w:tcPr>
                  <w:tcW w:w="789" w:type="pct"/>
                  <w:noWrap/>
                  <w:vAlign w:val="center"/>
                </w:tcPr>
                <w:p w14:paraId="0AB1A599">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49.85</w:t>
                  </w:r>
                </w:p>
              </w:tc>
              <w:tc>
                <w:tcPr>
                  <w:tcW w:w="697" w:type="pct"/>
                  <w:noWrap/>
                  <w:vAlign w:val="center"/>
                </w:tcPr>
                <w:p w14:paraId="356AC031">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5.975</w:t>
                  </w:r>
                </w:p>
              </w:tc>
              <w:tc>
                <w:tcPr>
                  <w:tcW w:w="855" w:type="dxa"/>
                  <w:noWrap/>
                  <w:vAlign w:val="center"/>
                </w:tcPr>
                <w:p w14:paraId="544F41AE">
                  <w:pPr>
                    <w:pStyle w:val="7"/>
                    <w:keepNext w:val="0"/>
                    <w:keepLines w:val="0"/>
                    <w:suppressLineNumbers w:val="0"/>
                    <w:bidi w:val="0"/>
                    <w:spacing w:before="0" w:beforeAutospacing="0" w:after="0" w:afterAutospacing="0"/>
                    <w:ind w:left="0" w:leftChars="0" w:right="0" w:rightChars="0" w:firstLine="0" w:firstLineChars="0"/>
                    <w:rPr>
                      <w:rFonts w:hint="default"/>
                      <w:highlight w:val="none"/>
                      <w:lang w:val="en-US" w:eastAsia="zh-CN"/>
                    </w:rPr>
                  </w:pPr>
                  <w:r>
                    <w:rPr>
                      <w:rFonts w:hint="eastAsia"/>
                      <w:highlight w:val="none"/>
                      <w:lang w:val="en-US" w:eastAsia="zh-CN"/>
                    </w:rPr>
                    <w:t>5.975</w:t>
                  </w:r>
                </w:p>
              </w:tc>
              <w:tc>
                <w:tcPr>
                  <w:tcW w:w="505" w:type="pct"/>
                  <w:vMerge w:val="restart"/>
                  <w:noWrap/>
                  <w:vAlign w:val="center"/>
                </w:tcPr>
                <w:p w14:paraId="127667B7">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停工检修</w:t>
                  </w:r>
                </w:p>
              </w:tc>
            </w:tr>
            <w:tr w14:paraId="35688B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20" w:type="pct"/>
                  <w:vMerge w:val="continue"/>
                  <w:noWrap/>
                  <w:vAlign w:val="center"/>
                </w:tcPr>
                <w:p w14:paraId="47A0B108">
                  <w:pPr>
                    <w:pStyle w:val="7"/>
                    <w:keepNext w:val="0"/>
                    <w:keepLines w:val="0"/>
                    <w:suppressLineNumbers w:val="0"/>
                    <w:bidi w:val="0"/>
                    <w:spacing w:before="0" w:beforeAutospacing="0" w:after="0" w:afterAutospacing="0"/>
                    <w:ind w:left="0" w:right="0"/>
                    <w:rPr>
                      <w:rFonts w:hint="default"/>
                      <w:highlight w:val="none"/>
                      <w:lang w:val="en-US" w:eastAsia="zh-CN"/>
                    </w:rPr>
                  </w:pPr>
                </w:p>
              </w:tc>
              <w:tc>
                <w:tcPr>
                  <w:tcW w:w="679" w:type="pct"/>
                  <w:noWrap w:val="0"/>
                  <w:vAlign w:val="center"/>
                </w:tcPr>
                <w:p w14:paraId="47B56A4C">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上料口</w:t>
                  </w:r>
                </w:p>
              </w:tc>
              <w:tc>
                <w:tcPr>
                  <w:tcW w:w="569" w:type="pct"/>
                  <w:noWrap/>
                  <w:vAlign w:val="center"/>
                </w:tcPr>
                <w:p w14:paraId="39121CE6">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2</w:t>
                  </w:r>
                </w:p>
              </w:tc>
              <w:tc>
                <w:tcPr>
                  <w:tcW w:w="715" w:type="pct"/>
                  <w:noWrap/>
                  <w:vAlign w:val="center"/>
                </w:tcPr>
                <w:p w14:paraId="737AA128">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0.5</w:t>
                  </w:r>
                </w:p>
              </w:tc>
              <w:tc>
                <w:tcPr>
                  <w:tcW w:w="789" w:type="pct"/>
                  <w:noWrap/>
                  <w:vAlign w:val="center"/>
                </w:tcPr>
                <w:p w14:paraId="3E3768C0">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49.85</w:t>
                  </w:r>
                </w:p>
              </w:tc>
              <w:tc>
                <w:tcPr>
                  <w:tcW w:w="697" w:type="pct"/>
                  <w:noWrap/>
                  <w:vAlign w:val="center"/>
                </w:tcPr>
                <w:p w14:paraId="2EB108B0">
                  <w:pPr>
                    <w:pStyle w:val="7"/>
                    <w:keepNext w:val="0"/>
                    <w:keepLines w:val="0"/>
                    <w:suppressLineNumbers w:val="0"/>
                    <w:bidi w:val="0"/>
                    <w:spacing w:before="0" w:beforeAutospacing="0" w:after="0" w:afterAutospacing="0"/>
                    <w:ind w:left="0" w:right="0"/>
                    <w:rPr>
                      <w:rFonts w:hint="default"/>
                      <w:highlight w:val="none"/>
                      <w:lang w:val="en-US" w:eastAsia="zh-CN"/>
                    </w:rPr>
                  </w:pPr>
                  <w:r>
                    <w:rPr>
                      <w:rFonts w:hint="eastAsia"/>
                      <w:highlight w:val="none"/>
                      <w:lang w:val="en-US" w:eastAsia="zh-CN"/>
                    </w:rPr>
                    <w:t>1.3399</w:t>
                  </w:r>
                </w:p>
              </w:tc>
              <w:tc>
                <w:tcPr>
                  <w:tcW w:w="855" w:type="dxa"/>
                  <w:noWrap/>
                  <w:vAlign w:val="center"/>
                </w:tcPr>
                <w:p w14:paraId="771F7E27">
                  <w:pPr>
                    <w:pStyle w:val="7"/>
                    <w:keepNext w:val="0"/>
                    <w:keepLines w:val="0"/>
                    <w:suppressLineNumbers w:val="0"/>
                    <w:bidi w:val="0"/>
                    <w:spacing w:before="0" w:beforeAutospacing="0" w:after="0" w:afterAutospacing="0"/>
                    <w:ind w:left="0" w:leftChars="0" w:right="0" w:rightChars="0" w:firstLine="0" w:firstLineChars="0"/>
                    <w:rPr>
                      <w:rFonts w:hint="default"/>
                      <w:highlight w:val="none"/>
                      <w:lang w:val="en-US" w:eastAsia="zh-CN"/>
                    </w:rPr>
                  </w:pPr>
                  <w:r>
                    <w:rPr>
                      <w:rFonts w:hint="eastAsia"/>
                      <w:highlight w:val="none"/>
                      <w:lang w:val="en-US" w:eastAsia="zh-CN"/>
                    </w:rPr>
                    <w:t>1.3399</w:t>
                  </w:r>
                </w:p>
              </w:tc>
              <w:tc>
                <w:tcPr>
                  <w:tcW w:w="505" w:type="pct"/>
                  <w:vMerge w:val="continue"/>
                  <w:noWrap/>
                  <w:vAlign w:val="center"/>
                </w:tcPr>
                <w:p w14:paraId="751864B1">
                  <w:pPr>
                    <w:pStyle w:val="7"/>
                    <w:keepNext w:val="0"/>
                    <w:keepLines w:val="0"/>
                    <w:suppressLineNumbers w:val="0"/>
                    <w:bidi w:val="0"/>
                    <w:spacing w:before="0" w:beforeAutospacing="0" w:after="0" w:afterAutospacing="0"/>
                    <w:ind w:left="0" w:right="0"/>
                    <w:rPr>
                      <w:rFonts w:hint="default"/>
                      <w:highlight w:val="none"/>
                      <w:lang w:val="en-US" w:eastAsia="zh-CN"/>
                    </w:rPr>
                  </w:pPr>
                </w:p>
              </w:tc>
            </w:tr>
          </w:tbl>
          <w:p w14:paraId="21F62C56">
            <w:pPr>
              <w:keepNext w:val="0"/>
              <w:keepLines w:val="0"/>
              <w:suppressLineNumbers w:val="0"/>
              <w:spacing w:before="0" w:beforeAutospacing="0" w:after="0" w:afterAutospacing="0"/>
              <w:ind w:left="0" w:right="0"/>
              <w:rPr>
                <w:rFonts w:hint="default"/>
                <w:lang w:val="en-US" w:eastAsia="zh-CN"/>
              </w:rPr>
            </w:pPr>
            <w:r>
              <w:rPr>
                <w:rFonts w:hint="default"/>
                <w:highlight w:val="none"/>
                <w:lang w:val="en-US" w:eastAsia="zh-CN"/>
              </w:rPr>
              <w:t>根据分析，非正常工况下，建设单位应及时停止生产，对环保</w:t>
            </w:r>
            <w:r>
              <w:rPr>
                <w:rFonts w:hint="default"/>
                <w:lang w:val="en-US" w:eastAsia="zh-CN"/>
              </w:rPr>
              <w:t>设备进行检修作业。</w:t>
            </w:r>
          </w:p>
          <w:p w14:paraId="0933CD32">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1.4 废气治理措施可行性分析</w:t>
            </w:r>
          </w:p>
          <w:p w14:paraId="0FE71128">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（1）物料储存粉尘防治措施可行性分析</w:t>
            </w:r>
          </w:p>
          <w:p w14:paraId="7C1EC186">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①原料堆场</w:t>
            </w:r>
          </w:p>
          <w:p w14:paraId="53935E34">
            <w:pPr>
              <w:keepNext w:val="0"/>
              <w:keepLines w:val="0"/>
              <w:suppressLineNumbers w:val="0"/>
              <w:bidi w:val="0"/>
              <w:spacing w:before="0" w:beforeAutospacing="0" w:after="0" w:afterAutospacing="0"/>
              <w:ind w:left="0" w:right="0"/>
              <w:rPr>
                <w:rFonts w:hint="eastAsia"/>
              </w:rPr>
            </w:pPr>
            <w:r>
              <w:rPr>
                <w:rFonts w:hint="eastAsia"/>
                <w:lang w:val="en-US" w:eastAsia="zh-CN"/>
              </w:rPr>
              <w:t>依据《工业料堆场扬尘整治规范》（DB65/T4061-2017），本项目原料堆场判定为</w:t>
            </w:r>
            <w:r>
              <w:rPr>
                <w:rFonts w:hint="default" w:ascii="Times New Roman" w:hAnsi="Times New Roman" w:cs="Times New Roman"/>
                <w:lang w:val="en-US" w:eastAsia="zh-CN"/>
              </w:rPr>
              <w:t>Ⅰ</w:t>
            </w:r>
            <w:r>
              <w:rPr>
                <w:rFonts w:hint="eastAsia"/>
                <w:lang w:val="en-US" w:eastAsia="zh-CN"/>
              </w:rPr>
              <w:t>类堆场。本项目采取原料堆场全封闭的治理措施，同时项目所用砂石料均由供应厂家完成水洗、筛分处理，原料含尘量低、颗粒粒径较大，自然状态下不易起尘，可从源头减少堆存环节的扬尘产生。</w:t>
            </w:r>
            <w:r>
              <w:rPr>
                <w:rFonts w:hint="eastAsia"/>
              </w:rPr>
              <w:t>原料堆场在采取</w:t>
            </w:r>
            <w:r>
              <w:rPr>
                <w:rFonts w:hint="eastAsia"/>
                <w:lang w:val="en-US" w:eastAsia="zh-CN"/>
              </w:rPr>
              <w:t>封闭式堆场措施</w:t>
            </w:r>
            <w:r>
              <w:rPr>
                <w:rFonts w:hint="eastAsia"/>
              </w:rPr>
              <w:t>后，能实现厂界无组织颗粒物达标排放，符合《工业料堆场扬尘整治规范》（DB65/T4061-2017）</w:t>
            </w:r>
            <w:r>
              <w:rPr>
                <w:rFonts w:hint="eastAsia"/>
                <w:lang w:val="en-US" w:eastAsia="zh-CN"/>
              </w:rPr>
              <w:t>和《排污许可证申请与核发技术规范 水泥工业》（HJ 847—2017）表4</w:t>
            </w:r>
            <w:r>
              <w:rPr>
                <w:rFonts w:hint="eastAsia"/>
              </w:rPr>
              <w:t>中基本要求</w:t>
            </w:r>
            <w:r>
              <w:rPr>
                <w:rFonts w:hint="eastAsia"/>
                <w:lang w:eastAsia="zh-CN"/>
              </w:rPr>
              <w:t>，</w:t>
            </w:r>
            <w:r>
              <w:rPr>
                <w:rFonts w:hint="eastAsia"/>
                <w:lang w:val="en-US" w:eastAsia="zh-CN"/>
              </w:rPr>
              <w:t>为可行技术</w:t>
            </w:r>
            <w:r>
              <w:rPr>
                <w:rFonts w:hint="eastAsia"/>
              </w:rPr>
              <w:t>。</w:t>
            </w:r>
          </w:p>
          <w:p w14:paraId="186D4AF7">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②水泥筒仓</w:t>
            </w:r>
          </w:p>
          <w:p w14:paraId="05CC9F06">
            <w:pPr>
              <w:keepNext w:val="0"/>
              <w:keepLines w:val="0"/>
              <w:suppressLineNumbers w:val="0"/>
              <w:bidi w:val="0"/>
              <w:spacing w:before="0" w:beforeAutospacing="0" w:after="0" w:afterAutospacing="0"/>
              <w:ind w:left="0" w:right="0"/>
              <w:rPr>
                <w:rFonts w:hint="eastAsia"/>
              </w:rPr>
            </w:pPr>
            <w:r>
              <w:rPr>
                <w:rFonts w:hint="eastAsia"/>
              </w:rPr>
              <w:t>水泥筒仓采用密闭形式，</w:t>
            </w:r>
            <w:r>
              <w:rPr>
                <w:rFonts w:hint="eastAsia"/>
                <w:lang w:val="en-US" w:eastAsia="zh-CN"/>
              </w:rPr>
              <w:t>筒仓仓顶滤筒式过滤器</w:t>
            </w:r>
            <w:r>
              <w:rPr>
                <w:rFonts w:hint="eastAsia"/>
              </w:rPr>
              <w:t>，</w:t>
            </w:r>
            <w:r>
              <w:rPr>
                <w:rFonts w:hint="eastAsia"/>
                <w:lang w:val="en-US" w:eastAsia="zh-CN"/>
              </w:rPr>
              <w:t>含尘气体进入过滤器后，气流速度降低，大颗粒粉尘因重力沉降；细微粉尘随气流通过滤筒表面时，被滤料截留，实现气固分离。净化后的气体经出风口达标排放，根据《排污许可证申请与核发技术规范 水泥工业》（HJ 847—2017）附录B，本项目采取滤筒式过滤器是可行性技术。</w:t>
            </w:r>
          </w:p>
          <w:p w14:paraId="7D97531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（2）上料颗粒物防治措施可行性分析</w:t>
            </w:r>
          </w:p>
          <w:p w14:paraId="3305EEEA">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本项目上料产生的粉尘经集气罩收集后，由袋式除尘器处理后通过15m高排气筒排放，根据《排污许可证申请与核发技术规范 水泥工业》（HJ 847—2017）附录B，本项目上料口配套一套袋式除尘器处理通过15m高排气筒排放，该治理措施可行。</w:t>
            </w:r>
          </w:p>
          <w:p w14:paraId="41006E3D">
            <w:pPr>
              <w:pStyle w:val="3"/>
              <w:keepLines w:val="0"/>
              <w:suppressLineNumbers w:val="0"/>
              <w:bidi w:val="0"/>
              <w:spacing w:before="0" w:beforeAutospacing="0" w:after="0" w:afterAutospacing="0"/>
              <w:ind w:right="0"/>
              <w:rPr>
                <w:rFonts w:hint="eastAsia"/>
                <w:lang w:val="en-US" w:eastAsia="zh-CN"/>
              </w:rPr>
            </w:pPr>
            <w:r>
              <w:rPr>
                <w:rFonts w:hint="eastAsia"/>
                <w:lang w:val="en-US" w:eastAsia="zh-CN"/>
              </w:rPr>
              <w:t>1.5 大气环境影响分析</w:t>
            </w:r>
          </w:p>
          <w:p w14:paraId="400CAB44">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本项目废气主要源于物料搅拌、水泥及原料储存、上料等环节产生的颗粒物。经核算，项目颗粒物排放量规模较小，针对各排放环节已采取针对性治理措施：</w:t>
            </w:r>
            <w:r>
              <w:rPr>
                <w:rFonts w:hint="eastAsia"/>
                <w:lang w:val="en-US" w:eastAsia="zh-CN"/>
              </w:rPr>
              <w:t>上料口位于密闭厂房，</w:t>
            </w:r>
            <w:r>
              <w:rPr>
                <w:rFonts w:hint="default"/>
                <w:lang w:val="en-US" w:eastAsia="zh-CN"/>
              </w:rPr>
              <w:t>产生的颗粒物通过集气管道收集后，经布袋除尘器处理，由15米高排气筒有组织排放；水泥筒仓颗粒物经滤筒式过滤器处理降低排放浓度后，以无组织形式排放</w:t>
            </w:r>
            <w:r>
              <w:rPr>
                <w:rFonts w:hint="eastAsia"/>
                <w:lang w:val="en-US" w:eastAsia="zh-CN"/>
              </w:rPr>
              <w:t>；</w:t>
            </w:r>
            <w:r>
              <w:rPr>
                <w:rFonts w:hint="default"/>
                <w:lang w:val="en-US" w:eastAsia="zh-CN"/>
              </w:rPr>
              <w:t>原料堆场设置于封闭式车间内，可有效控制颗粒物无组织排放。上述废气治理措施技术成熟、基本有效可行，能够有效削减污染物排放强度，不会对区域大气环境质量及周边居民生产生活造成明显不良影响。综上，本项目对大气环境的影响程度较小，环境影响处于可接受范围。</w:t>
            </w:r>
          </w:p>
          <w:p w14:paraId="48A01EB8">
            <w:pPr>
              <w:pStyle w:val="4"/>
              <w:keepNext w:val="0"/>
              <w:keepLines w:val="0"/>
              <w:suppressLineNumbers w:val="0"/>
              <w:bidi w:val="0"/>
              <w:spacing w:before="0" w:beforeAutospacing="0" w:after="0" w:afterAutospacing="0"/>
              <w:ind w:left="0" w:right="0"/>
              <w:rPr>
                <w:rFonts w:hint="default"/>
                <w:lang w:val="en-US" w:eastAsia="zh-CN"/>
              </w:rPr>
            </w:pPr>
            <w:r>
              <w:rPr>
                <w:rFonts w:hint="default"/>
              </w:rPr>
              <w:t>1.</w:t>
            </w:r>
            <w:r>
              <w:rPr>
                <w:rFonts w:hint="eastAsia"/>
                <w:lang w:val="en-US" w:eastAsia="zh-CN"/>
              </w:rPr>
              <w:t>6 监测要求</w:t>
            </w:r>
          </w:p>
          <w:p w14:paraId="0B79310D">
            <w:pPr>
              <w:keepNext w:val="0"/>
              <w:keepLines w:val="0"/>
              <w:suppressLineNumbers w:val="0"/>
              <w:bidi w:val="0"/>
              <w:spacing w:before="0" w:beforeAutospacing="0" w:after="0" w:afterAutospacing="0"/>
              <w:ind w:left="0" w:right="0"/>
              <w:rPr>
                <w:rFonts w:hint="default"/>
              </w:rPr>
            </w:pPr>
            <w:r>
              <w:rPr>
                <w:rFonts w:hint="default"/>
              </w:rPr>
              <w:t>为保障运营期间各污染物排放达标，建设单位应根据《排污单位自行监测技术指南 总则》（HJ819-2017）、《排污单位自行监测技术指南 水泥工业》（HJ848-2017）中的要求，定期开展污染物排放监测，监测内容及执行标准见</w:t>
            </w:r>
            <w:r>
              <w:rPr>
                <w:rFonts w:hint="eastAsia"/>
                <w:lang w:val="en-US" w:eastAsia="zh-CN"/>
              </w:rPr>
              <w:t>下</w:t>
            </w:r>
            <w:r>
              <w:rPr>
                <w:rFonts w:hint="default"/>
              </w:rPr>
              <w:t>表。</w:t>
            </w:r>
          </w:p>
          <w:p w14:paraId="0BD70431">
            <w:pPr>
              <w:pStyle w:val="5"/>
              <w:suppressLineNumbers w:val="0"/>
              <w:bidi w:val="0"/>
              <w:spacing w:before="0" w:beforeAutospacing="0" w:after="0" w:afterAutospacing="0"/>
              <w:ind w:left="0" w:right="0"/>
              <w:rPr>
                <w:rFonts w:hint="default"/>
              </w:rPr>
            </w:pPr>
          </w:p>
          <w:p w14:paraId="15DBD1F6">
            <w:pPr>
              <w:pStyle w:val="5"/>
              <w:suppressLineNumbers w:val="0"/>
              <w:bidi w:val="0"/>
              <w:spacing w:before="0" w:beforeAutospacing="0" w:after="0" w:afterAutospacing="0"/>
              <w:ind w:left="0" w:right="0"/>
              <w:rPr>
                <w:rFonts w:hint="default"/>
              </w:rPr>
            </w:pPr>
            <w:r>
              <w:rPr>
                <w:rFonts w:hint="default"/>
              </w:rPr>
              <w:t>表</w:t>
            </w:r>
            <w:r>
              <w:rPr>
                <w:rFonts w:hint="eastAsia"/>
                <w:lang w:val="en-US" w:eastAsia="zh-CN"/>
              </w:rPr>
              <w:t>4-4</w:t>
            </w:r>
            <w:r>
              <w:rPr>
                <w:rFonts w:hint="default"/>
                <w:lang w:val="en-US" w:eastAsia="zh-CN"/>
              </w:rPr>
              <w:t xml:space="preserve">  </w:t>
            </w:r>
            <w:r>
              <w:rPr>
                <w:rFonts w:hint="default"/>
              </w:rPr>
              <w:t>运营期监测一览表</w:t>
            </w:r>
          </w:p>
          <w:tbl>
            <w:tblPr>
              <w:tblStyle w:val="33"/>
              <w:tblW w:w="81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1275"/>
              <w:gridCol w:w="1312"/>
              <w:gridCol w:w="1481"/>
              <w:gridCol w:w="2947"/>
            </w:tblGrid>
            <w:tr w14:paraId="2A366F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15" w:type="dxa"/>
                  <w:noWrap w:val="0"/>
                  <w:vAlign w:val="center"/>
                </w:tcPr>
                <w:p w14:paraId="63A7812F">
                  <w:pPr>
                    <w:pStyle w:val="7"/>
                    <w:keepNext w:val="0"/>
                    <w:keepLines w:val="0"/>
                    <w:suppressLineNumbers w:val="0"/>
                    <w:bidi w:val="0"/>
                    <w:spacing w:before="0" w:beforeAutospacing="0" w:after="0" w:afterAutospacing="0"/>
                    <w:ind w:left="0" w:right="0"/>
                    <w:rPr>
                      <w:rFonts w:hint="default"/>
                    </w:rPr>
                  </w:pPr>
                  <w:r>
                    <w:rPr>
                      <w:rFonts w:hint="default"/>
                    </w:rPr>
                    <w:t>环境要素</w:t>
                  </w:r>
                </w:p>
              </w:tc>
              <w:tc>
                <w:tcPr>
                  <w:tcW w:w="1275" w:type="dxa"/>
                  <w:noWrap w:val="0"/>
                  <w:vAlign w:val="center"/>
                </w:tcPr>
                <w:p w14:paraId="122E7798">
                  <w:pPr>
                    <w:pStyle w:val="7"/>
                    <w:keepNext w:val="0"/>
                    <w:keepLines w:val="0"/>
                    <w:suppressLineNumbers w:val="0"/>
                    <w:bidi w:val="0"/>
                    <w:spacing w:before="0" w:beforeAutospacing="0" w:after="0" w:afterAutospacing="0"/>
                    <w:ind w:left="0" w:right="0"/>
                    <w:rPr>
                      <w:rFonts w:hint="default"/>
                    </w:rPr>
                  </w:pPr>
                  <w:r>
                    <w:rPr>
                      <w:rFonts w:hint="default"/>
                    </w:rPr>
                    <w:t>监测内容</w:t>
                  </w:r>
                </w:p>
              </w:tc>
              <w:tc>
                <w:tcPr>
                  <w:tcW w:w="1312" w:type="dxa"/>
                  <w:noWrap w:val="0"/>
                  <w:vAlign w:val="center"/>
                </w:tcPr>
                <w:p w14:paraId="2A7559ED">
                  <w:pPr>
                    <w:pStyle w:val="7"/>
                    <w:keepNext w:val="0"/>
                    <w:keepLines w:val="0"/>
                    <w:suppressLineNumbers w:val="0"/>
                    <w:bidi w:val="0"/>
                    <w:spacing w:before="0" w:beforeAutospacing="0" w:after="0" w:afterAutospacing="0"/>
                    <w:ind w:left="0" w:right="0"/>
                    <w:rPr>
                      <w:rFonts w:hint="default"/>
                    </w:rPr>
                  </w:pPr>
                  <w:r>
                    <w:rPr>
                      <w:rFonts w:hint="default"/>
                    </w:rPr>
                    <w:t>监测点位</w:t>
                  </w:r>
                </w:p>
              </w:tc>
              <w:tc>
                <w:tcPr>
                  <w:tcW w:w="1481" w:type="dxa"/>
                  <w:noWrap w:val="0"/>
                  <w:vAlign w:val="center"/>
                </w:tcPr>
                <w:p w14:paraId="2E11F486">
                  <w:pPr>
                    <w:pStyle w:val="7"/>
                    <w:keepNext w:val="0"/>
                    <w:keepLines w:val="0"/>
                    <w:suppressLineNumbers w:val="0"/>
                    <w:bidi w:val="0"/>
                    <w:spacing w:before="0" w:beforeAutospacing="0" w:after="0" w:afterAutospacing="0"/>
                    <w:ind w:left="0" w:right="0"/>
                    <w:rPr>
                      <w:rFonts w:hint="default"/>
                    </w:rPr>
                  </w:pPr>
                  <w:r>
                    <w:rPr>
                      <w:rFonts w:hint="default"/>
                    </w:rPr>
                    <w:t>监测频次</w:t>
                  </w:r>
                </w:p>
              </w:tc>
              <w:tc>
                <w:tcPr>
                  <w:tcW w:w="2947" w:type="dxa"/>
                  <w:noWrap w:val="0"/>
                  <w:vAlign w:val="center"/>
                </w:tcPr>
                <w:p w14:paraId="676CE481">
                  <w:pPr>
                    <w:pStyle w:val="7"/>
                    <w:keepNext w:val="0"/>
                    <w:keepLines w:val="0"/>
                    <w:suppressLineNumbers w:val="0"/>
                    <w:bidi w:val="0"/>
                    <w:spacing w:before="0" w:beforeAutospacing="0" w:after="0" w:afterAutospacing="0"/>
                    <w:ind w:left="0" w:right="0"/>
                    <w:rPr>
                      <w:rFonts w:hint="default"/>
                    </w:rPr>
                  </w:pPr>
                  <w:r>
                    <w:rPr>
                      <w:rFonts w:hint="default"/>
                    </w:rPr>
                    <w:t>执行标准</w:t>
                  </w:r>
                </w:p>
              </w:tc>
            </w:tr>
            <w:tr w14:paraId="1770C4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1115" w:type="dxa"/>
                  <w:noWrap w:val="0"/>
                  <w:vAlign w:val="center"/>
                </w:tcPr>
                <w:p w14:paraId="22836382">
                  <w:pPr>
                    <w:pStyle w:val="7"/>
                    <w:keepNext w:val="0"/>
                    <w:keepLines w:val="0"/>
                    <w:suppressLineNumbers w:val="0"/>
                    <w:bidi w:val="0"/>
                    <w:spacing w:before="0" w:beforeAutospacing="0" w:after="0" w:afterAutospacing="0"/>
                    <w:ind w:left="0" w:right="0"/>
                    <w:rPr>
                      <w:rFonts w:hint="default"/>
                    </w:rPr>
                  </w:pPr>
                  <w:r>
                    <w:rPr>
                      <w:rFonts w:hint="default"/>
                    </w:rPr>
                    <w:t>有组织废气</w:t>
                  </w:r>
                </w:p>
              </w:tc>
              <w:tc>
                <w:tcPr>
                  <w:tcW w:w="1275" w:type="dxa"/>
                  <w:noWrap/>
                  <w:vAlign w:val="center"/>
                </w:tcPr>
                <w:p w14:paraId="192416E8">
                  <w:pPr>
                    <w:pStyle w:val="7"/>
                    <w:keepNext w:val="0"/>
                    <w:keepLines w:val="0"/>
                    <w:suppressLineNumbers w:val="0"/>
                    <w:bidi w:val="0"/>
                    <w:spacing w:before="0" w:beforeAutospacing="0" w:after="0" w:afterAutospacing="0"/>
                    <w:ind w:left="0" w:right="0"/>
                    <w:rPr>
                      <w:rFonts w:hint="default"/>
                    </w:rPr>
                  </w:pPr>
                  <w:r>
                    <w:rPr>
                      <w:rFonts w:hint="default"/>
                    </w:rPr>
                    <w:t>颗粒物</w:t>
                  </w:r>
                </w:p>
              </w:tc>
              <w:tc>
                <w:tcPr>
                  <w:tcW w:w="1312" w:type="dxa"/>
                  <w:noWrap w:val="0"/>
                  <w:vAlign w:val="center"/>
                </w:tcPr>
                <w:p w14:paraId="4328C339">
                  <w:pPr>
                    <w:pStyle w:val="7"/>
                    <w:keepNext w:val="0"/>
                    <w:keepLines w:val="0"/>
                    <w:suppressLineNumbers w:val="0"/>
                    <w:bidi w:val="0"/>
                    <w:spacing w:before="0" w:beforeAutospacing="0" w:after="0" w:afterAutospacing="0"/>
                    <w:ind w:left="0" w:right="0"/>
                    <w:rPr>
                      <w:rFonts w:hint="default"/>
                    </w:rPr>
                  </w:pPr>
                  <w:r>
                    <w:rPr>
                      <w:rFonts w:hint="default"/>
                      <w:lang w:val="en-US" w:eastAsia="zh-CN"/>
                    </w:rPr>
                    <w:t>DA001</w:t>
                  </w:r>
                </w:p>
              </w:tc>
              <w:tc>
                <w:tcPr>
                  <w:tcW w:w="1481" w:type="dxa"/>
                  <w:noWrap w:val="0"/>
                  <w:vAlign w:val="center"/>
                </w:tcPr>
                <w:p w14:paraId="4EE152A3">
                  <w:pPr>
                    <w:pStyle w:val="7"/>
                    <w:keepNext w:val="0"/>
                    <w:keepLines w:val="0"/>
                    <w:suppressLineNumbers w:val="0"/>
                    <w:bidi w:val="0"/>
                    <w:spacing w:before="0" w:beforeAutospacing="0" w:after="0" w:afterAutospacing="0"/>
                    <w:ind w:left="0" w:right="0"/>
                    <w:rPr>
                      <w:rFonts w:hint="eastAsia"/>
                      <w:lang w:val="en-US" w:eastAsia="zh-CN"/>
                    </w:rPr>
                  </w:pPr>
                  <w:r>
                    <w:rPr>
                      <w:rFonts w:hint="default"/>
                    </w:rPr>
                    <w:t>1次/</w:t>
                  </w:r>
                  <w:r>
                    <w:rPr>
                      <w:rFonts w:hint="eastAsia"/>
                      <w:lang w:val="en-US" w:eastAsia="zh-CN"/>
                    </w:rPr>
                    <w:t>两年</w:t>
                  </w:r>
                </w:p>
              </w:tc>
              <w:tc>
                <w:tcPr>
                  <w:tcW w:w="2947" w:type="dxa"/>
                  <w:noWrap w:val="0"/>
                  <w:vAlign w:val="center"/>
                </w:tcPr>
                <w:p w14:paraId="5562F4EA">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《水泥工业大气污染物排放标准》（GB4915-2013）（含2025年修改单）表</w:t>
                  </w:r>
                  <w:r>
                    <w:rPr>
                      <w:rFonts w:hint="eastAsia"/>
                      <w:lang w:val="en-US" w:eastAsia="zh-CN"/>
                    </w:rPr>
                    <w:t>1</w:t>
                  </w:r>
                  <w:r>
                    <w:rPr>
                      <w:rFonts w:hint="default"/>
                    </w:rPr>
                    <w:t>大气污染物排放限值</w:t>
                  </w:r>
                </w:p>
              </w:tc>
            </w:tr>
            <w:tr w14:paraId="449DBE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5" w:type="dxa"/>
                  <w:vMerge w:val="restart"/>
                  <w:noWrap/>
                  <w:vAlign w:val="center"/>
                </w:tcPr>
                <w:p w14:paraId="267E46FE">
                  <w:pPr>
                    <w:pStyle w:val="7"/>
                    <w:keepNext w:val="0"/>
                    <w:keepLines w:val="0"/>
                    <w:suppressLineNumbers w:val="0"/>
                    <w:bidi w:val="0"/>
                    <w:spacing w:before="0" w:beforeAutospacing="0" w:after="0" w:afterAutospacing="0"/>
                    <w:ind w:left="0" w:right="0"/>
                    <w:rPr>
                      <w:rFonts w:hint="default"/>
                    </w:rPr>
                  </w:pPr>
                  <w:r>
                    <w:rPr>
                      <w:rFonts w:hint="default"/>
                    </w:rPr>
                    <w:t>无组织废气</w:t>
                  </w:r>
                </w:p>
              </w:tc>
              <w:tc>
                <w:tcPr>
                  <w:tcW w:w="1275" w:type="dxa"/>
                  <w:noWrap/>
                  <w:vAlign w:val="center"/>
                </w:tcPr>
                <w:p w14:paraId="11F2F3BA">
                  <w:pPr>
                    <w:pStyle w:val="7"/>
                    <w:keepNext w:val="0"/>
                    <w:keepLines w:val="0"/>
                    <w:suppressLineNumbers w:val="0"/>
                    <w:bidi w:val="0"/>
                    <w:spacing w:before="0" w:beforeAutospacing="0" w:after="0" w:afterAutospacing="0"/>
                    <w:ind w:left="0" w:right="0"/>
                    <w:rPr>
                      <w:rFonts w:hint="default"/>
                    </w:rPr>
                  </w:pPr>
                  <w:r>
                    <w:rPr>
                      <w:rFonts w:hint="default"/>
                    </w:rPr>
                    <w:t>颗粒物</w:t>
                  </w:r>
                </w:p>
              </w:tc>
              <w:tc>
                <w:tcPr>
                  <w:tcW w:w="1312" w:type="dxa"/>
                  <w:noWrap w:val="0"/>
                  <w:vAlign w:val="center"/>
                </w:tcPr>
                <w:p w14:paraId="5C41FFA8">
                  <w:pPr>
                    <w:pStyle w:val="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厂界</w:t>
                  </w:r>
                </w:p>
              </w:tc>
              <w:tc>
                <w:tcPr>
                  <w:tcW w:w="1481" w:type="dxa"/>
                  <w:noWrap w:val="0"/>
                  <w:vAlign w:val="center"/>
                </w:tcPr>
                <w:p w14:paraId="7B069299">
                  <w:pPr>
                    <w:pStyle w:val="7"/>
                    <w:keepNext w:val="0"/>
                    <w:keepLines w:val="0"/>
                    <w:suppressLineNumbers w:val="0"/>
                    <w:bidi w:val="0"/>
                    <w:spacing w:before="0" w:beforeAutospacing="0" w:after="0" w:afterAutospacing="0"/>
                    <w:ind w:left="0" w:right="0"/>
                    <w:rPr>
                      <w:rFonts w:hint="default"/>
                    </w:rPr>
                  </w:pPr>
                  <w:r>
                    <w:rPr>
                      <w:rFonts w:hint="default"/>
                    </w:rPr>
                    <w:t>1次/季度</w:t>
                  </w:r>
                </w:p>
              </w:tc>
              <w:tc>
                <w:tcPr>
                  <w:tcW w:w="2947" w:type="dxa"/>
                  <w:noWrap w:val="0"/>
                  <w:vAlign w:val="center"/>
                </w:tcPr>
                <w:p w14:paraId="60F0137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《水泥工业大气污染物排放标准》（含2025年修改单）（GB4915-2013）表3</w:t>
                  </w:r>
                </w:p>
              </w:tc>
            </w:tr>
            <w:tr w14:paraId="7B3D36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15" w:type="dxa"/>
                  <w:vMerge w:val="continue"/>
                  <w:noWrap/>
                  <w:vAlign w:val="center"/>
                </w:tcPr>
                <w:p w14:paraId="3053B0C2">
                  <w:pPr>
                    <w:pStyle w:val="7"/>
                    <w:keepNext w:val="0"/>
                    <w:keepLines w:val="0"/>
                    <w:suppressLineNumbers w:val="0"/>
                    <w:bidi w:val="0"/>
                    <w:spacing w:before="0" w:beforeAutospacing="0" w:after="0" w:afterAutospacing="0"/>
                    <w:ind w:left="0" w:right="0"/>
                    <w:rPr>
                      <w:rFonts w:hint="default"/>
                    </w:rPr>
                  </w:pPr>
                </w:p>
              </w:tc>
              <w:tc>
                <w:tcPr>
                  <w:tcW w:w="1275" w:type="dxa"/>
                  <w:shd w:val="clear" w:color="auto" w:fill="auto"/>
                  <w:noWrap/>
                  <w:vAlign w:val="center"/>
                </w:tcPr>
                <w:p w14:paraId="2E127356">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eastAsia" w:cs="Times New Roman"/>
                      <w:lang w:val="en-US" w:eastAsia="zh-CN"/>
                    </w:rPr>
                    <w:t>非甲烷总烃</w:t>
                  </w:r>
                </w:p>
              </w:tc>
              <w:tc>
                <w:tcPr>
                  <w:tcW w:w="1312" w:type="dxa"/>
                  <w:shd w:val="clear" w:color="auto" w:fill="auto"/>
                  <w:noWrap w:val="0"/>
                  <w:vAlign w:val="center"/>
                </w:tcPr>
                <w:p w14:paraId="72C922FF">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厂界</w:t>
                  </w:r>
                </w:p>
              </w:tc>
              <w:tc>
                <w:tcPr>
                  <w:tcW w:w="1481" w:type="dxa"/>
                  <w:shd w:val="clear" w:color="auto" w:fill="auto"/>
                  <w:noWrap w:val="0"/>
                  <w:vAlign w:val="center"/>
                </w:tcPr>
                <w:p w14:paraId="0FE512DA">
                  <w:pPr>
                    <w:pStyle w:val="6"/>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bCs/>
                      <w:kern w:val="2"/>
                      <w:sz w:val="24"/>
                      <w:szCs w:val="28"/>
                      <w:lang w:val="en-US" w:eastAsia="zh-CN" w:bidi="ar-SA"/>
                    </w:rPr>
                  </w:pPr>
                  <w:r>
                    <w:rPr>
                      <w:rFonts w:hint="default" w:ascii="Times New Roman" w:hAnsi="Times New Roman" w:cs="Times New Roman"/>
                      <w:lang w:val="en-US" w:eastAsia="zh-CN"/>
                    </w:rPr>
                    <w:t>1</w:t>
                  </w:r>
                  <w:r>
                    <w:rPr>
                      <w:rFonts w:hint="default" w:ascii="Times New Roman" w:hAnsi="Times New Roman" w:cs="Times New Roman"/>
                    </w:rPr>
                    <w:t>次/年</w:t>
                  </w:r>
                </w:p>
              </w:tc>
              <w:tc>
                <w:tcPr>
                  <w:tcW w:w="2947" w:type="dxa"/>
                  <w:shd w:val="clear" w:color="auto" w:fill="auto"/>
                  <w:noWrap w:val="0"/>
                  <w:vAlign w:val="center"/>
                </w:tcPr>
                <w:p w14:paraId="4B70BB4D">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bCs/>
                      <w:kern w:val="2"/>
                      <w:sz w:val="24"/>
                      <w:szCs w:val="28"/>
                      <w:lang w:val="en-US" w:eastAsia="zh-CN" w:bidi="ar-SA"/>
                    </w:rPr>
                  </w:pPr>
                  <w:r>
                    <w:rPr>
                      <w:rFonts w:hint="default" w:cs="Times New Roman"/>
                      <w:lang w:val="en-US" w:eastAsia="zh-CN"/>
                    </w:rPr>
                    <w:t>《大气污染物综合排放标准》（GB16297-1996）</w:t>
                  </w:r>
                </w:p>
              </w:tc>
            </w:tr>
          </w:tbl>
          <w:p w14:paraId="7EE5BB39">
            <w:pPr>
              <w:pStyle w:val="3"/>
              <w:keepLines w:val="0"/>
              <w:suppressLineNumbers w:val="0"/>
              <w:bidi w:val="0"/>
              <w:spacing w:before="0" w:beforeAutospacing="0" w:after="0" w:afterAutospacing="0"/>
              <w:ind w:right="0"/>
              <w:rPr>
                <w:rFonts w:hint="default"/>
              </w:rPr>
            </w:pPr>
            <w:r>
              <w:rPr>
                <w:rFonts w:hint="eastAsia"/>
                <w:lang w:val="en-US" w:eastAsia="zh-CN"/>
              </w:rPr>
              <w:t xml:space="preserve">2 </w:t>
            </w:r>
            <w:r>
              <w:rPr>
                <w:rFonts w:hint="default"/>
              </w:rPr>
              <w:t>运营期水环境影响和保护措施</w:t>
            </w:r>
          </w:p>
          <w:p w14:paraId="3CA8E73E">
            <w:pPr>
              <w:pStyle w:val="3"/>
              <w:keepLines w:val="0"/>
              <w:suppressLineNumbers w:val="0"/>
              <w:bidi w:val="0"/>
              <w:spacing w:before="0" w:beforeAutospacing="0" w:after="0" w:afterAutospacing="0"/>
              <w:ind w:right="0"/>
              <w:rPr>
                <w:rFonts w:hint="default"/>
              </w:rPr>
            </w:pPr>
            <w:r>
              <w:rPr>
                <w:rFonts w:hint="eastAsia"/>
                <w:lang w:val="en-US" w:eastAsia="zh-CN"/>
              </w:rPr>
              <w:t>2.</w:t>
            </w:r>
            <w:r>
              <w:rPr>
                <w:rFonts w:hint="default"/>
              </w:rPr>
              <w:t>1</w:t>
            </w:r>
            <w:r>
              <w:rPr>
                <w:rFonts w:hint="eastAsia"/>
                <w:lang w:val="en-US" w:eastAsia="zh-CN"/>
              </w:rPr>
              <w:t xml:space="preserve"> </w:t>
            </w:r>
            <w:r>
              <w:rPr>
                <w:rFonts w:hint="default"/>
              </w:rPr>
              <w:t>生产废水及生活污水的产排情况</w:t>
            </w:r>
          </w:p>
          <w:p w14:paraId="67369347">
            <w:pPr>
              <w:pStyle w:val="32"/>
              <w:keepNext w:val="0"/>
              <w:keepLines w:val="0"/>
              <w:suppressLineNumbers w:val="0"/>
              <w:spacing w:before="0" w:beforeAutospacing="0" w:afterAutospacing="0"/>
              <w:ind w:right="0"/>
              <w:rPr>
                <w:rFonts w:hint="eastAsia"/>
                <w:lang w:val="en-US" w:eastAsia="zh-CN"/>
              </w:rPr>
            </w:pPr>
            <w:r>
              <w:rPr>
                <w:rFonts w:hint="eastAsia"/>
                <w:lang w:val="en-US" w:eastAsia="zh-CN"/>
              </w:rPr>
              <w:t>本项目用水主要为员工生活用水和生产用水。生产用水经沉淀收集后，用于成品养护，不外排。</w:t>
            </w:r>
            <w:r>
              <w:rPr>
                <w:rFonts w:hint="default"/>
                <w:lang w:val="en-US" w:eastAsia="zh-CN"/>
              </w:rPr>
              <w:t>生活污水</w:t>
            </w:r>
            <w:r>
              <w:rPr>
                <w:rFonts w:hint="eastAsia"/>
                <w:lang w:val="en-US" w:eastAsia="zh-CN"/>
              </w:rPr>
              <w:t>定期</w:t>
            </w:r>
            <w:r>
              <w:rPr>
                <w:rFonts w:hint="default"/>
                <w:lang w:val="en-US" w:eastAsia="zh-CN"/>
              </w:rPr>
              <w:t>拉运至</w:t>
            </w:r>
            <w:r>
              <w:rPr>
                <w:rFonts w:hint="eastAsia"/>
                <w:lang w:val="en-US" w:eastAsia="zh-CN"/>
              </w:rPr>
              <w:t>和静县污水处理厂</w:t>
            </w:r>
            <w:r>
              <w:rPr>
                <w:rFonts w:hint="default"/>
                <w:lang w:val="en-US" w:eastAsia="zh-CN"/>
              </w:rPr>
              <w:t>处置。</w:t>
            </w:r>
            <w:r>
              <w:rPr>
                <w:rFonts w:hint="eastAsia"/>
                <w:lang w:val="en-US" w:eastAsia="zh-CN"/>
              </w:rPr>
              <w:t>本项目生活污水中主要污染物的产生及排放情况见下表。</w:t>
            </w:r>
          </w:p>
          <w:p w14:paraId="041BC6CC">
            <w:pPr>
              <w:pStyle w:val="5"/>
              <w:suppressLineNumbers w:val="0"/>
              <w:bidi w:val="0"/>
              <w:spacing w:before="0" w:beforeAutospacing="0" w:after="0" w:afterAutospacing="0"/>
              <w:ind w:left="0" w:right="0"/>
              <w:rPr>
                <w:rFonts w:hint="default"/>
                <w:lang w:val="en-US" w:eastAsia="zh-CN"/>
              </w:rPr>
            </w:pPr>
            <w:r>
              <w:rPr>
                <w:rFonts w:hint="default"/>
                <w:lang w:val="en-US" w:eastAsia="zh-CN"/>
              </w:rPr>
              <w:t>表4-</w:t>
            </w:r>
            <w:r>
              <w:rPr>
                <w:rFonts w:hint="eastAsia"/>
                <w:lang w:val="en-US" w:eastAsia="zh-CN"/>
              </w:rPr>
              <w:t>5</w:t>
            </w:r>
            <w:r>
              <w:rPr>
                <w:rFonts w:hint="default"/>
                <w:lang w:val="en-US" w:eastAsia="zh-CN"/>
              </w:rPr>
              <w:t xml:space="preserve">  生</w:t>
            </w:r>
            <w:r>
              <w:rPr>
                <w:rFonts w:hint="eastAsia"/>
                <w:lang w:val="en-US" w:eastAsia="zh-CN"/>
              </w:rPr>
              <w:t>活污</w:t>
            </w:r>
            <w:r>
              <w:rPr>
                <w:rFonts w:hint="default"/>
                <w:lang w:val="en-US" w:eastAsia="zh-CN"/>
              </w:rPr>
              <w:t>水污染物排放量</w:t>
            </w:r>
          </w:p>
          <w:tbl>
            <w:tblPr>
              <w:tblStyle w:val="33"/>
              <w:tblW w:w="4967"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4"/>
              <w:gridCol w:w="779"/>
              <w:gridCol w:w="1571"/>
              <w:gridCol w:w="1128"/>
              <w:gridCol w:w="1066"/>
              <w:gridCol w:w="1534"/>
              <w:gridCol w:w="1180"/>
            </w:tblGrid>
            <w:tr w14:paraId="2B202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0" w:type="pct"/>
                  <w:gridSpan w:val="7"/>
                  <w:vAlign w:val="center"/>
                </w:tcPr>
                <w:p w14:paraId="2331D8C3">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eastAsia"/>
                      <w:lang w:val="en-US" w:eastAsia="zh-CN"/>
                    </w:rPr>
                    <w:t>生活污</w:t>
                  </w:r>
                  <w:r>
                    <w:rPr>
                      <w:rFonts w:hint="default"/>
                      <w:lang w:val="en-US" w:eastAsia="zh-CN"/>
                    </w:rPr>
                    <w:t>水</w:t>
                  </w:r>
                </w:p>
              </w:tc>
            </w:tr>
            <w:tr w14:paraId="567F8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526" w:type="pct"/>
                  <w:vMerge w:val="restart"/>
                  <w:vAlign w:val="center"/>
                </w:tcPr>
                <w:p w14:paraId="581CA7F2">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污染物</w:t>
                  </w:r>
                </w:p>
              </w:tc>
              <w:tc>
                <w:tcPr>
                  <w:tcW w:w="2143" w:type="pct"/>
                  <w:gridSpan w:val="3"/>
                  <w:vAlign w:val="center"/>
                </w:tcPr>
                <w:p w14:paraId="6F394BDA">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污染物产生情况</w:t>
                  </w:r>
                </w:p>
              </w:tc>
              <w:tc>
                <w:tcPr>
                  <w:tcW w:w="656" w:type="pct"/>
                  <w:tcBorders>
                    <w:right w:val="single" w:color="auto" w:sz="4" w:space="0"/>
                  </w:tcBorders>
                  <w:vAlign w:val="center"/>
                </w:tcPr>
                <w:p w14:paraId="710D62F9">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治理措施</w:t>
                  </w:r>
                </w:p>
              </w:tc>
              <w:tc>
                <w:tcPr>
                  <w:tcW w:w="945" w:type="pct"/>
                  <w:vMerge w:val="restart"/>
                  <w:vAlign w:val="center"/>
                </w:tcPr>
                <w:p w14:paraId="44CD69ED">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排放标准</w:t>
                  </w:r>
                </w:p>
              </w:tc>
              <w:tc>
                <w:tcPr>
                  <w:tcW w:w="727" w:type="pct"/>
                  <w:vMerge w:val="restart"/>
                  <w:vAlign w:val="center"/>
                </w:tcPr>
                <w:p w14:paraId="064D9C51">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最终去向</w:t>
                  </w:r>
                </w:p>
              </w:tc>
            </w:tr>
            <w:tr w14:paraId="67066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7" w:hRule="atLeast"/>
              </w:trPr>
              <w:tc>
                <w:tcPr>
                  <w:tcW w:w="526" w:type="pct"/>
                  <w:vMerge w:val="continue"/>
                  <w:vAlign w:val="center"/>
                </w:tcPr>
                <w:p w14:paraId="2EFEB12E">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480" w:type="pct"/>
                  <w:vMerge w:val="restart"/>
                  <w:vAlign w:val="center"/>
                </w:tcPr>
                <w:p w14:paraId="57A1795D">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核算方法</w:t>
                  </w:r>
                </w:p>
              </w:tc>
              <w:tc>
                <w:tcPr>
                  <w:tcW w:w="1663" w:type="pct"/>
                  <w:gridSpan w:val="2"/>
                  <w:vAlign w:val="center"/>
                </w:tcPr>
                <w:p w14:paraId="7319FB1B">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生</w:t>
                  </w:r>
                  <w:r>
                    <w:rPr>
                      <w:rFonts w:hint="eastAsia"/>
                      <w:lang w:val="en-US" w:eastAsia="zh-CN"/>
                    </w:rPr>
                    <w:t>活污</w:t>
                  </w:r>
                  <w:r>
                    <w:rPr>
                      <w:rFonts w:hint="default"/>
                      <w:lang w:val="en-US" w:eastAsia="zh-CN"/>
                    </w:rPr>
                    <w:t>水</w:t>
                  </w:r>
                  <w:r>
                    <w:rPr>
                      <w:rFonts w:hint="eastAsia"/>
                      <w:lang w:val="en-US" w:eastAsia="zh-CN"/>
                    </w:rPr>
                    <w:t>62.4</w:t>
                  </w:r>
                  <w:r>
                    <w:rPr>
                      <w:rFonts w:hint="default"/>
                      <w:lang w:val="en-US" w:eastAsia="zh-CN"/>
                    </w:rPr>
                    <w:t>m</w:t>
                  </w:r>
                  <w:r>
                    <w:rPr>
                      <w:rFonts w:hint="default"/>
                      <w:vertAlign w:val="superscript"/>
                      <w:lang w:val="en-US" w:eastAsia="zh-CN"/>
                    </w:rPr>
                    <w:t>3</w:t>
                  </w:r>
                  <w:r>
                    <w:rPr>
                      <w:rFonts w:hint="default"/>
                      <w:lang w:val="en-US" w:eastAsia="zh-CN"/>
                    </w:rPr>
                    <w:t>/a</w:t>
                  </w:r>
                </w:p>
              </w:tc>
              <w:tc>
                <w:tcPr>
                  <w:tcW w:w="656" w:type="pct"/>
                  <w:vMerge w:val="restart"/>
                  <w:tcBorders>
                    <w:right w:val="single" w:color="auto" w:sz="4" w:space="0"/>
                  </w:tcBorders>
                  <w:vAlign w:val="center"/>
                </w:tcPr>
                <w:p w14:paraId="07A8F8F0">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工艺</w:t>
                  </w:r>
                </w:p>
              </w:tc>
              <w:tc>
                <w:tcPr>
                  <w:tcW w:w="945" w:type="pct"/>
                  <w:vMerge w:val="continue"/>
                  <w:vAlign w:val="center"/>
                </w:tcPr>
                <w:p w14:paraId="03E159E2">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727" w:type="pct"/>
                  <w:vMerge w:val="continue"/>
                  <w:vAlign w:val="center"/>
                </w:tcPr>
                <w:p w14:paraId="4AFD199B">
                  <w:pPr>
                    <w:pStyle w:val="7"/>
                    <w:keepNext w:val="0"/>
                    <w:keepLines w:val="0"/>
                    <w:suppressLineNumbers w:val="0"/>
                    <w:bidi w:val="0"/>
                    <w:spacing w:before="0" w:beforeAutospacing="0" w:after="0" w:afterAutospacing="0" w:line="240" w:lineRule="auto"/>
                    <w:ind w:left="0" w:right="0"/>
                    <w:rPr>
                      <w:rFonts w:hint="default"/>
                      <w:lang w:val="en-US" w:eastAsia="zh-CN"/>
                    </w:rPr>
                  </w:pPr>
                </w:p>
              </w:tc>
            </w:tr>
            <w:tr w14:paraId="00427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3" w:hRule="atLeast"/>
              </w:trPr>
              <w:tc>
                <w:tcPr>
                  <w:tcW w:w="526" w:type="pct"/>
                  <w:vMerge w:val="continue"/>
                  <w:vAlign w:val="center"/>
                </w:tcPr>
                <w:p w14:paraId="0ECC52F7">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480" w:type="pct"/>
                  <w:vMerge w:val="continue"/>
                  <w:vAlign w:val="center"/>
                </w:tcPr>
                <w:p w14:paraId="17E1036D">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68" w:type="pct"/>
                  <w:vAlign w:val="center"/>
                </w:tcPr>
                <w:p w14:paraId="1C1BEF14">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产生浓度mg/L</w:t>
                  </w:r>
                </w:p>
              </w:tc>
              <w:tc>
                <w:tcPr>
                  <w:tcW w:w="695" w:type="pct"/>
                  <w:vAlign w:val="center"/>
                </w:tcPr>
                <w:p w14:paraId="1E1AD144">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产生量t/a</w:t>
                  </w:r>
                </w:p>
              </w:tc>
              <w:tc>
                <w:tcPr>
                  <w:tcW w:w="656" w:type="pct"/>
                  <w:vMerge w:val="continue"/>
                  <w:vAlign w:val="center"/>
                </w:tcPr>
                <w:p w14:paraId="1E3071A2">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45" w:type="pct"/>
                  <w:vMerge w:val="continue"/>
                  <w:vAlign w:val="center"/>
                </w:tcPr>
                <w:p w14:paraId="0D98E426">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727" w:type="pct"/>
                  <w:vMerge w:val="continue"/>
                  <w:vAlign w:val="center"/>
                </w:tcPr>
                <w:p w14:paraId="254253F2">
                  <w:pPr>
                    <w:pStyle w:val="7"/>
                    <w:keepNext w:val="0"/>
                    <w:keepLines w:val="0"/>
                    <w:suppressLineNumbers w:val="0"/>
                    <w:bidi w:val="0"/>
                    <w:spacing w:before="0" w:beforeAutospacing="0" w:after="0" w:afterAutospacing="0" w:line="240" w:lineRule="auto"/>
                    <w:ind w:left="0" w:right="0"/>
                    <w:rPr>
                      <w:rFonts w:hint="default"/>
                      <w:lang w:val="en-US" w:eastAsia="zh-CN"/>
                    </w:rPr>
                  </w:pPr>
                </w:p>
              </w:tc>
            </w:tr>
            <w:tr w14:paraId="2EF0F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14" w:hRule="atLeast"/>
              </w:trPr>
              <w:tc>
                <w:tcPr>
                  <w:tcW w:w="526" w:type="pct"/>
                  <w:vAlign w:val="center"/>
                </w:tcPr>
                <w:p w14:paraId="3D1E1167">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COD</w:t>
                  </w:r>
                </w:p>
              </w:tc>
              <w:tc>
                <w:tcPr>
                  <w:tcW w:w="480" w:type="pct"/>
                  <w:vMerge w:val="restart"/>
                  <w:vAlign w:val="center"/>
                </w:tcPr>
                <w:p w14:paraId="2A6DFABA">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类比法</w:t>
                  </w:r>
                </w:p>
              </w:tc>
              <w:tc>
                <w:tcPr>
                  <w:tcW w:w="968" w:type="pct"/>
                  <w:vAlign w:val="center"/>
                </w:tcPr>
                <w:p w14:paraId="1E51630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250</w:t>
                  </w:r>
                </w:p>
              </w:tc>
              <w:tc>
                <w:tcPr>
                  <w:tcW w:w="695" w:type="pct"/>
                  <w:vAlign w:val="center"/>
                </w:tcPr>
                <w:p w14:paraId="4EDEE0B4">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0.</w:t>
                  </w:r>
                  <w:r>
                    <w:rPr>
                      <w:rFonts w:hint="eastAsia"/>
                      <w:lang w:val="en-US" w:eastAsia="zh-CN"/>
                    </w:rPr>
                    <w:t>0156</w:t>
                  </w:r>
                </w:p>
              </w:tc>
              <w:tc>
                <w:tcPr>
                  <w:tcW w:w="656" w:type="pct"/>
                  <w:vMerge w:val="restart"/>
                  <w:vAlign w:val="center"/>
                </w:tcPr>
                <w:p w14:paraId="7EE67751">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eastAsia"/>
                      <w:lang w:val="en-US" w:eastAsia="zh-CN"/>
                    </w:rPr>
                    <w:t>化粪池</w:t>
                  </w:r>
                </w:p>
              </w:tc>
              <w:tc>
                <w:tcPr>
                  <w:tcW w:w="945" w:type="pct"/>
                  <w:vAlign w:val="center"/>
                </w:tcPr>
                <w:p w14:paraId="27B17DF8">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500mg/L</w:t>
                  </w:r>
                </w:p>
              </w:tc>
              <w:tc>
                <w:tcPr>
                  <w:tcW w:w="727" w:type="pct"/>
                  <w:vMerge w:val="restart"/>
                  <w:vAlign w:val="center"/>
                </w:tcPr>
                <w:p w14:paraId="25F44FFD">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eastAsia"/>
                      <w:lang w:val="en-US" w:eastAsia="zh-CN"/>
                    </w:rPr>
                    <w:t>和静县污水处理厂</w:t>
                  </w:r>
                </w:p>
              </w:tc>
            </w:tr>
            <w:tr w14:paraId="6F801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6" w:type="pct"/>
                  <w:vAlign w:val="center"/>
                </w:tcPr>
                <w:p w14:paraId="34F7C770">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BOD</w:t>
                  </w:r>
                  <w:r>
                    <w:rPr>
                      <w:rFonts w:hint="default"/>
                      <w:vertAlign w:val="subscript"/>
                      <w:lang w:val="en-US" w:eastAsia="zh-CN"/>
                    </w:rPr>
                    <w:t>5</w:t>
                  </w:r>
                </w:p>
              </w:tc>
              <w:tc>
                <w:tcPr>
                  <w:tcW w:w="480" w:type="pct"/>
                  <w:vMerge w:val="continue"/>
                  <w:vAlign w:val="center"/>
                </w:tcPr>
                <w:p w14:paraId="146074A0">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68" w:type="pct"/>
                  <w:vAlign w:val="center"/>
                </w:tcPr>
                <w:p w14:paraId="34454616">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150</w:t>
                  </w:r>
                </w:p>
              </w:tc>
              <w:tc>
                <w:tcPr>
                  <w:tcW w:w="695" w:type="pct"/>
                  <w:vAlign w:val="center"/>
                </w:tcPr>
                <w:p w14:paraId="5FDE3147">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0.</w:t>
                  </w:r>
                  <w:r>
                    <w:rPr>
                      <w:rFonts w:hint="eastAsia"/>
                      <w:lang w:val="en-US" w:eastAsia="zh-CN"/>
                    </w:rPr>
                    <w:t>0094</w:t>
                  </w:r>
                </w:p>
              </w:tc>
              <w:tc>
                <w:tcPr>
                  <w:tcW w:w="656" w:type="pct"/>
                  <w:vMerge w:val="continue"/>
                  <w:vAlign w:val="center"/>
                </w:tcPr>
                <w:p w14:paraId="276A7313">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45" w:type="pct"/>
                  <w:vAlign w:val="center"/>
                </w:tcPr>
                <w:p w14:paraId="3BFDB93D">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300mg/L</w:t>
                  </w:r>
                </w:p>
              </w:tc>
              <w:tc>
                <w:tcPr>
                  <w:tcW w:w="727" w:type="pct"/>
                  <w:vMerge w:val="continue"/>
                  <w:vAlign w:val="center"/>
                </w:tcPr>
                <w:p w14:paraId="475BC331">
                  <w:pPr>
                    <w:pStyle w:val="7"/>
                    <w:keepNext w:val="0"/>
                    <w:keepLines w:val="0"/>
                    <w:suppressLineNumbers w:val="0"/>
                    <w:bidi w:val="0"/>
                    <w:spacing w:before="0" w:beforeAutospacing="0" w:after="0" w:afterAutospacing="0" w:line="240" w:lineRule="auto"/>
                    <w:ind w:left="0" w:right="0"/>
                    <w:rPr>
                      <w:rFonts w:hint="default"/>
                      <w:lang w:val="en-US" w:eastAsia="zh-CN"/>
                    </w:rPr>
                  </w:pPr>
                </w:p>
              </w:tc>
            </w:tr>
            <w:tr w14:paraId="70624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1" w:hRule="atLeast"/>
              </w:trPr>
              <w:tc>
                <w:tcPr>
                  <w:tcW w:w="526" w:type="pct"/>
                  <w:vAlign w:val="center"/>
                </w:tcPr>
                <w:p w14:paraId="45A9BC0A">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SS</w:t>
                  </w:r>
                </w:p>
              </w:tc>
              <w:tc>
                <w:tcPr>
                  <w:tcW w:w="480" w:type="pct"/>
                  <w:vMerge w:val="continue"/>
                  <w:vAlign w:val="center"/>
                </w:tcPr>
                <w:p w14:paraId="3C897E2F">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68" w:type="pct"/>
                  <w:vAlign w:val="center"/>
                </w:tcPr>
                <w:p w14:paraId="46D32FF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150</w:t>
                  </w:r>
                </w:p>
              </w:tc>
              <w:tc>
                <w:tcPr>
                  <w:tcW w:w="695" w:type="pct"/>
                  <w:vAlign w:val="center"/>
                </w:tcPr>
                <w:p w14:paraId="6BF56586">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eastAsia"/>
                      <w:lang w:val="en-US" w:eastAsia="zh-CN"/>
                    </w:rPr>
                    <w:t>0.0094</w:t>
                  </w:r>
                </w:p>
              </w:tc>
              <w:tc>
                <w:tcPr>
                  <w:tcW w:w="656" w:type="pct"/>
                  <w:vMerge w:val="continue"/>
                  <w:vAlign w:val="center"/>
                </w:tcPr>
                <w:p w14:paraId="2C4FCDAA">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45" w:type="pct"/>
                  <w:vAlign w:val="center"/>
                </w:tcPr>
                <w:p w14:paraId="6E191030">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400mg/L</w:t>
                  </w:r>
                </w:p>
              </w:tc>
              <w:tc>
                <w:tcPr>
                  <w:tcW w:w="727" w:type="pct"/>
                  <w:vMerge w:val="continue"/>
                  <w:vAlign w:val="center"/>
                </w:tcPr>
                <w:p w14:paraId="756C8CC2">
                  <w:pPr>
                    <w:pStyle w:val="7"/>
                    <w:keepNext w:val="0"/>
                    <w:keepLines w:val="0"/>
                    <w:suppressLineNumbers w:val="0"/>
                    <w:bidi w:val="0"/>
                    <w:spacing w:before="0" w:beforeAutospacing="0" w:after="0" w:afterAutospacing="0" w:line="240" w:lineRule="auto"/>
                    <w:ind w:left="0" w:right="0"/>
                    <w:rPr>
                      <w:rFonts w:hint="default"/>
                      <w:lang w:val="en-US" w:eastAsia="zh-CN"/>
                    </w:rPr>
                  </w:pPr>
                </w:p>
              </w:tc>
            </w:tr>
            <w:tr w14:paraId="268D5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26" w:type="pct"/>
                  <w:vAlign w:val="center"/>
                </w:tcPr>
                <w:p w14:paraId="5244748A">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氨氮</w:t>
                  </w:r>
                </w:p>
              </w:tc>
              <w:tc>
                <w:tcPr>
                  <w:tcW w:w="480" w:type="pct"/>
                  <w:vMerge w:val="continue"/>
                  <w:vAlign w:val="center"/>
                </w:tcPr>
                <w:p w14:paraId="454B3858">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68" w:type="pct"/>
                  <w:vAlign w:val="center"/>
                </w:tcPr>
                <w:p w14:paraId="12571CE9">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lang w:val="en-US" w:eastAsia="zh-CN"/>
                    </w:rPr>
                    <w:t>20</w:t>
                  </w:r>
                </w:p>
              </w:tc>
              <w:tc>
                <w:tcPr>
                  <w:tcW w:w="695" w:type="pct"/>
                  <w:vAlign w:val="center"/>
                </w:tcPr>
                <w:p w14:paraId="37FD4E5A">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0.0</w:t>
                  </w:r>
                  <w:r>
                    <w:rPr>
                      <w:rFonts w:hint="eastAsia"/>
                      <w:lang w:val="en-US" w:eastAsia="zh-CN"/>
                    </w:rPr>
                    <w:t>012</w:t>
                  </w:r>
                </w:p>
              </w:tc>
              <w:tc>
                <w:tcPr>
                  <w:tcW w:w="656" w:type="pct"/>
                  <w:vMerge w:val="continue"/>
                  <w:vAlign w:val="center"/>
                </w:tcPr>
                <w:p w14:paraId="2411F418">
                  <w:pPr>
                    <w:pStyle w:val="7"/>
                    <w:keepNext w:val="0"/>
                    <w:keepLines w:val="0"/>
                    <w:suppressLineNumbers w:val="0"/>
                    <w:bidi w:val="0"/>
                    <w:spacing w:before="0" w:beforeAutospacing="0" w:after="0" w:afterAutospacing="0" w:line="240" w:lineRule="auto"/>
                    <w:ind w:left="0" w:right="0"/>
                    <w:rPr>
                      <w:rFonts w:hint="default"/>
                      <w:lang w:val="en-US" w:eastAsia="zh-CN"/>
                    </w:rPr>
                  </w:pPr>
                </w:p>
              </w:tc>
              <w:tc>
                <w:tcPr>
                  <w:tcW w:w="945" w:type="pct"/>
                  <w:vAlign w:val="center"/>
                </w:tcPr>
                <w:p w14:paraId="1113D389">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w:t>
                  </w:r>
                </w:p>
              </w:tc>
              <w:tc>
                <w:tcPr>
                  <w:tcW w:w="727" w:type="pct"/>
                  <w:vMerge w:val="continue"/>
                  <w:vAlign w:val="center"/>
                </w:tcPr>
                <w:p w14:paraId="3624BE05">
                  <w:pPr>
                    <w:pStyle w:val="7"/>
                    <w:keepNext w:val="0"/>
                    <w:keepLines w:val="0"/>
                    <w:suppressLineNumbers w:val="0"/>
                    <w:bidi w:val="0"/>
                    <w:spacing w:before="0" w:beforeAutospacing="0" w:after="0" w:afterAutospacing="0" w:line="240" w:lineRule="auto"/>
                    <w:ind w:left="0" w:right="0"/>
                    <w:rPr>
                      <w:rFonts w:hint="default"/>
                      <w:lang w:val="en-US" w:eastAsia="zh-CN"/>
                    </w:rPr>
                  </w:pPr>
                </w:p>
              </w:tc>
            </w:tr>
            <w:tr w14:paraId="7B349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0" w:hRule="atLeast"/>
              </w:trPr>
              <w:tc>
                <w:tcPr>
                  <w:tcW w:w="5000" w:type="pct"/>
                  <w:gridSpan w:val="7"/>
                  <w:vAlign w:val="center"/>
                </w:tcPr>
                <w:p w14:paraId="617CBF68">
                  <w:pPr>
                    <w:pStyle w:val="7"/>
                    <w:keepNext w:val="0"/>
                    <w:keepLines w:val="0"/>
                    <w:suppressLineNumbers w:val="0"/>
                    <w:bidi w:val="0"/>
                    <w:spacing w:before="0" w:beforeAutospacing="0" w:after="0" w:afterAutospacing="0" w:line="240" w:lineRule="auto"/>
                    <w:ind w:left="0" w:right="0"/>
                    <w:rPr>
                      <w:rFonts w:hint="default"/>
                      <w:lang w:val="en-US" w:eastAsia="zh-CN"/>
                    </w:rPr>
                  </w:pPr>
                  <w:r>
                    <w:rPr>
                      <w:rFonts w:hint="default"/>
                      <w:lang w:val="en-US" w:eastAsia="zh-CN"/>
                    </w:rPr>
                    <w:t>注：生活污水浓度参照《环境工程技术手册 废水污染控制技术手册》（北京工业出版社）确定CODcr、BOD</w:t>
                  </w:r>
                  <w:r>
                    <w:rPr>
                      <w:rFonts w:hint="default"/>
                      <w:vertAlign w:val="subscript"/>
                      <w:lang w:val="en-US" w:eastAsia="zh-CN"/>
                    </w:rPr>
                    <w:t>5</w:t>
                  </w:r>
                  <w:r>
                    <w:rPr>
                      <w:rFonts w:hint="default"/>
                      <w:lang w:val="en-US" w:eastAsia="zh-CN"/>
                    </w:rPr>
                    <w:t>、SS、氨氮的产生浓度，CODcr：250mg/L、BOD</w:t>
                  </w:r>
                  <w:r>
                    <w:rPr>
                      <w:rFonts w:hint="default"/>
                      <w:vertAlign w:val="subscript"/>
                      <w:lang w:val="en-US" w:eastAsia="zh-CN"/>
                    </w:rPr>
                    <w:t>5</w:t>
                  </w:r>
                  <w:r>
                    <w:rPr>
                      <w:rFonts w:hint="default"/>
                      <w:lang w:val="en-US" w:eastAsia="zh-CN"/>
                    </w:rPr>
                    <w:t>：150mg/L、NH</w:t>
                  </w:r>
                  <w:r>
                    <w:rPr>
                      <w:rFonts w:hint="default"/>
                      <w:vertAlign w:val="subscript"/>
                      <w:lang w:val="en-US" w:eastAsia="zh-CN"/>
                    </w:rPr>
                    <w:t>3</w:t>
                  </w:r>
                  <w:r>
                    <w:rPr>
                      <w:rFonts w:hint="default"/>
                      <w:lang w:val="en-US" w:eastAsia="zh-CN"/>
                    </w:rPr>
                    <w:t>-N：20mg/L、SS：150mg/L。</w:t>
                  </w:r>
                </w:p>
              </w:tc>
            </w:tr>
          </w:tbl>
          <w:p w14:paraId="37EB048B">
            <w:pPr>
              <w:pStyle w:val="3"/>
              <w:keepLines w:val="0"/>
              <w:suppressLineNumbers w:val="0"/>
              <w:bidi w:val="0"/>
              <w:spacing w:before="0" w:beforeAutospacing="0" w:after="0" w:afterAutospacing="0"/>
              <w:ind w:right="0"/>
              <w:rPr>
                <w:rFonts w:hint="default"/>
              </w:rPr>
            </w:pPr>
            <w:r>
              <w:rPr>
                <w:rFonts w:hint="eastAsia"/>
                <w:lang w:val="en-US" w:eastAsia="zh-CN"/>
              </w:rPr>
              <w:t xml:space="preserve">2.2 </w:t>
            </w:r>
            <w:r>
              <w:rPr>
                <w:rFonts w:hint="default"/>
              </w:rPr>
              <w:t>废水污染防治措施可行性</w:t>
            </w:r>
          </w:p>
          <w:p w14:paraId="088A8C59">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和</w:t>
            </w:r>
            <w:r>
              <w:rPr>
                <w:rFonts w:hint="default"/>
                <w:lang w:val="en-US" w:eastAsia="zh-CN"/>
              </w:rPr>
              <w:t>静县污水处理厂坐落于新疆维吾尔自治区巴音郭楞蒙古自治州和静县城区东南方向2.3km处，于2017年10月26日取得了《关于</w:t>
            </w:r>
            <w:r>
              <w:rPr>
                <w:rFonts w:hint="eastAsia"/>
                <w:lang w:val="en-US" w:eastAsia="zh-CN"/>
              </w:rPr>
              <w:t>和静县污水处理厂</w:t>
            </w:r>
            <w:r>
              <w:rPr>
                <w:rFonts w:hint="default"/>
                <w:lang w:val="en-US" w:eastAsia="zh-CN"/>
              </w:rPr>
              <w:t>提标改造工程环境影响报告书的批复》（新环函〔2017〕1770号），并于2019年完成了竣工环境保护验收工作，污水处理厂接纳和静县中心城区、和静工业园区（哈尔莫敦矿业片区、新兴产业区、额勒再特工业片区）、县道279沿线额勒再特乡、养殖场、巩哈拉村小学、拉布润及夏尔布鲁克村周边乡镇废水。采用A2/O生物池（氧化沟、二沉池改造）+MBR膜池工艺处理，排水达到《城镇污水处理厂污染物排放标准》（GB 18918-2002）中的一级A标准，设计处理规模2万m</w:t>
            </w:r>
            <w:r>
              <w:rPr>
                <w:rFonts w:hint="default"/>
                <w:vertAlign w:val="superscript"/>
                <w:lang w:val="en-US" w:eastAsia="zh-CN"/>
              </w:rPr>
              <w:t>3</w:t>
            </w:r>
            <w:r>
              <w:rPr>
                <w:rFonts w:hint="default"/>
                <w:lang w:val="en-US" w:eastAsia="zh-CN"/>
              </w:rPr>
              <w:t>/d。进水水质：县城生活污水主要污染物指标按照《污水排入城镇下水道水质标准》（GB/T31962-2015）控制，园区内企业产生的废水有行业标准的需达到行业标准后允许排入园区管网无行业标准的需达到《污水综合排放标准》（GB 8978-1996）中的三级标准后可排入园区管网（不得含有重金属），进入污水处理厂进行进一步处理。</w:t>
            </w:r>
          </w:p>
          <w:p w14:paraId="7DB4CEF3">
            <w:pPr>
              <w:keepNext w:val="0"/>
              <w:keepLines w:val="0"/>
              <w:suppressLineNumbers w:val="0"/>
              <w:bidi w:val="0"/>
              <w:spacing w:before="0" w:beforeAutospacing="0" w:after="0" w:afterAutospacing="0"/>
              <w:ind w:left="0" w:right="0"/>
              <w:rPr>
                <w:rFonts w:hint="default"/>
              </w:rPr>
            </w:pPr>
            <w:r>
              <w:rPr>
                <w:rFonts w:hint="default"/>
              </w:rPr>
              <w:t>本项目排水量为</w:t>
            </w:r>
            <w:r>
              <w:rPr>
                <w:rFonts w:hint="default"/>
                <w:lang w:val="en-US" w:eastAsia="zh-CN"/>
              </w:rPr>
              <w:t>0.2</w:t>
            </w:r>
            <w:r>
              <w:rPr>
                <w:rFonts w:hint="eastAsia"/>
                <w:lang w:val="en-US" w:eastAsia="zh-CN"/>
              </w:rPr>
              <w:t>6</w:t>
            </w:r>
            <w:r>
              <w:rPr>
                <w:rFonts w:hint="default"/>
              </w:rPr>
              <w:t>m</w:t>
            </w:r>
            <w:r>
              <w:rPr>
                <w:rFonts w:hint="default"/>
                <w:vertAlign w:val="superscript"/>
              </w:rPr>
              <w:t>3</w:t>
            </w:r>
            <w:r>
              <w:rPr>
                <w:rFonts w:hint="default"/>
              </w:rPr>
              <w:t>/d（</w:t>
            </w:r>
            <w:r>
              <w:rPr>
                <w:rFonts w:hint="eastAsia"/>
                <w:lang w:val="en-US" w:eastAsia="zh-CN"/>
              </w:rPr>
              <w:t>62.4</w:t>
            </w:r>
            <w:r>
              <w:rPr>
                <w:rFonts w:hint="default"/>
              </w:rPr>
              <w:t>m</w:t>
            </w:r>
            <w:r>
              <w:rPr>
                <w:rFonts w:hint="default"/>
                <w:vertAlign w:val="superscript"/>
              </w:rPr>
              <w:t>3</w:t>
            </w:r>
            <w:r>
              <w:rPr>
                <w:rFonts w:hint="default"/>
              </w:rPr>
              <w:t>/a）</w:t>
            </w:r>
            <w:r>
              <w:rPr>
                <w:rFonts w:hint="default"/>
                <w:lang w:eastAsia="zh-CN"/>
              </w:rPr>
              <w:t>，</w:t>
            </w:r>
            <w:r>
              <w:rPr>
                <w:rFonts w:hint="default"/>
                <w:lang w:val="en-US" w:eastAsia="zh-CN"/>
              </w:rPr>
              <w:t>从处理能力来看，和静县污水处理厂具备足够接纳余量；项目</w:t>
            </w:r>
            <w:r>
              <w:rPr>
                <w:rFonts w:hint="eastAsia"/>
                <w:lang w:val="en-US" w:eastAsia="zh-CN"/>
              </w:rPr>
              <w:t>仅排放生活污水</w:t>
            </w:r>
            <w:r>
              <w:rPr>
                <w:rFonts w:hint="default"/>
                <w:lang w:val="en-US" w:eastAsia="zh-CN"/>
              </w:rPr>
              <w:t>，水质可满足《污水综合排放标准》（GB8978-1996）三级标准及污水处理厂进水水质要求。项目采用专业污水拉运公司转运至和静县污水处理厂处理，该依托方案在时间安排与空间布局上均具备可行性。此外，项目</w:t>
            </w:r>
            <w:r>
              <w:rPr>
                <w:rFonts w:hint="eastAsia"/>
                <w:lang w:val="en-US" w:eastAsia="zh-CN"/>
              </w:rPr>
              <w:t>污水</w:t>
            </w:r>
            <w:r>
              <w:rPr>
                <w:rFonts w:hint="default"/>
                <w:lang w:val="en-US" w:eastAsia="zh-CN"/>
              </w:rPr>
              <w:t>规模较小且水质稳定，不会对污水处理厂的处理能力及现有工艺造成冲击；经污水处理厂达标处理后，外排污水不会对项目周边水域水质产生重大不利影响，亦不会改变区域水环境功能类别。</w:t>
            </w:r>
          </w:p>
          <w:p w14:paraId="5815683B">
            <w:pPr>
              <w:pStyle w:val="4"/>
              <w:keepNext w:val="0"/>
              <w:keepLines w:val="0"/>
              <w:suppressLineNumbers w:val="0"/>
              <w:bidi w:val="0"/>
              <w:spacing w:before="0" w:beforeAutospacing="0" w:after="0" w:afterAutospacing="0"/>
              <w:ind w:left="0" w:right="0"/>
              <w:rPr>
                <w:rFonts w:hint="default"/>
              </w:rPr>
            </w:pPr>
            <w:r>
              <w:rPr>
                <w:rFonts w:hint="eastAsia"/>
                <w:lang w:val="en-US" w:eastAsia="zh-CN"/>
              </w:rPr>
              <w:t xml:space="preserve">2.3 </w:t>
            </w:r>
            <w:r>
              <w:rPr>
                <w:rFonts w:hint="default"/>
                <w:lang w:val="en-US" w:eastAsia="zh-CN"/>
              </w:rPr>
              <w:t>项目</w:t>
            </w:r>
            <w:r>
              <w:rPr>
                <w:rFonts w:hint="eastAsia"/>
                <w:lang w:val="en-US" w:eastAsia="zh-CN"/>
              </w:rPr>
              <w:t>废水监测</w:t>
            </w:r>
            <w:r>
              <w:rPr>
                <w:rFonts w:hint="default"/>
                <w:lang w:val="en-US" w:eastAsia="zh-CN"/>
              </w:rPr>
              <w:t>要求</w:t>
            </w:r>
          </w:p>
          <w:p w14:paraId="5F14D75C">
            <w:pPr>
              <w:keepNext w:val="0"/>
              <w:keepLines w:val="0"/>
              <w:suppressLineNumbers w:val="0"/>
              <w:bidi w:val="0"/>
              <w:spacing w:before="0" w:beforeAutospacing="0" w:after="0" w:afterAutospacing="0"/>
              <w:ind w:left="0" w:right="0"/>
              <w:rPr>
                <w:rFonts w:hint="default"/>
                <w:lang w:val="en-US" w:eastAsia="zh-CN"/>
              </w:rPr>
            </w:pPr>
            <w:r>
              <w:rPr>
                <w:rFonts w:hint="default"/>
              </w:rPr>
              <w:t>根据《排污许可证申请与核发技术规范 水处理通用工序》（HJ1120-2020）表10中备注C条提到，生活污水单独排入集中污水处理设施或其他单位时仅说明去向，故本项目无需进行废水监测。</w:t>
            </w:r>
          </w:p>
          <w:p w14:paraId="3E576148">
            <w:pPr>
              <w:pStyle w:val="3"/>
              <w:keepLines w:val="0"/>
              <w:suppressLineNumbers w:val="0"/>
              <w:bidi w:val="0"/>
              <w:spacing w:before="0" w:beforeAutospacing="0" w:after="0" w:afterAutospacing="0"/>
              <w:ind w:right="0"/>
              <w:rPr>
                <w:rFonts w:hint="default"/>
              </w:rPr>
            </w:pPr>
            <w:r>
              <w:rPr>
                <w:rFonts w:hint="default"/>
                <w:lang w:val="en-US" w:eastAsia="zh-CN"/>
              </w:rPr>
              <w:t>3</w:t>
            </w:r>
            <w:r>
              <w:rPr>
                <w:rFonts w:hint="eastAsia"/>
                <w:lang w:val="en-US" w:eastAsia="zh-CN"/>
              </w:rPr>
              <w:t xml:space="preserve"> </w:t>
            </w:r>
            <w:r>
              <w:rPr>
                <w:rFonts w:hint="default"/>
                <w:lang w:eastAsia="zh-CN"/>
              </w:rPr>
              <w:t>噪</w:t>
            </w:r>
            <w:r>
              <w:rPr>
                <w:rFonts w:hint="default"/>
              </w:rPr>
              <w:t>声</w:t>
            </w:r>
            <w:r>
              <w:rPr>
                <w:rFonts w:hint="default"/>
                <w:lang w:eastAsia="zh-CN"/>
              </w:rPr>
              <w:t>环境影响和保护措施</w:t>
            </w:r>
          </w:p>
          <w:p w14:paraId="1A8CF87B">
            <w:pPr>
              <w:pStyle w:val="3"/>
              <w:keepLines w:val="0"/>
              <w:suppressLineNumbers w:val="0"/>
              <w:bidi w:val="0"/>
              <w:spacing w:before="0" w:beforeAutospacing="0" w:after="0" w:afterAutospacing="0"/>
              <w:ind w:right="0"/>
              <w:rPr>
                <w:rFonts w:hint="default"/>
                <w:lang w:val="en-US" w:eastAsia="zh-CN"/>
              </w:rPr>
            </w:pPr>
            <w:r>
              <w:rPr>
                <w:rFonts w:hint="eastAsia"/>
                <w:lang w:val="en-US" w:eastAsia="zh-CN"/>
              </w:rPr>
              <w:t>3.1噪声环境影响</w:t>
            </w:r>
          </w:p>
          <w:p w14:paraId="223A5944">
            <w:pPr>
              <w:keepNext w:val="0"/>
              <w:keepLines w:val="0"/>
              <w:suppressLineNumbers w:val="0"/>
              <w:bidi w:val="0"/>
              <w:spacing w:before="0" w:beforeAutospacing="0" w:after="0" w:afterAutospacing="0"/>
              <w:ind w:left="0" w:right="0"/>
              <w:rPr>
                <w:rFonts w:hint="default"/>
              </w:rPr>
            </w:pPr>
            <w:r>
              <w:rPr>
                <w:rFonts w:hint="default"/>
                <w:lang w:val="en-US" w:eastAsia="zh-CN"/>
              </w:rPr>
              <w:t>（1）</w:t>
            </w:r>
            <w:r>
              <w:rPr>
                <w:rFonts w:hint="default"/>
              </w:rPr>
              <w:t>预测模型</w:t>
            </w:r>
          </w:p>
          <w:p w14:paraId="589BF09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根据项目建设内容及《环境影响评价技术导则—声环境》（HJ2.4-2021）的要求，项目环评采用的模型为《环境影响评价技术导则 声环境》(HJ2.4.2021)附录A（规范性附录）户外声传播的衰减和附录B（规范性附录）中</w:t>
            </w:r>
            <w:r>
              <w:rPr>
                <w:rFonts w:hint="eastAsia" w:ascii="宋体" w:hAnsi="宋体" w:eastAsia="宋体" w:cs="宋体"/>
                <w:lang w:val="en-US" w:eastAsia="zh-CN"/>
              </w:rPr>
              <w:t>“</w:t>
            </w:r>
            <w:r>
              <w:rPr>
                <w:rFonts w:hint="default"/>
                <w:lang w:val="en-US" w:eastAsia="zh-CN"/>
              </w:rPr>
              <w:t>B.1工业噪声预测计算模型</w:t>
            </w:r>
            <w:r>
              <w:rPr>
                <w:rFonts w:hint="eastAsia" w:ascii="宋体" w:hAnsi="宋体" w:eastAsia="宋体" w:cs="宋体"/>
                <w:lang w:val="en-US" w:eastAsia="zh-CN"/>
              </w:rPr>
              <w:t>”</w:t>
            </w:r>
            <w:r>
              <w:rPr>
                <w:rFonts w:hint="default"/>
                <w:lang w:val="en-US" w:eastAsia="zh-CN"/>
              </w:rPr>
              <w:t>。</w:t>
            </w:r>
          </w:p>
          <w:p w14:paraId="140B0032">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（2）噪声源参数</w:t>
            </w:r>
          </w:p>
          <w:p w14:paraId="208DC61A">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项目在生产过程中产生的噪声主要源自配料机、</w:t>
            </w:r>
            <w:r>
              <w:rPr>
                <w:rFonts w:hint="eastAsia"/>
                <w:lang w:val="en-US" w:eastAsia="zh-CN"/>
              </w:rPr>
              <w:t>搅拌器、铲车</w:t>
            </w:r>
            <w:r>
              <w:rPr>
                <w:rFonts w:hint="default"/>
                <w:lang w:val="en-US" w:eastAsia="zh-CN"/>
              </w:rPr>
              <w:t>等</w:t>
            </w:r>
            <w:r>
              <w:rPr>
                <w:rFonts w:hint="eastAsia"/>
                <w:lang w:val="en-US" w:eastAsia="zh-CN"/>
              </w:rPr>
              <w:t>，</w:t>
            </w:r>
            <w:r>
              <w:rPr>
                <w:rFonts w:hint="default"/>
                <w:lang w:val="en-US" w:eastAsia="zh-CN"/>
              </w:rPr>
              <w:t>这些设备产生的噪声声级一般在70dB以上。项目产生噪声的噪声源强调查清单见下表。</w:t>
            </w:r>
          </w:p>
          <w:p w14:paraId="6F99FEFA">
            <w:pPr>
              <w:keepNext w:val="0"/>
              <w:keepLines w:val="0"/>
              <w:suppressLineNumbers w:val="0"/>
              <w:bidi w:val="0"/>
              <w:spacing w:before="0" w:beforeAutospacing="0" w:after="0" w:afterAutospacing="0"/>
              <w:ind w:left="0" w:right="0"/>
              <w:rPr>
                <w:rFonts w:hint="default"/>
                <w:lang w:val="en-US" w:eastAsia="zh-CN"/>
              </w:rPr>
            </w:pPr>
          </w:p>
          <w:p w14:paraId="7177EB52">
            <w:pPr>
              <w:keepNext w:val="0"/>
              <w:keepLines w:val="0"/>
              <w:suppressLineNumbers w:val="0"/>
              <w:bidi w:val="0"/>
              <w:spacing w:before="0" w:beforeAutospacing="0" w:after="0" w:afterAutospacing="0"/>
              <w:ind w:left="0" w:right="0"/>
              <w:rPr>
                <w:rFonts w:hint="default"/>
                <w:lang w:val="en-US" w:eastAsia="zh-CN"/>
              </w:rPr>
            </w:pPr>
          </w:p>
          <w:p w14:paraId="335E2418">
            <w:pPr>
              <w:keepNext w:val="0"/>
              <w:keepLines w:val="0"/>
              <w:suppressLineNumbers w:val="0"/>
              <w:bidi w:val="0"/>
              <w:spacing w:before="0" w:beforeAutospacing="0" w:after="0" w:afterAutospacing="0"/>
              <w:ind w:left="0" w:right="0"/>
              <w:rPr>
                <w:rFonts w:hint="default"/>
                <w:lang w:val="en-US" w:eastAsia="zh-CN"/>
              </w:rPr>
            </w:pPr>
          </w:p>
          <w:p w14:paraId="7F30081A">
            <w:pPr>
              <w:keepNext w:val="0"/>
              <w:keepLines w:val="0"/>
              <w:suppressLineNumbers w:val="0"/>
              <w:bidi w:val="0"/>
              <w:spacing w:before="0" w:beforeAutospacing="0" w:after="0" w:afterAutospacing="0"/>
              <w:ind w:left="0" w:right="0"/>
              <w:rPr>
                <w:rFonts w:hint="default"/>
                <w:lang w:val="en-US" w:eastAsia="zh-CN"/>
              </w:rPr>
            </w:pPr>
          </w:p>
          <w:p w14:paraId="14DF2310">
            <w:pPr>
              <w:keepNext w:val="0"/>
              <w:keepLines w:val="0"/>
              <w:suppressLineNumbers w:val="0"/>
              <w:bidi w:val="0"/>
              <w:spacing w:before="0" w:beforeAutospacing="0" w:after="0" w:afterAutospacing="0"/>
              <w:ind w:left="0" w:right="0"/>
              <w:rPr>
                <w:rFonts w:hint="default"/>
                <w:lang w:val="en-US" w:eastAsia="zh-CN"/>
              </w:rPr>
            </w:pPr>
          </w:p>
          <w:p w14:paraId="790EA3E4">
            <w:pPr>
              <w:keepNext w:val="0"/>
              <w:keepLines w:val="0"/>
              <w:suppressLineNumbers w:val="0"/>
              <w:bidi w:val="0"/>
              <w:spacing w:before="0" w:beforeAutospacing="0" w:after="0" w:afterAutospacing="0"/>
              <w:ind w:left="0" w:right="0"/>
              <w:rPr>
                <w:rFonts w:hint="default"/>
                <w:lang w:val="en-US" w:eastAsia="zh-CN"/>
              </w:rPr>
            </w:pPr>
          </w:p>
          <w:p w14:paraId="5D5645FA">
            <w:pPr>
              <w:keepNext w:val="0"/>
              <w:keepLines w:val="0"/>
              <w:suppressLineNumbers w:val="0"/>
              <w:bidi w:val="0"/>
              <w:spacing w:before="0" w:beforeAutospacing="0" w:after="0" w:afterAutospacing="0"/>
              <w:ind w:left="0" w:right="0"/>
              <w:rPr>
                <w:rFonts w:hint="default"/>
                <w:lang w:val="en-US" w:eastAsia="zh-CN"/>
              </w:rPr>
            </w:pPr>
          </w:p>
          <w:p w14:paraId="2B03BBA9">
            <w:pPr>
              <w:keepNext w:val="0"/>
              <w:keepLines w:val="0"/>
              <w:suppressLineNumbers w:val="0"/>
              <w:bidi w:val="0"/>
              <w:spacing w:before="0" w:beforeAutospacing="0" w:after="0" w:afterAutospacing="0"/>
              <w:ind w:left="0" w:right="0"/>
              <w:rPr>
                <w:rFonts w:hint="default"/>
              </w:rPr>
            </w:pPr>
          </w:p>
          <w:p w14:paraId="34ADDAD5">
            <w:pPr>
              <w:keepNext w:val="0"/>
              <w:keepLines w:val="0"/>
              <w:suppressLineNumbers w:val="0"/>
              <w:bidi w:val="0"/>
              <w:spacing w:before="0" w:beforeAutospacing="0" w:after="0" w:afterAutospacing="0"/>
              <w:ind w:left="0" w:right="0"/>
              <w:rPr>
                <w:rFonts w:hint="default"/>
              </w:rPr>
            </w:pPr>
          </w:p>
          <w:p w14:paraId="527BF762">
            <w:pPr>
              <w:keepNext w:val="0"/>
              <w:keepLines w:val="0"/>
              <w:suppressLineNumbers w:val="0"/>
              <w:bidi w:val="0"/>
              <w:spacing w:before="0" w:beforeAutospacing="0" w:after="0" w:afterAutospacing="0"/>
              <w:ind w:left="0" w:right="0"/>
              <w:rPr>
                <w:rFonts w:hint="default"/>
              </w:rPr>
            </w:pPr>
          </w:p>
          <w:p w14:paraId="33A23DD1">
            <w:pPr>
              <w:keepNext w:val="0"/>
              <w:keepLines w:val="0"/>
              <w:suppressLineNumbers w:val="0"/>
              <w:bidi w:val="0"/>
              <w:spacing w:before="0" w:beforeAutospacing="0" w:after="0" w:afterAutospacing="0"/>
              <w:ind w:left="0" w:right="0"/>
              <w:rPr>
                <w:rFonts w:hint="default"/>
              </w:rPr>
            </w:pPr>
          </w:p>
          <w:p w14:paraId="45F0D88B">
            <w:pPr>
              <w:keepNext w:val="0"/>
              <w:keepLines w:val="0"/>
              <w:suppressLineNumbers w:val="0"/>
              <w:bidi w:val="0"/>
              <w:spacing w:before="0" w:beforeAutospacing="0" w:after="0" w:afterAutospacing="0"/>
              <w:ind w:left="0" w:right="0"/>
              <w:rPr>
                <w:rFonts w:hint="default"/>
              </w:rPr>
            </w:pPr>
          </w:p>
          <w:p w14:paraId="668B6211">
            <w:pPr>
              <w:keepNext w:val="0"/>
              <w:keepLines w:val="0"/>
              <w:suppressLineNumbers w:val="0"/>
              <w:bidi w:val="0"/>
              <w:spacing w:before="0" w:beforeAutospacing="0" w:after="0" w:afterAutospacing="0"/>
              <w:ind w:left="0" w:right="0"/>
              <w:rPr>
                <w:rFonts w:hint="default"/>
              </w:rPr>
            </w:pPr>
          </w:p>
          <w:p w14:paraId="2C03F730">
            <w:pPr>
              <w:keepNext w:val="0"/>
              <w:keepLines w:val="0"/>
              <w:suppressLineNumbers w:val="0"/>
              <w:bidi w:val="0"/>
              <w:spacing w:before="0" w:beforeAutospacing="0" w:after="0" w:afterAutospacing="0"/>
              <w:ind w:left="0" w:right="0"/>
              <w:rPr>
                <w:rFonts w:hint="default"/>
              </w:rPr>
            </w:pPr>
          </w:p>
          <w:p w14:paraId="63D71F7A">
            <w:pPr>
              <w:keepNext w:val="0"/>
              <w:keepLines w:val="0"/>
              <w:suppressLineNumbers w:val="0"/>
              <w:bidi w:val="0"/>
              <w:spacing w:before="0" w:beforeAutospacing="0" w:after="0" w:afterAutospacing="0"/>
              <w:ind w:left="0" w:right="0"/>
              <w:rPr>
                <w:rFonts w:hint="default"/>
              </w:rPr>
            </w:pPr>
          </w:p>
          <w:p w14:paraId="02144BB7">
            <w:pPr>
              <w:keepNext w:val="0"/>
              <w:keepLines w:val="0"/>
              <w:suppressLineNumbers w:val="0"/>
              <w:bidi w:val="0"/>
              <w:spacing w:before="0" w:beforeAutospacing="0" w:after="0" w:afterAutospacing="0"/>
              <w:ind w:left="0" w:right="0"/>
              <w:rPr>
                <w:rFonts w:hint="default"/>
              </w:rPr>
            </w:pPr>
          </w:p>
          <w:p w14:paraId="6E7EF3D9">
            <w:pPr>
              <w:keepNext w:val="0"/>
              <w:keepLines w:val="0"/>
              <w:suppressLineNumbers w:val="0"/>
              <w:bidi w:val="0"/>
              <w:spacing w:before="0" w:beforeAutospacing="0" w:after="0" w:afterAutospacing="0"/>
              <w:ind w:left="0" w:right="0"/>
              <w:rPr>
                <w:rFonts w:hint="default"/>
              </w:rPr>
            </w:pPr>
          </w:p>
          <w:p w14:paraId="07A9B05C">
            <w:pPr>
              <w:pStyle w:val="52"/>
              <w:keepNext w:val="0"/>
              <w:keepLines w:val="0"/>
              <w:suppressLineNumbers w:val="0"/>
              <w:spacing w:before="0" w:beforeAutospacing="0" w:after="0" w:afterAutospacing="0"/>
              <w:ind w:left="0" w:right="0"/>
              <w:jc w:val="both"/>
              <w:rPr>
                <w:rFonts w:hint="default"/>
              </w:rPr>
            </w:pPr>
          </w:p>
        </w:tc>
      </w:tr>
    </w:tbl>
    <w:p w14:paraId="5474897F">
      <w:pPr>
        <w:adjustRightInd w:val="0"/>
        <w:snapToGrid w:val="0"/>
        <w:spacing w:line="520" w:lineRule="exact"/>
        <w:jc w:val="center"/>
        <w:rPr>
          <w:rFonts w:hint="default" w:ascii="Times New Roman" w:hAnsi="Times New Roman" w:cs="Times New Roman"/>
          <w:bCs/>
          <w:color w:val="00000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12281"/>
      </w:tblGrid>
      <w:tr w14:paraId="4D6F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8" w:hRule="atLeast"/>
        </w:trPr>
        <w:tc>
          <w:tcPr>
            <w:tcW w:w="358" w:type="pct"/>
          </w:tcPr>
          <w:p w14:paraId="1BDB3C49">
            <w:pPr>
              <w:keepNext w:val="0"/>
              <w:keepLines w:val="0"/>
              <w:suppressLineNumbers w:val="0"/>
              <w:adjustRightInd w:val="0"/>
              <w:snapToGrid w:val="0"/>
              <w:spacing w:before="0" w:beforeAutospacing="0" w:after="0" w:afterAutospacing="0" w:line="360" w:lineRule="auto"/>
              <w:ind w:left="0" w:right="0"/>
              <w:rPr>
                <w:rFonts w:hint="eastAsia" w:ascii="宋体" w:cs="宋体"/>
                <w:b/>
                <w:color w:val="000000"/>
                <w:kern w:val="0"/>
                <w:sz w:val="28"/>
                <w:szCs w:val="28"/>
                <w:highlight w:val="none"/>
                <w:vertAlign w:val="baseline"/>
              </w:rPr>
            </w:pPr>
          </w:p>
        </w:tc>
        <w:tc>
          <w:tcPr>
            <w:tcW w:w="4641" w:type="pct"/>
          </w:tcPr>
          <w:p w14:paraId="4E9842B7">
            <w:pPr>
              <w:pStyle w:val="6"/>
              <w:suppressLineNumbers w:val="0"/>
              <w:bidi w:val="0"/>
              <w:spacing w:before="0" w:beforeAutospacing="0" w:after="0" w:afterAutospacing="0"/>
              <w:ind w:left="0" w:right="0"/>
              <w:rPr>
                <w:rFonts w:hint="default"/>
                <w:lang w:val="en-US" w:eastAsia="zh-CN"/>
              </w:rPr>
            </w:pPr>
          </w:p>
          <w:p w14:paraId="1793B49C">
            <w:pPr>
              <w:pStyle w:val="5"/>
              <w:suppressLineNumbers w:val="0"/>
              <w:bidi w:val="0"/>
              <w:spacing w:before="0" w:beforeAutospacing="0" w:after="0" w:afterAutospacing="0"/>
              <w:ind w:left="0" w:right="0"/>
              <w:rPr>
                <w:rFonts w:hint="default"/>
                <w:lang w:val="en-US" w:eastAsia="zh-CN"/>
              </w:rPr>
            </w:pPr>
            <w:r>
              <w:rPr>
                <w:rFonts w:hint="default"/>
                <w:lang w:val="en-US" w:eastAsia="zh-CN"/>
              </w:rPr>
              <w:t>表</w:t>
            </w:r>
            <w:r>
              <w:rPr>
                <w:rFonts w:hint="eastAsia"/>
                <w:lang w:val="en-US" w:eastAsia="zh-CN"/>
              </w:rPr>
              <w:t>4-6</w:t>
            </w:r>
            <w:r>
              <w:rPr>
                <w:rFonts w:hint="default"/>
                <w:lang w:val="en-US" w:eastAsia="zh-CN"/>
              </w:rPr>
              <w:t xml:space="preserve">  工业企业噪声源强调查清单（室</w:t>
            </w:r>
            <w:r>
              <w:rPr>
                <w:rFonts w:hint="eastAsia"/>
                <w:lang w:val="en-US" w:eastAsia="zh-CN"/>
              </w:rPr>
              <w:t>内</w:t>
            </w:r>
            <w:r>
              <w:rPr>
                <w:rFonts w:hint="default"/>
                <w:lang w:val="en-US" w:eastAsia="zh-CN"/>
              </w:rPr>
              <w:t>声源）</w:t>
            </w:r>
          </w:p>
          <w:tbl>
            <w:tblPr>
              <w:tblStyle w:val="33"/>
              <w:tblpPr w:leftFromText="180" w:rightFromText="180" w:vertAnchor="text" w:horzAnchor="page" w:tblpXSpec="center" w:tblpY="323"/>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475"/>
              <w:gridCol w:w="704"/>
              <w:gridCol w:w="562"/>
              <w:gridCol w:w="480"/>
              <w:gridCol w:w="509"/>
              <w:gridCol w:w="514"/>
              <w:gridCol w:w="545"/>
              <w:gridCol w:w="422"/>
              <w:gridCol w:w="422"/>
              <w:gridCol w:w="422"/>
              <w:gridCol w:w="449"/>
              <w:gridCol w:w="422"/>
              <w:gridCol w:w="422"/>
              <w:gridCol w:w="422"/>
              <w:gridCol w:w="437"/>
              <w:gridCol w:w="475"/>
              <w:gridCol w:w="422"/>
              <w:gridCol w:w="422"/>
              <w:gridCol w:w="422"/>
              <w:gridCol w:w="434"/>
              <w:gridCol w:w="434"/>
              <w:gridCol w:w="434"/>
              <w:gridCol w:w="434"/>
              <w:gridCol w:w="435"/>
              <w:gridCol w:w="454"/>
            </w:tblGrid>
            <w:tr w14:paraId="0BD1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97" w:type="pct"/>
                  <w:vMerge w:val="restart"/>
                  <w:vAlign w:val="center"/>
                </w:tcPr>
                <w:p w14:paraId="5E4E4BAA">
                  <w:pPr>
                    <w:pStyle w:val="7"/>
                    <w:keepNext w:val="0"/>
                    <w:keepLines w:val="0"/>
                    <w:suppressLineNumbers w:val="0"/>
                    <w:bidi w:val="0"/>
                    <w:spacing w:before="0" w:beforeAutospacing="0" w:after="0" w:afterAutospacing="0"/>
                    <w:ind w:left="0" w:right="0"/>
                    <w:rPr>
                      <w:rFonts w:hint="default"/>
                      <w:sz w:val="21"/>
                      <w:szCs w:val="21"/>
                    </w:rPr>
                  </w:pPr>
                  <w:bookmarkStart w:id="1" w:name="PT_6"/>
                  <w:r>
                    <w:rPr>
                      <w:rFonts w:hint="default"/>
                      <w:sz w:val="21"/>
                      <w:szCs w:val="21"/>
                    </w:rPr>
                    <w:t>序号</w:t>
                  </w:r>
                </w:p>
              </w:tc>
              <w:tc>
                <w:tcPr>
                  <w:tcW w:w="197" w:type="pct"/>
                  <w:vMerge w:val="restart"/>
                  <w:vAlign w:val="center"/>
                </w:tcPr>
                <w:p w14:paraId="7330E72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建筑物名称</w:t>
                  </w:r>
                </w:p>
              </w:tc>
              <w:tc>
                <w:tcPr>
                  <w:tcW w:w="292" w:type="pct"/>
                  <w:vMerge w:val="restart"/>
                  <w:vAlign w:val="center"/>
                </w:tcPr>
                <w:p w14:paraId="3214195A">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声源名称</w:t>
                  </w:r>
                </w:p>
              </w:tc>
              <w:tc>
                <w:tcPr>
                  <w:tcW w:w="233" w:type="pct"/>
                  <w:vAlign w:val="center"/>
                </w:tcPr>
                <w:p w14:paraId="666B1BFA">
                  <w:pPr>
                    <w:pStyle w:val="7"/>
                    <w:keepNext w:val="0"/>
                    <w:keepLines w:val="0"/>
                    <w:suppressLineNumbers w:val="0"/>
                    <w:bidi w:val="0"/>
                    <w:spacing w:before="0" w:beforeAutospacing="0" w:after="0" w:afterAutospacing="0"/>
                    <w:ind w:left="0" w:right="0"/>
                    <w:rPr>
                      <w:rFonts w:hint="default"/>
                      <w:sz w:val="21"/>
                      <w:szCs w:val="21"/>
                      <w:lang w:eastAsia="zh-CN"/>
                    </w:rPr>
                  </w:pPr>
                  <w:r>
                    <w:rPr>
                      <w:rFonts w:hint="default"/>
                      <w:sz w:val="21"/>
                      <w:szCs w:val="21"/>
                      <w:lang w:eastAsia="zh-CN"/>
                    </w:rPr>
                    <w:t>声源源强</w:t>
                  </w:r>
                </w:p>
              </w:tc>
              <w:tc>
                <w:tcPr>
                  <w:tcW w:w="199" w:type="pct"/>
                  <w:vMerge w:val="restart"/>
                  <w:vAlign w:val="center"/>
                </w:tcPr>
                <w:p w14:paraId="3BDB80A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声源控制措施</w:t>
                  </w:r>
                </w:p>
              </w:tc>
              <w:tc>
                <w:tcPr>
                  <w:tcW w:w="650" w:type="pct"/>
                  <w:gridSpan w:val="3"/>
                  <w:vAlign w:val="center"/>
                </w:tcPr>
                <w:p w14:paraId="53456E5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空间相对位置/m</w:t>
                  </w:r>
                </w:p>
              </w:tc>
              <w:tc>
                <w:tcPr>
                  <w:tcW w:w="711" w:type="pct"/>
                  <w:gridSpan w:val="4"/>
                  <w:vAlign w:val="center"/>
                </w:tcPr>
                <w:p w14:paraId="1F8207F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距室内边界距离/m</w:t>
                  </w:r>
                </w:p>
              </w:tc>
              <w:tc>
                <w:tcPr>
                  <w:tcW w:w="706" w:type="pct"/>
                  <w:gridSpan w:val="4"/>
                  <w:vAlign w:val="center"/>
                </w:tcPr>
                <w:p w14:paraId="10439D5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室内边界声级/dB(A)</w:t>
                  </w:r>
                </w:p>
              </w:tc>
              <w:tc>
                <w:tcPr>
                  <w:tcW w:w="197" w:type="pct"/>
                  <w:vMerge w:val="restart"/>
                  <w:vAlign w:val="center"/>
                </w:tcPr>
                <w:p w14:paraId="0026BBF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运行时段</w:t>
                  </w:r>
                </w:p>
              </w:tc>
              <w:tc>
                <w:tcPr>
                  <w:tcW w:w="705" w:type="pct"/>
                  <w:gridSpan w:val="4"/>
                  <w:vAlign w:val="center"/>
                </w:tcPr>
                <w:p w14:paraId="12B41CE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建筑物插入损失 / dB(A)</w:t>
                  </w:r>
                  <w:bookmarkStart w:id="2" w:name="PT_10"/>
                  <w:bookmarkEnd w:id="2"/>
                </w:p>
              </w:tc>
              <w:tc>
                <w:tcPr>
                  <w:tcW w:w="909" w:type="pct"/>
                  <w:gridSpan w:val="5"/>
                  <w:vAlign w:val="center"/>
                </w:tcPr>
                <w:p w14:paraId="1E02DD3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建筑物外噪声声压级/dB(A)</w:t>
                  </w:r>
                </w:p>
              </w:tc>
            </w:tr>
            <w:tr w14:paraId="7414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vMerge w:val="continue"/>
                  <w:shd w:val="clear" w:color="auto" w:fill="FFFFFF"/>
                  <w:tcMar>
                    <w:top w:w="0" w:type="dxa"/>
                    <w:left w:w="0" w:type="dxa"/>
                    <w:bottom w:w="0" w:type="dxa"/>
                    <w:right w:w="0" w:type="dxa"/>
                  </w:tcMar>
                  <w:vAlign w:val="center"/>
                </w:tcPr>
                <w:p w14:paraId="513D4B9B">
                  <w:pPr>
                    <w:pStyle w:val="7"/>
                    <w:keepNext w:val="0"/>
                    <w:keepLines w:val="0"/>
                    <w:suppressLineNumbers w:val="0"/>
                    <w:bidi w:val="0"/>
                    <w:spacing w:before="0" w:beforeAutospacing="0" w:after="0" w:afterAutospacing="0"/>
                    <w:ind w:left="0" w:right="0"/>
                    <w:rPr>
                      <w:rFonts w:hint="default"/>
                      <w:sz w:val="21"/>
                      <w:szCs w:val="21"/>
                      <w:lang w:val="en-US" w:eastAsia="zh-CN"/>
                    </w:rPr>
                  </w:pPr>
                </w:p>
              </w:tc>
              <w:tc>
                <w:tcPr>
                  <w:tcW w:w="197" w:type="pct"/>
                  <w:vMerge w:val="continue"/>
                  <w:shd w:val="clear" w:color="auto" w:fill="FFFFFF"/>
                  <w:tcMar>
                    <w:top w:w="0" w:type="dxa"/>
                    <w:left w:w="0" w:type="dxa"/>
                    <w:bottom w:w="0" w:type="dxa"/>
                    <w:right w:w="0" w:type="dxa"/>
                  </w:tcMar>
                  <w:vAlign w:val="center"/>
                </w:tcPr>
                <w:p w14:paraId="343F5766">
                  <w:pPr>
                    <w:pStyle w:val="7"/>
                    <w:keepNext w:val="0"/>
                    <w:keepLines w:val="0"/>
                    <w:suppressLineNumbers w:val="0"/>
                    <w:bidi w:val="0"/>
                    <w:spacing w:before="0" w:beforeAutospacing="0" w:after="0" w:afterAutospacing="0"/>
                    <w:ind w:left="0" w:right="0"/>
                    <w:rPr>
                      <w:rFonts w:hint="default"/>
                      <w:sz w:val="21"/>
                      <w:szCs w:val="21"/>
                    </w:rPr>
                  </w:pPr>
                </w:p>
              </w:tc>
              <w:tc>
                <w:tcPr>
                  <w:tcW w:w="292" w:type="pct"/>
                  <w:vMerge w:val="continue"/>
                  <w:shd w:val="clear" w:color="auto" w:fill="FFFFFF"/>
                  <w:tcMar>
                    <w:top w:w="0" w:type="dxa"/>
                    <w:left w:w="0" w:type="dxa"/>
                    <w:bottom w:w="0" w:type="dxa"/>
                    <w:right w:w="0" w:type="dxa"/>
                  </w:tcMar>
                  <w:vAlign w:val="center"/>
                </w:tcPr>
                <w:p w14:paraId="13547862">
                  <w:pPr>
                    <w:pStyle w:val="7"/>
                    <w:keepNext w:val="0"/>
                    <w:keepLines w:val="0"/>
                    <w:suppressLineNumbers w:val="0"/>
                    <w:bidi w:val="0"/>
                    <w:spacing w:before="0" w:beforeAutospacing="0" w:after="0" w:afterAutospacing="0"/>
                    <w:ind w:left="0" w:right="0"/>
                    <w:rPr>
                      <w:rFonts w:hint="default"/>
                      <w:sz w:val="21"/>
                      <w:szCs w:val="21"/>
                    </w:rPr>
                  </w:pPr>
                </w:p>
              </w:tc>
              <w:tc>
                <w:tcPr>
                  <w:tcW w:w="233" w:type="pct"/>
                  <w:shd w:val="clear" w:color="auto" w:fill="FFFFFF"/>
                  <w:tcMar>
                    <w:top w:w="0" w:type="dxa"/>
                    <w:left w:w="0" w:type="dxa"/>
                    <w:bottom w:w="0" w:type="dxa"/>
                    <w:right w:w="0" w:type="dxa"/>
                  </w:tcMar>
                  <w:vAlign w:val="center"/>
                </w:tcPr>
                <w:p w14:paraId="33FAF9E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声功率级/dB(A)</w:t>
                  </w:r>
                </w:p>
              </w:tc>
              <w:tc>
                <w:tcPr>
                  <w:tcW w:w="199" w:type="pct"/>
                  <w:vMerge w:val="continue"/>
                  <w:shd w:val="clear" w:color="auto" w:fill="FFFFFF"/>
                  <w:tcMar>
                    <w:top w:w="0" w:type="dxa"/>
                    <w:left w:w="0" w:type="dxa"/>
                    <w:bottom w:w="0" w:type="dxa"/>
                    <w:right w:w="0" w:type="dxa"/>
                  </w:tcMar>
                  <w:vAlign w:val="center"/>
                </w:tcPr>
                <w:p w14:paraId="46660B62">
                  <w:pPr>
                    <w:pStyle w:val="7"/>
                    <w:keepNext w:val="0"/>
                    <w:keepLines w:val="0"/>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67ED28C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X</w:t>
                  </w:r>
                </w:p>
              </w:tc>
              <w:tc>
                <w:tcPr>
                  <w:tcW w:w="213" w:type="pct"/>
                  <w:shd w:val="clear" w:color="auto" w:fill="FFFFFF"/>
                  <w:tcMar>
                    <w:top w:w="0" w:type="dxa"/>
                    <w:left w:w="0" w:type="dxa"/>
                    <w:bottom w:w="0" w:type="dxa"/>
                    <w:right w:w="0" w:type="dxa"/>
                  </w:tcMar>
                  <w:vAlign w:val="center"/>
                </w:tcPr>
                <w:p w14:paraId="18E0524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Y</w:t>
                  </w:r>
                </w:p>
              </w:tc>
              <w:tc>
                <w:tcPr>
                  <w:tcW w:w="226" w:type="pct"/>
                  <w:shd w:val="clear" w:color="auto" w:fill="FFFFFF"/>
                  <w:tcMar>
                    <w:top w:w="0" w:type="dxa"/>
                    <w:left w:w="0" w:type="dxa"/>
                    <w:bottom w:w="0" w:type="dxa"/>
                    <w:right w:w="0" w:type="dxa"/>
                  </w:tcMar>
                  <w:vAlign w:val="center"/>
                </w:tcPr>
                <w:p w14:paraId="418871F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Z</w:t>
                  </w:r>
                </w:p>
              </w:tc>
              <w:tc>
                <w:tcPr>
                  <w:tcW w:w="175" w:type="pct"/>
                  <w:shd w:val="clear" w:color="auto" w:fill="FFFFFF"/>
                  <w:tcMar>
                    <w:top w:w="0" w:type="dxa"/>
                    <w:left w:w="0" w:type="dxa"/>
                    <w:bottom w:w="0" w:type="dxa"/>
                    <w:right w:w="0" w:type="dxa"/>
                  </w:tcMar>
                  <w:vAlign w:val="center"/>
                </w:tcPr>
                <w:p w14:paraId="2BC74CDC">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东</w:t>
                  </w:r>
                </w:p>
              </w:tc>
              <w:tc>
                <w:tcPr>
                  <w:tcW w:w="175" w:type="pct"/>
                  <w:shd w:val="clear" w:color="auto" w:fill="FFFFFF"/>
                  <w:tcMar>
                    <w:top w:w="0" w:type="dxa"/>
                    <w:left w:w="0" w:type="dxa"/>
                    <w:bottom w:w="0" w:type="dxa"/>
                    <w:right w:w="0" w:type="dxa"/>
                  </w:tcMar>
                  <w:vAlign w:val="center"/>
                </w:tcPr>
                <w:p w14:paraId="52FA7AB6">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南</w:t>
                  </w:r>
                </w:p>
              </w:tc>
              <w:tc>
                <w:tcPr>
                  <w:tcW w:w="175" w:type="pct"/>
                  <w:shd w:val="clear" w:color="auto" w:fill="FFFFFF"/>
                  <w:tcMar>
                    <w:top w:w="0" w:type="dxa"/>
                    <w:left w:w="0" w:type="dxa"/>
                    <w:bottom w:w="0" w:type="dxa"/>
                    <w:right w:w="0" w:type="dxa"/>
                  </w:tcMar>
                  <w:vAlign w:val="center"/>
                </w:tcPr>
                <w:p w14:paraId="66A0551D">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西</w:t>
                  </w:r>
                </w:p>
              </w:tc>
              <w:tc>
                <w:tcPr>
                  <w:tcW w:w="186" w:type="pct"/>
                  <w:shd w:val="clear" w:color="auto" w:fill="FFFFFF"/>
                  <w:tcMar>
                    <w:top w:w="0" w:type="dxa"/>
                    <w:left w:w="0" w:type="dxa"/>
                    <w:bottom w:w="0" w:type="dxa"/>
                    <w:right w:w="0" w:type="dxa"/>
                  </w:tcMar>
                  <w:vAlign w:val="center"/>
                </w:tcPr>
                <w:p w14:paraId="785F548F">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北</w:t>
                  </w:r>
                </w:p>
              </w:tc>
              <w:tc>
                <w:tcPr>
                  <w:tcW w:w="175" w:type="pct"/>
                  <w:shd w:val="clear" w:color="auto" w:fill="FFFFFF"/>
                  <w:tcMar>
                    <w:top w:w="0" w:type="dxa"/>
                    <w:left w:w="0" w:type="dxa"/>
                    <w:bottom w:w="0" w:type="dxa"/>
                    <w:right w:w="0" w:type="dxa"/>
                  </w:tcMar>
                  <w:vAlign w:val="center"/>
                </w:tcPr>
                <w:p w14:paraId="00119E22">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东</w:t>
                  </w:r>
                </w:p>
              </w:tc>
              <w:tc>
                <w:tcPr>
                  <w:tcW w:w="175" w:type="pct"/>
                  <w:shd w:val="clear" w:color="auto" w:fill="FFFFFF"/>
                  <w:tcMar>
                    <w:top w:w="0" w:type="dxa"/>
                    <w:left w:w="0" w:type="dxa"/>
                    <w:bottom w:w="0" w:type="dxa"/>
                    <w:right w:w="0" w:type="dxa"/>
                  </w:tcMar>
                  <w:vAlign w:val="center"/>
                </w:tcPr>
                <w:p w14:paraId="62CF35B6">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南</w:t>
                  </w:r>
                </w:p>
              </w:tc>
              <w:tc>
                <w:tcPr>
                  <w:tcW w:w="175" w:type="pct"/>
                  <w:shd w:val="clear" w:color="auto" w:fill="FFFFFF"/>
                  <w:tcMar>
                    <w:top w:w="0" w:type="dxa"/>
                    <w:left w:w="0" w:type="dxa"/>
                    <w:bottom w:w="0" w:type="dxa"/>
                    <w:right w:w="0" w:type="dxa"/>
                  </w:tcMar>
                  <w:vAlign w:val="center"/>
                </w:tcPr>
                <w:p w14:paraId="24B38F6A">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西</w:t>
                  </w:r>
                </w:p>
              </w:tc>
              <w:tc>
                <w:tcPr>
                  <w:tcW w:w="181" w:type="pct"/>
                  <w:shd w:val="clear" w:color="auto" w:fill="FFFFFF"/>
                  <w:tcMar>
                    <w:top w:w="0" w:type="dxa"/>
                    <w:left w:w="0" w:type="dxa"/>
                    <w:bottom w:w="0" w:type="dxa"/>
                    <w:right w:w="0" w:type="dxa"/>
                  </w:tcMar>
                  <w:vAlign w:val="center"/>
                </w:tcPr>
                <w:p w14:paraId="568DC0E3">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北</w:t>
                  </w:r>
                </w:p>
              </w:tc>
              <w:tc>
                <w:tcPr>
                  <w:tcW w:w="197" w:type="pct"/>
                  <w:vMerge w:val="continue"/>
                  <w:shd w:val="clear" w:color="auto" w:fill="FFFFFF"/>
                  <w:tcMar>
                    <w:top w:w="0" w:type="dxa"/>
                    <w:left w:w="0" w:type="dxa"/>
                    <w:bottom w:w="0" w:type="dxa"/>
                    <w:right w:w="0" w:type="dxa"/>
                  </w:tcMar>
                  <w:vAlign w:val="center"/>
                </w:tcPr>
                <w:p w14:paraId="719AA1EF">
                  <w:pPr>
                    <w:pStyle w:val="7"/>
                    <w:keepNext w:val="0"/>
                    <w:keepLines w:val="0"/>
                    <w:suppressLineNumbers w:val="0"/>
                    <w:bidi w:val="0"/>
                    <w:spacing w:before="0" w:beforeAutospacing="0" w:after="0" w:afterAutospacing="0"/>
                    <w:ind w:left="0" w:right="0"/>
                    <w:rPr>
                      <w:rFonts w:hint="default"/>
                      <w:sz w:val="21"/>
                      <w:szCs w:val="21"/>
                    </w:rPr>
                  </w:pPr>
                </w:p>
              </w:tc>
              <w:tc>
                <w:tcPr>
                  <w:tcW w:w="175" w:type="pct"/>
                  <w:shd w:val="clear" w:color="auto" w:fill="FFFFFF"/>
                  <w:tcMar>
                    <w:top w:w="0" w:type="dxa"/>
                    <w:left w:w="0" w:type="dxa"/>
                    <w:bottom w:w="0" w:type="dxa"/>
                    <w:right w:w="0" w:type="dxa"/>
                  </w:tcMar>
                  <w:vAlign w:val="center"/>
                </w:tcPr>
                <w:p w14:paraId="7874290A">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东</w:t>
                  </w:r>
                </w:p>
              </w:tc>
              <w:tc>
                <w:tcPr>
                  <w:tcW w:w="175" w:type="pct"/>
                  <w:shd w:val="clear" w:color="auto" w:fill="FFFFFF"/>
                  <w:tcMar>
                    <w:top w:w="0" w:type="dxa"/>
                    <w:left w:w="0" w:type="dxa"/>
                    <w:bottom w:w="0" w:type="dxa"/>
                    <w:right w:w="0" w:type="dxa"/>
                  </w:tcMar>
                  <w:vAlign w:val="center"/>
                </w:tcPr>
                <w:p w14:paraId="6ADE0937">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南</w:t>
                  </w:r>
                </w:p>
              </w:tc>
              <w:tc>
                <w:tcPr>
                  <w:tcW w:w="175" w:type="pct"/>
                  <w:shd w:val="clear" w:color="auto" w:fill="FFFFFF"/>
                  <w:tcMar>
                    <w:top w:w="0" w:type="dxa"/>
                    <w:left w:w="0" w:type="dxa"/>
                    <w:bottom w:w="0" w:type="dxa"/>
                    <w:right w:w="0" w:type="dxa"/>
                  </w:tcMar>
                  <w:vAlign w:val="center"/>
                </w:tcPr>
                <w:p w14:paraId="4BAB8644">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西</w:t>
                  </w:r>
                </w:p>
              </w:tc>
              <w:tc>
                <w:tcPr>
                  <w:tcW w:w="180" w:type="pct"/>
                  <w:shd w:val="clear" w:color="auto" w:fill="FFFFFF"/>
                  <w:tcMar>
                    <w:top w:w="0" w:type="dxa"/>
                    <w:left w:w="0" w:type="dxa"/>
                    <w:bottom w:w="0" w:type="dxa"/>
                    <w:right w:w="0" w:type="dxa"/>
                  </w:tcMar>
                  <w:vAlign w:val="center"/>
                </w:tcPr>
                <w:p w14:paraId="2C7E5615">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北</w:t>
                  </w:r>
                </w:p>
              </w:tc>
              <w:tc>
                <w:tcPr>
                  <w:tcW w:w="180" w:type="pct"/>
                  <w:shd w:val="clear" w:color="auto" w:fill="FFFFFF"/>
                  <w:tcMar>
                    <w:top w:w="0" w:type="dxa"/>
                    <w:left w:w="0" w:type="dxa"/>
                    <w:bottom w:w="0" w:type="dxa"/>
                    <w:right w:w="0" w:type="dxa"/>
                  </w:tcMar>
                  <w:vAlign w:val="center"/>
                </w:tcPr>
                <w:p w14:paraId="45181C57">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东</w:t>
                  </w:r>
                </w:p>
              </w:tc>
              <w:tc>
                <w:tcPr>
                  <w:tcW w:w="180" w:type="pct"/>
                  <w:shd w:val="clear" w:color="auto" w:fill="FFFFFF"/>
                  <w:tcMar>
                    <w:top w:w="0" w:type="dxa"/>
                    <w:left w:w="0" w:type="dxa"/>
                    <w:bottom w:w="0" w:type="dxa"/>
                    <w:right w:w="0" w:type="dxa"/>
                  </w:tcMar>
                  <w:vAlign w:val="center"/>
                </w:tcPr>
                <w:p w14:paraId="225DC36A">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南</w:t>
                  </w:r>
                </w:p>
              </w:tc>
              <w:tc>
                <w:tcPr>
                  <w:tcW w:w="180" w:type="pct"/>
                  <w:shd w:val="clear" w:color="auto" w:fill="FFFFFF"/>
                  <w:tcMar>
                    <w:top w:w="0" w:type="dxa"/>
                    <w:left w:w="0" w:type="dxa"/>
                    <w:bottom w:w="0" w:type="dxa"/>
                    <w:right w:w="0" w:type="dxa"/>
                  </w:tcMar>
                  <w:vAlign w:val="center"/>
                </w:tcPr>
                <w:p w14:paraId="4D4E58D0">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西</w:t>
                  </w:r>
                </w:p>
              </w:tc>
              <w:tc>
                <w:tcPr>
                  <w:tcW w:w="180" w:type="pct"/>
                  <w:shd w:val="clear" w:color="auto" w:fill="FFFFFF"/>
                  <w:tcMar>
                    <w:top w:w="0" w:type="dxa"/>
                    <w:left w:w="0" w:type="dxa"/>
                    <w:bottom w:w="0" w:type="dxa"/>
                    <w:right w:w="0" w:type="dxa"/>
                  </w:tcMar>
                  <w:vAlign w:val="center"/>
                </w:tcPr>
                <w:p w14:paraId="4D89B323">
                  <w:pPr>
                    <w:pStyle w:val="7"/>
                    <w:keepNext w:val="0"/>
                    <w:keepLines w:val="0"/>
                    <w:suppressLineNumbers w:val="0"/>
                    <w:bidi w:val="0"/>
                    <w:spacing w:before="0" w:beforeAutospacing="0" w:after="0" w:afterAutospacing="0"/>
                    <w:ind w:left="0" w:right="0"/>
                    <w:rPr>
                      <w:rFonts w:hint="default"/>
                      <w:sz w:val="21"/>
                      <w:szCs w:val="21"/>
                    </w:rPr>
                  </w:pPr>
                  <w:r>
                    <w:rPr>
                      <w:rFonts w:hint="eastAsia"/>
                      <w:sz w:val="21"/>
                      <w:szCs w:val="21"/>
                      <w:lang w:val="en-US" w:eastAsia="zh-CN"/>
                    </w:rPr>
                    <w:t>北</w:t>
                  </w:r>
                </w:p>
              </w:tc>
              <w:tc>
                <w:tcPr>
                  <w:tcW w:w="188" w:type="pct"/>
                  <w:shd w:val="clear" w:color="auto" w:fill="FFFFFF"/>
                  <w:tcMar>
                    <w:top w:w="0" w:type="dxa"/>
                    <w:left w:w="0" w:type="dxa"/>
                    <w:bottom w:w="0" w:type="dxa"/>
                    <w:right w:w="0" w:type="dxa"/>
                  </w:tcMar>
                  <w:vAlign w:val="center"/>
                </w:tcPr>
                <w:p w14:paraId="2327492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建筑物外距离</w:t>
                  </w:r>
                </w:p>
              </w:tc>
            </w:tr>
            <w:tr w14:paraId="5136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253027A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w:t>
                  </w:r>
                </w:p>
              </w:tc>
              <w:tc>
                <w:tcPr>
                  <w:tcW w:w="197" w:type="pct"/>
                  <w:vMerge w:val="restart"/>
                  <w:shd w:val="clear" w:color="auto" w:fill="FFFFFF"/>
                  <w:tcMar>
                    <w:top w:w="0" w:type="dxa"/>
                    <w:left w:w="0" w:type="dxa"/>
                    <w:bottom w:w="0" w:type="dxa"/>
                    <w:right w:w="0" w:type="dxa"/>
                  </w:tcMar>
                  <w:vAlign w:val="center"/>
                </w:tcPr>
                <w:p w14:paraId="7F962C2F">
                  <w:pPr>
                    <w:pStyle w:val="7"/>
                    <w:keepNext w:val="0"/>
                    <w:keepLines w:val="0"/>
                    <w:suppressLineNumbers w:val="0"/>
                    <w:bidi w:val="0"/>
                    <w:spacing w:before="0" w:beforeAutospacing="0" w:after="0" w:afterAutospacing="0"/>
                    <w:ind w:left="0" w:right="0"/>
                    <w:rPr>
                      <w:rFonts w:hint="eastAsia" w:eastAsia="宋体"/>
                      <w:sz w:val="21"/>
                      <w:szCs w:val="21"/>
                      <w:lang w:eastAsia="zh-CN"/>
                    </w:rPr>
                  </w:pPr>
                  <w:r>
                    <w:rPr>
                      <w:rFonts w:hint="eastAsia"/>
                      <w:sz w:val="21"/>
                      <w:szCs w:val="21"/>
                      <w:lang w:val="en-US" w:eastAsia="zh-CN"/>
                    </w:rPr>
                    <w:t>厂房</w:t>
                  </w:r>
                </w:p>
              </w:tc>
              <w:tc>
                <w:tcPr>
                  <w:tcW w:w="292" w:type="pct"/>
                  <w:shd w:val="clear" w:color="auto" w:fill="FFFFFF"/>
                  <w:tcMar>
                    <w:top w:w="0" w:type="dxa"/>
                    <w:left w:w="0" w:type="dxa"/>
                    <w:bottom w:w="0" w:type="dxa"/>
                    <w:right w:w="0" w:type="dxa"/>
                  </w:tcMar>
                  <w:vAlign w:val="center"/>
                </w:tcPr>
                <w:p w14:paraId="3A25F01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配料机</w:t>
                  </w:r>
                </w:p>
              </w:tc>
              <w:tc>
                <w:tcPr>
                  <w:tcW w:w="233" w:type="pct"/>
                  <w:shd w:val="clear" w:color="auto" w:fill="FFFFFF"/>
                  <w:tcMar>
                    <w:top w:w="0" w:type="dxa"/>
                    <w:left w:w="0" w:type="dxa"/>
                    <w:bottom w:w="0" w:type="dxa"/>
                    <w:right w:w="0" w:type="dxa"/>
                  </w:tcMar>
                  <w:vAlign w:val="center"/>
                </w:tcPr>
                <w:p w14:paraId="3309593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85</w:t>
                  </w:r>
                </w:p>
              </w:tc>
              <w:tc>
                <w:tcPr>
                  <w:tcW w:w="199" w:type="pct"/>
                  <w:vMerge w:val="restart"/>
                  <w:shd w:val="clear" w:color="auto" w:fill="FFFFFF"/>
                  <w:tcMar>
                    <w:top w:w="0" w:type="dxa"/>
                    <w:left w:w="0" w:type="dxa"/>
                    <w:bottom w:w="0" w:type="dxa"/>
                    <w:right w:w="0" w:type="dxa"/>
                  </w:tcMar>
                  <w:vAlign w:val="center"/>
                </w:tcPr>
                <w:p w14:paraId="46AA9DD1">
                  <w:pPr>
                    <w:pStyle w:val="7"/>
                    <w:keepNext w:val="0"/>
                    <w:keepLines w:val="0"/>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基础减振、建筑隔声</w:t>
                  </w:r>
                </w:p>
              </w:tc>
              <w:tc>
                <w:tcPr>
                  <w:tcW w:w="211" w:type="pct"/>
                  <w:shd w:val="clear" w:color="auto" w:fill="FFFFFF"/>
                  <w:tcMar>
                    <w:top w:w="0" w:type="dxa"/>
                    <w:left w:w="0" w:type="dxa"/>
                    <w:bottom w:w="0" w:type="dxa"/>
                    <w:right w:w="0" w:type="dxa"/>
                  </w:tcMar>
                  <w:vAlign w:val="center"/>
                </w:tcPr>
                <w:p w14:paraId="3103FEA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-17.4</w:t>
                  </w:r>
                </w:p>
              </w:tc>
              <w:tc>
                <w:tcPr>
                  <w:tcW w:w="213" w:type="pct"/>
                  <w:shd w:val="clear" w:color="auto" w:fill="FFFFFF"/>
                  <w:tcMar>
                    <w:top w:w="0" w:type="dxa"/>
                    <w:left w:w="0" w:type="dxa"/>
                    <w:bottom w:w="0" w:type="dxa"/>
                    <w:right w:w="0" w:type="dxa"/>
                  </w:tcMar>
                  <w:vAlign w:val="center"/>
                </w:tcPr>
                <w:p w14:paraId="41A10E7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-0.7</w:t>
                  </w:r>
                </w:p>
              </w:tc>
              <w:tc>
                <w:tcPr>
                  <w:tcW w:w="226" w:type="pct"/>
                  <w:shd w:val="clear" w:color="auto" w:fill="FFFFFF"/>
                  <w:tcMar>
                    <w:top w:w="0" w:type="dxa"/>
                    <w:left w:w="0" w:type="dxa"/>
                    <w:bottom w:w="0" w:type="dxa"/>
                    <w:right w:w="0" w:type="dxa"/>
                  </w:tcMar>
                  <w:vAlign w:val="center"/>
                </w:tcPr>
                <w:p w14:paraId="150C6CE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7723ECC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48.1</w:t>
                  </w:r>
                </w:p>
              </w:tc>
              <w:tc>
                <w:tcPr>
                  <w:tcW w:w="175" w:type="pct"/>
                  <w:shd w:val="clear" w:color="auto" w:fill="FFFFFF"/>
                  <w:tcMar>
                    <w:top w:w="0" w:type="dxa"/>
                    <w:left w:w="0" w:type="dxa"/>
                    <w:bottom w:w="0" w:type="dxa"/>
                    <w:right w:w="0" w:type="dxa"/>
                  </w:tcMar>
                  <w:vAlign w:val="center"/>
                </w:tcPr>
                <w:p w14:paraId="5FCB79E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74.8</w:t>
                  </w:r>
                </w:p>
              </w:tc>
              <w:tc>
                <w:tcPr>
                  <w:tcW w:w="175" w:type="pct"/>
                  <w:shd w:val="clear" w:color="auto" w:fill="FFFFFF"/>
                  <w:tcMar>
                    <w:top w:w="0" w:type="dxa"/>
                    <w:left w:w="0" w:type="dxa"/>
                    <w:bottom w:w="0" w:type="dxa"/>
                    <w:right w:w="0" w:type="dxa"/>
                  </w:tcMar>
                  <w:vAlign w:val="center"/>
                </w:tcPr>
                <w:p w14:paraId="248A0A2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14.4</w:t>
                  </w:r>
                </w:p>
              </w:tc>
              <w:tc>
                <w:tcPr>
                  <w:tcW w:w="186" w:type="pct"/>
                  <w:shd w:val="clear" w:color="auto" w:fill="FFFFFF"/>
                  <w:tcMar>
                    <w:top w:w="0" w:type="dxa"/>
                    <w:left w:w="0" w:type="dxa"/>
                    <w:bottom w:w="0" w:type="dxa"/>
                    <w:right w:w="0" w:type="dxa"/>
                  </w:tcMar>
                  <w:vAlign w:val="center"/>
                </w:tcPr>
                <w:p w14:paraId="2F49958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79.0</w:t>
                  </w:r>
                </w:p>
              </w:tc>
              <w:tc>
                <w:tcPr>
                  <w:tcW w:w="175" w:type="pct"/>
                  <w:shd w:val="clear" w:color="auto" w:fill="FFFFFF"/>
                  <w:tcMar>
                    <w:top w:w="0" w:type="dxa"/>
                    <w:left w:w="0" w:type="dxa"/>
                    <w:bottom w:w="0" w:type="dxa"/>
                    <w:right w:w="0" w:type="dxa"/>
                  </w:tcMar>
                  <w:vAlign w:val="center"/>
                </w:tcPr>
                <w:p w14:paraId="6C4162C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68.2</w:t>
                  </w:r>
                </w:p>
              </w:tc>
              <w:tc>
                <w:tcPr>
                  <w:tcW w:w="175" w:type="pct"/>
                  <w:shd w:val="clear" w:color="auto" w:fill="FFFFFF"/>
                  <w:tcMar>
                    <w:top w:w="0" w:type="dxa"/>
                    <w:left w:w="0" w:type="dxa"/>
                    <w:bottom w:w="0" w:type="dxa"/>
                    <w:right w:w="0" w:type="dxa"/>
                  </w:tcMar>
                  <w:vAlign w:val="center"/>
                </w:tcPr>
                <w:p w14:paraId="0642F7A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68.2</w:t>
                  </w:r>
                </w:p>
              </w:tc>
              <w:tc>
                <w:tcPr>
                  <w:tcW w:w="175" w:type="pct"/>
                  <w:shd w:val="clear" w:color="auto" w:fill="FFFFFF"/>
                  <w:tcMar>
                    <w:top w:w="0" w:type="dxa"/>
                    <w:left w:w="0" w:type="dxa"/>
                    <w:bottom w:w="0" w:type="dxa"/>
                    <w:right w:w="0" w:type="dxa"/>
                  </w:tcMar>
                  <w:vAlign w:val="center"/>
                </w:tcPr>
                <w:p w14:paraId="396A475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68.2</w:t>
                  </w:r>
                </w:p>
              </w:tc>
              <w:tc>
                <w:tcPr>
                  <w:tcW w:w="181" w:type="pct"/>
                  <w:shd w:val="clear" w:color="auto" w:fill="FFFFFF"/>
                  <w:tcMar>
                    <w:top w:w="0" w:type="dxa"/>
                    <w:left w:w="0" w:type="dxa"/>
                    <w:bottom w:w="0" w:type="dxa"/>
                    <w:right w:w="0" w:type="dxa"/>
                  </w:tcMar>
                  <w:vAlign w:val="center"/>
                </w:tcPr>
                <w:p w14:paraId="3AD987E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68.2</w:t>
                  </w:r>
                </w:p>
              </w:tc>
              <w:tc>
                <w:tcPr>
                  <w:tcW w:w="197" w:type="pct"/>
                  <w:vMerge w:val="restart"/>
                  <w:shd w:val="clear" w:color="auto" w:fill="FFFFFF"/>
                  <w:tcMar>
                    <w:top w:w="0" w:type="dxa"/>
                    <w:left w:w="0" w:type="dxa"/>
                    <w:bottom w:w="0" w:type="dxa"/>
                    <w:right w:w="0" w:type="dxa"/>
                  </w:tcMar>
                  <w:vAlign w:val="center"/>
                </w:tcPr>
                <w:p w14:paraId="0263DB9D">
                  <w:pPr>
                    <w:pStyle w:val="7"/>
                    <w:keepNext w:val="0"/>
                    <w:keepLines w:val="0"/>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8h</w:t>
                  </w:r>
                </w:p>
              </w:tc>
              <w:tc>
                <w:tcPr>
                  <w:tcW w:w="175" w:type="pct"/>
                  <w:shd w:val="clear" w:color="auto" w:fill="FFFFFF"/>
                  <w:tcMar>
                    <w:top w:w="0" w:type="dxa"/>
                    <w:left w:w="0" w:type="dxa"/>
                    <w:bottom w:w="0" w:type="dxa"/>
                    <w:right w:w="0" w:type="dxa"/>
                  </w:tcMar>
                  <w:vAlign w:val="center"/>
                </w:tcPr>
                <w:p w14:paraId="55491C7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69378A0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23E2191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1034F4F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6A5159F4">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42.2</w:t>
                  </w:r>
                </w:p>
              </w:tc>
              <w:tc>
                <w:tcPr>
                  <w:tcW w:w="180" w:type="pct"/>
                  <w:shd w:val="clear" w:color="auto" w:fill="FFFFFF"/>
                  <w:tcMar>
                    <w:top w:w="0" w:type="dxa"/>
                    <w:left w:w="0" w:type="dxa"/>
                    <w:bottom w:w="0" w:type="dxa"/>
                    <w:right w:w="0" w:type="dxa"/>
                  </w:tcMar>
                  <w:vAlign w:val="center"/>
                </w:tcPr>
                <w:p w14:paraId="67AC95B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42.2</w:t>
                  </w:r>
                </w:p>
              </w:tc>
              <w:tc>
                <w:tcPr>
                  <w:tcW w:w="180" w:type="pct"/>
                  <w:shd w:val="clear" w:color="auto" w:fill="FFFFFF"/>
                  <w:tcMar>
                    <w:top w:w="0" w:type="dxa"/>
                    <w:left w:w="0" w:type="dxa"/>
                    <w:bottom w:w="0" w:type="dxa"/>
                    <w:right w:w="0" w:type="dxa"/>
                  </w:tcMar>
                  <w:vAlign w:val="center"/>
                </w:tcPr>
                <w:p w14:paraId="64C16274">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42.2</w:t>
                  </w:r>
                </w:p>
              </w:tc>
              <w:tc>
                <w:tcPr>
                  <w:tcW w:w="180" w:type="pct"/>
                  <w:shd w:val="clear" w:color="auto" w:fill="FFFFFF"/>
                  <w:tcMar>
                    <w:top w:w="0" w:type="dxa"/>
                    <w:left w:w="0" w:type="dxa"/>
                    <w:bottom w:w="0" w:type="dxa"/>
                    <w:right w:w="0" w:type="dxa"/>
                  </w:tcMar>
                  <w:vAlign w:val="center"/>
                </w:tcPr>
                <w:p w14:paraId="4659A39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42.2</w:t>
                  </w:r>
                </w:p>
              </w:tc>
              <w:tc>
                <w:tcPr>
                  <w:tcW w:w="188" w:type="pct"/>
                  <w:shd w:val="clear" w:color="auto" w:fill="FFFFFF"/>
                  <w:tcMar>
                    <w:top w:w="0" w:type="dxa"/>
                    <w:left w:w="0" w:type="dxa"/>
                    <w:bottom w:w="0" w:type="dxa"/>
                    <w:right w:w="0" w:type="dxa"/>
                  </w:tcMar>
                  <w:vAlign w:val="center"/>
                </w:tcPr>
                <w:p w14:paraId="7EEF25D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w:t>
                  </w:r>
                </w:p>
              </w:tc>
            </w:tr>
            <w:tr w14:paraId="06E7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5B61898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w:t>
                  </w:r>
                </w:p>
              </w:tc>
              <w:tc>
                <w:tcPr>
                  <w:tcW w:w="197" w:type="pct"/>
                  <w:vMerge w:val="continue"/>
                  <w:shd w:val="clear" w:color="auto" w:fill="FFFFFF"/>
                  <w:tcMar>
                    <w:top w:w="0" w:type="dxa"/>
                    <w:left w:w="0" w:type="dxa"/>
                    <w:bottom w:w="0" w:type="dxa"/>
                    <w:right w:w="0" w:type="dxa"/>
                  </w:tcMar>
                  <w:vAlign w:val="center"/>
                </w:tcPr>
                <w:p w14:paraId="7F44B7EC">
                  <w:pPr>
                    <w:pStyle w:val="7"/>
                    <w:keepNext w:val="0"/>
                    <w:keepLines w:val="0"/>
                    <w:suppressLineNumbers w:val="0"/>
                    <w:bidi w:val="0"/>
                    <w:spacing w:before="0" w:beforeAutospacing="0" w:after="0" w:afterAutospacing="0"/>
                    <w:ind w:left="0" w:right="0"/>
                    <w:rPr>
                      <w:rFonts w:hint="default"/>
                      <w:sz w:val="21"/>
                      <w:szCs w:val="21"/>
                    </w:rPr>
                  </w:pPr>
                </w:p>
              </w:tc>
              <w:tc>
                <w:tcPr>
                  <w:tcW w:w="292" w:type="pct"/>
                  <w:shd w:val="clear" w:color="auto" w:fill="FFFFFF"/>
                  <w:tcMar>
                    <w:top w:w="0" w:type="dxa"/>
                    <w:left w:w="0" w:type="dxa"/>
                    <w:bottom w:w="0" w:type="dxa"/>
                    <w:right w:w="0" w:type="dxa"/>
                  </w:tcMar>
                  <w:vAlign w:val="center"/>
                </w:tcPr>
                <w:p w14:paraId="1FC201D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铲车</w:t>
                  </w:r>
                </w:p>
              </w:tc>
              <w:tc>
                <w:tcPr>
                  <w:tcW w:w="233" w:type="pct"/>
                  <w:shd w:val="clear" w:color="auto" w:fill="FFFFFF"/>
                  <w:tcMar>
                    <w:top w:w="0" w:type="dxa"/>
                    <w:left w:w="0" w:type="dxa"/>
                    <w:bottom w:w="0" w:type="dxa"/>
                    <w:right w:w="0" w:type="dxa"/>
                  </w:tcMar>
                  <w:vAlign w:val="center"/>
                </w:tcPr>
                <w:p w14:paraId="1338429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70</w:t>
                  </w:r>
                </w:p>
              </w:tc>
              <w:tc>
                <w:tcPr>
                  <w:tcW w:w="199" w:type="pct"/>
                  <w:vMerge w:val="continue"/>
                  <w:shd w:val="clear" w:color="auto" w:fill="FFFFFF"/>
                  <w:tcMar>
                    <w:top w:w="0" w:type="dxa"/>
                    <w:left w:w="0" w:type="dxa"/>
                    <w:bottom w:w="0" w:type="dxa"/>
                    <w:right w:w="0" w:type="dxa"/>
                  </w:tcMar>
                  <w:vAlign w:val="center"/>
                </w:tcPr>
                <w:p w14:paraId="74A46CE7">
                  <w:pPr>
                    <w:pStyle w:val="7"/>
                    <w:keepNext w:val="0"/>
                    <w:keepLines w:val="0"/>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7FF6DA1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-4.2</w:t>
                  </w:r>
                </w:p>
              </w:tc>
              <w:tc>
                <w:tcPr>
                  <w:tcW w:w="213" w:type="pct"/>
                  <w:shd w:val="clear" w:color="auto" w:fill="FFFFFF"/>
                  <w:tcMar>
                    <w:top w:w="0" w:type="dxa"/>
                    <w:left w:w="0" w:type="dxa"/>
                    <w:bottom w:w="0" w:type="dxa"/>
                    <w:right w:w="0" w:type="dxa"/>
                  </w:tcMar>
                  <w:vAlign w:val="center"/>
                </w:tcPr>
                <w:p w14:paraId="7586458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-0.7</w:t>
                  </w:r>
                </w:p>
              </w:tc>
              <w:tc>
                <w:tcPr>
                  <w:tcW w:w="226" w:type="pct"/>
                  <w:shd w:val="clear" w:color="auto" w:fill="FFFFFF"/>
                  <w:tcMar>
                    <w:top w:w="0" w:type="dxa"/>
                    <w:left w:w="0" w:type="dxa"/>
                    <w:bottom w:w="0" w:type="dxa"/>
                    <w:right w:w="0" w:type="dxa"/>
                  </w:tcMar>
                  <w:vAlign w:val="center"/>
                </w:tcPr>
                <w:p w14:paraId="778C0FF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354942B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34.9</w:t>
                  </w:r>
                </w:p>
              </w:tc>
              <w:tc>
                <w:tcPr>
                  <w:tcW w:w="175" w:type="pct"/>
                  <w:shd w:val="clear" w:color="auto" w:fill="FFFFFF"/>
                  <w:tcMar>
                    <w:top w:w="0" w:type="dxa"/>
                    <w:left w:w="0" w:type="dxa"/>
                    <w:bottom w:w="0" w:type="dxa"/>
                    <w:right w:w="0" w:type="dxa"/>
                  </w:tcMar>
                  <w:vAlign w:val="center"/>
                </w:tcPr>
                <w:p w14:paraId="69647F81">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74.7</w:t>
                  </w:r>
                </w:p>
              </w:tc>
              <w:tc>
                <w:tcPr>
                  <w:tcW w:w="175" w:type="pct"/>
                  <w:shd w:val="clear" w:color="auto" w:fill="FFFFFF"/>
                  <w:tcMar>
                    <w:top w:w="0" w:type="dxa"/>
                    <w:left w:w="0" w:type="dxa"/>
                    <w:bottom w:w="0" w:type="dxa"/>
                    <w:right w:w="0" w:type="dxa"/>
                  </w:tcMar>
                  <w:vAlign w:val="center"/>
                </w:tcPr>
                <w:p w14:paraId="7742203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27.6</w:t>
                  </w:r>
                </w:p>
              </w:tc>
              <w:tc>
                <w:tcPr>
                  <w:tcW w:w="186" w:type="pct"/>
                  <w:shd w:val="clear" w:color="auto" w:fill="FFFFFF"/>
                  <w:tcMar>
                    <w:top w:w="0" w:type="dxa"/>
                    <w:left w:w="0" w:type="dxa"/>
                    <w:bottom w:w="0" w:type="dxa"/>
                    <w:right w:w="0" w:type="dxa"/>
                  </w:tcMar>
                  <w:vAlign w:val="center"/>
                </w:tcPr>
                <w:p w14:paraId="28F5A6F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78.6</w:t>
                  </w:r>
                </w:p>
              </w:tc>
              <w:tc>
                <w:tcPr>
                  <w:tcW w:w="175" w:type="pct"/>
                  <w:shd w:val="clear" w:color="auto" w:fill="FFFFFF"/>
                  <w:tcMar>
                    <w:top w:w="0" w:type="dxa"/>
                    <w:left w:w="0" w:type="dxa"/>
                    <w:bottom w:w="0" w:type="dxa"/>
                    <w:right w:w="0" w:type="dxa"/>
                  </w:tcMar>
                  <w:vAlign w:val="center"/>
                </w:tcPr>
                <w:p w14:paraId="40183C9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75" w:type="pct"/>
                  <w:shd w:val="clear" w:color="auto" w:fill="FFFFFF"/>
                  <w:tcMar>
                    <w:top w:w="0" w:type="dxa"/>
                    <w:left w:w="0" w:type="dxa"/>
                    <w:bottom w:w="0" w:type="dxa"/>
                    <w:right w:w="0" w:type="dxa"/>
                  </w:tcMar>
                  <w:vAlign w:val="center"/>
                </w:tcPr>
                <w:p w14:paraId="315BB09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75" w:type="pct"/>
                  <w:shd w:val="clear" w:color="auto" w:fill="FFFFFF"/>
                  <w:tcMar>
                    <w:top w:w="0" w:type="dxa"/>
                    <w:left w:w="0" w:type="dxa"/>
                    <w:bottom w:w="0" w:type="dxa"/>
                    <w:right w:w="0" w:type="dxa"/>
                  </w:tcMar>
                  <w:vAlign w:val="center"/>
                </w:tcPr>
                <w:p w14:paraId="3A01D23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81" w:type="pct"/>
                  <w:shd w:val="clear" w:color="auto" w:fill="FFFFFF"/>
                  <w:tcMar>
                    <w:top w:w="0" w:type="dxa"/>
                    <w:left w:w="0" w:type="dxa"/>
                    <w:bottom w:w="0" w:type="dxa"/>
                    <w:right w:w="0" w:type="dxa"/>
                  </w:tcMar>
                  <w:vAlign w:val="center"/>
                </w:tcPr>
                <w:p w14:paraId="5B09ADB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97" w:type="pct"/>
                  <w:vMerge w:val="continue"/>
                  <w:shd w:val="clear" w:color="auto" w:fill="FFFFFF"/>
                  <w:tcMar>
                    <w:top w:w="0" w:type="dxa"/>
                    <w:left w:w="0" w:type="dxa"/>
                    <w:bottom w:w="0" w:type="dxa"/>
                    <w:right w:w="0" w:type="dxa"/>
                  </w:tcMar>
                  <w:vAlign w:val="center"/>
                </w:tcPr>
                <w:p w14:paraId="75028D90">
                  <w:pPr>
                    <w:pStyle w:val="7"/>
                    <w:keepNext w:val="0"/>
                    <w:keepLines w:val="0"/>
                    <w:suppressLineNumbers w:val="0"/>
                    <w:bidi w:val="0"/>
                    <w:spacing w:before="0" w:beforeAutospacing="0" w:after="0" w:afterAutospacing="0"/>
                    <w:ind w:left="0" w:right="0"/>
                    <w:rPr>
                      <w:rFonts w:hint="default"/>
                      <w:sz w:val="21"/>
                      <w:szCs w:val="21"/>
                    </w:rPr>
                  </w:pPr>
                </w:p>
              </w:tc>
              <w:tc>
                <w:tcPr>
                  <w:tcW w:w="175" w:type="pct"/>
                  <w:shd w:val="clear" w:color="auto" w:fill="FFFFFF"/>
                  <w:tcMar>
                    <w:top w:w="0" w:type="dxa"/>
                    <w:left w:w="0" w:type="dxa"/>
                    <w:bottom w:w="0" w:type="dxa"/>
                    <w:right w:w="0" w:type="dxa"/>
                  </w:tcMar>
                  <w:vAlign w:val="center"/>
                </w:tcPr>
                <w:p w14:paraId="3D333C5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1F69B82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0E23C10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1FC51F6A">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4593C36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0" w:type="pct"/>
                  <w:shd w:val="clear" w:color="auto" w:fill="FFFFFF"/>
                  <w:tcMar>
                    <w:top w:w="0" w:type="dxa"/>
                    <w:left w:w="0" w:type="dxa"/>
                    <w:bottom w:w="0" w:type="dxa"/>
                    <w:right w:w="0" w:type="dxa"/>
                  </w:tcMar>
                  <w:vAlign w:val="center"/>
                </w:tcPr>
                <w:p w14:paraId="6E1A7B0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0" w:type="pct"/>
                  <w:shd w:val="clear" w:color="auto" w:fill="FFFFFF"/>
                  <w:tcMar>
                    <w:top w:w="0" w:type="dxa"/>
                    <w:left w:w="0" w:type="dxa"/>
                    <w:bottom w:w="0" w:type="dxa"/>
                    <w:right w:w="0" w:type="dxa"/>
                  </w:tcMar>
                  <w:vAlign w:val="center"/>
                </w:tcPr>
                <w:p w14:paraId="042FA86A">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0" w:type="pct"/>
                  <w:shd w:val="clear" w:color="auto" w:fill="FFFFFF"/>
                  <w:tcMar>
                    <w:top w:w="0" w:type="dxa"/>
                    <w:left w:w="0" w:type="dxa"/>
                    <w:bottom w:w="0" w:type="dxa"/>
                    <w:right w:w="0" w:type="dxa"/>
                  </w:tcMar>
                  <w:vAlign w:val="center"/>
                </w:tcPr>
                <w:p w14:paraId="26AD38D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8" w:type="pct"/>
                  <w:shd w:val="clear" w:color="auto" w:fill="FFFFFF"/>
                  <w:tcMar>
                    <w:top w:w="0" w:type="dxa"/>
                    <w:left w:w="0" w:type="dxa"/>
                    <w:bottom w:w="0" w:type="dxa"/>
                    <w:right w:w="0" w:type="dxa"/>
                  </w:tcMar>
                  <w:vAlign w:val="center"/>
                </w:tcPr>
                <w:p w14:paraId="134796D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w:t>
                  </w:r>
                </w:p>
              </w:tc>
            </w:tr>
            <w:tr w14:paraId="55C7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3F755A2A">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w:t>
                  </w:r>
                </w:p>
              </w:tc>
              <w:tc>
                <w:tcPr>
                  <w:tcW w:w="197" w:type="pct"/>
                  <w:vMerge w:val="continue"/>
                  <w:shd w:val="clear" w:color="auto" w:fill="FFFFFF"/>
                  <w:tcMar>
                    <w:top w:w="0" w:type="dxa"/>
                    <w:left w:w="0" w:type="dxa"/>
                    <w:bottom w:w="0" w:type="dxa"/>
                    <w:right w:w="0" w:type="dxa"/>
                  </w:tcMar>
                  <w:vAlign w:val="center"/>
                </w:tcPr>
                <w:p w14:paraId="03EB609B">
                  <w:pPr>
                    <w:pStyle w:val="7"/>
                    <w:keepNext w:val="0"/>
                    <w:keepLines w:val="0"/>
                    <w:suppressLineNumbers w:val="0"/>
                    <w:bidi w:val="0"/>
                    <w:spacing w:before="0" w:beforeAutospacing="0" w:after="0" w:afterAutospacing="0"/>
                    <w:ind w:left="0" w:right="0"/>
                    <w:rPr>
                      <w:rFonts w:hint="default"/>
                      <w:sz w:val="21"/>
                      <w:szCs w:val="21"/>
                    </w:rPr>
                  </w:pPr>
                </w:p>
              </w:tc>
              <w:tc>
                <w:tcPr>
                  <w:tcW w:w="292" w:type="pct"/>
                  <w:shd w:val="clear" w:color="auto" w:fill="FFFFFF"/>
                  <w:tcMar>
                    <w:top w:w="0" w:type="dxa"/>
                    <w:left w:w="0" w:type="dxa"/>
                    <w:bottom w:w="0" w:type="dxa"/>
                    <w:right w:w="0" w:type="dxa"/>
                  </w:tcMar>
                  <w:vAlign w:val="center"/>
                </w:tcPr>
                <w:p w14:paraId="5D9E537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搅拌器</w:t>
                  </w:r>
                </w:p>
              </w:tc>
              <w:tc>
                <w:tcPr>
                  <w:tcW w:w="233" w:type="pct"/>
                  <w:shd w:val="clear" w:color="auto" w:fill="FFFFFF"/>
                  <w:tcMar>
                    <w:top w:w="0" w:type="dxa"/>
                    <w:left w:w="0" w:type="dxa"/>
                    <w:bottom w:w="0" w:type="dxa"/>
                    <w:right w:w="0" w:type="dxa"/>
                  </w:tcMar>
                  <w:vAlign w:val="center"/>
                </w:tcPr>
                <w:p w14:paraId="55E0980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75</w:t>
                  </w:r>
                </w:p>
              </w:tc>
              <w:tc>
                <w:tcPr>
                  <w:tcW w:w="199" w:type="pct"/>
                  <w:vMerge w:val="continue"/>
                  <w:shd w:val="clear" w:color="auto" w:fill="FFFFFF"/>
                  <w:tcMar>
                    <w:top w:w="0" w:type="dxa"/>
                    <w:left w:w="0" w:type="dxa"/>
                    <w:bottom w:w="0" w:type="dxa"/>
                    <w:right w:w="0" w:type="dxa"/>
                  </w:tcMar>
                  <w:vAlign w:val="center"/>
                </w:tcPr>
                <w:p w14:paraId="68EF8ACE">
                  <w:pPr>
                    <w:pStyle w:val="7"/>
                    <w:keepNext w:val="0"/>
                    <w:keepLines w:val="0"/>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401A92D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-19.2</w:t>
                  </w:r>
                </w:p>
              </w:tc>
              <w:tc>
                <w:tcPr>
                  <w:tcW w:w="213" w:type="pct"/>
                  <w:shd w:val="clear" w:color="auto" w:fill="FFFFFF"/>
                  <w:tcMar>
                    <w:top w:w="0" w:type="dxa"/>
                    <w:left w:w="0" w:type="dxa"/>
                    <w:bottom w:w="0" w:type="dxa"/>
                    <w:right w:w="0" w:type="dxa"/>
                  </w:tcMar>
                  <w:vAlign w:val="center"/>
                </w:tcPr>
                <w:p w14:paraId="1E8BB71A">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16.1</w:t>
                  </w:r>
                </w:p>
              </w:tc>
              <w:tc>
                <w:tcPr>
                  <w:tcW w:w="226" w:type="pct"/>
                  <w:shd w:val="clear" w:color="auto" w:fill="FFFFFF"/>
                  <w:tcMar>
                    <w:top w:w="0" w:type="dxa"/>
                    <w:left w:w="0" w:type="dxa"/>
                    <w:bottom w:w="0" w:type="dxa"/>
                    <w:right w:w="0" w:type="dxa"/>
                  </w:tcMar>
                  <w:vAlign w:val="center"/>
                </w:tcPr>
                <w:p w14:paraId="04D5B9DA">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6706506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49.0</w:t>
                  </w:r>
                </w:p>
              </w:tc>
              <w:tc>
                <w:tcPr>
                  <w:tcW w:w="175" w:type="pct"/>
                  <w:shd w:val="clear" w:color="auto" w:fill="FFFFFF"/>
                  <w:tcMar>
                    <w:top w:w="0" w:type="dxa"/>
                    <w:left w:w="0" w:type="dxa"/>
                    <w:bottom w:w="0" w:type="dxa"/>
                    <w:right w:w="0" w:type="dxa"/>
                  </w:tcMar>
                  <w:vAlign w:val="center"/>
                </w:tcPr>
                <w:p w14:paraId="2CBA75A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91.7</w:t>
                  </w:r>
                </w:p>
              </w:tc>
              <w:tc>
                <w:tcPr>
                  <w:tcW w:w="175" w:type="pct"/>
                  <w:shd w:val="clear" w:color="auto" w:fill="FFFFFF"/>
                  <w:tcMar>
                    <w:top w:w="0" w:type="dxa"/>
                    <w:left w:w="0" w:type="dxa"/>
                    <w:bottom w:w="0" w:type="dxa"/>
                    <w:right w:w="0" w:type="dxa"/>
                  </w:tcMar>
                  <w:vAlign w:val="center"/>
                </w:tcPr>
                <w:p w14:paraId="6BF44DC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13.5</w:t>
                  </w:r>
                </w:p>
              </w:tc>
              <w:tc>
                <w:tcPr>
                  <w:tcW w:w="186" w:type="pct"/>
                  <w:shd w:val="clear" w:color="auto" w:fill="FFFFFF"/>
                  <w:tcMar>
                    <w:top w:w="0" w:type="dxa"/>
                    <w:left w:w="0" w:type="dxa"/>
                    <w:bottom w:w="0" w:type="dxa"/>
                    <w:right w:w="0" w:type="dxa"/>
                  </w:tcMar>
                  <w:vAlign w:val="center"/>
                </w:tcPr>
                <w:p w14:paraId="3FDE11DE">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62.2</w:t>
                  </w:r>
                </w:p>
              </w:tc>
              <w:tc>
                <w:tcPr>
                  <w:tcW w:w="175" w:type="pct"/>
                  <w:shd w:val="clear" w:color="auto" w:fill="FFFFFF"/>
                  <w:tcMar>
                    <w:top w:w="0" w:type="dxa"/>
                    <w:left w:w="0" w:type="dxa"/>
                    <w:bottom w:w="0" w:type="dxa"/>
                    <w:right w:w="0" w:type="dxa"/>
                  </w:tcMar>
                  <w:vAlign w:val="center"/>
                </w:tcPr>
                <w:p w14:paraId="7457442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58.2</w:t>
                  </w:r>
                </w:p>
              </w:tc>
              <w:tc>
                <w:tcPr>
                  <w:tcW w:w="175" w:type="pct"/>
                  <w:shd w:val="clear" w:color="auto" w:fill="FFFFFF"/>
                  <w:tcMar>
                    <w:top w:w="0" w:type="dxa"/>
                    <w:left w:w="0" w:type="dxa"/>
                    <w:bottom w:w="0" w:type="dxa"/>
                    <w:right w:w="0" w:type="dxa"/>
                  </w:tcMar>
                  <w:vAlign w:val="center"/>
                </w:tcPr>
                <w:p w14:paraId="34A0F61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58.2</w:t>
                  </w:r>
                </w:p>
              </w:tc>
              <w:tc>
                <w:tcPr>
                  <w:tcW w:w="175" w:type="pct"/>
                  <w:shd w:val="clear" w:color="auto" w:fill="FFFFFF"/>
                  <w:tcMar>
                    <w:top w:w="0" w:type="dxa"/>
                    <w:left w:w="0" w:type="dxa"/>
                    <w:bottom w:w="0" w:type="dxa"/>
                    <w:right w:w="0" w:type="dxa"/>
                  </w:tcMar>
                  <w:vAlign w:val="center"/>
                </w:tcPr>
                <w:p w14:paraId="15A07DB1">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58.3</w:t>
                  </w:r>
                </w:p>
              </w:tc>
              <w:tc>
                <w:tcPr>
                  <w:tcW w:w="181" w:type="pct"/>
                  <w:shd w:val="clear" w:color="auto" w:fill="FFFFFF"/>
                  <w:tcMar>
                    <w:top w:w="0" w:type="dxa"/>
                    <w:left w:w="0" w:type="dxa"/>
                    <w:bottom w:w="0" w:type="dxa"/>
                    <w:right w:w="0" w:type="dxa"/>
                  </w:tcMar>
                  <w:vAlign w:val="center"/>
                </w:tcPr>
                <w:p w14:paraId="21D582C1">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58.2</w:t>
                  </w:r>
                </w:p>
              </w:tc>
              <w:tc>
                <w:tcPr>
                  <w:tcW w:w="197" w:type="pct"/>
                  <w:vMerge w:val="continue"/>
                  <w:shd w:val="clear" w:color="auto" w:fill="FFFFFF"/>
                  <w:tcMar>
                    <w:top w:w="0" w:type="dxa"/>
                    <w:left w:w="0" w:type="dxa"/>
                    <w:bottom w:w="0" w:type="dxa"/>
                    <w:right w:w="0" w:type="dxa"/>
                  </w:tcMar>
                  <w:vAlign w:val="center"/>
                </w:tcPr>
                <w:p w14:paraId="69B7D40B">
                  <w:pPr>
                    <w:pStyle w:val="7"/>
                    <w:keepNext w:val="0"/>
                    <w:keepLines w:val="0"/>
                    <w:suppressLineNumbers w:val="0"/>
                    <w:bidi w:val="0"/>
                    <w:spacing w:before="0" w:beforeAutospacing="0" w:after="0" w:afterAutospacing="0"/>
                    <w:ind w:left="0" w:right="0"/>
                    <w:rPr>
                      <w:rFonts w:hint="default"/>
                      <w:sz w:val="21"/>
                      <w:szCs w:val="21"/>
                    </w:rPr>
                  </w:pPr>
                </w:p>
              </w:tc>
              <w:tc>
                <w:tcPr>
                  <w:tcW w:w="175" w:type="pct"/>
                  <w:shd w:val="clear" w:color="auto" w:fill="FFFFFF"/>
                  <w:tcMar>
                    <w:top w:w="0" w:type="dxa"/>
                    <w:left w:w="0" w:type="dxa"/>
                    <w:bottom w:w="0" w:type="dxa"/>
                    <w:right w:w="0" w:type="dxa"/>
                  </w:tcMar>
                  <w:vAlign w:val="center"/>
                </w:tcPr>
                <w:p w14:paraId="72A35E8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7F5C4CA4">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6C45957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7202817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415354C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32.2</w:t>
                  </w:r>
                </w:p>
              </w:tc>
              <w:tc>
                <w:tcPr>
                  <w:tcW w:w="180" w:type="pct"/>
                  <w:shd w:val="clear" w:color="auto" w:fill="FFFFFF"/>
                  <w:tcMar>
                    <w:top w:w="0" w:type="dxa"/>
                    <w:left w:w="0" w:type="dxa"/>
                    <w:bottom w:w="0" w:type="dxa"/>
                    <w:right w:w="0" w:type="dxa"/>
                  </w:tcMar>
                  <w:vAlign w:val="center"/>
                </w:tcPr>
                <w:p w14:paraId="00609CE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32.2</w:t>
                  </w:r>
                </w:p>
              </w:tc>
              <w:tc>
                <w:tcPr>
                  <w:tcW w:w="180" w:type="pct"/>
                  <w:shd w:val="clear" w:color="auto" w:fill="FFFFFF"/>
                  <w:tcMar>
                    <w:top w:w="0" w:type="dxa"/>
                    <w:left w:w="0" w:type="dxa"/>
                    <w:bottom w:w="0" w:type="dxa"/>
                    <w:right w:w="0" w:type="dxa"/>
                  </w:tcMar>
                  <w:vAlign w:val="center"/>
                </w:tcPr>
                <w:p w14:paraId="2C7EDF8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32.3</w:t>
                  </w:r>
                </w:p>
              </w:tc>
              <w:tc>
                <w:tcPr>
                  <w:tcW w:w="180" w:type="pct"/>
                  <w:shd w:val="clear" w:color="auto" w:fill="FFFFFF"/>
                  <w:tcMar>
                    <w:top w:w="0" w:type="dxa"/>
                    <w:left w:w="0" w:type="dxa"/>
                    <w:bottom w:w="0" w:type="dxa"/>
                    <w:right w:w="0" w:type="dxa"/>
                  </w:tcMar>
                  <w:vAlign w:val="center"/>
                </w:tcPr>
                <w:p w14:paraId="5539170C">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32.2</w:t>
                  </w:r>
                </w:p>
              </w:tc>
              <w:tc>
                <w:tcPr>
                  <w:tcW w:w="188" w:type="pct"/>
                  <w:shd w:val="clear" w:color="auto" w:fill="FFFFFF"/>
                  <w:tcMar>
                    <w:top w:w="0" w:type="dxa"/>
                    <w:left w:w="0" w:type="dxa"/>
                    <w:bottom w:w="0" w:type="dxa"/>
                    <w:right w:w="0" w:type="dxa"/>
                  </w:tcMar>
                  <w:vAlign w:val="center"/>
                </w:tcPr>
                <w:p w14:paraId="02C532C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w:t>
                  </w:r>
                </w:p>
              </w:tc>
            </w:tr>
            <w:tr w14:paraId="3AD5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4F48B3C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w:t>
                  </w:r>
                </w:p>
              </w:tc>
              <w:tc>
                <w:tcPr>
                  <w:tcW w:w="197" w:type="pct"/>
                  <w:vMerge w:val="continue"/>
                  <w:shd w:val="clear" w:color="auto" w:fill="FFFFFF"/>
                  <w:tcMar>
                    <w:top w:w="0" w:type="dxa"/>
                    <w:left w:w="0" w:type="dxa"/>
                    <w:bottom w:w="0" w:type="dxa"/>
                    <w:right w:w="0" w:type="dxa"/>
                  </w:tcMar>
                  <w:vAlign w:val="center"/>
                </w:tcPr>
                <w:p w14:paraId="7EB92B37">
                  <w:pPr>
                    <w:pStyle w:val="7"/>
                    <w:keepNext w:val="0"/>
                    <w:keepLines w:val="0"/>
                    <w:suppressLineNumbers w:val="0"/>
                    <w:bidi w:val="0"/>
                    <w:spacing w:before="0" w:beforeAutospacing="0" w:after="0" w:afterAutospacing="0"/>
                    <w:ind w:left="0" w:right="0"/>
                    <w:rPr>
                      <w:rFonts w:hint="default"/>
                      <w:sz w:val="21"/>
                      <w:szCs w:val="21"/>
                    </w:rPr>
                  </w:pPr>
                </w:p>
              </w:tc>
              <w:tc>
                <w:tcPr>
                  <w:tcW w:w="292" w:type="pct"/>
                  <w:shd w:val="clear" w:color="auto" w:fill="FFFFFF"/>
                  <w:tcMar>
                    <w:top w:w="0" w:type="dxa"/>
                    <w:left w:w="0" w:type="dxa"/>
                    <w:bottom w:w="0" w:type="dxa"/>
                    <w:right w:w="0" w:type="dxa"/>
                  </w:tcMar>
                  <w:vAlign w:val="center"/>
                </w:tcPr>
                <w:p w14:paraId="39AF891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振动台</w:t>
                  </w:r>
                </w:p>
              </w:tc>
              <w:tc>
                <w:tcPr>
                  <w:tcW w:w="233" w:type="pct"/>
                  <w:shd w:val="clear" w:color="auto" w:fill="FFFFFF"/>
                  <w:tcMar>
                    <w:top w:w="0" w:type="dxa"/>
                    <w:left w:w="0" w:type="dxa"/>
                    <w:bottom w:w="0" w:type="dxa"/>
                    <w:right w:w="0" w:type="dxa"/>
                  </w:tcMar>
                  <w:vAlign w:val="center"/>
                </w:tcPr>
                <w:p w14:paraId="5B0B8D5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80</w:t>
                  </w:r>
                </w:p>
              </w:tc>
              <w:tc>
                <w:tcPr>
                  <w:tcW w:w="199" w:type="pct"/>
                  <w:vMerge w:val="continue"/>
                  <w:shd w:val="clear" w:color="auto" w:fill="FFFFFF"/>
                  <w:tcMar>
                    <w:top w:w="0" w:type="dxa"/>
                    <w:left w:w="0" w:type="dxa"/>
                    <w:bottom w:w="0" w:type="dxa"/>
                    <w:right w:w="0" w:type="dxa"/>
                  </w:tcMar>
                  <w:vAlign w:val="center"/>
                </w:tcPr>
                <w:p w14:paraId="125986CD">
                  <w:pPr>
                    <w:pStyle w:val="7"/>
                    <w:keepNext w:val="0"/>
                    <w:keepLines w:val="0"/>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6B1C856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-14.7</w:t>
                  </w:r>
                </w:p>
              </w:tc>
              <w:tc>
                <w:tcPr>
                  <w:tcW w:w="213" w:type="pct"/>
                  <w:shd w:val="clear" w:color="auto" w:fill="FFFFFF"/>
                  <w:tcMar>
                    <w:top w:w="0" w:type="dxa"/>
                    <w:left w:w="0" w:type="dxa"/>
                    <w:bottom w:w="0" w:type="dxa"/>
                    <w:right w:w="0" w:type="dxa"/>
                  </w:tcMar>
                  <w:vAlign w:val="center"/>
                </w:tcPr>
                <w:p w14:paraId="19A268C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11.7</w:t>
                  </w:r>
                </w:p>
              </w:tc>
              <w:tc>
                <w:tcPr>
                  <w:tcW w:w="226" w:type="pct"/>
                  <w:shd w:val="clear" w:color="auto" w:fill="FFFFFF"/>
                  <w:tcMar>
                    <w:top w:w="0" w:type="dxa"/>
                    <w:left w:w="0" w:type="dxa"/>
                    <w:bottom w:w="0" w:type="dxa"/>
                    <w:right w:w="0" w:type="dxa"/>
                  </w:tcMar>
                  <w:vAlign w:val="center"/>
                </w:tcPr>
                <w:p w14:paraId="34B27E1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6A47873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44.8</w:t>
                  </w:r>
                </w:p>
              </w:tc>
              <w:tc>
                <w:tcPr>
                  <w:tcW w:w="175" w:type="pct"/>
                  <w:shd w:val="clear" w:color="auto" w:fill="FFFFFF"/>
                  <w:tcMar>
                    <w:top w:w="0" w:type="dxa"/>
                    <w:left w:w="0" w:type="dxa"/>
                    <w:bottom w:w="0" w:type="dxa"/>
                    <w:right w:w="0" w:type="dxa"/>
                  </w:tcMar>
                  <w:vAlign w:val="center"/>
                </w:tcPr>
                <w:p w14:paraId="7FD9FF72">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87.2</w:t>
                  </w:r>
                </w:p>
              </w:tc>
              <w:tc>
                <w:tcPr>
                  <w:tcW w:w="175" w:type="pct"/>
                  <w:shd w:val="clear" w:color="auto" w:fill="FFFFFF"/>
                  <w:tcMar>
                    <w:top w:w="0" w:type="dxa"/>
                    <w:left w:w="0" w:type="dxa"/>
                    <w:bottom w:w="0" w:type="dxa"/>
                    <w:right w:w="0" w:type="dxa"/>
                  </w:tcMar>
                  <w:vAlign w:val="center"/>
                </w:tcPr>
                <w:p w14:paraId="59425A8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17.7</w:t>
                  </w:r>
                </w:p>
              </w:tc>
              <w:tc>
                <w:tcPr>
                  <w:tcW w:w="186" w:type="pct"/>
                  <w:shd w:val="clear" w:color="auto" w:fill="FFFFFF"/>
                  <w:tcMar>
                    <w:top w:w="0" w:type="dxa"/>
                    <w:left w:w="0" w:type="dxa"/>
                    <w:bottom w:w="0" w:type="dxa"/>
                    <w:right w:w="0" w:type="dxa"/>
                  </w:tcMar>
                  <w:vAlign w:val="center"/>
                </w:tcPr>
                <w:p w14:paraId="3830D1F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66.5</w:t>
                  </w:r>
                </w:p>
              </w:tc>
              <w:tc>
                <w:tcPr>
                  <w:tcW w:w="175" w:type="pct"/>
                  <w:shd w:val="clear" w:color="auto" w:fill="FFFFFF"/>
                  <w:tcMar>
                    <w:top w:w="0" w:type="dxa"/>
                    <w:left w:w="0" w:type="dxa"/>
                    <w:bottom w:w="0" w:type="dxa"/>
                    <w:right w:w="0" w:type="dxa"/>
                  </w:tcMar>
                  <w:vAlign w:val="center"/>
                </w:tcPr>
                <w:p w14:paraId="70C9866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63.2</w:t>
                  </w:r>
                </w:p>
              </w:tc>
              <w:tc>
                <w:tcPr>
                  <w:tcW w:w="175" w:type="pct"/>
                  <w:shd w:val="clear" w:color="auto" w:fill="FFFFFF"/>
                  <w:tcMar>
                    <w:top w:w="0" w:type="dxa"/>
                    <w:left w:w="0" w:type="dxa"/>
                    <w:bottom w:w="0" w:type="dxa"/>
                    <w:right w:w="0" w:type="dxa"/>
                  </w:tcMar>
                  <w:vAlign w:val="center"/>
                </w:tcPr>
                <w:p w14:paraId="379AE49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63.2</w:t>
                  </w:r>
                </w:p>
              </w:tc>
              <w:tc>
                <w:tcPr>
                  <w:tcW w:w="175" w:type="pct"/>
                  <w:shd w:val="clear" w:color="auto" w:fill="FFFFFF"/>
                  <w:tcMar>
                    <w:top w:w="0" w:type="dxa"/>
                    <w:left w:w="0" w:type="dxa"/>
                    <w:bottom w:w="0" w:type="dxa"/>
                    <w:right w:w="0" w:type="dxa"/>
                  </w:tcMar>
                  <w:vAlign w:val="center"/>
                </w:tcPr>
                <w:p w14:paraId="450D127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63.2</w:t>
                  </w:r>
                </w:p>
              </w:tc>
              <w:tc>
                <w:tcPr>
                  <w:tcW w:w="181" w:type="pct"/>
                  <w:shd w:val="clear" w:color="auto" w:fill="FFFFFF"/>
                  <w:tcMar>
                    <w:top w:w="0" w:type="dxa"/>
                    <w:left w:w="0" w:type="dxa"/>
                    <w:bottom w:w="0" w:type="dxa"/>
                    <w:right w:w="0" w:type="dxa"/>
                  </w:tcMar>
                  <w:vAlign w:val="center"/>
                </w:tcPr>
                <w:p w14:paraId="0AD44231">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63.2</w:t>
                  </w:r>
                </w:p>
              </w:tc>
              <w:tc>
                <w:tcPr>
                  <w:tcW w:w="197" w:type="pct"/>
                  <w:vMerge w:val="continue"/>
                  <w:shd w:val="clear" w:color="auto" w:fill="FFFFFF"/>
                  <w:tcMar>
                    <w:top w:w="0" w:type="dxa"/>
                    <w:left w:w="0" w:type="dxa"/>
                    <w:bottom w:w="0" w:type="dxa"/>
                    <w:right w:w="0" w:type="dxa"/>
                  </w:tcMar>
                  <w:vAlign w:val="center"/>
                </w:tcPr>
                <w:p w14:paraId="5D42348A">
                  <w:pPr>
                    <w:pStyle w:val="7"/>
                    <w:keepNext w:val="0"/>
                    <w:keepLines w:val="0"/>
                    <w:suppressLineNumbers w:val="0"/>
                    <w:bidi w:val="0"/>
                    <w:spacing w:before="0" w:beforeAutospacing="0" w:after="0" w:afterAutospacing="0"/>
                    <w:ind w:left="0" w:right="0"/>
                    <w:rPr>
                      <w:rFonts w:hint="default"/>
                      <w:sz w:val="21"/>
                      <w:szCs w:val="21"/>
                    </w:rPr>
                  </w:pPr>
                </w:p>
              </w:tc>
              <w:tc>
                <w:tcPr>
                  <w:tcW w:w="175" w:type="pct"/>
                  <w:shd w:val="clear" w:color="auto" w:fill="FFFFFF"/>
                  <w:tcMar>
                    <w:top w:w="0" w:type="dxa"/>
                    <w:left w:w="0" w:type="dxa"/>
                    <w:bottom w:w="0" w:type="dxa"/>
                    <w:right w:w="0" w:type="dxa"/>
                  </w:tcMar>
                  <w:vAlign w:val="center"/>
                </w:tcPr>
                <w:p w14:paraId="72D4CE1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5AC31D4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218FF22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600314D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63184B0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37.2</w:t>
                  </w:r>
                </w:p>
              </w:tc>
              <w:tc>
                <w:tcPr>
                  <w:tcW w:w="180" w:type="pct"/>
                  <w:shd w:val="clear" w:color="auto" w:fill="FFFFFF"/>
                  <w:tcMar>
                    <w:top w:w="0" w:type="dxa"/>
                    <w:left w:w="0" w:type="dxa"/>
                    <w:bottom w:w="0" w:type="dxa"/>
                    <w:right w:w="0" w:type="dxa"/>
                  </w:tcMar>
                  <w:vAlign w:val="center"/>
                </w:tcPr>
                <w:p w14:paraId="43B9E284">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37.2</w:t>
                  </w:r>
                </w:p>
              </w:tc>
              <w:tc>
                <w:tcPr>
                  <w:tcW w:w="180" w:type="pct"/>
                  <w:shd w:val="clear" w:color="auto" w:fill="FFFFFF"/>
                  <w:tcMar>
                    <w:top w:w="0" w:type="dxa"/>
                    <w:left w:w="0" w:type="dxa"/>
                    <w:bottom w:w="0" w:type="dxa"/>
                    <w:right w:w="0" w:type="dxa"/>
                  </w:tcMar>
                  <w:vAlign w:val="center"/>
                </w:tcPr>
                <w:p w14:paraId="7E41DD0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37.2</w:t>
                  </w:r>
                </w:p>
              </w:tc>
              <w:tc>
                <w:tcPr>
                  <w:tcW w:w="180" w:type="pct"/>
                  <w:shd w:val="clear" w:color="auto" w:fill="FFFFFF"/>
                  <w:tcMar>
                    <w:top w:w="0" w:type="dxa"/>
                    <w:left w:w="0" w:type="dxa"/>
                    <w:bottom w:w="0" w:type="dxa"/>
                    <w:right w:w="0" w:type="dxa"/>
                  </w:tcMar>
                  <w:vAlign w:val="center"/>
                </w:tcPr>
                <w:p w14:paraId="40B9171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37.2</w:t>
                  </w:r>
                </w:p>
              </w:tc>
              <w:tc>
                <w:tcPr>
                  <w:tcW w:w="188" w:type="pct"/>
                  <w:shd w:val="clear" w:color="auto" w:fill="FFFFFF"/>
                  <w:tcMar>
                    <w:top w:w="0" w:type="dxa"/>
                    <w:left w:w="0" w:type="dxa"/>
                    <w:bottom w:w="0" w:type="dxa"/>
                    <w:right w:w="0" w:type="dxa"/>
                  </w:tcMar>
                  <w:vAlign w:val="center"/>
                </w:tcPr>
                <w:p w14:paraId="771227F8">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w:t>
                  </w:r>
                </w:p>
              </w:tc>
            </w:tr>
            <w:tr w14:paraId="7F8E3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1925695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w:t>
                  </w:r>
                </w:p>
              </w:tc>
              <w:tc>
                <w:tcPr>
                  <w:tcW w:w="197" w:type="pct"/>
                  <w:vMerge w:val="continue"/>
                  <w:shd w:val="clear" w:color="auto" w:fill="FFFFFF"/>
                  <w:tcMar>
                    <w:top w:w="0" w:type="dxa"/>
                    <w:left w:w="0" w:type="dxa"/>
                    <w:bottom w:w="0" w:type="dxa"/>
                    <w:right w:w="0" w:type="dxa"/>
                  </w:tcMar>
                  <w:vAlign w:val="center"/>
                </w:tcPr>
                <w:p w14:paraId="1A1CA12A">
                  <w:pPr>
                    <w:pStyle w:val="7"/>
                    <w:keepNext w:val="0"/>
                    <w:keepLines w:val="0"/>
                    <w:suppressLineNumbers w:val="0"/>
                    <w:bidi w:val="0"/>
                    <w:spacing w:before="0" w:beforeAutospacing="0" w:after="0" w:afterAutospacing="0"/>
                    <w:ind w:left="0" w:right="0"/>
                    <w:rPr>
                      <w:rFonts w:hint="default"/>
                      <w:sz w:val="21"/>
                      <w:szCs w:val="21"/>
                    </w:rPr>
                  </w:pPr>
                </w:p>
              </w:tc>
              <w:tc>
                <w:tcPr>
                  <w:tcW w:w="292" w:type="pct"/>
                  <w:shd w:val="clear" w:color="auto" w:fill="FFFFFF"/>
                  <w:tcMar>
                    <w:top w:w="0" w:type="dxa"/>
                    <w:left w:w="0" w:type="dxa"/>
                    <w:bottom w:w="0" w:type="dxa"/>
                    <w:right w:w="0" w:type="dxa"/>
                  </w:tcMar>
                  <w:vAlign w:val="center"/>
                </w:tcPr>
                <w:p w14:paraId="17FDEE7B">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龙门吊</w:t>
                  </w:r>
                </w:p>
              </w:tc>
              <w:tc>
                <w:tcPr>
                  <w:tcW w:w="233" w:type="pct"/>
                  <w:shd w:val="clear" w:color="auto" w:fill="FFFFFF"/>
                  <w:tcMar>
                    <w:top w:w="0" w:type="dxa"/>
                    <w:left w:w="0" w:type="dxa"/>
                    <w:bottom w:w="0" w:type="dxa"/>
                    <w:right w:w="0" w:type="dxa"/>
                  </w:tcMar>
                  <w:vAlign w:val="center"/>
                </w:tcPr>
                <w:p w14:paraId="11B807E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70</w:t>
                  </w:r>
                </w:p>
              </w:tc>
              <w:tc>
                <w:tcPr>
                  <w:tcW w:w="199" w:type="pct"/>
                  <w:vMerge w:val="continue"/>
                  <w:shd w:val="clear" w:color="auto" w:fill="FFFFFF"/>
                  <w:tcMar>
                    <w:top w:w="0" w:type="dxa"/>
                    <w:left w:w="0" w:type="dxa"/>
                    <w:bottom w:w="0" w:type="dxa"/>
                    <w:right w:w="0" w:type="dxa"/>
                  </w:tcMar>
                  <w:vAlign w:val="center"/>
                </w:tcPr>
                <w:p w14:paraId="3668D3B1">
                  <w:pPr>
                    <w:pStyle w:val="7"/>
                    <w:keepNext w:val="0"/>
                    <w:keepLines w:val="0"/>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40E8EC5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-22.7</w:t>
                  </w:r>
                </w:p>
              </w:tc>
              <w:tc>
                <w:tcPr>
                  <w:tcW w:w="213" w:type="pct"/>
                  <w:shd w:val="clear" w:color="auto" w:fill="FFFFFF"/>
                  <w:tcMar>
                    <w:top w:w="0" w:type="dxa"/>
                    <w:left w:w="0" w:type="dxa"/>
                    <w:bottom w:w="0" w:type="dxa"/>
                    <w:right w:w="0" w:type="dxa"/>
                  </w:tcMar>
                  <w:vAlign w:val="center"/>
                </w:tcPr>
                <w:p w14:paraId="4288091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8.2</w:t>
                  </w:r>
                </w:p>
              </w:tc>
              <w:tc>
                <w:tcPr>
                  <w:tcW w:w="226" w:type="pct"/>
                  <w:shd w:val="clear" w:color="auto" w:fill="FFFFFF"/>
                  <w:tcMar>
                    <w:top w:w="0" w:type="dxa"/>
                    <w:left w:w="0" w:type="dxa"/>
                    <w:bottom w:w="0" w:type="dxa"/>
                    <w:right w:w="0" w:type="dxa"/>
                  </w:tcMar>
                  <w:vAlign w:val="center"/>
                </w:tcPr>
                <w:p w14:paraId="2BB1E40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60C76D24">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53.0</w:t>
                  </w:r>
                </w:p>
              </w:tc>
              <w:tc>
                <w:tcPr>
                  <w:tcW w:w="175" w:type="pct"/>
                  <w:shd w:val="clear" w:color="auto" w:fill="FFFFFF"/>
                  <w:tcMar>
                    <w:top w:w="0" w:type="dxa"/>
                    <w:left w:w="0" w:type="dxa"/>
                    <w:bottom w:w="0" w:type="dxa"/>
                    <w:right w:w="0" w:type="dxa"/>
                  </w:tcMar>
                  <w:vAlign w:val="center"/>
                </w:tcPr>
                <w:p w14:paraId="1B2E01C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83.8</w:t>
                  </w:r>
                </w:p>
              </w:tc>
              <w:tc>
                <w:tcPr>
                  <w:tcW w:w="175" w:type="pct"/>
                  <w:shd w:val="clear" w:color="auto" w:fill="FFFFFF"/>
                  <w:tcMar>
                    <w:top w:w="0" w:type="dxa"/>
                    <w:left w:w="0" w:type="dxa"/>
                    <w:bottom w:w="0" w:type="dxa"/>
                    <w:right w:w="0" w:type="dxa"/>
                  </w:tcMar>
                  <w:vAlign w:val="center"/>
                </w:tcPr>
                <w:p w14:paraId="178ED71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9.6</w:t>
                  </w:r>
                </w:p>
              </w:tc>
              <w:tc>
                <w:tcPr>
                  <w:tcW w:w="186" w:type="pct"/>
                  <w:shd w:val="clear" w:color="auto" w:fill="FFFFFF"/>
                  <w:tcMar>
                    <w:top w:w="0" w:type="dxa"/>
                    <w:left w:w="0" w:type="dxa"/>
                    <w:bottom w:w="0" w:type="dxa"/>
                    <w:right w:w="0" w:type="dxa"/>
                  </w:tcMar>
                  <w:vAlign w:val="center"/>
                </w:tcPr>
                <w:p w14:paraId="3E75F58F">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70.2</w:t>
                  </w:r>
                </w:p>
              </w:tc>
              <w:tc>
                <w:tcPr>
                  <w:tcW w:w="175" w:type="pct"/>
                  <w:shd w:val="clear" w:color="auto" w:fill="FFFFFF"/>
                  <w:tcMar>
                    <w:top w:w="0" w:type="dxa"/>
                    <w:left w:w="0" w:type="dxa"/>
                    <w:bottom w:w="0" w:type="dxa"/>
                    <w:right w:w="0" w:type="dxa"/>
                  </w:tcMar>
                  <w:vAlign w:val="center"/>
                </w:tcPr>
                <w:p w14:paraId="46C3834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75" w:type="pct"/>
                  <w:shd w:val="clear" w:color="auto" w:fill="FFFFFF"/>
                  <w:tcMar>
                    <w:top w:w="0" w:type="dxa"/>
                    <w:left w:w="0" w:type="dxa"/>
                    <w:bottom w:w="0" w:type="dxa"/>
                    <w:right w:w="0" w:type="dxa"/>
                  </w:tcMar>
                  <w:vAlign w:val="center"/>
                </w:tcPr>
                <w:p w14:paraId="75AF7B14">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75" w:type="pct"/>
                  <w:shd w:val="clear" w:color="auto" w:fill="FFFFFF"/>
                  <w:tcMar>
                    <w:top w:w="0" w:type="dxa"/>
                    <w:left w:w="0" w:type="dxa"/>
                    <w:bottom w:w="0" w:type="dxa"/>
                    <w:right w:w="0" w:type="dxa"/>
                  </w:tcMar>
                  <w:vAlign w:val="center"/>
                </w:tcPr>
                <w:p w14:paraId="2BE008C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53.3</w:t>
                  </w:r>
                </w:p>
              </w:tc>
              <w:tc>
                <w:tcPr>
                  <w:tcW w:w="181" w:type="pct"/>
                  <w:shd w:val="clear" w:color="auto" w:fill="FFFFFF"/>
                  <w:tcMar>
                    <w:top w:w="0" w:type="dxa"/>
                    <w:left w:w="0" w:type="dxa"/>
                    <w:bottom w:w="0" w:type="dxa"/>
                    <w:right w:w="0" w:type="dxa"/>
                  </w:tcMar>
                  <w:vAlign w:val="center"/>
                </w:tcPr>
                <w:p w14:paraId="09D6DC8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53.2</w:t>
                  </w:r>
                </w:p>
              </w:tc>
              <w:tc>
                <w:tcPr>
                  <w:tcW w:w="197" w:type="pct"/>
                  <w:vMerge w:val="continue"/>
                  <w:shd w:val="clear" w:color="auto" w:fill="FFFFFF"/>
                  <w:tcMar>
                    <w:top w:w="0" w:type="dxa"/>
                    <w:left w:w="0" w:type="dxa"/>
                    <w:bottom w:w="0" w:type="dxa"/>
                    <w:right w:w="0" w:type="dxa"/>
                  </w:tcMar>
                  <w:vAlign w:val="center"/>
                </w:tcPr>
                <w:p w14:paraId="4A64B273">
                  <w:pPr>
                    <w:pStyle w:val="7"/>
                    <w:keepNext w:val="0"/>
                    <w:keepLines w:val="0"/>
                    <w:suppressLineNumbers w:val="0"/>
                    <w:bidi w:val="0"/>
                    <w:spacing w:before="0" w:beforeAutospacing="0" w:after="0" w:afterAutospacing="0"/>
                    <w:ind w:left="0" w:right="0"/>
                    <w:rPr>
                      <w:rFonts w:hint="default"/>
                      <w:sz w:val="21"/>
                      <w:szCs w:val="21"/>
                    </w:rPr>
                  </w:pPr>
                </w:p>
              </w:tc>
              <w:tc>
                <w:tcPr>
                  <w:tcW w:w="175" w:type="pct"/>
                  <w:shd w:val="clear" w:color="auto" w:fill="FFFFFF"/>
                  <w:tcMar>
                    <w:top w:w="0" w:type="dxa"/>
                    <w:left w:w="0" w:type="dxa"/>
                    <w:bottom w:w="0" w:type="dxa"/>
                    <w:right w:w="0" w:type="dxa"/>
                  </w:tcMar>
                  <w:vAlign w:val="center"/>
                </w:tcPr>
                <w:p w14:paraId="1712C05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605F5A69">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0CB508C5">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1D44243D">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6BA551E6">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0" w:type="pct"/>
                  <w:shd w:val="clear" w:color="auto" w:fill="FFFFFF"/>
                  <w:tcMar>
                    <w:top w:w="0" w:type="dxa"/>
                    <w:left w:w="0" w:type="dxa"/>
                    <w:bottom w:w="0" w:type="dxa"/>
                    <w:right w:w="0" w:type="dxa"/>
                  </w:tcMar>
                  <w:vAlign w:val="center"/>
                </w:tcPr>
                <w:p w14:paraId="356CF783">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0" w:type="pct"/>
                  <w:shd w:val="clear" w:color="auto" w:fill="FFFFFF"/>
                  <w:tcMar>
                    <w:top w:w="0" w:type="dxa"/>
                    <w:left w:w="0" w:type="dxa"/>
                    <w:bottom w:w="0" w:type="dxa"/>
                    <w:right w:w="0" w:type="dxa"/>
                  </w:tcMar>
                  <w:vAlign w:val="center"/>
                </w:tcPr>
                <w:p w14:paraId="6A1AD20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27.3</w:t>
                  </w:r>
                </w:p>
              </w:tc>
              <w:tc>
                <w:tcPr>
                  <w:tcW w:w="180" w:type="pct"/>
                  <w:shd w:val="clear" w:color="auto" w:fill="FFFFFF"/>
                  <w:tcMar>
                    <w:top w:w="0" w:type="dxa"/>
                    <w:left w:w="0" w:type="dxa"/>
                    <w:bottom w:w="0" w:type="dxa"/>
                    <w:right w:w="0" w:type="dxa"/>
                  </w:tcMar>
                  <w:vAlign w:val="center"/>
                </w:tcPr>
                <w:p w14:paraId="3CA0B3B0">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27.2</w:t>
                  </w:r>
                </w:p>
              </w:tc>
              <w:tc>
                <w:tcPr>
                  <w:tcW w:w="188" w:type="pct"/>
                  <w:shd w:val="clear" w:color="auto" w:fill="FFFFFF"/>
                  <w:tcMar>
                    <w:top w:w="0" w:type="dxa"/>
                    <w:left w:w="0" w:type="dxa"/>
                    <w:bottom w:w="0" w:type="dxa"/>
                    <w:right w:w="0" w:type="dxa"/>
                  </w:tcMar>
                  <w:vAlign w:val="center"/>
                </w:tcPr>
                <w:p w14:paraId="7D94C9A7">
                  <w:pPr>
                    <w:pStyle w:val="7"/>
                    <w:keepNext w:val="0"/>
                    <w:keepLines w:val="0"/>
                    <w:suppressLineNumbers w:val="0"/>
                    <w:bidi w:val="0"/>
                    <w:spacing w:before="0" w:beforeAutospacing="0" w:after="0" w:afterAutospacing="0"/>
                    <w:ind w:left="0" w:right="0"/>
                    <w:rPr>
                      <w:rFonts w:hint="default"/>
                      <w:sz w:val="21"/>
                      <w:szCs w:val="21"/>
                    </w:rPr>
                  </w:pPr>
                  <w:r>
                    <w:rPr>
                      <w:rFonts w:hint="default"/>
                      <w:sz w:val="21"/>
                      <w:szCs w:val="21"/>
                    </w:rPr>
                    <w:t>1</w:t>
                  </w:r>
                </w:p>
              </w:tc>
            </w:tr>
            <w:tr w14:paraId="6D72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22A970B0">
                  <w:pPr>
                    <w:pStyle w:val="6"/>
                    <w:suppressLineNumbers w:val="0"/>
                    <w:bidi w:val="0"/>
                    <w:spacing w:before="0" w:beforeAutospacing="0" w:after="0" w:afterAutospacing="0"/>
                    <w:ind w:left="0" w:right="0"/>
                    <w:rPr>
                      <w:rFonts w:hint="eastAsia"/>
                      <w:sz w:val="21"/>
                      <w:szCs w:val="21"/>
                      <w:lang w:val="en-US" w:eastAsia="zh-CN"/>
                    </w:rPr>
                  </w:pPr>
                  <w:r>
                    <w:rPr>
                      <w:rFonts w:hint="eastAsia"/>
                      <w:sz w:val="21"/>
                      <w:szCs w:val="21"/>
                      <w:lang w:val="en-US" w:eastAsia="zh-CN"/>
                    </w:rPr>
                    <w:t>6</w:t>
                  </w:r>
                </w:p>
              </w:tc>
              <w:tc>
                <w:tcPr>
                  <w:tcW w:w="197" w:type="pct"/>
                  <w:vMerge w:val="continue"/>
                  <w:shd w:val="clear" w:color="auto" w:fill="FFFFFF"/>
                  <w:tcMar>
                    <w:top w:w="0" w:type="dxa"/>
                    <w:left w:w="0" w:type="dxa"/>
                    <w:bottom w:w="0" w:type="dxa"/>
                    <w:right w:w="0" w:type="dxa"/>
                  </w:tcMar>
                  <w:vAlign w:val="center"/>
                </w:tcPr>
                <w:p w14:paraId="6A3A8A58">
                  <w:pPr>
                    <w:pStyle w:val="6"/>
                    <w:suppressLineNumbers w:val="0"/>
                    <w:bidi w:val="0"/>
                    <w:spacing w:before="0" w:beforeAutospacing="0" w:after="0" w:afterAutospacing="0"/>
                    <w:ind w:left="0" w:right="0"/>
                    <w:rPr>
                      <w:rFonts w:hint="default"/>
                      <w:sz w:val="21"/>
                      <w:szCs w:val="21"/>
                    </w:rPr>
                  </w:pPr>
                </w:p>
              </w:tc>
              <w:tc>
                <w:tcPr>
                  <w:tcW w:w="292" w:type="pct"/>
                  <w:shd w:val="clear" w:color="auto" w:fill="FFFFFF"/>
                  <w:tcMar>
                    <w:top w:w="0" w:type="dxa"/>
                    <w:left w:w="0" w:type="dxa"/>
                    <w:bottom w:w="0" w:type="dxa"/>
                    <w:right w:w="0" w:type="dxa"/>
                  </w:tcMar>
                  <w:vAlign w:val="center"/>
                </w:tcPr>
                <w:p w14:paraId="6CD3A3B4">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叉车,3台（按点声源组预测）</w:t>
                  </w:r>
                </w:p>
              </w:tc>
              <w:tc>
                <w:tcPr>
                  <w:tcW w:w="233" w:type="pct"/>
                  <w:shd w:val="clear" w:color="auto" w:fill="FFFFFF"/>
                  <w:tcMar>
                    <w:top w:w="0" w:type="dxa"/>
                    <w:left w:w="0" w:type="dxa"/>
                    <w:bottom w:w="0" w:type="dxa"/>
                    <w:right w:w="0" w:type="dxa"/>
                  </w:tcMar>
                  <w:vAlign w:val="center"/>
                </w:tcPr>
                <w:p w14:paraId="58DB9E3A">
                  <w:pPr>
                    <w:pStyle w:val="6"/>
                    <w:suppressLineNumbers w:val="0"/>
                    <w:bidi w:val="0"/>
                    <w:spacing w:before="0" w:beforeAutospacing="0" w:after="0" w:afterAutospacing="0"/>
                    <w:ind w:left="0" w:right="0"/>
                    <w:rPr>
                      <w:rFonts w:hint="default"/>
                      <w:sz w:val="21"/>
                      <w:szCs w:val="21"/>
                    </w:rPr>
                  </w:pPr>
                  <w:r>
                    <w:rPr>
                      <w:rFonts w:hint="default"/>
                      <w:sz w:val="21"/>
                      <w:szCs w:val="21"/>
                    </w:rPr>
                    <w:t>75（等效后：79.8)</w:t>
                  </w:r>
                </w:p>
              </w:tc>
              <w:tc>
                <w:tcPr>
                  <w:tcW w:w="199" w:type="pct"/>
                  <w:vMerge w:val="continue"/>
                  <w:shd w:val="clear" w:color="auto" w:fill="FFFFFF"/>
                  <w:tcMar>
                    <w:top w:w="0" w:type="dxa"/>
                    <w:left w:w="0" w:type="dxa"/>
                    <w:bottom w:w="0" w:type="dxa"/>
                    <w:right w:w="0" w:type="dxa"/>
                  </w:tcMar>
                  <w:vAlign w:val="center"/>
                </w:tcPr>
                <w:p w14:paraId="1459960E">
                  <w:pPr>
                    <w:pStyle w:val="6"/>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660EA15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-3.6</w:t>
                  </w:r>
                </w:p>
              </w:tc>
              <w:tc>
                <w:tcPr>
                  <w:tcW w:w="213" w:type="pct"/>
                  <w:shd w:val="clear" w:color="auto" w:fill="FFFFFF"/>
                  <w:tcMar>
                    <w:top w:w="0" w:type="dxa"/>
                    <w:left w:w="0" w:type="dxa"/>
                    <w:bottom w:w="0" w:type="dxa"/>
                    <w:right w:w="0" w:type="dxa"/>
                  </w:tcMar>
                  <w:vAlign w:val="center"/>
                </w:tcPr>
                <w:p w14:paraId="1EC7230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-15.1</w:t>
                  </w:r>
                </w:p>
              </w:tc>
              <w:tc>
                <w:tcPr>
                  <w:tcW w:w="226" w:type="pct"/>
                  <w:shd w:val="clear" w:color="auto" w:fill="FFFFFF"/>
                  <w:tcMar>
                    <w:top w:w="0" w:type="dxa"/>
                    <w:left w:w="0" w:type="dxa"/>
                    <w:bottom w:w="0" w:type="dxa"/>
                    <w:right w:w="0" w:type="dxa"/>
                  </w:tcMar>
                  <w:vAlign w:val="center"/>
                </w:tcPr>
                <w:p w14:paraId="13B0753E">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5171E50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35.1</w:t>
                  </w:r>
                </w:p>
              </w:tc>
              <w:tc>
                <w:tcPr>
                  <w:tcW w:w="175" w:type="pct"/>
                  <w:shd w:val="clear" w:color="auto" w:fill="FFFFFF"/>
                  <w:tcMar>
                    <w:top w:w="0" w:type="dxa"/>
                    <w:left w:w="0" w:type="dxa"/>
                    <w:bottom w:w="0" w:type="dxa"/>
                    <w:right w:w="0" w:type="dxa"/>
                  </w:tcMar>
                  <w:vAlign w:val="center"/>
                </w:tcPr>
                <w:p w14:paraId="3D8ED5D6">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60.2</w:t>
                  </w:r>
                </w:p>
              </w:tc>
              <w:tc>
                <w:tcPr>
                  <w:tcW w:w="175" w:type="pct"/>
                  <w:shd w:val="clear" w:color="auto" w:fill="FFFFFF"/>
                  <w:tcMar>
                    <w:top w:w="0" w:type="dxa"/>
                    <w:left w:w="0" w:type="dxa"/>
                    <w:bottom w:w="0" w:type="dxa"/>
                    <w:right w:w="0" w:type="dxa"/>
                  </w:tcMar>
                  <w:vAlign w:val="center"/>
                </w:tcPr>
                <w:p w14:paraId="02E3018F">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27.5</w:t>
                  </w:r>
                </w:p>
              </w:tc>
              <w:tc>
                <w:tcPr>
                  <w:tcW w:w="186" w:type="pct"/>
                  <w:shd w:val="clear" w:color="auto" w:fill="FFFFFF"/>
                  <w:tcMar>
                    <w:top w:w="0" w:type="dxa"/>
                    <w:left w:w="0" w:type="dxa"/>
                    <w:bottom w:w="0" w:type="dxa"/>
                    <w:right w:w="0" w:type="dxa"/>
                  </w:tcMar>
                  <w:vAlign w:val="center"/>
                </w:tcPr>
                <w:p w14:paraId="7D292936">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93.0</w:t>
                  </w:r>
                </w:p>
              </w:tc>
              <w:tc>
                <w:tcPr>
                  <w:tcW w:w="175" w:type="pct"/>
                  <w:shd w:val="clear" w:color="auto" w:fill="FFFFFF"/>
                  <w:tcMar>
                    <w:top w:w="0" w:type="dxa"/>
                    <w:left w:w="0" w:type="dxa"/>
                    <w:bottom w:w="0" w:type="dxa"/>
                    <w:right w:w="0" w:type="dxa"/>
                  </w:tcMar>
                  <w:vAlign w:val="center"/>
                </w:tcPr>
                <w:p w14:paraId="56A75F30">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63.0</w:t>
                  </w:r>
                </w:p>
              </w:tc>
              <w:tc>
                <w:tcPr>
                  <w:tcW w:w="175" w:type="pct"/>
                  <w:shd w:val="clear" w:color="auto" w:fill="FFFFFF"/>
                  <w:tcMar>
                    <w:top w:w="0" w:type="dxa"/>
                    <w:left w:w="0" w:type="dxa"/>
                    <w:bottom w:w="0" w:type="dxa"/>
                    <w:right w:w="0" w:type="dxa"/>
                  </w:tcMar>
                  <w:vAlign w:val="center"/>
                </w:tcPr>
                <w:p w14:paraId="46923EA9">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63.0</w:t>
                  </w:r>
                </w:p>
              </w:tc>
              <w:tc>
                <w:tcPr>
                  <w:tcW w:w="175" w:type="pct"/>
                  <w:shd w:val="clear" w:color="auto" w:fill="FFFFFF"/>
                  <w:tcMar>
                    <w:top w:w="0" w:type="dxa"/>
                    <w:left w:w="0" w:type="dxa"/>
                    <w:bottom w:w="0" w:type="dxa"/>
                    <w:right w:w="0" w:type="dxa"/>
                  </w:tcMar>
                  <w:vAlign w:val="center"/>
                </w:tcPr>
                <w:p w14:paraId="62EA0BBB">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63.0</w:t>
                  </w:r>
                </w:p>
              </w:tc>
              <w:tc>
                <w:tcPr>
                  <w:tcW w:w="181" w:type="pct"/>
                  <w:shd w:val="clear" w:color="auto" w:fill="FFFFFF"/>
                  <w:tcMar>
                    <w:top w:w="0" w:type="dxa"/>
                    <w:left w:w="0" w:type="dxa"/>
                    <w:bottom w:w="0" w:type="dxa"/>
                    <w:right w:w="0" w:type="dxa"/>
                  </w:tcMar>
                  <w:vAlign w:val="center"/>
                </w:tcPr>
                <w:p w14:paraId="2D4DCED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63.0</w:t>
                  </w:r>
                </w:p>
              </w:tc>
              <w:tc>
                <w:tcPr>
                  <w:tcW w:w="197" w:type="pct"/>
                  <w:vMerge w:val="continue"/>
                  <w:shd w:val="clear" w:color="auto" w:fill="FFFFFF"/>
                  <w:tcMar>
                    <w:top w:w="0" w:type="dxa"/>
                    <w:left w:w="0" w:type="dxa"/>
                    <w:bottom w:w="0" w:type="dxa"/>
                    <w:right w:w="0" w:type="dxa"/>
                  </w:tcMar>
                  <w:vAlign w:val="center"/>
                </w:tcPr>
                <w:p w14:paraId="5140E157">
                  <w:pPr>
                    <w:pStyle w:val="6"/>
                    <w:suppressLineNumbers w:val="0"/>
                    <w:bidi w:val="0"/>
                    <w:spacing w:before="0" w:beforeAutospacing="0" w:after="0" w:afterAutospacing="0"/>
                    <w:ind w:left="0" w:right="0"/>
                    <w:rPr>
                      <w:rFonts w:hint="default"/>
                      <w:sz w:val="21"/>
                      <w:szCs w:val="21"/>
                      <w:lang w:val="en-US" w:eastAsia="zh-CN"/>
                    </w:rPr>
                  </w:pPr>
                </w:p>
              </w:tc>
              <w:tc>
                <w:tcPr>
                  <w:tcW w:w="175" w:type="pct"/>
                  <w:shd w:val="clear" w:color="auto" w:fill="FFFFFF"/>
                  <w:tcMar>
                    <w:top w:w="0" w:type="dxa"/>
                    <w:left w:w="0" w:type="dxa"/>
                    <w:bottom w:w="0" w:type="dxa"/>
                    <w:right w:w="0" w:type="dxa"/>
                  </w:tcMar>
                  <w:vAlign w:val="center"/>
                </w:tcPr>
                <w:p w14:paraId="72A918AE">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02FFF998">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6CD1E629">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113264D0">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30CFBA4A">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37.0</w:t>
                  </w:r>
                </w:p>
              </w:tc>
              <w:tc>
                <w:tcPr>
                  <w:tcW w:w="180" w:type="pct"/>
                  <w:shd w:val="clear" w:color="auto" w:fill="FFFFFF"/>
                  <w:tcMar>
                    <w:top w:w="0" w:type="dxa"/>
                    <w:left w:w="0" w:type="dxa"/>
                    <w:bottom w:w="0" w:type="dxa"/>
                    <w:right w:w="0" w:type="dxa"/>
                  </w:tcMar>
                  <w:vAlign w:val="center"/>
                </w:tcPr>
                <w:p w14:paraId="1DF48B43">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37.0</w:t>
                  </w:r>
                </w:p>
              </w:tc>
              <w:tc>
                <w:tcPr>
                  <w:tcW w:w="180" w:type="pct"/>
                  <w:shd w:val="clear" w:color="auto" w:fill="FFFFFF"/>
                  <w:tcMar>
                    <w:top w:w="0" w:type="dxa"/>
                    <w:left w:w="0" w:type="dxa"/>
                    <w:bottom w:w="0" w:type="dxa"/>
                    <w:right w:w="0" w:type="dxa"/>
                  </w:tcMar>
                  <w:vAlign w:val="center"/>
                </w:tcPr>
                <w:p w14:paraId="7AE2E49F">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37.0</w:t>
                  </w:r>
                </w:p>
              </w:tc>
              <w:tc>
                <w:tcPr>
                  <w:tcW w:w="180" w:type="pct"/>
                  <w:shd w:val="clear" w:color="auto" w:fill="FFFFFF"/>
                  <w:tcMar>
                    <w:top w:w="0" w:type="dxa"/>
                    <w:left w:w="0" w:type="dxa"/>
                    <w:bottom w:w="0" w:type="dxa"/>
                    <w:right w:w="0" w:type="dxa"/>
                  </w:tcMar>
                  <w:vAlign w:val="center"/>
                </w:tcPr>
                <w:p w14:paraId="30A4569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37.0</w:t>
                  </w:r>
                </w:p>
              </w:tc>
              <w:tc>
                <w:tcPr>
                  <w:tcW w:w="188" w:type="pct"/>
                  <w:shd w:val="clear" w:color="auto" w:fill="FFFFFF"/>
                  <w:tcMar>
                    <w:top w:w="0" w:type="dxa"/>
                    <w:left w:w="0" w:type="dxa"/>
                    <w:bottom w:w="0" w:type="dxa"/>
                    <w:right w:w="0" w:type="dxa"/>
                  </w:tcMar>
                  <w:vAlign w:val="center"/>
                </w:tcPr>
                <w:p w14:paraId="255A98E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1</w:t>
                  </w:r>
                </w:p>
              </w:tc>
            </w:tr>
            <w:tr w14:paraId="5FBD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197" w:type="pct"/>
                  <w:shd w:val="clear" w:color="auto" w:fill="FFFFFF"/>
                  <w:tcMar>
                    <w:top w:w="0" w:type="dxa"/>
                    <w:left w:w="0" w:type="dxa"/>
                    <w:bottom w:w="0" w:type="dxa"/>
                    <w:right w:w="0" w:type="dxa"/>
                  </w:tcMar>
                  <w:vAlign w:val="center"/>
                </w:tcPr>
                <w:p w14:paraId="1A8E9E74">
                  <w:pPr>
                    <w:pStyle w:val="6"/>
                    <w:suppressLineNumbers w:val="0"/>
                    <w:bidi w:val="0"/>
                    <w:spacing w:before="0" w:beforeAutospacing="0" w:after="0" w:afterAutospacing="0"/>
                    <w:ind w:left="0" w:right="0"/>
                    <w:rPr>
                      <w:rFonts w:hint="eastAsia"/>
                      <w:sz w:val="21"/>
                      <w:szCs w:val="21"/>
                      <w:lang w:val="en-US" w:eastAsia="zh-CN"/>
                    </w:rPr>
                  </w:pPr>
                  <w:r>
                    <w:rPr>
                      <w:rFonts w:hint="eastAsia"/>
                      <w:sz w:val="21"/>
                      <w:szCs w:val="21"/>
                      <w:lang w:val="en-US" w:eastAsia="zh-CN"/>
                    </w:rPr>
                    <w:t>7</w:t>
                  </w:r>
                </w:p>
              </w:tc>
              <w:tc>
                <w:tcPr>
                  <w:tcW w:w="197" w:type="pct"/>
                  <w:vMerge w:val="continue"/>
                  <w:shd w:val="clear" w:color="auto" w:fill="FFFFFF"/>
                  <w:tcMar>
                    <w:top w:w="0" w:type="dxa"/>
                    <w:left w:w="0" w:type="dxa"/>
                    <w:bottom w:w="0" w:type="dxa"/>
                    <w:right w:w="0" w:type="dxa"/>
                  </w:tcMar>
                  <w:vAlign w:val="center"/>
                </w:tcPr>
                <w:p w14:paraId="1AF5CE45">
                  <w:pPr>
                    <w:pStyle w:val="6"/>
                    <w:suppressLineNumbers w:val="0"/>
                    <w:bidi w:val="0"/>
                    <w:spacing w:before="0" w:beforeAutospacing="0" w:after="0" w:afterAutospacing="0"/>
                    <w:ind w:left="0" w:right="0"/>
                    <w:rPr>
                      <w:rFonts w:hint="default"/>
                      <w:sz w:val="21"/>
                      <w:szCs w:val="21"/>
                    </w:rPr>
                  </w:pPr>
                </w:p>
              </w:tc>
              <w:tc>
                <w:tcPr>
                  <w:tcW w:w="292" w:type="pct"/>
                  <w:shd w:val="clear" w:color="auto" w:fill="FFFFFF"/>
                  <w:tcMar>
                    <w:top w:w="0" w:type="dxa"/>
                    <w:left w:w="0" w:type="dxa"/>
                    <w:bottom w:w="0" w:type="dxa"/>
                    <w:right w:w="0" w:type="dxa"/>
                  </w:tcMar>
                  <w:vAlign w:val="center"/>
                </w:tcPr>
                <w:p w14:paraId="58D2F586">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除尘引风机</w:t>
                  </w:r>
                </w:p>
              </w:tc>
              <w:tc>
                <w:tcPr>
                  <w:tcW w:w="233" w:type="pct"/>
                  <w:shd w:val="clear" w:color="auto" w:fill="FFFFFF"/>
                  <w:tcMar>
                    <w:top w:w="0" w:type="dxa"/>
                    <w:left w:w="0" w:type="dxa"/>
                    <w:bottom w:w="0" w:type="dxa"/>
                    <w:right w:w="0" w:type="dxa"/>
                  </w:tcMar>
                  <w:vAlign w:val="center"/>
                </w:tcPr>
                <w:p w14:paraId="735E40E6">
                  <w:pPr>
                    <w:pStyle w:val="6"/>
                    <w:suppressLineNumbers w:val="0"/>
                    <w:bidi w:val="0"/>
                    <w:spacing w:before="0" w:beforeAutospacing="0" w:after="0" w:afterAutospacing="0"/>
                    <w:ind w:left="0" w:right="0"/>
                    <w:rPr>
                      <w:rFonts w:hint="default"/>
                      <w:sz w:val="21"/>
                      <w:szCs w:val="21"/>
                    </w:rPr>
                  </w:pPr>
                  <w:r>
                    <w:rPr>
                      <w:rFonts w:hint="default"/>
                      <w:sz w:val="21"/>
                      <w:szCs w:val="21"/>
                    </w:rPr>
                    <w:t>85</w:t>
                  </w:r>
                </w:p>
              </w:tc>
              <w:tc>
                <w:tcPr>
                  <w:tcW w:w="199" w:type="pct"/>
                  <w:vMerge w:val="continue"/>
                  <w:shd w:val="clear" w:color="auto" w:fill="FFFFFF"/>
                  <w:tcMar>
                    <w:top w:w="0" w:type="dxa"/>
                    <w:left w:w="0" w:type="dxa"/>
                    <w:bottom w:w="0" w:type="dxa"/>
                    <w:right w:w="0" w:type="dxa"/>
                  </w:tcMar>
                  <w:vAlign w:val="center"/>
                </w:tcPr>
                <w:p w14:paraId="1610FC44">
                  <w:pPr>
                    <w:pStyle w:val="6"/>
                    <w:suppressLineNumbers w:val="0"/>
                    <w:bidi w:val="0"/>
                    <w:spacing w:before="0" w:beforeAutospacing="0" w:after="0" w:afterAutospacing="0"/>
                    <w:ind w:left="0" w:right="0"/>
                    <w:rPr>
                      <w:rFonts w:hint="default"/>
                      <w:sz w:val="21"/>
                      <w:szCs w:val="21"/>
                    </w:rPr>
                  </w:pPr>
                </w:p>
              </w:tc>
              <w:tc>
                <w:tcPr>
                  <w:tcW w:w="211" w:type="pct"/>
                  <w:shd w:val="clear" w:color="auto" w:fill="FFFFFF"/>
                  <w:tcMar>
                    <w:top w:w="0" w:type="dxa"/>
                    <w:left w:w="0" w:type="dxa"/>
                    <w:bottom w:w="0" w:type="dxa"/>
                    <w:right w:w="0" w:type="dxa"/>
                  </w:tcMar>
                  <w:vAlign w:val="center"/>
                </w:tcPr>
                <w:p w14:paraId="648F53B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-10.7</w:t>
                  </w:r>
                </w:p>
              </w:tc>
              <w:tc>
                <w:tcPr>
                  <w:tcW w:w="213" w:type="pct"/>
                  <w:shd w:val="clear" w:color="auto" w:fill="FFFFFF"/>
                  <w:tcMar>
                    <w:top w:w="0" w:type="dxa"/>
                    <w:left w:w="0" w:type="dxa"/>
                    <w:bottom w:w="0" w:type="dxa"/>
                    <w:right w:w="0" w:type="dxa"/>
                  </w:tcMar>
                  <w:vAlign w:val="center"/>
                </w:tcPr>
                <w:p w14:paraId="26B5650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7.2</w:t>
                  </w:r>
                </w:p>
              </w:tc>
              <w:tc>
                <w:tcPr>
                  <w:tcW w:w="226" w:type="pct"/>
                  <w:shd w:val="clear" w:color="auto" w:fill="FFFFFF"/>
                  <w:tcMar>
                    <w:top w:w="0" w:type="dxa"/>
                    <w:left w:w="0" w:type="dxa"/>
                    <w:bottom w:w="0" w:type="dxa"/>
                    <w:right w:w="0" w:type="dxa"/>
                  </w:tcMar>
                  <w:vAlign w:val="center"/>
                </w:tcPr>
                <w:p w14:paraId="0CC5B51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1.2</w:t>
                  </w:r>
                </w:p>
              </w:tc>
              <w:tc>
                <w:tcPr>
                  <w:tcW w:w="175" w:type="pct"/>
                  <w:shd w:val="clear" w:color="auto" w:fill="FFFFFF"/>
                  <w:tcMar>
                    <w:top w:w="0" w:type="dxa"/>
                    <w:left w:w="0" w:type="dxa"/>
                    <w:bottom w:w="0" w:type="dxa"/>
                    <w:right w:w="0" w:type="dxa"/>
                  </w:tcMar>
                  <w:vAlign w:val="center"/>
                </w:tcPr>
                <w:p w14:paraId="57E4DD6A">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41.0</w:t>
                  </w:r>
                </w:p>
              </w:tc>
              <w:tc>
                <w:tcPr>
                  <w:tcW w:w="175" w:type="pct"/>
                  <w:shd w:val="clear" w:color="auto" w:fill="FFFFFF"/>
                  <w:tcMar>
                    <w:top w:w="0" w:type="dxa"/>
                    <w:left w:w="0" w:type="dxa"/>
                    <w:bottom w:w="0" w:type="dxa"/>
                    <w:right w:w="0" w:type="dxa"/>
                  </w:tcMar>
                  <w:vAlign w:val="center"/>
                </w:tcPr>
                <w:p w14:paraId="6E6C9AC4">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82.7</w:t>
                  </w:r>
                </w:p>
              </w:tc>
              <w:tc>
                <w:tcPr>
                  <w:tcW w:w="175" w:type="pct"/>
                  <w:shd w:val="clear" w:color="auto" w:fill="FFFFFF"/>
                  <w:tcMar>
                    <w:top w:w="0" w:type="dxa"/>
                    <w:left w:w="0" w:type="dxa"/>
                    <w:bottom w:w="0" w:type="dxa"/>
                    <w:right w:w="0" w:type="dxa"/>
                  </w:tcMar>
                  <w:vAlign w:val="center"/>
                </w:tcPr>
                <w:p w14:paraId="346F57D3">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21.5</w:t>
                  </w:r>
                </w:p>
              </w:tc>
              <w:tc>
                <w:tcPr>
                  <w:tcW w:w="186" w:type="pct"/>
                  <w:shd w:val="clear" w:color="auto" w:fill="FFFFFF"/>
                  <w:tcMar>
                    <w:top w:w="0" w:type="dxa"/>
                    <w:left w:w="0" w:type="dxa"/>
                    <w:bottom w:w="0" w:type="dxa"/>
                    <w:right w:w="0" w:type="dxa"/>
                  </w:tcMar>
                  <w:vAlign w:val="center"/>
                </w:tcPr>
                <w:p w14:paraId="4C02321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70.9</w:t>
                  </w:r>
                </w:p>
              </w:tc>
              <w:tc>
                <w:tcPr>
                  <w:tcW w:w="175" w:type="pct"/>
                  <w:shd w:val="clear" w:color="auto" w:fill="FFFFFF"/>
                  <w:tcMar>
                    <w:top w:w="0" w:type="dxa"/>
                    <w:left w:w="0" w:type="dxa"/>
                    <w:bottom w:w="0" w:type="dxa"/>
                    <w:right w:w="0" w:type="dxa"/>
                  </w:tcMar>
                  <w:vAlign w:val="center"/>
                </w:tcPr>
                <w:p w14:paraId="57D32A57">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68.2</w:t>
                  </w:r>
                </w:p>
              </w:tc>
              <w:tc>
                <w:tcPr>
                  <w:tcW w:w="175" w:type="pct"/>
                  <w:shd w:val="clear" w:color="auto" w:fill="FFFFFF"/>
                  <w:tcMar>
                    <w:top w:w="0" w:type="dxa"/>
                    <w:left w:w="0" w:type="dxa"/>
                    <w:bottom w:w="0" w:type="dxa"/>
                    <w:right w:w="0" w:type="dxa"/>
                  </w:tcMar>
                  <w:vAlign w:val="center"/>
                </w:tcPr>
                <w:p w14:paraId="637DCD1B">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68.2</w:t>
                  </w:r>
                </w:p>
              </w:tc>
              <w:tc>
                <w:tcPr>
                  <w:tcW w:w="175" w:type="pct"/>
                  <w:shd w:val="clear" w:color="auto" w:fill="FFFFFF"/>
                  <w:tcMar>
                    <w:top w:w="0" w:type="dxa"/>
                    <w:left w:w="0" w:type="dxa"/>
                    <w:bottom w:w="0" w:type="dxa"/>
                    <w:right w:w="0" w:type="dxa"/>
                  </w:tcMar>
                  <w:vAlign w:val="center"/>
                </w:tcPr>
                <w:p w14:paraId="230CE17C">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68.2</w:t>
                  </w:r>
                </w:p>
              </w:tc>
              <w:tc>
                <w:tcPr>
                  <w:tcW w:w="181" w:type="pct"/>
                  <w:shd w:val="clear" w:color="auto" w:fill="FFFFFF"/>
                  <w:tcMar>
                    <w:top w:w="0" w:type="dxa"/>
                    <w:left w:w="0" w:type="dxa"/>
                    <w:bottom w:w="0" w:type="dxa"/>
                    <w:right w:w="0" w:type="dxa"/>
                  </w:tcMar>
                  <w:vAlign w:val="center"/>
                </w:tcPr>
                <w:p w14:paraId="58839F20">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68.2</w:t>
                  </w:r>
                </w:p>
              </w:tc>
              <w:tc>
                <w:tcPr>
                  <w:tcW w:w="197" w:type="pct"/>
                  <w:vMerge w:val="continue"/>
                  <w:shd w:val="clear" w:color="auto" w:fill="FFFFFF"/>
                  <w:tcMar>
                    <w:top w:w="0" w:type="dxa"/>
                    <w:left w:w="0" w:type="dxa"/>
                    <w:bottom w:w="0" w:type="dxa"/>
                    <w:right w:w="0" w:type="dxa"/>
                  </w:tcMar>
                  <w:vAlign w:val="center"/>
                </w:tcPr>
                <w:p w14:paraId="41D21223">
                  <w:pPr>
                    <w:pStyle w:val="6"/>
                    <w:suppressLineNumbers w:val="0"/>
                    <w:bidi w:val="0"/>
                    <w:spacing w:before="0" w:beforeAutospacing="0" w:after="0" w:afterAutospacing="0"/>
                    <w:ind w:left="0" w:right="0"/>
                    <w:rPr>
                      <w:rFonts w:hint="default"/>
                      <w:sz w:val="21"/>
                      <w:szCs w:val="21"/>
                      <w:lang w:val="en-US" w:eastAsia="zh-CN"/>
                    </w:rPr>
                  </w:pPr>
                </w:p>
              </w:tc>
              <w:tc>
                <w:tcPr>
                  <w:tcW w:w="175" w:type="pct"/>
                  <w:shd w:val="clear" w:color="auto" w:fill="FFFFFF"/>
                  <w:tcMar>
                    <w:top w:w="0" w:type="dxa"/>
                    <w:left w:w="0" w:type="dxa"/>
                    <w:bottom w:w="0" w:type="dxa"/>
                    <w:right w:w="0" w:type="dxa"/>
                  </w:tcMar>
                  <w:vAlign w:val="center"/>
                </w:tcPr>
                <w:p w14:paraId="533E78F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702EEE4A">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75" w:type="pct"/>
                  <w:shd w:val="clear" w:color="auto" w:fill="FFFFFF"/>
                  <w:tcMar>
                    <w:top w:w="0" w:type="dxa"/>
                    <w:left w:w="0" w:type="dxa"/>
                    <w:bottom w:w="0" w:type="dxa"/>
                    <w:right w:w="0" w:type="dxa"/>
                  </w:tcMar>
                  <w:vAlign w:val="center"/>
                </w:tcPr>
                <w:p w14:paraId="4A6F5A5B">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2C4C01D5">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26.0</w:t>
                  </w:r>
                </w:p>
              </w:tc>
              <w:tc>
                <w:tcPr>
                  <w:tcW w:w="180" w:type="pct"/>
                  <w:shd w:val="clear" w:color="auto" w:fill="FFFFFF"/>
                  <w:tcMar>
                    <w:top w:w="0" w:type="dxa"/>
                    <w:left w:w="0" w:type="dxa"/>
                    <w:bottom w:w="0" w:type="dxa"/>
                    <w:right w:w="0" w:type="dxa"/>
                  </w:tcMar>
                  <w:vAlign w:val="center"/>
                </w:tcPr>
                <w:p w14:paraId="3B1AD5C2">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42.2</w:t>
                  </w:r>
                </w:p>
              </w:tc>
              <w:tc>
                <w:tcPr>
                  <w:tcW w:w="180" w:type="pct"/>
                  <w:shd w:val="clear" w:color="auto" w:fill="FFFFFF"/>
                  <w:tcMar>
                    <w:top w:w="0" w:type="dxa"/>
                    <w:left w:w="0" w:type="dxa"/>
                    <w:bottom w:w="0" w:type="dxa"/>
                    <w:right w:w="0" w:type="dxa"/>
                  </w:tcMar>
                  <w:vAlign w:val="center"/>
                </w:tcPr>
                <w:p w14:paraId="6AAF9472">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42.2</w:t>
                  </w:r>
                </w:p>
              </w:tc>
              <w:tc>
                <w:tcPr>
                  <w:tcW w:w="180" w:type="pct"/>
                  <w:shd w:val="clear" w:color="auto" w:fill="FFFFFF"/>
                  <w:tcMar>
                    <w:top w:w="0" w:type="dxa"/>
                    <w:left w:w="0" w:type="dxa"/>
                    <w:bottom w:w="0" w:type="dxa"/>
                    <w:right w:w="0" w:type="dxa"/>
                  </w:tcMar>
                  <w:vAlign w:val="center"/>
                </w:tcPr>
                <w:p w14:paraId="698859FD">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42.2</w:t>
                  </w:r>
                </w:p>
              </w:tc>
              <w:tc>
                <w:tcPr>
                  <w:tcW w:w="180" w:type="pct"/>
                  <w:shd w:val="clear" w:color="auto" w:fill="FFFFFF"/>
                  <w:tcMar>
                    <w:top w:w="0" w:type="dxa"/>
                    <w:left w:w="0" w:type="dxa"/>
                    <w:bottom w:w="0" w:type="dxa"/>
                    <w:right w:w="0" w:type="dxa"/>
                  </w:tcMar>
                  <w:vAlign w:val="center"/>
                </w:tcPr>
                <w:p w14:paraId="14BC3A83">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42.2</w:t>
                  </w:r>
                </w:p>
              </w:tc>
              <w:tc>
                <w:tcPr>
                  <w:tcW w:w="188" w:type="pct"/>
                  <w:shd w:val="clear" w:color="auto" w:fill="FFFFFF"/>
                  <w:tcMar>
                    <w:top w:w="0" w:type="dxa"/>
                    <w:left w:w="0" w:type="dxa"/>
                    <w:bottom w:w="0" w:type="dxa"/>
                    <w:right w:w="0" w:type="dxa"/>
                  </w:tcMar>
                  <w:vAlign w:val="center"/>
                </w:tcPr>
                <w:p w14:paraId="2BD4EC71">
                  <w:pPr>
                    <w:pStyle w:val="6"/>
                    <w:suppressLineNumbers w:val="0"/>
                    <w:bidi w:val="0"/>
                    <w:spacing w:before="0" w:beforeAutospacing="0" w:after="0" w:afterAutospacing="0"/>
                    <w:ind w:left="0" w:right="0"/>
                    <w:rPr>
                      <w:rFonts w:hint="default"/>
                      <w:sz w:val="21"/>
                      <w:szCs w:val="21"/>
                      <w:lang w:val="en-US" w:eastAsia="zh-CN"/>
                    </w:rPr>
                  </w:pPr>
                  <w:r>
                    <w:rPr>
                      <w:rFonts w:hint="default"/>
                      <w:sz w:val="21"/>
                      <w:szCs w:val="21"/>
                    </w:rPr>
                    <w:t>1</w:t>
                  </w:r>
                </w:p>
              </w:tc>
            </w:tr>
            <w:bookmarkEnd w:id="1"/>
          </w:tbl>
          <w:p w14:paraId="04E3F818">
            <w:pPr>
              <w:keepNext w:val="0"/>
              <w:keepLines w:val="0"/>
              <w:suppressLineNumbers w:val="0"/>
              <w:adjustRightInd w:val="0"/>
              <w:snapToGrid w:val="0"/>
              <w:spacing w:before="0" w:beforeAutospacing="0" w:after="0" w:afterAutospacing="0" w:line="360" w:lineRule="auto"/>
              <w:ind w:left="0" w:leftChars="0" w:right="0" w:firstLine="0" w:firstLineChars="0"/>
              <w:rPr>
                <w:rFonts w:hint="eastAsia" w:ascii="宋体" w:cs="宋体"/>
                <w:b/>
                <w:color w:val="000000"/>
                <w:kern w:val="0"/>
                <w:sz w:val="28"/>
                <w:szCs w:val="28"/>
                <w:highlight w:val="none"/>
                <w:vertAlign w:val="baseline"/>
              </w:rPr>
            </w:pPr>
          </w:p>
        </w:tc>
      </w:tr>
    </w:tbl>
    <w:p w14:paraId="36A39C17">
      <w:pPr>
        <w:adjustRightInd w:val="0"/>
        <w:snapToGrid w:val="0"/>
        <w:spacing w:line="360" w:lineRule="auto"/>
        <w:rPr>
          <w:rFonts w:hint="eastAsia" w:ascii="宋体" w:eastAsia="宋体" w:cs="宋体"/>
          <w:b/>
          <w:color w:val="000000"/>
          <w:kern w:val="0"/>
          <w:sz w:val="28"/>
          <w:szCs w:val="28"/>
          <w:highlight w:val="none"/>
          <w:lang w:val="en-US" w:eastAsia="zh-CN"/>
        </w:rPr>
        <w:sectPr>
          <w:headerReference r:id="rId9" w:type="default"/>
          <w:pgSz w:w="16840" w:h="11907" w:orient="landscape"/>
          <w:pgMar w:top="1531" w:right="1701" w:bottom="1531" w:left="2127" w:header="851" w:footer="851" w:gutter="0"/>
          <w:pgBorders>
            <w:top w:val="none" w:sz="0" w:space="0"/>
            <w:left w:val="none" w:sz="0" w:space="0"/>
            <w:bottom w:val="none" w:sz="0" w:space="0"/>
            <w:right w:val="none" w:sz="0" w:space="0"/>
          </w:pgBorders>
          <w:pgNumType w:fmt="numberInDash"/>
          <w:cols w:space="720" w:num="1"/>
          <w:docGrid w:linePitch="312" w:charSpace="0"/>
        </w:sect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8411"/>
      </w:tblGrid>
      <w:tr w14:paraId="3F0A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tcPr>
          <w:p w14:paraId="4E320C97">
            <w:pPr>
              <w:keepNext w:val="0"/>
              <w:keepLines w:val="0"/>
              <w:suppressLineNumbers w:val="0"/>
              <w:spacing w:before="0" w:beforeAutospacing="0" w:after="0" w:afterAutospacing="0"/>
              <w:ind w:left="0" w:right="0"/>
              <w:rPr>
                <w:rFonts w:hint="eastAsia"/>
                <w:vertAlign w:val="baseline"/>
              </w:rPr>
            </w:pPr>
          </w:p>
        </w:tc>
        <w:tc>
          <w:tcPr>
            <w:tcW w:w="8411" w:type="dxa"/>
          </w:tcPr>
          <w:p w14:paraId="303A4099">
            <w:pPr>
              <w:keepNext w:val="0"/>
              <w:keepLines w:val="0"/>
              <w:numPr>
                <w:ilvl w:val="0"/>
                <w:numId w:val="0"/>
              </w:numPr>
              <w:suppressLineNumbers w:val="0"/>
              <w:bidi w:val="0"/>
              <w:spacing w:before="0" w:beforeAutospacing="0" w:after="0" w:afterAutospacing="0"/>
              <w:ind w:left="0" w:right="0" w:firstLine="480" w:firstLineChars="200"/>
              <w:rPr>
                <w:rFonts w:hint="default"/>
                <w:lang w:val="en-US" w:eastAsia="zh-CN"/>
              </w:rPr>
            </w:pPr>
            <w:r>
              <w:rPr>
                <w:rFonts w:hint="default" w:ascii="Times New Roman" w:hAnsi="Times New Roman" w:eastAsia="宋体" w:cs="Times New Roman"/>
                <w:kern w:val="2"/>
                <w:sz w:val="24"/>
                <w:szCs w:val="24"/>
                <w:lang w:val="en-US" w:eastAsia="zh-CN" w:bidi="ar-SA"/>
              </w:rPr>
              <w:t>（3）</w:t>
            </w:r>
            <w:r>
              <w:rPr>
                <w:rFonts w:hint="default"/>
                <w:lang w:val="en-US" w:eastAsia="zh-CN"/>
              </w:rPr>
              <w:t>预测结果分析</w:t>
            </w:r>
          </w:p>
          <w:p w14:paraId="72D98056">
            <w:pPr>
              <w:keepNext w:val="0"/>
              <w:keepLines w:val="0"/>
              <w:numPr>
                <w:ilvl w:val="0"/>
                <w:numId w:val="0"/>
              </w:numPr>
              <w:suppressLineNumbers w:val="0"/>
              <w:bidi w:val="0"/>
              <w:spacing w:before="0" w:beforeAutospacing="0" w:after="0" w:afterAutospacing="0"/>
              <w:ind w:left="0" w:right="0" w:firstLine="480" w:firstLineChars="200"/>
              <w:rPr>
                <w:rFonts w:hint="default"/>
                <w:lang w:val="en-US" w:eastAsia="zh-CN"/>
              </w:rPr>
            </w:pPr>
            <w:r>
              <w:rPr>
                <w:rFonts w:hint="default"/>
                <w:lang w:val="en-US" w:eastAsia="zh-CN"/>
              </w:rPr>
              <w:t>通过预测模型计算，项目厂界噪声预测结果与达标分析见表4-</w:t>
            </w:r>
            <w:r>
              <w:rPr>
                <w:rFonts w:hint="eastAsia"/>
                <w:lang w:val="en-US" w:eastAsia="zh-CN"/>
              </w:rPr>
              <w:t>7。</w:t>
            </w:r>
          </w:p>
          <w:p w14:paraId="02C9D818">
            <w:pPr>
              <w:pStyle w:val="5"/>
              <w:suppressLineNumbers w:val="0"/>
              <w:bidi w:val="0"/>
              <w:spacing w:before="0" w:beforeAutospacing="0" w:after="0" w:afterAutospacing="0"/>
              <w:ind w:left="0" w:right="0"/>
              <w:rPr>
                <w:rFonts w:hint="default"/>
                <w:lang w:val="en-US" w:eastAsia="zh-CN"/>
              </w:rPr>
            </w:pPr>
            <w:r>
              <w:rPr>
                <w:rFonts w:hint="default"/>
                <w:lang w:val="en-US" w:eastAsia="zh-CN"/>
              </w:rPr>
              <w:t>表4-</w:t>
            </w:r>
            <w:r>
              <w:rPr>
                <w:rFonts w:hint="eastAsia"/>
                <w:lang w:val="en-US" w:eastAsia="zh-CN"/>
              </w:rPr>
              <w:t>7</w:t>
            </w:r>
            <w:r>
              <w:rPr>
                <w:rFonts w:hint="default"/>
                <w:lang w:val="en-US" w:eastAsia="zh-CN"/>
              </w:rPr>
              <w:t xml:space="preserve">  厂界噪声预测结果与达标分析表</w:t>
            </w:r>
            <w:bookmarkStart w:id="3" w:name="PT_7"/>
          </w:p>
          <w:bookmarkEnd w:id="3"/>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87"/>
              <w:gridCol w:w="787"/>
              <w:gridCol w:w="768"/>
              <w:gridCol w:w="931"/>
              <w:gridCol w:w="1390"/>
              <w:gridCol w:w="1391"/>
              <w:gridCol w:w="1105"/>
            </w:tblGrid>
            <w:tr w14:paraId="5739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1026" w:type="dxa"/>
                  <w:vMerge w:val="restart"/>
                  <w:vAlign w:val="center"/>
                </w:tcPr>
                <w:p w14:paraId="4CBC8B99">
                  <w:pPr>
                    <w:pStyle w:val="6"/>
                    <w:suppressLineNumbers w:val="0"/>
                    <w:bidi w:val="0"/>
                    <w:spacing w:before="0" w:beforeAutospacing="0" w:after="0" w:afterAutospacing="0"/>
                    <w:ind w:left="0" w:right="0"/>
                    <w:rPr>
                      <w:rFonts w:hint="default"/>
                      <w:sz w:val="21"/>
                      <w:szCs w:val="21"/>
                    </w:rPr>
                  </w:pPr>
                  <w:r>
                    <w:rPr>
                      <w:rFonts w:hint="default"/>
                      <w:sz w:val="21"/>
                      <w:szCs w:val="21"/>
                    </w:rPr>
                    <w:t>预测方位</w:t>
                  </w:r>
                </w:p>
              </w:tc>
              <w:tc>
                <w:tcPr>
                  <w:tcW w:w="2342" w:type="dxa"/>
                  <w:gridSpan w:val="3"/>
                  <w:vAlign w:val="center"/>
                </w:tcPr>
                <w:p w14:paraId="00B6B648">
                  <w:pPr>
                    <w:pStyle w:val="6"/>
                    <w:suppressLineNumbers w:val="0"/>
                    <w:bidi w:val="0"/>
                    <w:spacing w:before="0" w:beforeAutospacing="0" w:after="0" w:afterAutospacing="0"/>
                    <w:ind w:left="0" w:right="0"/>
                    <w:rPr>
                      <w:rFonts w:hint="default"/>
                      <w:sz w:val="21"/>
                      <w:szCs w:val="21"/>
                    </w:rPr>
                  </w:pPr>
                  <w:r>
                    <w:rPr>
                      <w:rFonts w:hint="eastAsia"/>
                      <w:sz w:val="21"/>
                      <w:szCs w:val="21"/>
                      <w:lang w:val="en-US" w:eastAsia="zh-CN"/>
                    </w:rPr>
                    <w:t>最大值点</w:t>
                  </w:r>
                  <w:r>
                    <w:rPr>
                      <w:rFonts w:hint="default"/>
                      <w:sz w:val="21"/>
                      <w:szCs w:val="21"/>
                    </w:rPr>
                    <w:t>空间相对位置/m</w:t>
                  </w:r>
                </w:p>
              </w:tc>
              <w:tc>
                <w:tcPr>
                  <w:tcW w:w="931" w:type="dxa"/>
                  <w:vMerge w:val="restart"/>
                  <w:vAlign w:val="center"/>
                </w:tcPr>
                <w:p w14:paraId="74799796">
                  <w:pPr>
                    <w:pStyle w:val="6"/>
                    <w:suppressLineNumbers w:val="0"/>
                    <w:bidi w:val="0"/>
                    <w:spacing w:before="0" w:beforeAutospacing="0" w:after="0" w:afterAutospacing="0"/>
                    <w:ind w:left="0" w:right="0"/>
                    <w:rPr>
                      <w:rFonts w:hint="default"/>
                      <w:sz w:val="21"/>
                      <w:szCs w:val="21"/>
                    </w:rPr>
                  </w:pPr>
                  <w:r>
                    <w:rPr>
                      <w:rFonts w:hint="default"/>
                      <w:sz w:val="21"/>
                      <w:szCs w:val="21"/>
                    </w:rPr>
                    <w:t>时段</w:t>
                  </w:r>
                </w:p>
              </w:tc>
              <w:tc>
                <w:tcPr>
                  <w:tcW w:w="1390" w:type="dxa"/>
                  <w:vMerge w:val="restart"/>
                  <w:vAlign w:val="center"/>
                </w:tcPr>
                <w:p w14:paraId="4F4A2378">
                  <w:pPr>
                    <w:pStyle w:val="6"/>
                    <w:suppressLineNumbers w:val="0"/>
                    <w:bidi w:val="0"/>
                    <w:spacing w:before="0" w:beforeAutospacing="0" w:after="0" w:afterAutospacing="0"/>
                    <w:ind w:left="0" w:right="0"/>
                    <w:rPr>
                      <w:rFonts w:hint="default"/>
                      <w:sz w:val="21"/>
                      <w:szCs w:val="21"/>
                    </w:rPr>
                  </w:pPr>
                  <w:r>
                    <w:rPr>
                      <w:rFonts w:hint="eastAsia"/>
                      <w:sz w:val="21"/>
                      <w:szCs w:val="21"/>
                    </w:rPr>
                    <w:t>贡献值</w:t>
                  </w:r>
                  <w:r>
                    <w:rPr>
                      <w:rFonts w:hint="default"/>
                      <w:sz w:val="21"/>
                      <w:szCs w:val="21"/>
                    </w:rPr>
                    <w:t>（dB(A)）</w:t>
                  </w:r>
                </w:p>
              </w:tc>
              <w:tc>
                <w:tcPr>
                  <w:tcW w:w="1391" w:type="dxa"/>
                  <w:vMerge w:val="restart"/>
                  <w:vAlign w:val="center"/>
                </w:tcPr>
                <w:p w14:paraId="5FCA18C6">
                  <w:pPr>
                    <w:pStyle w:val="6"/>
                    <w:suppressLineNumbers w:val="0"/>
                    <w:bidi w:val="0"/>
                    <w:spacing w:before="0" w:beforeAutospacing="0" w:after="0" w:afterAutospacing="0"/>
                    <w:ind w:left="0" w:right="0"/>
                    <w:rPr>
                      <w:rFonts w:hint="default"/>
                      <w:sz w:val="21"/>
                      <w:szCs w:val="21"/>
                    </w:rPr>
                  </w:pPr>
                  <w:r>
                    <w:rPr>
                      <w:rFonts w:hint="default"/>
                      <w:sz w:val="21"/>
                      <w:szCs w:val="21"/>
                    </w:rPr>
                    <w:t>标准限值（dB(A)）</w:t>
                  </w:r>
                </w:p>
              </w:tc>
              <w:tc>
                <w:tcPr>
                  <w:tcW w:w="1105" w:type="dxa"/>
                  <w:vMerge w:val="restart"/>
                  <w:vAlign w:val="center"/>
                </w:tcPr>
                <w:p w14:paraId="1E61E4A4">
                  <w:pPr>
                    <w:pStyle w:val="6"/>
                    <w:suppressLineNumbers w:val="0"/>
                    <w:bidi w:val="0"/>
                    <w:spacing w:before="0" w:beforeAutospacing="0" w:after="0" w:afterAutospacing="0"/>
                    <w:ind w:left="0" w:right="0"/>
                    <w:rPr>
                      <w:rFonts w:hint="default"/>
                      <w:sz w:val="21"/>
                      <w:szCs w:val="21"/>
                    </w:rPr>
                  </w:pPr>
                  <w:r>
                    <w:rPr>
                      <w:rFonts w:hint="default"/>
                      <w:sz w:val="21"/>
                      <w:szCs w:val="21"/>
                    </w:rPr>
                    <w:t>达标情况</w:t>
                  </w:r>
                </w:p>
              </w:tc>
            </w:tr>
            <w:tr w14:paraId="41C6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26" w:type="dxa"/>
                  <w:vMerge w:val="continue"/>
                  <w:shd w:val="clear" w:color="auto" w:fill="FFFFFF"/>
                  <w:vAlign w:val="center"/>
                </w:tcPr>
                <w:p w14:paraId="55632AF8">
                  <w:pPr>
                    <w:pStyle w:val="6"/>
                    <w:suppressLineNumbers w:val="0"/>
                    <w:bidi w:val="0"/>
                    <w:spacing w:before="0" w:beforeAutospacing="0" w:after="0" w:afterAutospacing="0"/>
                    <w:ind w:left="0" w:right="0"/>
                    <w:rPr>
                      <w:rFonts w:hint="default"/>
                      <w:sz w:val="21"/>
                      <w:szCs w:val="21"/>
                    </w:rPr>
                  </w:pPr>
                </w:p>
              </w:tc>
              <w:tc>
                <w:tcPr>
                  <w:tcW w:w="787" w:type="dxa"/>
                  <w:shd w:val="clear" w:color="auto" w:fill="FFFFFF"/>
                  <w:vAlign w:val="center"/>
                </w:tcPr>
                <w:p w14:paraId="43E9EF7C">
                  <w:pPr>
                    <w:pStyle w:val="6"/>
                    <w:suppressLineNumbers w:val="0"/>
                    <w:bidi w:val="0"/>
                    <w:spacing w:before="0" w:beforeAutospacing="0" w:after="0" w:afterAutospacing="0"/>
                    <w:ind w:left="0" w:right="0"/>
                    <w:rPr>
                      <w:rFonts w:hint="default"/>
                      <w:sz w:val="21"/>
                      <w:szCs w:val="21"/>
                    </w:rPr>
                  </w:pPr>
                  <w:r>
                    <w:rPr>
                      <w:rFonts w:hint="default"/>
                      <w:sz w:val="21"/>
                      <w:szCs w:val="21"/>
                    </w:rPr>
                    <w:t>X</w:t>
                  </w:r>
                </w:p>
              </w:tc>
              <w:tc>
                <w:tcPr>
                  <w:tcW w:w="787" w:type="dxa"/>
                  <w:shd w:val="clear" w:color="auto" w:fill="FFFFFF"/>
                  <w:vAlign w:val="center"/>
                </w:tcPr>
                <w:p w14:paraId="60F06801">
                  <w:pPr>
                    <w:pStyle w:val="6"/>
                    <w:suppressLineNumbers w:val="0"/>
                    <w:bidi w:val="0"/>
                    <w:spacing w:before="0" w:beforeAutospacing="0" w:after="0" w:afterAutospacing="0"/>
                    <w:ind w:left="0" w:right="0"/>
                    <w:rPr>
                      <w:rFonts w:hint="default"/>
                      <w:sz w:val="21"/>
                      <w:szCs w:val="21"/>
                    </w:rPr>
                  </w:pPr>
                  <w:r>
                    <w:rPr>
                      <w:rFonts w:hint="default"/>
                      <w:sz w:val="21"/>
                      <w:szCs w:val="21"/>
                    </w:rPr>
                    <w:t>Y</w:t>
                  </w:r>
                </w:p>
              </w:tc>
              <w:tc>
                <w:tcPr>
                  <w:tcW w:w="768" w:type="dxa"/>
                  <w:shd w:val="clear" w:color="auto" w:fill="FFFFFF"/>
                  <w:vAlign w:val="center"/>
                </w:tcPr>
                <w:p w14:paraId="38976440">
                  <w:pPr>
                    <w:pStyle w:val="6"/>
                    <w:suppressLineNumbers w:val="0"/>
                    <w:bidi w:val="0"/>
                    <w:spacing w:before="0" w:beforeAutospacing="0" w:after="0" w:afterAutospacing="0"/>
                    <w:ind w:left="0" w:right="0"/>
                    <w:rPr>
                      <w:rFonts w:hint="default"/>
                      <w:sz w:val="21"/>
                      <w:szCs w:val="21"/>
                    </w:rPr>
                  </w:pPr>
                  <w:r>
                    <w:rPr>
                      <w:rFonts w:hint="default"/>
                      <w:sz w:val="21"/>
                      <w:szCs w:val="21"/>
                    </w:rPr>
                    <w:t>Z</w:t>
                  </w:r>
                </w:p>
              </w:tc>
              <w:tc>
                <w:tcPr>
                  <w:tcW w:w="931" w:type="dxa"/>
                  <w:vMerge w:val="continue"/>
                  <w:shd w:val="clear" w:color="auto" w:fill="FFFFFF"/>
                  <w:vAlign w:val="center"/>
                </w:tcPr>
                <w:p w14:paraId="1E8C2FD8">
                  <w:pPr>
                    <w:pStyle w:val="6"/>
                    <w:suppressLineNumbers w:val="0"/>
                    <w:bidi w:val="0"/>
                    <w:spacing w:before="0" w:beforeAutospacing="0" w:after="0" w:afterAutospacing="0"/>
                    <w:ind w:left="0" w:right="0"/>
                    <w:rPr>
                      <w:rFonts w:hint="default"/>
                      <w:sz w:val="21"/>
                      <w:szCs w:val="21"/>
                    </w:rPr>
                  </w:pPr>
                </w:p>
              </w:tc>
              <w:tc>
                <w:tcPr>
                  <w:tcW w:w="1390" w:type="dxa"/>
                  <w:vMerge w:val="continue"/>
                  <w:shd w:val="clear" w:color="auto" w:fill="FFFFFF"/>
                  <w:vAlign w:val="center"/>
                </w:tcPr>
                <w:p w14:paraId="14954275">
                  <w:pPr>
                    <w:pStyle w:val="6"/>
                    <w:suppressLineNumbers w:val="0"/>
                    <w:bidi w:val="0"/>
                    <w:spacing w:before="0" w:beforeAutospacing="0" w:after="0" w:afterAutospacing="0"/>
                    <w:ind w:left="0" w:right="0"/>
                    <w:rPr>
                      <w:rFonts w:hint="default"/>
                      <w:sz w:val="21"/>
                      <w:szCs w:val="21"/>
                    </w:rPr>
                  </w:pPr>
                </w:p>
              </w:tc>
              <w:tc>
                <w:tcPr>
                  <w:tcW w:w="1391" w:type="dxa"/>
                  <w:vMerge w:val="continue"/>
                  <w:shd w:val="clear" w:color="auto" w:fill="FFFFFF"/>
                  <w:vAlign w:val="center"/>
                </w:tcPr>
                <w:p w14:paraId="767A5112">
                  <w:pPr>
                    <w:pStyle w:val="6"/>
                    <w:suppressLineNumbers w:val="0"/>
                    <w:bidi w:val="0"/>
                    <w:spacing w:before="0" w:beforeAutospacing="0" w:after="0" w:afterAutospacing="0"/>
                    <w:ind w:left="0" w:right="0"/>
                    <w:rPr>
                      <w:rFonts w:hint="default"/>
                      <w:sz w:val="21"/>
                      <w:szCs w:val="21"/>
                    </w:rPr>
                  </w:pPr>
                </w:p>
              </w:tc>
              <w:tc>
                <w:tcPr>
                  <w:tcW w:w="1105" w:type="dxa"/>
                  <w:vMerge w:val="continue"/>
                  <w:shd w:val="clear" w:color="auto" w:fill="FFFFFF"/>
                  <w:vAlign w:val="center"/>
                </w:tcPr>
                <w:p w14:paraId="4827CF85">
                  <w:pPr>
                    <w:pStyle w:val="6"/>
                    <w:suppressLineNumbers w:val="0"/>
                    <w:bidi w:val="0"/>
                    <w:spacing w:before="0" w:beforeAutospacing="0" w:after="0" w:afterAutospacing="0"/>
                    <w:ind w:left="0" w:right="0"/>
                    <w:rPr>
                      <w:rFonts w:hint="default"/>
                      <w:sz w:val="21"/>
                      <w:szCs w:val="21"/>
                    </w:rPr>
                  </w:pPr>
                </w:p>
              </w:tc>
            </w:tr>
            <w:tr w14:paraId="437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6" w:hRule="exact"/>
                <w:jc w:val="center"/>
              </w:trPr>
              <w:tc>
                <w:tcPr>
                  <w:tcW w:w="1026" w:type="dxa"/>
                  <w:vMerge w:val="restart"/>
                  <w:shd w:val="clear" w:color="auto" w:fill="FFFFFF"/>
                  <w:vAlign w:val="center"/>
                </w:tcPr>
                <w:p w14:paraId="06E0CDD6">
                  <w:pPr>
                    <w:pStyle w:val="6"/>
                    <w:suppressLineNumbers w:val="0"/>
                    <w:bidi w:val="0"/>
                    <w:spacing w:before="0" w:beforeAutospacing="0" w:after="0" w:afterAutospacing="0"/>
                    <w:ind w:left="0" w:right="0"/>
                    <w:rPr>
                      <w:rFonts w:hint="default"/>
                      <w:sz w:val="21"/>
                      <w:szCs w:val="21"/>
                    </w:rPr>
                  </w:pPr>
                  <w:r>
                    <w:rPr>
                      <w:rFonts w:hint="default"/>
                      <w:sz w:val="21"/>
                      <w:szCs w:val="21"/>
                    </w:rPr>
                    <w:t>东侧</w:t>
                  </w:r>
                </w:p>
              </w:tc>
              <w:tc>
                <w:tcPr>
                  <w:tcW w:w="787" w:type="dxa"/>
                  <w:shd w:val="clear" w:color="auto" w:fill="FFFFFF"/>
                  <w:vAlign w:val="center"/>
                </w:tcPr>
                <w:p w14:paraId="53927BED">
                  <w:pPr>
                    <w:pStyle w:val="6"/>
                    <w:suppressLineNumbers w:val="0"/>
                    <w:bidi w:val="0"/>
                    <w:spacing w:before="0" w:beforeAutospacing="0" w:after="0" w:afterAutospacing="0"/>
                    <w:ind w:left="0" w:right="0"/>
                    <w:rPr>
                      <w:rFonts w:hint="default"/>
                      <w:sz w:val="21"/>
                      <w:szCs w:val="21"/>
                    </w:rPr>
                  </w:pPr>
                  <w:r>
                    <w:rPr>
                      <w:rFonts w:hint="default"/>
                      <w:sz w:val="21"/>
                      <w:szCs w:val="21"/>
                    </w:rPr>
                    <w:t>31.6</w:t>
                  </w:r>
                </w:p>
              </w:tc>
              <w:tc>
                <w:tcPr>
                  <w:tcW w:w="787" w:type="dxa"/>
                  <w:shd w:val="clear" w:color="auto" w:fill="FFFFFF"/>
                  <w:vAlign w:val="center"/>
                </w:tcPr>
                <w:p w14:paraId="40CFE72E">
                  <w:pPr>
                    <w:pStyle w:val="6"/>
                    <w:suppressLineNumbers w:val="0"/>
                    <w:bidi w:val="0"/>
                    <w:spacing w:before="0" w:beforeAutospacing="0" w:after="0" w:afterAutospacing="0"/>
                    <w:ind w:left="0" w:right="0"/>
                    <w:rPr>
                      <w:rFonts w:hint="default"/>
                      <w:sz w:val="21"/>
                      <w:szCs w:val="21"/>
                    </w:rPr>
                  </w:pPr>
                  <w:r>
                    <w:rPr>
                      <w:rFonts w:hint="default"/>
                      <w:sz w:val="21"/>
                      <w:szCs w:val="21"/>
                    </w:rPr>
                    <w:t>6.7</w:t>
                  </w:r>
                </w:p>
              </w:tc>
              <w:tc>
                <w:tcPr>
                  <w:tcW w:w="768" w:type="dxa"/>
                  <w:shd w:val="clear" w:color="auto" w:fill="FFFFFF"/>
                  <w:vAlign w:val="center"/>
                </w:tcPr>
                <w:p w14:paraId="1E027C5C">
                  <w:pPr>
                    <w:pStyle w:val="6"/>
                    <w:suppressLineNumbers w:val="0"/>
                    <w:bidi w:val="0"/>
                    <w:spacing w:before="0" w:beforeAutospacing="0" w:after="0" w:afterAutospacing="0"/>
                    <w:ind w:left="0" w:right="0"/>
                    <w:rPr>
                      <w:rFonts w:hint="default"/>
                      <w:sz w:val="21"/>
                      <w:szCs w:val="21"/>
                    </w:rPr>
                  </w:pPr>
                  <w:r>
                    <w:rPr>
                      <w:rFonts w:hint="default"/>
                      <w:sz w:val="21"/>
                      <w:szCs w:val="21"/>
                    </w:rPr>
                    <w:t>1.2</w:t>
                  </w:r>
                </w:p>
              </w:tc>
              <w:tc>
                <w:tcPr>
                  <w:tcW w:w="931" w:type="dxa"/>
                  <w:shd w:val="clear" w:color="auto" w:fill="FFFFFF"/>
                  <w:vAlign w:val="center"/>
                </w:tcPr>
                <w:p w14:paraId="1CB14DEB">
                  <w:pPr>
                    <w:pStyle w:val="6"/>
                    <w:suppressLineNumbers w:val="0"/>
                    <w:bidi w:val="0"/>
                    <w:spacing w:before="0" w:beforeAutospacing="0" w:after="0" w:afterAutospacing="0"/>
                    <w:ind w:left="0" w:right="0"/>
                    <w:rPr>
                      <w:rFonts w:hint="default"/>
                      <w:sz w:val="21"/>
                      <w:szCs w:val="21"/>
                    </w:rPr>
                  </w:pPr>
                  <w:r>
                    <w:rPr>
                      <w:rFonts w:hint="default"/>
                      <w:sz w:val="21"/>
                      <w:szCs w:val="21"/>
                    </w:rPr>
                    <w:t>昼间</w:t>
                  </w:r>
                </w:p>
              </w:tc>
              <w:tc>
                <w:tcPr>
                  <w:tcW w:w="1390" w:type="dxa"/>
                  <w:shd w:val="clear" w:color="auto" w:fill="FFFFFF"/>
                  <w:vAlign w:val="center"/>
                </w:tcPr>
                <w:p w14:paraId="270F3D3F">
                  <w:pPr>
                    <w:pStyle w:val="6"/>
                    <w:suppressLineNumbers w:val="0"/>
                    <w:bidi w:val="0"/>
                    <w:spacing w:before="0" w:beforeAutospacing="0" w:after="0" w:afterAutospacing="0"/>
                    <w:ind w:left="0" w:right="0"/>
                    <w:rPr>
                      <w:rFonts w:hint="default"/>
                      <w:sz w:val="21"/>
                      <w:szCs w:val="21"/>
                    </w:rPr>
                  </w:pPr>
                  <w:r>
                    <w:rPr>
                      <w:rFonts w:hint="default"/>
                      <w:sz w:val="21"/>
                      <w:szCs w:val="21"/>
                    </w:rPr>
                    <w:t>43.8</w:t>
                  </w:r>
                </w:p>
              </w:tc>
              <w:tc>
                <w:tcPr>
                  <w:tcW w:w="1391" w:type="dxa"/>
                  <w:shd w:val="clear" w:color="auto" w:fill="FFFFFF"/>
                  <w:vAlign w:val="center"/>
                </w:tcPr>
                <w:p w14:paraId="27DBDE59">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60</w:t>
                  </w:r>
                </w:p>
              </w:tc>
              <w:tc>
                <w:tcPr>
                  <w:tcW w:w="1105" w:type="dxa"/>
                  <w:shd w:val="clear" w:color="auto" w:fill="FFFFFF"/>
                  <w:vAlign w:val="center"/>
                </w:tcPr>
                <w:p w14:paraId="7FEF10F6">
                  <w:pPr>
                    <w:pStyle w:val="6"/>
                    <w:suppressLineNumbers w:val="0"/>
                    <w:bidi w:val="0"/>
                    <w:spacing w:before="0" w:beforeAutospacing="0" w:after="0" w:afterAutospacing="0"/>
                    <w:ind w:left="0" w:right="0"/>
                    <w:rPr>
                      <w:rFonts w:hint="default"/>
                      <w:sz w:val="21"/>
                      <w:szCs w:val="21"/>
                    </w:rPr>
                  </w:pPr>
                  <w:r>
                    <w:rPr>
                      <w:rFonts w:hint="default"/>
                      <w:sz w:val="21"/>
                      <w:szCs w:val="21"/>
                    </w:rPr>
                    <w:t>达标</w:t>
                  </w:r>
                </w:p>
              </w:tc>
            </w:tr>
            <w:tr w14:paraId="32E1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39" w:hRule="exact"/>
                <w:jc w:val="center"/>
              </w:trPr>
              <w:tc>
                <w:tcPr>
                  <w:tcW w:w="1026" w:type="dxa"/>
                  <w:vMerge w:val="restart"/>
                  <w:shd w:val="clear" w:color="auto" w:fill="FFFFFF"/>
                  <w:vAlign w:val="center"/>
                </w:tcPr>
                <w:p w14:paraId="4F0F52D0">
                  <w:pPr>
                    <w:pStyle w:val="6"/>
                    <w:suppressLineNumbers w:val="0"/>
                    <w:bidi w:val="0"/>
                    <w:spacing w:before="0" w:beforeAutospacing="0" w:after="0" w:afterAutospacing="0"/>
                    <w:ind w:left="0" w:right="0"/>
                    <w:rPr>
                      <w:rFonts w:hint="default"/>
                      <w:sz w:val="21"/>
                      <w:szCs w:val="21"/>
                    </w:rPr>
                  </w:pPr>
                  <w:r>
                    <w:rPr>
                      <w:rFonts w:hint="default"/>
                      <w:sz w:val="21"/>
                      <w:szCs w:val="21"/>
                    </w:rPr>
                    <w:t>南侧</w:t>
                  </w:r>
                </w:p>
              </w:tc>
              <w:tc>
                <w:tcPr>
                  <w:tcW w:w="787" w:type="dxa"/>
                  <w:shd w:val="clear" w:color="auto" w:fill="FFFFFF"/>
                  <w:vAlign w:val="center"/>
                </w:tcPr>
                <w:p w14:paraId="584A3E19">
                  <w:pPr>
                    <w:pStyle w:val="6"/>
                    <w:suppressLineNumbers w:val="0"/>
                    <w:bidi w:val="0"/>
                    <w:spacing w:before="0" w:beforeAutospacing="0" w:after="0" w:afterAutospacing="0"/>
                    <w:ind w:left="0" w:right="0"/>
                    <w:rPr>
                      <w:rFonts w:hint="default"/>
                      <w:sz w:val="21"/>
                      <w:szCs w:val="21"/>
                    </w:rPr>
                  </w:pPr>
                  <w:r>
                    <w:rPr>
                      <w:rFonts w:hint="default"/>
                      <w:sz w:val="21"/>
                      <w:szCs w:val="21"/>
                    </w:rPr>
                    <w:t>-12.4</w:t>
                  </w:r>
                </w:p>
              </w:tc>
              <w:tc>
                <w:tcPr>
                  <w:tcW w:w="787" w:type="dxa"/>
                  <w:shd w:val="clear" w:color="auto" w:fill="FFFFFF"/>
                  <w:vAlign w:val="center"/>
                </w:tcPr>
                <w:p w14:paraId="3A48FFFE">
                  <w:pPr>
                    <w:pStyle w:val="6"/>
                    <w:suppressLineNumbers w:val="0"/>
                    <w:bidi w:val="0"/>
                    <w:spacing w:before="0" w:beforeAutospacing="0" w:after="0" w:afterAutospacing="0"/>
                    <w:ind w:left="0" w:right="0"/>
                    <w:rPr>
                      <w:rFonts w:hint="default"/>
                      <w:sz w:val="21"/>
                      <w:szCs w:val="21"/>
                    </w:rPr>
                  </w:pPr>
                  <w:r>
                    <w:rPr>
                      <w:rFonts w:hint="default"/>
                      <w:sz w:val="21"/>
                      <w:szCs w:val="21"/>
                    </w:rPr>
                    <w:t>-78.3</w:t>
                  </w:r>
                </w:p>
              </w:tc>
              <w:tc>
                <w:tcPr>
                  <w:tcW w:w="768" w:type="dxa"/>
                  <w:shd w:val="clear" w:color="auto" w:fill="FFFFFF"/>
                  <w:vAlign w:val="center"/>
                </w:tcPr>
                <w:p w14:paraId="51361E06">
                  <w:pPr>
                    <w:pStyle w:val="6"/>
                    <w:suppressLineNumbers w:val="0"/>
                    <w:bidi w:val="0"/>
                    <w:spacing w:before="0" w:beforeAutospacing="0" w:after="0" w:afterAutospacing="0"/>
                    <w:ind w:left="0" w:right="0"/>
                    <w:rPr>
                      <w:rFonts w:hint="default"/>
                      <w:sz w:val="21"/>
                      <w:szCs w:val="21"/>
                    </w:rPr>
                  </w:pPr>
                  <w:r>
                    <w:rPr>
                      <w:rFonts w:hint="default"/>
                      <w:sz w:val="21"/>
                      <w:szCs w:val="21"/>
                    </w:rPr>
                    <w:t>1.2</w:t>
                  </w:r>
                </w:p>
              </w:tc>
              <w:tc>
                <w:tcPr>
                  <w:tcW w:w="931" w:type="dxa"/>
                  <w:shd w:val="clear" w:color="auto" w:fill="FFFFFF"/>
                  <w:vAlign w:val="center"/>
                </w:tcPr>
                <w:p w14:paraId="45D8006E">
                  <w:pPr>
                    <w:pStyle w:val="6"/>
                    <w:suppressLineNumbers w:val="0"/>
                    <w:bidi w:val="0"/>
                    <w:spacing w:before="0" w:beforeAutospacing="0" w:after="0" w:afterAutospacing="0"/>
                    <w:ind w:left="0" w:right="0"/>
                    <w:rPr>
                      <w:rFonts w:hint="default"/>
                      <w:sz w:val="21"/>
                      <w:szCs w:val="21"/>
                    </w:rPr>
                  </w:pPr>
                  <w:r>
                    <w:rPr>
                      <w:rFonts w:hint="default"/>
                      <w:sz w:val="21"/>
                      <w:szCs w:val="21"/>
                    </w:rPr>
                    <w:t>昼间</w:t>
                  </w:r>
                </w:p>
              </w:tc>
              <w:tc>
                <w:tcPr>
                  <w:tcW w:w="1390" w:type="dxa"/>
                  <w:shd w:val="clear" w:color="auto" w:fill="FFFFFF"/>
                  <w:vAlign w:val="center"/>
                </w:tcPr>
                <w:p w14:paraId="5F367669">
                  <w:pPr>
                    <w:pStyle w:val="6"/>
                    <w:suppressLineNumbers w:val="0"/>
                    <w:bidi w:val="0"/>
                    <w:spacing w:before="0" w:beforeAutospacing="0" w:after="0" w:afterAutospacing="0"/>
                    <w:ind w:left="0" w:right="0"/>
                    <w:rPr>
                      <w:rFonts w:hint="default"/>
                      <w:sz w:val="21"/>
                      <w:szCs w:val="21"/>
                    </w:rPr>
                  </w:pPr>
                  <w:r>
                    <w:rPr>
                      <w:rFonts w:hint="default"/>
                      <w:sz w:val="21"/>
                      <w:szCs w:val="21"/>
                    </w:rPr>
                    <w:t>38.6</w:t>
                  </w:r>
                </w:p>
              </w:tc>
              <w:tc>
                <w:tcPr>
                  <w:tcW w:w="1391" w:type="dxa"/>
                  <w:shd w:val="clear" w:color="auto" w:fill="FFFFFF"/>
                  <w:vAlign w:val="center"/>
                </w:tcPr>
                <w:p w14:paraId="2638A1D4">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60</w:t>
                  </w:r>
                </w:p>
              </w:tc>
              <w:tc>
                <w:tcPr>
                  <w:tcW w:w="1105" w:type="dxa"/>
                  <w:shd w:val="clear" w:color="auto" w:fill="FFFFFF"/>
                  <w:vAlign w:val="center"/>
                </w:tcPr>
                <w:p w14:paraId="34CAFF69">
                  <w:pPr>
                    <w:pStyle w:val="6"/>
                    <w:suppressLineNumbers w:val="0"/>
                    <w:bidi w:val="0"/>
                    <w:spacing w:before="0" w:beforeAutospacing="0" w:after="0" w:afterAutospacing="0"/>
                    <w:ind w:left="0" w:right="0"/>
                    <w:rPr>
                      <w:rFonts w:hint="default"/>
                      <w:sz w:val="21"/>
                      <w:szCs w:val="21"/>
                    </w:rPr>
                  </w:pPr>
                  <w:r>
                    <w:rPr>
                      <w:rFonts w:hint="default"/>
                      <w:sz w:val="21"/>
                      <w:szCs w:val="21"/>
                    </w:rPr>
                    <w:t>达标</w:t>
                  </w:r>
                </w:p>
              </w:tc>
            </w:tr>
            <w:tr w14:paraId="71BA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40" w:hRule="exact"/>
                <w:jc w:val="center"/>
              </w:trPr>
              <w:tc>
                <w:tcPr>
                  <w:tcW w:w="1026" w:type="dxa"/>
                  <w:vMerge w:val="restart"/>
                  <w:shd w:val="clear" w:color="auto" w:fill="FFFFFF"/>
                  <w:vAlign w:val="center"/>
                </w:tcPr>
                <w:p w14:paraId="4DC03E64">
                  <w:pPr>
                    <w:pStyle w:val="6"/>
                    <w:suppressLineNumbers w:val="0"/>
                    <w:bidi w:val="0"/>
                    <w:spacing w:before="0" w:beforeAutospacing="0" w:after="0" w:afterAutospacing="0"/>
                    <w:ind w:left="0" w:right="0"/>
                    <w:rPr>
                      <w:rFonts w:hint="default"/>
                      <w:sz w:val="21"/>
                      <w:szCs w:val="21"/>
                    </w:rPr>
                  </w:pPr>
                  <w:r>
                    <w:rPr>
                      <w:rFonts w:hint="default"/>
                      <w:sz w:val="21"/>
                      <w:szCs w:val="21"/>
                    </w:rPr>
                    <w:t>西侧</w:t>
                  </w:r>
                </w:p>
              </w:tc>
              <w:tc>
                <w:tcPr>
                  <w:tcW w:w="787" w:type="dxa"/>
                  <w:shd w:val="clear" w:color="auto" w:fill="FFFFFF"/>
                  <w:vAlign w:val="center"/>
                </w:tcPr>
                <w:p w14:paraId="4D39B3F1">
                  <w:pPr>
                    <w:pStyle w:val="6"/>
                    <w:suppressLineNumbers w:val="0"/>
                    <w:bidi w:val="0"/>
                    <w:spacing w:before="0" w:beforeAutospacing="0" w:after="0" w:afterAutospacing="0"/>
                    <w:ind w:left="0" w:right="0"/>
                    <w:rPr>
                      <w:rFonts w:hint="default"/>
                      <w:sz w:val="21"/>
                      <w:szCs w:val="21"/>
                    </w:rPr>
                  </w:pPr>
                  <w:r>
                    <w:rPr>
                      <w:rFonts w:hint="default"/>
                      <w:sz w:val="21"/>
                      <w:szCs w:val="21"/>
                    </w:rPr>
                    <w:t>-0.8</w:t>
                  </w:r>
                </w:p>
              </w:tc>
              <w:tc>
                <w:tcPr>
                  <w:tcW w:w="787" w:type="dxa"/>
                  <w:shd w:val="clear" w:color="auto" w:fill="FFFFFF"/>
                  <w:vAlign w:val="center"/>
                </w:tcPr>
                <w:p w14:paraId="399DC583">
                  <w:pPr>
                    <w:pStyle w:val="6"/>
                    <w:suppressLineNumbers w:val="0"/>
                    <w:bidi w:val="0"/>
                    <w:spacing w:before="0" w:beforeAutospacing="0" w:after="0" w:afterAutospacing="0"/>
                    <w:ind w:left="0" w:right="0"/>
                    <w:rPr>
                      <w:rFonts w:hint="default"/>
                      <w:sz w:val="21"/>
                      <w:szCs w:val="21"/>
                    </w:rPr>
                  </w:pPr>
                  <w:r>
                    <w:rPr>
                      <w:rFonts w:hint="default"/>
                      <w:sz w:val="21"/>
                      <w:szCs w:val="21"/>
                    </w:rPr>
                    <w:t>-2.2</w:t>
                  </w:r>
                </w:p>
              </w:tc>
              <w:tc>
                <w:tcPr>
                  <w:tcW w:w="768" w:type="dxa"/>
                  <w:shd w:val="clear" w:color="auto" w:fill="FFFFFF"/>
                  <w:vAlign w:val="center"/>
                </w:tcPr>
                <w:p w14:paraId="0F0E77BC">
                  <w:pPr>
                    <w:pStyle w:val="6"/>
                    <w:suppressLineNumbers w:val="0"/>
                    <w:bidi w:val="0"/>
                    <w:spacing w:before="0" w:beforeAutospacing="0" w:after="0" w:afterAutospacing="0"/>
                    <w:ind w:left="0" w:right="0"/>
                    <w:rPr>
                      <w:rFonts w:hint="default"/>
                      <w:sz w:val="21"/>
                      <w:szCs w:val="21"/>
                    </w:rPr>
                  </w:pPr>
                  <w:r>
                    <w:rPr>
                      <w:rFonts w:hint="default"/>
                      <w:sz w:val="21"/>
                      <w:szCs w:val="21"/>
                    </w:rPr>
                    <w:t>1.2</w:t>
                  </w:r>
                </w:p>
              </w:tc>
              <w:tc>
                <w:tcPr>
                  <w:tcW w:w="931" w:type="dxa"/>
                  <w:shd w:val="clear" w:color="auto" w:fill="FFFFFF"/>
                  <w:vAlign w:val="center"/>
                </w:tcPr>
                <w:p w14:paraId="2E5BCC36">
                  <w:pPr>
                    <w:pStyle w:val="6"/>
                    <w:suppressLineNumbers w:val="0"/>
                    <w:bidi w:val="0"/>
                    <w:spacing w:before="0" w:beforeAutospacing="0" w:after="0" w:afterAutospacing="0"/>
                    <w:ind w:left="0" w:right="0"/>
                    <w:rPr>
                      <w:rFonts w:hint="default"/>
                      <w:sz w:val="21"/>
                      <w:szCs w:val="21"/>
                    </w:rPr>
                  </w:pPr>
                  <w:r>
                    <w:rPr>
                      <w:rFonts w:hint="default"/>
                      <w:sz w:val="21"/>
                      <w:szCs w:val="21"/>
                    </w:rPr>
                    <w:t>昼间</w:t>
                  </w:r>
                </w:p>
              </w:tc>
              <w:tc>
                <w:tcPr>
                  <w:tcW w:w="1390" w:type="dxa"/>
                  <w:shd w:val="clear" w:color="auto" w:fill="FFFFFF"/>
                  <w:vAlign w:val="center"/>
                </w:tcPr>
                <w:p w14:paraId="2E27B02A">
                  <w:pPr>
                    <w:pStyle w:val="6"/>
                    <w:suppressLineNumbers w:val="0"/>
                    <w:bidi w:val="0"/>
                    <w:spacing w:before="0" w:beforeAutospacing="0" w:after="0" w:afterAutospacing="0"/>
                    <w:ind w:left="0" w:right="0"/>
                    <w:rPr>
                      <w:rFonts w:hint="default"/>
                      <w:sz w:val="21"/>
                      <w:szCs w:val="21"/>
                    </w:rPr>
                  </w:pPr>
                  <w:r>
                    <w:rPr>
                      <w:rFonts w:hint="default"/>
                      <w:sz w:val="21"/>
                      <w:szCs w:val="21"/>
                    </w:rPr>
                    <w:t>47.8</w:t>
                  </w:r>
                </w:p>
              </w:tc>
              <w:tc>
                <w:tcPr>
                  <w:tcW w:w="1391" w:type="dxa"/>
                  <w:shd w:val="clear" w:color="auto" w:fill="FFFFFF"/>
                  <w:vAlign w:val="center"/>
                </w:tcPr>
                <w:p w14:paraId="2F98C20C">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60</w:t>
                  </w:r>
                </w:p>
              </w:tc>
              <w:tc>
                <w:tcPr>
                  <w:tcW w:w="1105" w:type="dxa"/>
                  <w:shd w:val="clear" w:color="auto" w:fill="FFFFFF"/>
                  <w:vAlign w:val="center"/>
                </w:tcPr>
                <w:p w14:paraId="1D8221D4">
                  <w:pPr>
                    <w:pStyle w:val="6"/>
                    <w:suppressLineNumbers w:val="0"/>
                    <w:bidi w:val="0"/>
                    <w:spacing w:before="0" w:beforeAutospacing="0" w:after="0" w:afterAutospacing="0"/>
                    <w:ind w:left="0" w:right="0"/>
                    <w:rPr>
                      <w:rFonts w:hint="default"/>
                      <w:sz w:val="21"/>
                      <w:szCs w:val="21"/>
                    </w:rPr>
                  </w:pPr>
                  <w:r>
                    <w:rPr>
                      <w:rFonts w:hint="default"/>
                      <w:sz w:val="21"/>
                      <w:szCs w:val="21"/>
                    </w:rPr>
                    <w:t>达标</w:t>
                  </w:r>
                </w:p>
              </w:tc>
            </w:tr>
            <w:tr w14:paraId="7FB0D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93" w:hRule="exact"/>
                <w:jc w:val="center"/>
              </w:trPr>
              <w:tc>
                <w:tcPr>
                  <w:tcW w:w="1026" w:type="dxa"/>
                  <w:shd w:val="clear" w:color="auto" w:fill="FFFFFF"/>
                  <w:vAlign w:val="center"/>
                </w:tcPr>
                <w:p w14:paraId="27E20A0C">
                  <w:pPr>
                    <w:pStyle w:val="6"/>
                    <w:suppressLineNumbers w:val="0"/>
                    <w:bidi w:val="0"/>
                    <w:spacing w:before="0" w:beforeAutospacing="0" w:after="0" w:afterAutospacing="0"/>
                    <w:ind w:left="0" w:right="0"/>
                    <w:rPr>
                      <w:rFonts w:hint="default"/>
                      <w:sz w:val="21"/>
                      <w:szCs w:val="21"/>
                    </w:rPr>
                  </w:pPr>
                  <w:r>
                    <w:rPr>
                      <w:rFonts w:hint="default"/>
                      <w:sz w:val="21"/>
                      <w:szCs w:val="21"/>
                    </w:rPr>
                    <w:t>北侧</w:t>
                  </w:r>
                </w:p>
              </w:tc>
              <w:tc>
                <w:tcPr>
                  <w:tcW w:w="787" w:type="dxa"/>
                  <w:shd w:val="clear" w:color="auto" w:fill="FFFFFF"/>
                  <w:vAlign w:val="center"/>
                </w:tcPr>
                <w:p w14:paraId="642C6C93">
                  <w:pPr>
                    <w:pStyle w:val="6"/>
                    <w:suppressLineNumbers w:val="0"/>
                    <w:bidi w:val="0"/>
                    <w:spacing w:before="0" w:beforeAutospacing="0" w:after="0" w:afterAutospacing="0"/>
                    <w:ind w:left="0" w:right="0"/>
                    <w:rPr>
                      <w:rFonts w:hint="default"/>
                      <w:sz w:val="21"/>
                      <w:szCs w:val="21"/>
                    </w:rPr>
                  </w:pPr>
                  <w:r>
                    <w:rPr>
                      <w:rFonts w:hint="default"/>
                      <w:sz w:val="21"/>
                      <w:szCs w:val="21"/>
                    </w:rPr>
                    <w:t>3</w:t>
                  </w:r>
                </w:p>
              </w:tc>
              <w:tc>
                <w:tcPr>
                  <w:tcW w:w="787" w:type="dxa"/>
                  <w:shd w:val="clear" w:color="auto" w:fill="FFFFFF"/>
                  <w:vAlign w:val="center"/>
                </w:tcPr>
                <w:p w14:paraId="34108B5B">
                  <w:pPr>
                    <w:pStyle w:val="6"/>
                    <w:suppressLineNumbers w:val="0"/>
                    <w:bidi w:val="0"/>
                    <w:spacing w:before="0" w:beforeAutospacing="0" w:after="0" w:afterAutospacing="0"/>
                    <w:ind w:left="0" w:right="0"/>
                    <w:rPr>
                      <w:rFonts w:hint="default"/>
                      <w:sz w:val="21"/>
                      <w:szCs w:val="21"/>
                    </w:rPr>
                  </w:pPr>
                  <w:r>
                    <w:rPr>
                      <w:rFonts w:hint="default"/>
                      <w:sz w:val="21"/>
                      <w:szCs w:val="21"/>
                    </w:rPr>
                    <w:t>8.5</w:t>
                  </w:r>
                </w:p>
              </w:tc>
              <w:tc>
                <w:tcPr>
                  <w:tcW w:w="768" w:type="dxa"/>
                  <w:shd w:val="clear" w:color="auto" w:fill="FFFFFF"/>
                  <w:vAlign w:val="center"/>
                </w:tcPr>
                <w:p w14:paraId="557A1698">
                  <w:pPr>
                    <w:pStyle w:val="6"/>
                    <w:suppressLineNumbers w:val="0"/>
                    <w:bidi w:val="0"/>
                    <w:spacing w:before="0" w:beforeAutospacing="0" w:after="0" w:afterAutospacing="0"/>
                    <w:ind w:left="0" w:right="0"/>
                    <w:rPr>
                      <w:rFonts w:hint="default"/>
                      <w:sz w:val="21"/>
                      <w:szCs w:val="21"/>
                    </w:rPr>
                  </w:pPr>
                  <w:r>
                    <w:rPr>
                      <w:rFonts w:hint="default"/>
                      <w:sz w:val="21"/>
                      <w:szCs w:val="21"/>
                    </w:rPr>
                    <w:t>1.2</w:t>
                  </w:r>
                </w:p>
              </w:tc>
              <w:tc>
                <w:tcPr>
                  <w:tcW w:w="931" w:type="dxa"/>
                  <w:shd w:val="clear" w:color="auto" w:fill="FFFFFF"/>
                  <w:vAlign w:val="center"/>
                </w:tcPr>
                <w:p w14:paraId="7752B385">
                  <w:pPr>
                    <w:pStyle w:val="6"/>
                    <w:suppressLineNumbers w:val="0"/>
                    <w:bidi w:val="0"/>
                    <w:spacing w:before="0" w:beforeAutospacing="0" w:after="0" w:afterAutospacing="0"/>
                    <w:ind w:left="0" w:right="0"/>
                    <w:rPr>
                      <w:rFonts w:hint="default"/>
                      <w:sz w:val="21"/>
                      <w:szCs w:val="21"/>
                    </w:rPr>
                  </w:pPr>
                  <w:r>
                    <w:rPr>
                      <w:rFonts w:hint="default"/>
                      <w:sz w:val="21"/>
                      <w:szCs w:val="21"/>
                    </w:rPr>
                    <w:t>昼间</w:t>
                  </w:r>
                </w:p>
              </w:tc>
              <w:tc>
                <w:tcPr>
                  <w:tcW w:w="1390" w:type="dxa"/>
                  <w:shd w:val="clear" w:color="auto" w:fill="FFFFFF"/>
                  <w:vAlign w:val="center"/>
                </w:tcPr>
                <w:p w14:paraId="58020B3C">
                  <w:pPr>
                    <w:pStyle w:val="6"/>
                    <w:suppressLineNumbers w:val="0"/>
                    <w:bidi w:val="0"/>
                    <w:spacing w:before="0" w:beforeAutospacing="0" w:after="0" w:afterAutospacing="0"/>
                    <w:ind w:left="0" w:right="0"/>
                    <w:rPr>
                      <w:rFonts w:hint="default"/>
                      <w:sz w:val="21"/>
                      <w:szCs w:val="21"/>
                    </w:rPr>
                  </w:pPr>
                  <w:r>
                    <w:rPr>
                      <w:rFonts w:hint="default"/>
                      <w:sz w:val="21"/>
                      <w:szCs w:val="21"/>
                    </w:rPr>
                    <w:t>48.5</w:t>
                  </w:r>
                </w:p>
              </w:tc>
              <w:tc>
                <w:tcPr>
                  <w:tcW w:w="1391" w:type="dxa"/>
                  <w:shd w:val="clear" w:color="auto" w:fill="FFFFFF"/>
                  <w:vAlign w:val="center"/>
                </w:tcPr>
                <w:p w14:paraId="0D4DDB26">
                  <w:pPr>
                    <w:pStyle w:val="6"/>
                    <w:suppressLineNumbers w:val="0"/>
                    <w:bidi w:val="0"/>
                    <w:spacing w:before="0" w:beforeAutospacing="0" w:after="0" w:afterAutospacing="0"/>
                    <w:ind w:left="0" w:right="0"/>
                    <w:rPr>
                      <w:rFonts w:hint="default" w:eastAsia="宋体"/>
                      <w:sz w:val="21"/>
                      <w:szCs w:val="21"/>
                      <w:lang w:val="en-US" w:eastAsia="zh-CN"/>
                    </w:rPr>
                  </w:pPr>
                  <w:r>
                    <w:rPr>
                      <w:rFonts w:hint="eastAsia"/>
                      <w:sz w:val="21"/>
                      <w:szCs w:val="21"/>
                      <w:lang w:val="en-US" w:eastAsia="zh-CN"/>
                    </w:rPr>
                    <w:t>60</w:t>
                  </w:r>
                </w:p>
              </w:tc>
              <w:tc>
                <w:tcPr>
                  <w:tcW w:w="1105" w:type="dxa"/>
                  <w:shd w:val="clear" w:color="auto" w:fill="FFFFFF"/>
                  <w:vAlign w:val="center"/>
                </w:tcPr>
                <w:p w14:paraId="4BD7692E">
                  <w:pPr>
                    <w:pStyle w:val="6"/>
                    <w:suppressLineNumbers w:val="0"/>
                    <w:bidi w:val="0"/>
                    <w:spacing w:before="0" w:beforeAutospacing="0" w:after="0" w:afterAutospacing="0"/>
                    <w:ind w:left="0" w:right="0"/>
                    <w:rPr>
                      <w:rFonts w:hint="default"/>
                      <w:sz w:val="21"/>
                      <w:szCs w:val="21"/>
                    </w:rPr>
                  </w:pPr>
                  <w:r>
                    <w:rPr>
                      <w:rFonts w:hint="default"/>
                      <w:sz w:val="21"/>
                      <w:szCs w:val="21"/>
                    </w:rPr>
                    <w:t>达标</w:t>
                  </w:r>
                </w:p>
              </w:tc>
            </w:tr>
          </w:tbl>
          <w:p w14:paraId="55953116">
            <w:pPr>
              <w:keepNext w:val="0"/>
              <w:keepLines w:val="0"/>
              <w:suppressLineNumbers w:val="0"/>
              <w:bidi w:val="0"/>
              <w:spacing w:before="0" w:beforeAutospacing="0" w:after="0" w:afterAutospacing="0"/>
              <w:ind w:left="0" w:right="0"/>
              <w:rPr>
                <w:rFonts w:hint="default"/>
                <w:sz w:val="21"/>
                <w:szCs w:val="21"/>
                <w:highlight w:val="yellow"/>
                <w:lang w:val="en-US" w:eastAsia="zh-CN"/>
              </w:rPr>
            </w:pPr>
            <w:r>
              <w:rPr>
                <w:rFonts w:hint="default"/>
                <w:sz w:val="21"/>
                <w:szCs w:val="21"/>
                <w:highlight w:val="none"/>
                <w:lang w:val="en-US" w:eastAsia="zh-CN"/>
              </w:rPr>
              <w:t>表中坐标以厂界中心（</w:t>
            </w:r>
            <w:bookmarkStart w:id="4" w:name="PO_8"/>
            <w:r>
              <w:rPr>
                <w:rFonts w:hint="eastAsia"/>
                <w:sz w:val="21"/>
                <w:szCs w:val="21"/>
                <w:highlight w:val="none"/>
                <w:lang w:val="en-US" w:eastAsia="zh-CN"/>
              </w:rPr>
              <w:t>E</w:t>
            </w:r>
            <w:r>
              <w:rPr>
                <w:rFonts w:hint="default"/>
                <w:sz w:val="21"/>
                <w:szCs w:val="21"/>
                <w:highlight w:val="none"/>
                <w:lang w:val="en-US" w:eastAsia="zh-CN"/>
              </w:rPr>
              <w:t>86.3191223,</w:t>
            </w:r>
            <w:r>
              <w:rPr>
                <w:rFonts w:hint="eastAsia"/>
                <w:sz w:val="21"/>
                <w:szCs w:val="21"/>
                <w:highlight w:val="none"/>
                <w:lang w:val="en-US" w:eastAsia="zh-CN"/>
              </w:rPr>
              <w:t>N</w:t>
            </w:r>
            <w:r>
              <w:rPr>
                <w:rFonts w:hint="default"/>
                <w:sz w:val="21"/>
                <w:szCs w:val="21"/>
                <w:highlight w:val="none"/>
                <w:lang w:val="en-US" w:eastAsia="zh-CN"/>
              </w:rPr>
              <w:t>42.344234</w:t>
            </w:r>
            <w:bookmarkEnd w:id="4"/>
            <w:r>
              <w:rPr>
                <w:rFonts w:hint="default"/>
                <w:sz w:val="21"/>
                <w:szCs w:val="21"/>
                <w:highlight w:val="none"/>
                <w:lang w:val="en-US" w:eastAsia="zh-CN"/>
              </w:rPr>
              <w:t>）为坐标原点，正东向为X轴正方向，正北向为Y轴正方向。</w:t>
            </w:r>
          </w:p>
          <w:p w14:paraId="736A0661">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由上表可知，正常工况下，项目昼间厂界噪声贡献值满足《工业企业厂界环境噪声排放标准》（GB12348-2008）</w:t>
            </w:r>
            <w:r>
              <w:rPr>
                <w:rFonts w:hint="eastAsia"/>
                <w:highlight w:val="none"/>
                <w:lang w:val="en-US" w:eastAsia="zh-CN"/>
              </w:rPr>
              <w:t>2</w:t>
            </w:r>
            <w:r>
              <w:rPr>
                <w:rFonts w:hint="default"/>
                <w:highlight w:val="none"/>
                <w:lang w:val="en-US" w:eastAsia="zh-CN"/>
              </w:rPr>
              <w:t>类标准(夜间不生产)。</w:t>
            </w:r>
          </w:p>
          <w:p w14:paraId="5FC27541">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（4）</w:t>
            </w:r>
            <w:r>
              <w:rPr>
                <w:rFonts w:hint="default"/>
                <w:lang w:val="en-US" w:eastAsia="zh-CN"/>
              </w:rPr>
              <w:t>本环评要求采取以下措施：</w:t>
            </w:r>
          </w:p>
          <w:p w14:paraId="7B3ADBEB">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①</w:t>
            </w:r>
            <w:r>
              <w:rPr>
                <w:rFonts w:hint="default"/>
                <w:lang w:val="en-US" w:eastAsia="zh-CN"/>
              </w:rPr>
              <w:t>在设备的选型中要注意选用低噪声的设备，以降低声源噪声。</w:t>
            </w:r>
          </w:p>
          <w:p w14:paraId="4A417962">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②</w:t>
            </w:r>
            <w:r>
              <w:rPr>
                <w:rFonts w:hint="default"/>
                <w:lang w:val="en-US" w:eastAsia="zh-CN"/>
              </w:rPr>
              <w:t>在总图布局上根据工艺流程要求，尽可能将高噪设备集中，还应根据高噪声设备所在位置，充分利用噪声的指向性，利用建筑物的阻隔效应，科学布置以保证厂界噪声达标。</w:t>
            </w:r>
          </w:p>
          <w:p w14:paraId="001E8681">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③</w:t>
            </w:r>
            <w:r>
              <w:rPr>
                <w:rFonts w:hint="default"/>
                <w:lang w:val="en-US" w:eastAsia="zh-CN"/>
              </w:rPr>
              <w:t>对高噪声设备采用基础减振、建筑隔声等措施，以降低噪声。</w:t>
            </w:r>
          </w:p>
          <w:p w14:paraId="5987C96F">
            <w:pPr>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④</w:t>
            </w:r>
            <w:r>
              <w:rPr>
                <w:rFonts w:hint="default"/>
                <w:lang w:val="en-US" w:eastAsia="zh-CN"/>
              </w:rPr>
              <w:t>加强管理，经常对产噪设备的性能进行检查，保持设备平衡，以减少振动的产生，平时要对防噪设施经常维护，确保其发挥正常功能。</w:t>
            </w:r>
          </w:p>
          <w:p w14:paraId="783D9D3F">
            <w:pPr>
              <w:pStyle w:val="4"/>
              <w:keepNext w:val="0"/>
              <w:keepLines w:val="0"/>
              <w:suppressLineNumbers w:val="0"/>
              <w:bidi w:val="0"/>
              <w:spacing w:before="0" w:beforeAutospacing="0" w:after="0" w:afterAutospacing="0"/>
              <w:ind w:left="0" w:right="0"/>
              <w:rPr>
                <w:rFonts w:hint="default"/>
              </w:rPr>
            </w:pPr>
            <w:r>
              <w:rPr>
                <w:rFonts w:hint="default"/>
                <w:lang w:val="en-US" w:eastAsia="zh-CN"/>
              </w:rPr>
              <w:t>3.2</w:t>
            </w:r>
            <w:r>
              <w:rPr>
                <w:rFonts w:hint="eastAsia"/>
                <w:lang w:val="en-US" w:eastAsia="zh-CN"/>
              </w:rPr>
              <w:t xml:space="preserve"> </w:t>
            </w:r>
            <w:r>
              <w:rPr>
                <w:rFonts w:hint="default"/>
              </w:rPr>
              <w:t>监测要求</w:t>
            </w:r>
          </w:p>
          <w:p w14:paraId="5E9255EB">
            <w:pPr>
              <w:keepNext w:val="0"/>
              <w:keepLines w:val="0"/>
              <w:suppressLineNumbers w:val="0"/>
              <w:bidi w:val="0"/>
              <w:spacing w:before="0" w:beforeAutospacing="0" w:after="0" w:afterAutospacing="0"/>
              <w:ind w:left="0" w:right="0"/>
              <w:rPr>
                <w:rFonts w:hint="default"/>
              </w:rPr>
            </w:pPr>
            <w:r>
              <w:rPr>
                <w:rFonts w:hint="default"/>
              </w:rPr>
              <w:t>为保障运营期间各污染物排放达标，建设单位应定期开展污染物排放监测，本项目噪声监测内容及执行标准见</w:t>
            </w:r>
            <w:r>
              <w:rPr>
                <w:rFonts w:hint="eastAsia"/>
                <w:lang w:val="en-US" w:eastAsia="zh-CN"/>
              </w:rPr>
              <w:t>下</w:t>
            </w:r>
            <w:r>
              <w:rPr>
                <w:rFonts w:hint="default"/>
              </w:rPr>
              <w:t>表。</w:t>
            </w:r>
          </w:p>
          <w:p w14:paraId="5BD3169C">
            <w:pPr>
              <w:pStyle w:val="5"/>
              <w:suppressLineNumbers w:val="0"/>
              <w:bidi w:val="0"/>
              <w:spacing w:before="0" w:beforeAutospacing="0" w:after="0" w:afterAutospacing="0"/>
              <w:ind w:left="0" w:right="0"/>
              <w:rPr>
                <w:rFonts w:hint="default"/>
              </w:rPr>
            </w:pPr>
            <w:r>
              <w:rPr>
                <w:rFonts w:hint="default"/>
              </w:rPr>
              <w:t>表</w:t>
            </w:r>
            <w:r>
              <w:rPr>
                <w:rFonts w:hint="eastAsia"/>
                <w:lang w:val="en-US" w:eastAsia="zh-CN"/>
              </w:rPr>
              <w:t>4-8</w:t>
            </w:r>
            <w:r>
              <w:rPr>
                <w:rFonts w:hint="default"/>
                <w:lang w:val="en-US" w:eastAsia="zh-CN"/>
              </w:rPr>
              <w:t xml:space="preserve">  </w:t>
            </w:r>
            <w:r>
              <w:rPr>
                <w:rFonts w:hint="default"/>
              </w:rPr>
              <w:t>运营期噪声监测一览表</w:t>
            </w:r>
          </w:p>
          <w:tbl>
            <w:tblPr>
              <w:tblStyle w:val="33"/>
              <w:tblW w:w="4998"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49"/>
              <w:gridCol w:w="1117"/>
              <w:gridCol w:w="1133"/>
              <w:gridCol w:w="1117"/>
              <w:gridCol w:w="3666"/>
            </w:tblGrid>
            <w:tr w14:paraId="60E24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2" w:type="pct"/>
                  <w:noWrap/>
                  <w:vAlign w:val="center"/>
                </w:tcPr>
                <w:p w14:paraId="2A923868">
                  <w:pPr>
                    <w:pStyle w:val="7"/>
                    <w:keepNext w:val="0"/>
                    <w:keepLines w:val="0"/>
                    <w:suppressLineNumbers w:val="0"/>
                    <w:bidi w:val="0"/>
                    <w:spacing w:before="0" w:beforeAutospacing="0" w:after="0" w:afterAutospacing="0"/>
                    <w:ind w:left="0" w:right="0"/>
                    <w:rPr>
                      <w:rFonts w:hint="default"/>
                    </w:rPr>
                  </w:pPr>
                  <w:r>
                    <w:rPr>
                      <w:rFonts w:hint="default"/>
                    </w:rPr>
                    <w:t>环境要素</w:t>
                  </w:r>
                </w:p>
              </w:tc>
              <w:tc>
                <w:tcPr>
                  <w:tcW w:w="682" w:type="pct"/>
                  <w:noWrap/>
                  <w:vAlign w:val="center"/>
                </w:tcPr>
                <w:p w14:paraId="00510083">
                  <w:pPr>
                    <w:pStyle w:val="7"/>
                    <w:keepNext w:val="0"/>
                    <w:keepLines w:val="0"/>
                    <w:suppressLineNumbers w:val="0"/>
                    <w:bidi w:val="0"/>
                    <w:spacing w:before="0" w:beforeAutospacing="0" w:after="0" w:afterAutospacing="0"/>
                    <w:ind w:left="0" w:right="0"/>
                    <w:rPr>
                      <w:rFonts w:hint="default"/>
                    </w:rPr>
                  </w:pPr>
                  <w:r>
                    <w:rPr>
                      <w:rFonts w:hint="default"/>
                    </w:rPr>
                    <w:t>监测内容</w:t>
                  </w:r>
                </w:p>
              </w:tc>
              <w:tc>
                <w:tcPr>
                  <w:tcW w:w="692" w:type="pct"/>
                  <w:noWrap/>
                  <w:vAlign w:val="center"/>
                </w:tcPr>
                <w:p w14:paraId="3C8A7EC8">
                  <w:pPr>
                    <w:pStyle w:val="7"/>
                    <w:keepNext w:val="0"/>
                    <w:keepLines w:val="0"/>
                    <w:suppressLineNumbers w:val="0"/>
                    <w:bidi w:val="0"/>
                    <w:spacing w:before="0" w:beforeAutospacing="0" w:after="0" w:afterAutospacing="0"/>
                    <w:ind w:left="0" w:right="0"/>
                    <w:rPr>
                      <w:rFonts w:hint="default"/>
                    </w:rPr>
                  </w:pPr>
                  <w:r>
                    <w:rPr>
                      <w:rFonts w:hint="default"/>
                    </w:rPr>
                    <w:t>监测点位</w:t>
                  </w:r>
                </w:p>
              </w:tc>
              <w:tc>
                <w:tcPr>
                  <w:tcW w:w="682" w:type="pct"/>
                  <w:noWrap w:val="0"/>
                  <w:vAlign w:val="center"/>
                </w:tcPr>
                <w:p w14:paraId="0D304427">
                  <w:pPr>
                    <w:pStyle w:val="7"/>
                    <w:keepNext w:val="0"/>
                    <w:keepLines w:val="0"/>
                    <w:suppressLineNumbers w:val="0"/>
                    <w:bidi w:val="0"/>
                    <w:spacing w:before="0" w:beforeAutospacing="0" w:after="0" w:afterAutospacing="0"/>
                    <w:ind w:left="0" w:right="0"/>
                    <w:rPr>
                      <w:rFonts w:hint="default"/>
                    </w:rPr>
                  </w:pPr>
                  <w:r>
                    <w:rPr>
                      <w:rFonts w:hint="default"/>
                    </w:rPr>
                    <w:t>监测频次</w:t>
                  </w:r>
                </w:p>
              </w:tc>
              <w:tc>
                <w:tcPr>
                  <w:tcW w:w="2240" w:type="pct"/>
                  <w:noWrap w:val="0"/>
                  <w:vAlign w:val="center"/>
                </w:tcPr>
                <w:p w14:paraId="6A0468A5">
                  <w:pPr>
                    <w:pStyle w:val="7"/>
                    <w:keepNext w:val="0"/>
                    <w:keepLines w:val="0"/>
                    <w:suppressLineNumbers w:val="0"/>
                    <w:bidi w:val="0"/>
                    <w:spacing w:before="0" w:beforeAutospacing="0" w:after="0" w:afterAutospacing="0"/>
                    <w:ind w:left="0" w:right="0"/>
                    <w:rPr>
                      <w:rFonts w:hint="default"/>
                    </w:rPr>
                  </w:pPr>
                  <w:r>
                    <w:rPr>
                      <w:rFonts w:hint="default"/>
                    </w:rPr>
                    <w:t>执行标准</w:t>
                  </w:r>
                </w:p>
              </w:tc>
            </w:tr>
            <w:tr w14:paraId="635FC7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02" w:type="pct"/>
                  <w:noWrap/>
                  <w:vAlign w:val="center"/>
                </w:tcPr>
                <w:p w14:paraId="46CB8645">
                  <w:pPr>
                    <w:pStyle w:val="7"/>
                    <w:keepNext w:val="0"/>
                    <w:keepLines w:val="0"/>
                    <w:suppressLineNumbers w:val="0"/>
                    <w:bidi w:val="0"/>
                    <w:spacing w:before="0" w:beforeAutospacing="0" w:after="0" w:afterAutospacing="0"/>
                    <w:ind w:left="0" w:right="0"/>
                    <w:rPr>
                      <w:rFonts w:hint="default"/>
                    </w:rPr>
                  </w:pPr>
                  <w:r>
                    <w:rPr>
                      <w:rFonts w:hint="default"/>
                    </w:rPr>
                    <w:t>噪声</w:t>
                  </w:r>
                </w:p>
              </w:tc>
              <w:tc>
                <w:tcPr>
                  <w:tcW w:w="682" w:type="pct"/>
                  <w:noWrap/>
                  <w:vAlign w:val="center"/>
                </w:tcPr>
                <w:p w14:paraId="0E4BB665">
                  <w:pPr>
                    <w:pStyle w:val="7"/>
                    <w:keepNext w:val="0"/>
                    <w:keepLines w:val="0"/>
                    <w:suppressLineNumbers w:val="0"/>
                    <w:bidi w:val="0"/>
                    <w:spacing w:before="0" w:beforeAutospacing="0" w:after="0" w:afterAutospacing="0"/>
                    <w:ind w:left="0" w:right="0"/>
                    <w:rPr>
                      <w:rFonts w:hint="default"/>
                    </w:rPr>
                  </w:pPr>
                  <w:r>
                    <w:rPr>
                      <w:rFonts w:hint="default"/>
                    </w:rPr>
                    <w:t>厂界噪声</w:t>
                  </w:r>
                </w:p>
              </w:tc>
              <w:tc>
                <w:tcPr>
                  <w:tcW w:w="692" w:type="pct"/>
                  <w:noWrap/>
                  <w:vAlign w:val="center"/>
                </w:tcPr>
                <w:p w14:paraId="59954A94">
                  <w:pPr>
                    <w:pStyle w:val="7"/>
                    <w:keepNext w:val="0"/>
                    <w:keepLines w:val="0"/>
                    <w:suppressLineNumbers w:val="0"/>
                    <w:bidi w:val="0"/>
                    <w:spacing w:before="0" w:beforeAutospacing="0" w:after="0" w:afterAutospacing="0"/>
                    <w:ind w:left="0" w:right="0"/>
                    <w:rPr>
                      <w:rFonts w:hint="default"/>
                    </w:rPr>
                  </w:pPr>
                  <w:r>
                    <w:rPr>
                      <w:rFonts w:hint="default"/>
                    </w:rPr>
                    <w:t>厂区边界外1m</w:t>
                  </w:r>
                </w:p>
              </w:tc>
              <w:tc>
                <w:tcPr>
                  <w:tcW w:w="682" w:type="pct"/>
                  <w:noWrap w:val="0"/>
                  <w:vAlign w:val="center"/>
                </w:tcPr>
                <w:p w14:paraId="5AF6208B">
                  <w:pPr>
                    <w:pStyle w:val="7"/>
                    <w:keepNext w:val="0"/>
                    <w:keepLines w:val="0"/>
                    <w:suppressLineNumbers w:val="0"/>
                    <w:bidi w:val="0"/>
                    <w:spacing w:before="0" w:beforeAutospacing="0" w:after="0" w:afterAutospacing="0"/>
                    <w:ind w:left="0" w:right="0"/>
                    <w:rPr>
                      <w:rFonts w:hint="default"/>
                    </w:rPr>
                  </w:pPr>
                  <w:r>
                    <w:rPr>
                      <w:rFonts w:hint="default"/>
                    </w:rPr>
                    <w:t>1次/</w:t>
                  </w:r>
                  <w:r>
                    <w:rPr>
                      <w:rFonts w:hint="default"/>
                      <w:lang w:eastAsia="zh-CN"/>
                    </w:rPr>
                    <w:t>季度</w:t>
                  </w:r>
                </w:p>
              </w:tc>
              <w:tc>
                <w:tcPr>
                  <w:tcW w:w="2240" w:type="pct"/>
                  <w:noWrap w:val="0"/>
                  <w:vAlign w:val="center"/>
                </w:tcPr>
                <w:p w14:paraId="23315E7E">
                  <w:pPr>
                    <w:pStyle w:val="7"/>
                    <w:keepNext w:val="0"/>
                    <w:keepLines w:val="0"/>
                    <w:suppressLineNumbers w:val="0"/>
                    <w:bidi w:val="0"/>
                    <w:spacing w:before="0" w:beforeAutospacing="0" w:after="0" w:afterAutospacing="0"/>
                    <w:ind w:left="0" w:right="0"/>
                    <w:rPr>
                      <w:rFonts w:hint="default"/>
                    </w:rPr>
                  </w:pPr>
                  <w:r>
                    <w:rPr>
                      <w:rFonts w:hint="default"/>
                    </w:rPr>
                    <w:t>《工业企业厂界环境噪声排放标准》（GB12348-2008）中的</w:t>
                  </w:r>
                  <w:r>
                    <w:rPr>
                      <w:rFonts w:hint="eastAsia"/>
                      <w:lang w:val="en-US" w:eastAsia="zh-CN"/>
                    </w:rPr>
                    <w:t>2</w:t>
                  </w:r>
                  <w:r>
                    <w:rPr>
                      <w:rFonts w:hint="default"/>
                    </w:rPr>
                    <w:t>类声环境功能区</w:t>
                  </w:r>
                </w:p>
              </w:tc>
            </w:tr>
          </w:tbl>
          <w:p w14:paraId="2B82851E">
            <w:pPr>
              <w:pStyle w:val="3"/>
              <w:keepLines w:val="0"/>
              <w:suppressLineNumbers w:val="0"/>
              <w:bidi w:val="0"/>
              <w:spacing w:before="0" w:beforeAutospacing="0" w:after="0" w:afterAutospacing="0"/>
              <w:ind w:right="0"/>
              <w:rPr>
                <w:rFonts w:hint="default"/>
              </w:rPr>
            </w:pPr>
            <w:r>
              <w:rPr>
                <w:rFonts w:hint="default"/>
              </w:rPr>
              <w:t>4</w:t>
            </w:r>
            <w:r>
              <w:rPr>
                <w:rFonts w:hint="eastAsia"/>
                <w:lang w:val="en-US" w:eastAsia="zh-CN"/>
              </w:rPr>
              <w:t xml:space="preserve"> </w:t>
            </w:r>
            <w:r>
              <w:rPr>
                <w:rFonts w:hint="default"/>
              </w:rPr>
              <w:t>固废</w:t>
            </w:r>
          </w:p>
          <w:p w14:paraId="0EC7F94A">
            <w:pPr>
              <w:pStyle w:val="4"/>
              <w:keepNext w:val="0"/>
              <w:keepLines w:val="0"/>
              <w:suppressLineNumbers w:val="0"/>
              <w:bidi w:val="0"/>
              <w:spacing w:before="0" w:beforeAutospacing="0" w:after="0" w:afterAutospacing="0"/>
              <w:ind w:left="0" w:right="0"/>
              <w:rPr>
                <w:rFonts w:hint="default"/>
              </w:rPr>
            </w:pPr>
            <w:r>
              <w:rPr>
                <w:rFonts w:hint="default"/>
              </w:rPr>
              <w:t>4.1</w:t>
            </w:r>
            <w:r>
              <w:rPr>
                <w:rFonts w:hint="eastAsia"/>
                <w:lang w:val="en-US" w:eastAsia="zh-CN"/>
              </w:rPr>
              <w:t xml:space="preserve"> </w:t>
            </w:r>
            <w:r>
              <w:rPr>
                <w:rFonts w:hint="default"/>
              </w:rPr>
              <w:t>固体废物产生</w:t>
            </w:r>
          </w:p>
          <w:p w14:paraId="3F4216BB">
            <w:pPr>
              <w:keepNext w:val="0"/>
              <w:keepLines w:val="0"/>
              <w:suppressLineNumbers w:val="0"/>
              <w:bidi w:val="0"/>
              <w:spacing w:before="0" w:beforeAutospacing="0" w:after="0" w:afterAutospacing="0"/>
              <w:ind w:left="0" w:right="0"/>
              <w:rPr>
                <w:rFonts w:hint="default"/>
              </w:rPr>
            </w:pPr>
            <w:r>
              <w:rPr>
                <w:rFonts w:hint="default"/>
              </w:rPr>
              <w:t>本项目固废主要为生产过程中产生的废包装桶、</w:t>
            </w:r>
            <w:r>
              <w:rPr>
                <w:rFonts w:hint="eastAsia"/>
                <w:lang w:val="en-US" w:eastAsia="zh-CN"/>
              </w:rPr>
              <w:t>各除尘器收集的粉尘</w:t>
            </w:r>
            <w:r>
              <w:rPr>
                <w:rFonts w:hint="default"/>
              </w:rPr>
              <w:t>、混凝土残渣</w:t>
            </w:r>
            <w:r>
              <w:rPr>
                <w:rFonts w:hint="default"/>
                <w:lang w:eastAsia="zh-CN"/>
              </w:rPr>
              <w:t>、</w:t>
            </w:r>
            <w:r>
              <w:rPr>
                <w:rFonts w:hint="default"/>
                <w:lang w:val="en-US" w:eastAsia="zh-CN"/>
              </w:rPr>
              <w:t>废布袋、废滤芯、</w:t>
            </w:r>
            <w:r>
              <w:rPr>
                <w:rFonts w:hint="default"/>
              </w:rPr>
              <w:t>生活垃圾</w:t>
            </w:r>
            <w:r>
              <w:rPr>
                <w:rFonts w:hint="eastAsia"/>
                <w:lang w:val="en-US" w:eastAsia="zh-CN"/>
              </w:rPr>
              <w:t>、沉淀池底泥、</w:t>
            </w:r>
            <w:r>
              <w:rPr>
                <w:rFonts w:hint="default"/>
              </w:rPr>
              <w:t>设备维修产生的</w:t>
            </w:r>
            <w:r>
              <w:rPr>
                <w:rFonts w:hint="default"/>
                <w:lang w:eastAsia="zh-CN"/>
              </w:rPr>
              <w:t>废润滑油</w:t>
            </w:r>
            <w:r>
              <w:rPr>
                <w:rFonts w:hint="default"/>
                <w:lang w:val="en-US" w:eastAsia="zh-CN"/>
              </w:rPr>
              <w:t>、废润滑油桶</w:t>
            </w:r>
            <w:r>
              <w:rPr>
                <w:rFonts w:hint="default"/>
              </w:rPr>
              <w:t>。</w:t>
            </w:r>
          </w:p>
          <w:p w14:paraId="29B9B73A">
            <w:pPr>
              <w:keepNext w:val="0"/>
              <w:keepLines w:val="0"/>
              <w:suppressLineNumbers w:val="0"/>
              <w:bidi w:val="0"/>
              <w:spacing w:before="0" w:beforeAutospacing="0" w:after="0" w:afterAutospacing="0"/>
              <w:ind w:left="0" w:right="0"/>
              <w:rPr>
                <w:rFonts w:hint="default" w:eastAsia="宋体"/>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一般固体废物</w:t>
            </w:r>
          </w:p>
          <w:p w14:paraId="2903E54A">
            <w:pPr>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①</w:t>
            </w:r>
            <w:r>
              <w:rPr>
                <w:rFonts w:hint="default"/>
              </w:rPr>
              <w:t>废包装桶</w:t>
            </w:r>
          </w:p>
          <w:p w14:paraId="5ABFCAE3">
            <w:pPr>
              <w:keepNext w:val="0"/>
              <w:keepLines w:val="0"/>
              <w:suppressLineNumbers w:val="0"/>
              <w:bidi w:val="0"/>
              <w:spacing w:before="0" w:beforeAutospacing="0" w:after="0" w:afterAutospacing="0"/>
              <w:ind w:left="0" w:right="0"/>
              <w:rPr>
                <w:rFonts w:hint="default"/>
                <w:lang w:val="en-US" w:eastAsia="zh-CN"/>
              </w:rPr>
            </w:pPr>
            <w:r>
              <w:rPr>
                <w:rFonts w:hint="default"/>
              </w:rPr>
              <w:t>本项目脱模剂</w:t>
            </w:r>
            <w:r>
              <w:rPr>
                <w:rFonts w:hint="eastAsia"/>
                <w:lang w:eastAsia="zh-CN"/>
              </w:rPr>
              <w:t>、</w:t>
            </w:r>
            <w:r>
              <w:rPr>
                <w:rFonts w:hint="default"/>
                <w:lang w:val="en-US" w:eastAsia="zh-CN"/>
              </w:rPr>
              <w:t>高性能减水剂</w:t>
            </w:r>
            <w:r>
              <w:rPr>
                <w:rFonts w:hint="eastAsia"/>
                <w:lang w:val="en-US" w:eastAsia="zh-CN"/>
              </w:rPr>
              <w:t>和</w:t>
            </w:r>
            <w:r>
              <w:rPr>
                <w:rFonts w:hint="default"/>
                <w:lang w:val="en-US" w:eastAsia="zh-CN"/>
              </w:rPr>
              <w:t>引气剂</w:t>
            </w:r>
            <w:r>
              <w:rPr>
                <w:rFonts w:hint="default"/>
              </w:rPr>
              <w:t>包装方式为桶装，</w:t>
            </w:r>
            <w:r>
              <w:rPr>
                <w:rFonts w:hint="default"/>
                <w:lang w:val="en-US" w:eastAsia="zh-CN"/>
              </w:rPr>
              <w:t>根据业主提供资料，产生的废包装桶约</w:t>
            </w:r>
            <w:r>
              <w:rPr>
                <w:rFonts w:hint="eastAsia"/>
                <w:lang w:val="en-US" w:eastAsia="zh-CN"/>
              </w:rPr>
              <w:t>110</w:t>
            </w:r>
            <w:r>
              <w:rPr>
                <w:rFonts w:hint="default"/>
                <w:lang w:val="en-US" w:eastAsia="zh-CN"/>
              </w:rPr>
              <w:t>个/a，每个废包装桶重约</w:t>
            </w:r>
            <w:r>
              <w:rPr>
                <w:rFonts w:hint="eastAsia"/>
                <w:lang w:val="en-US" w:eastAsia="zh-CN"/>
              </w:rPr>
              <w:t>5</w:t>
            </w:r>
            <w:r>
              <w:rPr>
                <w:rFonts w:hint="default"/>
                <w:lang w:val="en-US" w:eastAsia="zh-CN"/>
              </w:rPr>
              <w:t>kg，则废包装桶的产生量为</w:t>
            </w:r>
            <w:r>
              <w:rPr>
                <w:rFonts w:hint="eastAsia"/>
                <w:lang w:val="en-US" w:eastAsia="zh-CN"/>
              </w:rPr>
              <w:t>0.55</w:t>
            </w:r>
            <w:r>
              <w:rPr>
                <w:rFonts w:hint="default"/>
                <w:lang w:val="en-US" w:eastAsia="zh-CN"/>
              </w:rPr>
              <w:t>t/a，集中收集后，交由厂家回收处理。</w:t>
            </w:r>
          </w:p>
          <w:p w14:paraId="7475958B">
            <w:pPr>
              <w:keepNext w:val="0"/>
              <w:keepLines w:val="0"/>
              <w:suppressLineNumbers w:val="0"/>
              <w:bidi w:val="0"/>
              <w:spacing w:before="0" w:beforeAutospacing="0" w:after="0" w:afterAutospacing="0"/>
              <w:ind w:left="0" w:right="0"/>
              <w:rPr>
                <w:rFonts w:hint="default"/>
                <w:lang w:val="en-US"/>
              </w:rPr>
            </w:pPr>
            <w:r>
              <w:rPr>
                <w:rFonts w:hint="eastAsia"/>
                <w:lang w:val="en-US" w:eastAsia="zh-CN"/>
              </w:rPr>
              <w:t>②</w:t>
            </w:r>
            <w:r>
              <w:rPr>
                <w:rFonts w:hint="default"/>
                <w:lang w:val="en-US" w:eastAsia="zh-CN"/>
              </w:rPr>
              <w:t>各除尘器收集的粉尘</w:t>
            </w:r>
          </w:p>
          <w:p w14:paraId="517C787F">
            <w:pPr>
              <w:keepNext w:val="0"/>
              <w:keepLines w:val="0"/>
              <w:suppressLineNumbers w:val="0"/>
              <w:bidi w:val="0"/>
              <w:spacing w:before="0" w:beforeAutospacing="0" w:after="0" w:afterAutospacing="0"/>
              <w:ind w:left="0" w:right="0"/>
              <w:rPr>
                <w:rFonts w:hint="default"/>
                <w:highlight w:val="none"/>
                <w:lang w:val="en-US" w:eastAsia="zh-CN"/>
              </w:rPr>
            </w:pPr>
            <w:r>
              <w:rPr>
                <w:rFonts w:hint="default"/>
                <w:highlight w:val="none"/>
                <w:lang w:val="en-US" w:eastAsia="zh-CN"/>
              </w:rPr>
              <w:t>本项目布袋除尘器收集的粉尘量和水泥筒仓滤筒式过滤器收集的粉尘量约为5.73234t/a，除尘器收集的粉尘全部回用于生产，不外排。</w:t>
            </w:r>
          </w:p>
          <w:p w14:paraId="391872BF">
            <w:pPr>
              <w:keepNext w:val="0"/>
              <w:keepLines w:val="0"/>
              <w:suppressLineNumbers w:val="0"/>
              <w:bidi w:val="0"/>
              <w:spacing w:before="0" w:beforeAutospacing="0" w:after="0" w:afterAutospacing="0"/>
              <w:ind w:left="0" w:right="0"/>
              <w:rPr>
                <w:rFonts w:hint="default"/>
              </w:rPr>
            </w:pPr>
            <w:r>
              <w:rPr>
                <w:rFonts w:hint="eastAsia"/>
                <w:lang w:val="en-US" w:eastAsia="zh-CN"/>
              </w:rPr>
              <w:t>③</w:t>
            </w:r>
            <w:r>
              <w:rPr>
                <w:rFonts w:hint="default"/>
              </w:rPr>
              <w:t>混凝土残渣</w:t>
            </w:r>
          </w:p>
          <w:p w14:paraId="1D5171BC">
            <w:pPr>
              <w:keepNext w:val="0"/>
              <w:keepLines w:val="0"/>
              <w:suppressLineNumbers w:val="0"/>
              <w:bidi w:val="0"/>
              <w:spacing w:before="0" w:beforeAutospacing="0" w:after="0" w:afterAutospacing="0"/>
              <w:ind w:left="0" w:right="0"/>
              <w:rPr>
                <w:rFonts w:hint="default"/>
              </w:rPr>
            </w:pPr>
            <w:r>
              <w:rPr>
                <w:rFonts w:hint="default"/>
              </w:rPr>
              <w:t>在脱模清理模具工序时产生的混凝土残渣，根据业主提供资料，本项目在</w:t>
            </w:r>
            <w:r>
              <w:rPr>
                <w:rFonts w:hint="default"/>
                <w:lang w:val="en-US" w:eastAsia="zh-CN"/>
              </w:rPr>
              <w:t>模</w:t>
            </w:r>
            <w:r>
              <w:rPr>
                <w:rFonts w:hint="default"/>
              </w:rPr>
              <w:t>具中浇筑混凝土时，会在模具表面涂上脱模剂，以便后期脱模，脱模后模具中混凝土残渣较少，根据业主提供资料，产生量约为</w:t>
            </w:r>
            <w:r>
              <w:rPr>
                <w:rFonts w:hint="eastAsia"/>
                <w:lang w:val="en-US" w:eastAsia="zh-CN"/>
              </w:rPr>
              <w:t>0.5</w:t>
            </w:r>
            <w:r>
              <w:rPr>
                <w:rFonts w:hint="default"/>
              </w:rPr>
              <w:t>t/a</w:t>
            </w:r>
            <w:r>
              <w:rPr>
                <w:rFonts w:hint="eastAsia"/>
                <w:lang w:eastAsia="zh-CN"/>
              </w:rPr>
              <w:t>，</w:t>
            </w:r>
            <w:r>
              <w:rPr>
                <w:rFonts w:hint="eastAsia"/>
                <w:lang w:val="en-US" w:eastAsia="zh-CN"/>
              </w:rPr>
              <w:t>集中收集后，回用于生产。</w:t>
            </w:r>
          </w:p>
          <w:p w14:paraId="6A888F90">
            <w:pPr>
              <w:keepNext w:val="0"/>
              <w:keepLines w:val="0"/>
              <w:suppressLineNumbers w:val="0"/>
              <w:bidi w:val="0"/>
              <w:spacing w:before="0" w:beforeAutospacing="0" w:after="0" w:afterAutospacing="0"/>
              <w:ind w:left="0" w:right="0"/>
              <w:rPr>
                <w:rFonts w:hint="default"/>
              </w:rPr>
            </w:pPr>
            <w:r>
              <w:rPr>
                <w:rFonts w:hint="eastAsia"/>
                <w:lang w:val="en-US" w:eastAsia="zh-CN"/>
              </w:rPr>
              <w:t>④沉淀池底泥</w:t>
            </w:r>
          </w:p>
          <w:p w14:paraId="61807AD8">
            <w:pPr>
              <w:keepNext w:val="0"/>
              <w:keepLines w:val="0"/>
              <w:suppressLineNumbers w:val="0"/>
              <w:bidi w:val="0"/>
              <w:spacing w:before="0" w:beforeAutospacing="0" w:after="0" w:afterAutospacing="0"/>
              <w:ind w:left="0" w:right="0"/>
              <w:rPr>
                <w:rFonts w:hint="eastAsia"/>
                <w:lang w:val="en-US" w:eastAsia="zh-CN"/>
              </w:rPr>
            </w:pPr>
            <w:r>
              <w:rPr>
                <w:rFonts w:hint="default"/>
              </w:rPr>
              <w:t>本项目</w:t>
            </w:r>
            <w:r>
              <w:rPr>
                <w:rFonts w:hint="eastAsia"/>
                <w:lang w:eastAsia="zh-CN"/>
              </w:rPr>
              <w:t>搅拌器</w:t>
            </w:r>
            <w:r>
              <w:rPr>
                <w:rFonts w:hint="default"/>
              </w:rPr>
              <w:t>清洗废水经沉淀</w:t>
            </w:r>
            <w:r>
              <w:rPr>
                <w:rFonts w:hint="default"/>
                <w:lang w:val="en-US" w:eastAsia="zh-CN"/>
              </w:rPr>
              <w:t>用于</w:t>
            </w:r>
            <w:r>
              <w:rPr>
                <w:rFonts w:hint="eastAsia"/>
                <w:lang w:val="en-US" w:eastAsia="zh-CN"/>
              </w:rPr>
              <w:t>成品养护</w:t>
            </w:r>
            <w:r>
              <w:rPr>
                <w:rFonts w:hint="default"/>
              </w:rPr>
              <w:t>，但会产生</w:t>
            </w:r>
            <w:r>
              <w:rPr>
                <w:rFonts w:hint="default"/>
                <w:lang w:val="en-US" w:eastAsia="zh-CN"/>
              </w:rPr>
              <w:t>底泥</w:t>
            </w:r>
            <w:r>
              <w:rPr>
                <w:rFonts w:hint="default"/>
              </w:rPr>
              <w:t>，根据业主提供资料，</w:t>
            </w:r>
            <w:r>
              <w:rPr>
                <w:rFonts w:hint="default"/>
                <w:lang w:val="en-US" w:eastAsia="zh-CN"/>
              </w:rPr>
              <w:t>本项目设置1个沉淀池，沉淀池底泥自然干燥，沉淀池底泥</w:t>
            </w:r>
            <w:r>
              <w:rPr>
                <w:rFonts w:hint="default"/>
              </w:rPr>
              <w:t>的产生量约为0.</w:t>
            </w:r>
            <w:r>
              <w:rPr>
                <w:rFonts w:hint="default"/>
                <w:lang w:val="en-US" w:eastAsia="zh-CN"/>
              </w:rPr>
              <w:t>5</w:t>
            </w:r>
            <w:r>
              <w:rPr>
                <w:rFonts w:hint="default"/>
              </w:rPr>
              <w:t>t/a。</w:t>
            </w:r>
            <w:r>
              <w:rPr>
                <w:rFonts w:hint="default"/>
                <w:lang w:val="en-US" w:eastAsia="zh-CN"/>
              </w:rPr>
              <w:t>集中收集后，回用于生产</w:t>
            </w:r>
            <w:r>
              <w:rPr>
                <w:rFonts w:hint="eastAsia"/>
                <w:lang w:val="en-US" w:eastAsia="zh-CN"/>
              </w:rPr>
              <w:t>。</w:t>
            </w:r>
          </w:p>
          <w:p w14:paraId="3A2BE455">
            <w:pPr>
              <w:keepNext w:val="0"/>
              <w:keepLines w:val="0"/>
              <w:suppressLineNumbers w:val="0"/>
              <w:bidi w:val="0"/>
              <w:spacing w:before="0" w:beforeAutospacing="0" w:after="0" w:afterAutospacing="0"/>
              <w:ind w:left="0" w:right="0"/>
              <w:rPr>
                <w:rFonts w:hint="eastAsia" w:cs="Times New Roman"/>
                <w:kern w:val="2"/>
                <w:sz w:val="24"/>
                <w:szCs w:val="24"/>
                <w:lang w:val="en-US" w:eastAsia="zh-CN" w:bidi="ar-SA"/>
              </w:rPr>
            </w:pPr>
            <w:r>
              <w:rPr>
                <w:rFonts w:hint="eastAsia" w:cs="Times New Roman"/>
                <w:kern w:val="2"/>
                <w:sz w:val="24"/>
                <w:szCs w:val="24"/>
                <w:lang w:val="en-US" w:eastAsia="zh-CN" w:bidi="ar-SA"/>
              </w:rPr>
              <w:t>⑤废布袋</w:t>
            </w:r>
          </w:p>
          <w:p w14:paraId="6F54C151">
            <w:pPr>
              <w:keepNext w:val="0"/>
              <w:keepLines w:val="0"/>
              <w:suppressLineNumbers w:val="0"/>
              <w:bidi w:val="0"/>
              <w:spacing w:before="0" w:beforeAutospacing="0" w:after="0" w:afterAutospacing="0"/>
              <w:ind w:left="0" w:right="0"/>
              <w:rPr>
                <w:rFonts w:hint="eastAsia" w:cs="Times New Roman"/>
                <w:kern w:val="2"/>
                <w:sz w:val="24"/>
                <w:szCs w:val="24"/>
                <w:lang w:val="en-US" w:eastAsia="zh-CN" w:bidi="ar-SA"/>
              </w:rPr>
            </w:pPr>
            <w:r>
              <w:rPr>
                <w:rFonts w:hint="eastAsia" w:cs="Times New Roman"/>
                <w:kern w:val="2"/>
                <w:sz w:val="24"/>
                <w:szCs w:val="24"/>
                <w:lang w:val="en-US" w:eastAsia="zh-CN" w:bidi="ar-SA"/>
              </w:rPr>
              <w:t>本项目使用布袋除尘器为末端治理设施，布袋除尘器中的布袋需定期更换，废布袋产生量约为0.2t/a，集中收集后定期由设备厂家进行回收处理。</w:t>
            </w:r>
          </w:p>
          <w:p w14:paraId="20E68EE2">
            <w:pPr>
              <w:keepNext w:val="0"/>
              <w:keepLines w:val="0"/>
              <w:suppressLineNumbers w:val="0"/>
              <w:bidi w:val="0"/>
              <w:spacing w:before="0" w:beforeAutospacing="0" w:after="0" w:afterAutospacing="0"/>
              <w:ind w:left="0" w:right="0"/>
              <w:rPr>
                <w:rFonts w:hint="eastAsia" w:cs="Times New Roman"/>
                <w:kern w:val="2"/>
                <w:sz w:val="24"/>
                <w:szCs w:val="24"/>
                <w:lang w:val="en-US" w:eastAsia="zh-CN" w:bidi="ar-SA"/>
              </w:rPr>
            </w:pPr>
            <w:r>
              <w:rPr>
                <w:rFonts w:hint="eastAsia" w:cs="Times New Roman"/>
                <w:kern w:val="2"/>
                <w:sz w:val="24"/>
                <w:szCs w:val="24"/>
                <w:lang w:val="en-US" w:eastAsia="zh-CN" w:bidi="ar-SA"/>
              </w:rPr>
              <w:t>⑥废滤芯</w:t>
            </w:r>
          </w:p>
          <w:p w14:paraId="2BE28B71">
            <w:pPr>
              <w:keepNext w:val="0"/>
              <w:keepLines w:val="0"/>
              <w:suppressLineNumbers w:val="0"/>
              <w:bidi w:val="0"/>
              <w:spacing w:before="0" w:beforeAutospacing="0" w:after="0" w:afterAutospacing="0"/>
              <w:ind w:left="0" w:right="0"/>
              <w:rPr>
                <w:rFonts w:hint="eastAsia" w:cs="Times New Roman"/>
                <w:kern w:val="2"/>
                <w:sz w:val="24"/>
                <w:szCs w:val="24"/>
                <w:lang w:val="en-US" w:eastAsia="zh-CN" w:bidi="ar-SA"/>
              </w:rPr>
            </w:pPr>
            <w:r>
              <w:rPr>
                <w:rFonts w:hint="eastAsia" w:cs="Times New Roman"/>
                <w:kern w:val="2"/>
                <w:sz w:val="24"/>
                <w:szCs w:val="24"/>
                <w:lang w:val="en-US" w:eastAsia="zh-CN" w:bidi="ar-SA"/>
              </w:rPr>
              <w:t>本项目水泥筒仓使用滤筒式过滤器为末端治理设施，过滤器中的滤芯需定期更换，废滤芯产生量约为0.2t/a，集中收集后定期由设备厂家进行回收处理。</w:t>
            </w:r>
          </w:p>
          <w:p w14:paraId="25987C5F">
            <w:pPr>
              <w:keepNext w:val="0"/>
              <w:keepLines w:val="0"/>
              <w:suppressLineNumbers w:val="0"/>
              <w:bidi w:val="0"/>
              <w:spacing w:before="0" w:beforeAutospacing="0" w:after="0" w:afterAutospacing="0"/>
              <w:ind w:left="0" w:right="0"/>
              <w:rPr>
                <w:rFonts w:hint="default" w:cs="Times New Roman"/>
                <w:kern w:val="2"/>
                <w:sz w:val="24"/>
                <w:szCs w:val="24"/>
                <w:lang w:val="en-US" w:eastAsia="zh-CN" w:bidi="ar-SA"/>
              </w:rPr>
            </w:pPr>
            <w:r>
              <w:rPr>
                <w:rFonts w:hint="eastAsia" w:cs="Times New Roman"/>
                <w:kern w:val="2"/>
                <w:sz w:val="24"/>
                <w:szCs w:val="24"/>
                <w:lang w:val="en-US" w:eastAsia="zh-CN" w:bidi="ar-SA"/>
              </w:rPr>
              <w:t>（2）生活垃圾</w:t>
            </w:r>
          </w:p>
          <w:p w14:paraId="04169413">
            <w:pPr>
              <w:keepNext w:val="0"/>
              <w:keepLines w:val="0"/>
              <w:suppressLineNumbers w:val="0"/>
              <w:bidi w:val="0"/>
              <w:spacing w:before="0" w:beforeAutospacing="0" w:after="0" w:afterAutospacing="0"/>
              <w:ind w:left="0" w:right="0"/>
              <w:rPr>
                <w:rFonts w:hint="eastAsia"/>
                <w:lang w:val="en-US" w:eastAsia="zh-CN"/>
              </w:rPr>
            </w:pPr>
            <w:r>
              <w:rPr>
                <w:rFonts w:hint="default"/>
              </w:rPr>
              <w:t>本项目劳动定员为</w:t>
            </w:r>
            <w:r>
              <w:rPr>
                <w:rFonts w:hint="eastAsia"/>
                <w:lang w:val="en-US" w:eastAsia="zh-CN"/>
              </w:rPr>
              <w:t>13</w:t>
            </w:r>
            <w:r>
              <w:rPr>
                <w:rFonts w:hint="default"/>
              </w:rPr>
              <w:t>人，生活垃圾产生量按0.5kg/d/人计，厂区</w:t>
            </w:r>
            <w:r>
              <w:rPr>
                <w:rFonts w:hint="default"/>
                <w:lang w:val="en-US" w:eastAsia="zh-CN"/>
              </w:rPr>
              <w:t>不</w:t>
            </w:r>
            <w:r>
              <w:rPr>
                <w:rFonts w:hint="eastAsia"/>
                <w:lang w:val="en-US" w:eastAsia="zh-CN"/>
              </w:rPr>
              <w:t>设置</w:t>
            </w:r>
            <w:r>
              <w:rPr>
                <w:rFonts w:hint="default"/>
              </w:rPr>
              <w:t>食宿，年工作天数为</w:t>
            </w:r>
            <w:r>
              <w:rPr>
                <w:rFonts w:hint="default"/>
                <w:lang w:val="en-US" w:eastAsia="zh-CN"/>
              </w:rPr>
              <w:t>2</w:t>
            </w:r>
            <w:r>
              <w:rPr>
                <w:rFonts w:hint="eastAsia"/>
                <w:lang w:val="en-US" w:eastAsia="zh-CN"/>
              </w:rPr>
              <w:t>4</w:t>
            </w:r>
            <w:r>
              <w:rPr>
                <w:rFonts w:hint="default"/>
                <w:lang w:val="en-US" w:eastAsia="zh-CN"/>
              </w:rPr>
              <w:t>0</w:t>
            </w:r>
            <w:r>
              <w:rPr>
                <w:rFonts w:hint="default"/>
              </w:rPr>
              <w:t>天，全年生活垃圾约</w:t>
            </w:r>
            <w:r>
              <w:rPr>
                <w:rFonts w:hint="default"/>
                <w:lang w:val="en-US" w:eastAsia="zh-CN"/>
              </w:rPr>
              <w:t>1.</w:t>
            </w:r>
            <w:r>
              <w:rPr>
                <w:rFonts w:hint="eastAsia"/>
                <w:lang w:val="en-US" w:eastAsia="zh-CN"/>
              </w:rPr>
              <w:t>56</w:t>
            </w:r>
            <w:r>
              <w:rPr>
                <w:rFonts w:hint="default"/>
              </w:rPr>
              <w:t>t/a。生活垃圾</w:t>
            </w:r>
            <w:r>
              <w:rPr>
                <w:rFonts w:hint="eastAsia"/>
                <w:lang w:eastAsia="zh-CN"/>
              </w:rPr>
              <w:t>属于</w:t>
            </w:r>
            <w:r>
              <w:rPr>
                <w:rFonts w:hint="default"/>
              </w:rPr>
              <w:t>无毒无害废物，建设单位在生产</w:t>
            </w:r>
            <w:r>
              <w:rPr>
                <w:rFonts w:hint="default"/>
                <w:lang w:val="en-US" w:eastAsia="zh-CN"/>
              </w:rPr>
              <w:t>区域</w:t>
            </w:r>
            <w:r>
              <w:rPr>
                <w:rFonts w:hint="default"/>
              </w:rPr>
              <w:t>及办公室设置生活垃圾箱，将员工产生的生活垃圾集中收集，由环卫部门统一处理。</w:t>
            </w:r>
          </w:p>
          <w:p w14:paraId="02FDAFF1">
            <w:pPr>
              <w:keepNext w:val="0"/>
              <w:keepLines w:val="0"/>
              <w:suppressLineNumbers w:val="0"/>
              <w:bidi w:val="0"/>
              <w:spacing w:before="0" w:beforeAutospacing="0" w:after="0" w:afterAutospacing="0"/>
              <w:ind w:left="0" w:right="0"/>
              <w:rPr>
                <w:rFonts w:hint="eastAsia"/>
                <w:lang w:val="en-US" w:eastAsia="zh-CN"/>
              </w:rPr>
            </w:pPr>
            <w:r>
              <w:rPr>
                <w:rFonts w:hint="eastAsia"/>
                <w:lang w:eastAsia="zh-CN"/>
              </w:rPr>
              <w:t>（</w:t>
            </w:r>
            <w:r>
              <w:rPr>
                <w:rFonts w:hint="eastAsia"/>
                <w:lang w:val="en-US" w:eastAsia="zh-CN"/>
              </w:rPr>
              <w:t>3</w:t>
            </w:r>
            <w:r>
              <w:rPr>
                <w:rFonts w:hint="eastAsia"/>
                <w:lang w:eastAsia="zh-CN"/>
              </w:rPr>
              <w:t>）</w:t>
            </w:r>
            <w:r>
              <w:rPr>
                <w:rFonts w:hint="eastAsia"/>
                <w:lang w:val="en-US" w:eastAsia="zh-CN"/>
              </w:rPr>
              <w:t>危险废物</w:t>
            </w:r>
          </w:p>
          <w:p w14:paraId="01E42597">
            <w:pPr>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①</w:t>
            </w:r>
            <w:r>
              <w:rPr>
                <w:rFonts w:hint="default"/>
                <w:lang w:eastAsia="zh-CN"/>
              </w:rPr>
              <w:t>废润滑油、</w:t>
            </w:r>
            <w:r>
              <w:rPr>
                <w:rFonts w:hint="default"/>
                <w:lang w:val="en-US" w:eastAsia="zh-CN"/>
              </w:rPr>
              <w:t>废润滑油桶</w:t>
            </w:r>
          </w:p>
          <w:p w14:paraId="0EBBFD2C">
            <w:pPr>
              <w:keepNext w:val="0"/>
              <w:keepLines w:val="0"/>
              <w:suppressLineNumbers w:val="0"/>
              <w:bidi w:val="0"/>
              <w:spacing w:before="0" w:beforeAutospacing="0" w:after="0" w:afterAutospacing="0"/>
              <w:ind w:left="0" w:right="0"/>
              <w:rPr>
                <w:rFonts w:hint="default"/>
              </w:rPr>
            </w:pPr>
            <w:r>
              <w:rPr>
                <w:rFonts w:hint="default"/>
              </w:rPr>
              <w:t>本项目设备维修时会产生</w:t>
            </w:r>
            <w:r>
              <w:rPr>
                <w:rFonts w:hint="default"/>
                <w:lang w:eastAsia="zh-CN"/>
              </w:rPr>
              <w:t>废润滑油</w:t>
            </w:r>
            <w:r>
              <w:rPr>
                <w:rFonts w:hint="default"/>
              </w:rPr>
              <w:t>，类比同类项目，</w:t>
            </w:r>
            <w:r>
              <w:rPr>
                <w:rFonts w:hint="default"/>
                <w:lang w:eastAsia="zh-CN"/>
              </w:rPr>
              <w:t>废润滑油</w:t>
            </w:r>
            <w:r>
              <w:rPr>
                <w:rFonts w:hint="default"/>
              </w:rPr>
              <w:t>产生量约为0.2t/a，</w:t>
            </w:r>
            <w:r>
              <w:rPr>
                <w:rFonts w:hint="default"/>
                <w:lang w:val="en-US" w:eastAsia="zh-CN"/>
              </w:rPr>
              <w:t>废润滑油桶产生量为0.02t/a。</w:t>
            </w:r>
            <w:r>
              <w:rPr>
                <w:rFonts w:hint="default"/>
              </w:rPr>
              <w:t>根据《国家危险废物名录》（202</w:t>
            </w:r>
            <w:r>
              <w:rPr>
                <w:rFonts w:hint="default"/>
                <w:lang w:val="en-US" w:eastAsia="zh-CN"/>
              </w:rPr>
              <w:t>5</w:t>
            </w:r>
            <w:r>
              <w:rPr>
                <w:rFonts w:hint="default"/>
              </w:rPr>
              <w:t>年），</w:t>
            </w:r>
            <w:r>
              <w:rPr>
                <w:rFonts w:hint="default"/>
                <w:lang w:eastAsia="zh-CN"/>
              </w:rPr>
              <w:t>废润滑油</w:t>
            </w:r>
            <w:r>
              <w:rPr>
                <w:rFonts w:hint="default"/>
              </w:rPr>
              <w:t>属于危险废物，危废类别为HW08，危废代码为900-214-08</w:t>
            </w:r>
            <w:r>
              <w:rPr>
                <w:rFonts w:hint="default"/>
                <w:lang w:eastAsia="zh-CN"/>
              </w:rPr>
              <w:t>；</w:t>
            </w:r>
            <w:r>
              <w:rPr>
                <w:rFonts w:hint="default"/>
                <w:lang w:val="en-US" w:eastAsia="zh-CN"/>
              </w:rPr>
              <w:t>废润滑油桶属于危险废物，</w:t>
            </w:r>
            <w:r>
              <w:rPr>
                <w:rFonts w:hint="default"/>
              </w:rPr>
              <w:t>危废类别为HW08，危废代码为900-249-08</w:t>
            </w:r>
            <w:r>
              <w:rPr>
                <w:rFonts w:hint="default"/>
                <w:lang w:eastAsia="zh-CN"/>
              </w:rPr>
              <w:t>。</w:t>
            </w:r>
            <w:r>
              <w:rPr>
                <w:rFonts w:hint="default"/>
                <w:lang w:val="en-US" w:eastAsia="zh-CN"/>
              </w:rPr>
              <w:t>均</w:t>
            </w:r>
            <w:r>
              <w:rPr>
                <w:rFonts w:hint="default"/>
              </w:rPr>
              <w:t>集中收集存放在厂区</w:t>
            </w:r>
            <w:r>
              <w:rPr>
                <w:rFonts w:hint="default"/>
                <w:lang w:eastAsia="zh-CN"/>
              </w:rPr>
              <w:t>危废贮存点</w:t>
            </w:r>
            <w:r>
              <w:rPr>
                <w:rFonts w:hint="default"/>
              </w:rPr>
              <w:t>，定期交有资质的单位进行处理。</w:t>
            </w:r>
          </w:p>
          <w:p w14:paraId="31483761">
            <w:pPr>
              <w:pStyle w:val="5"/>
              <w:suppressLineNumbers w:val="0"/>
              <w:bidi w:val="0"/>
              <w:spacing w:before="0" w:beforeAutospacing="0" w:after="0" w:afterAutospacing="0"/>
              <w:ind w:left="0" w:right="0"/>
              <w:rPr>
                <w:rFonts w:hint="default"/>
              </w:rPr>
            </w:pPr>
            <w:r>
              <w:rPr>
                <w:rFonts w:hint="default"/>
              </w:rPr>
              <w:t>表4</w:t>
            </w:r>
            <w:r>
              <w:rPr>
                <w:rFonts w:hint="default"/>
                <w:lang w:val="en-US" w:eastAsia="zh-CN"/>
              </w:rPr>
              <w:t>-</w:t>
            </w:r>
            <w:r>
              <w:rPr>
                <w:rFonts w:hint="eastAsia"/>
                <w:lang w:val="en-US" w:eastAsia="zh-CN"/>
              </w:rPr>
              <w:t>9</w:t>
            </w:r>
            <w:r>
              <w:rPr>
                <w:rFonts w:hint="default"/>
                <w:lang w:val="en-US" w:eastAsia="zh-CN"/>
              </w:rPr>
              <w:t xml:space="preserve">  </w:t>
            </w:r>
            <w:r>
              <w:rPr>
                <w:rFonts w:hint="default"/>
              </w:rPr>
              <w:t>项目固体废物利用处置方式一览表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1141"/>
              <w:gridCol w:w="1757"/>
              <w:gridCol w:w="2220"/>
              <w:gridCol w:w="907"/>
              <w:gridCol w:w="1708"/>
            </w:tblGrid>
            <w:tr w14:paraId="58F9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noWrap w:val="0"/>
                  <w:vAlign w:val="center"/>
                </w:tcPr>
                <w:p w14:paraId="333511A3">
                  <w:pPr>
                    <w:pStyle w:val="7"/>
                    <w:keepNext w:val="0"/>
                    <w:keepLines w:val="0"/>
                    <w:suppressLineNumbers w:val="0"/>
                    <w:bidi w:val="0"/>
                    <w:spacing w:before="0" w:beforeAutospacing="0" w:after="0" w:afterAutospacing="0"/>
                    <w:ind w:left="0" w:right="0"/>
                    <w:rPr>
                      <w:rFonts w:hint="default"/>
                    </w:rPr>
                  </w:pPr>
                  <w:r>
                    <w:rPr>
                      <w:rFonts w:hint="default"/>
                    </w:rPr>
                    <w:t>序号</w:t>
                  </w:r>
                </w:p>
              </w:tc>
              <w:tc>
                <w:tcPr>
                  <w:tcW w:w="697" w:type="pct"/>
                  <w:shd w:val="clear" w:color="auto" w:fill="auto"/>
                  <w:noWrap w:val="0"/>
                  <w:vAlign w:val="center"/>
                </w:tcPr>
                <w:p w14:paraId="0C023653">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default"/>
                    </w:rPr>
                    <w:t>属性</w:t>
                  </w:r>
                </w:p>
              </w:tc>
              <w:tc>
                <w:tcPr>
                  <w:tcW w:w="1073" w:type="pct"/>
                  <w:noWrap w:val="0"/>
                  <w:vAlign w:val="center"/>
                </w:tcPr>
                <w:p w14:paraId="5D0D22C5">
                  <w:pPr>
                    <w:pStyle w:val="7"/>
                    <w:keepNext w:val="0"/>
                    <w:keepLines w:val="0"/>
                    <w:suppressLineNumbers w:val="0"/>
                    <w:bidi w:val="0"/>
                    <w:spacing w:before="0" w:beforeAutospacing="0" w:after="0" w:afterAutospacing="0"/>
                    <w:ind w:left="0" w:right="0"/>
                    <w:rPr>
                      <w:rFonts w:hint="default"/>
                    </w:rPr>
                  </w:pPr>
                  <w:r>
                    <w:rPr>
                      <w:rFonts w:hint="default"/>
                    </w:rPr>
                    <w:t>固废名称</w:t>
                  </w:r>
                </w:p>
              </w:tc>
              <w:tc>
                <w:tcPr>
                  <w:tcW w:w="1356" w:type="pct"/>
                  <w:noWrap w:val="0"/>
                  <w:vAlign w:val="center"/>
                </w:tcPr>
                <w:p w14:paraId="6AB785B4">
                  <w:pPr>
                    <w:pStyle w:val="7"/>
                    <w:keepNext w:val="0"/>
                    <w:keepLines w:val="0"/>
                    <w:suppressLineNumbers w:val="0"/>
                    <w:bidi w:val="0"/>
                    <w:spacing w:before="0" w:beforeAutospacing="0" w:after="0" w:afterAutospacing="0"/>
                    <w:ind w:left="0" w:right="0"/>
                    <w:rPr>
                      <w:rFonts w:hint="default"/>
                    </w:rPr>
                  </w:pPr>
                  <w:r>
                    <w:rPr>
                      <w:rFonts w:hint="default"/>
                    </w:rPr>
                    <w:t>废物代码</w:t>
                  </w:r>
                </w:p>
              </w:tc>
              <w:tc>
                <w:tcPr>
                  <w:tcW w:w="554" w:type="pct"/>
                  <w:noWrap w:val="0"/>
                  <w:vAlign w:val="center"/>
                </w:tcPr>
                <w:p w14:paraId="6FEA56EF">
                  <w:pPr>
                    <w:pStyle w:val="7"/>
                    <w:keepNext w:val="0"/>
                    <w:keepLines w:val="0"/>
                    <w:suppressLineNumbers w:val="0"/>
                    <w:bidi w:val="0"/>
                    <w:spacing w:before="0" w:beforeAutospacing="0" w:after="0" w:afterAutospacing="0"/>
                    <w:ind w:left="0" w:right="0"/>
                    <w:rPr>
                      <w:rFonts w:hint="default"/>
                    </w:rPr>
                  </w:pPr>
                  <w:r>
                    <w:rPr>
                      <w:rFonts w:hint="default"/>
                    </w:rPr>
                    <w:t>数量（t/a）</w:t>
                  </w:r>
                </w:p>
              </w:tc>
              <w:tc>
                <w:tcPr>
                  <w:tcW w:w="1043" w:type="pct"/>
                  <w:noWrap w:val="0"/>
                  <w:vAlign w:val="center"/>
                </w:tcPr>
                <w:p w14:paraId="04BF3A16">
                  <w:pPr>
                    <w:pStyle w:val="7"/>
                    <w:keepNext w:val="0"/>
                    <w:keepLines w:val="0"/>
                    <w:suppressLineNumbers w:val="0"/>
                    <w:bidi w:val="0"/>
                    <w:spacing w:before="0" w:beforeAutospacing="0" w:after="0" w:afterAutospacing="0"/>
                    <w:ind w:left="0" w:right="0"/>
                    <w:rPr>
                      <w:rFonts w:hint="default"/>
                    </w:rPr>
                  </w:pPr>
                  <w:r>
                    <w:rPr>
                      <w:rFonts w:hint="default"/>
                    </w:rPr>
                    <w:t>利用方式</w:t>
                  </w:r>
                </w:p>
              </w:tc>
            </w:tr>
            <w:tr w14:paraId="7064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noWrap w:val="0"/>
                  <w:vAlign w:val="center"/>
                </w:tcPr>
                <w:p w14:paraId="5271EE7D">
                  <w:pPr>
                    <w:pStyle w:val="7"/>
                    <w:keepNext w:val="0"/>
                    <w:keepLines w:val="0"/>
                    <w:suppressLineNumbers w:val="0"/>
                    <w:bidi w:val="0"/>
                    <w:spacing w:before="0" w:beforeAutospacing="0" w:after="0" w:afterAutospacing="0"/>
                    <w:ind w:left="0" w:right="0"/>
                    <w:rPr>
                      <w:rFonts w:hint="default"/>
                    </w:rPr>
                  </w:pPr>
                  <w:r>
                    <w:rPr>
                      <w:rFonts w:hint="default"/>
                      <w:lang w:val="en-US" w:eastAsia="zh-CN"/>
                    </w:rPr>
                    <w:t>1</w:t>
                  </w:r>
                </w:p>
              </w:tc>
              <w:tc>
                <w:tcPr>
                  <w:tcW w:w="697" w:type="pct"/>
                  <w:vMerge w:val="restart"/>
                  <w:shd w:val="clear" w:color="auto" w:fill="auto"/>
                  <w:noWrap w:val="0"/>
                  <w:vAlign w:val="center"/>
                </w:tcPr>
                <w:p w14:paraId="0F229731">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default"/>
                    </w:rPr>
                    <w:t>一般固废</w:t>
                  </w:r>
                </w:p>
              </w:tc>
              <w:tc>
                <w:tcPr>
                  <w:tcW w:w="1073" w:type="pct"/>
                  <w:noWrap w:val="0"/>
                  <w:vAlign w:val="center"/>
                </w:tcPr>
                <w:p w14:paraId="13D15E00">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废包装桶</w:t>
                  </w:r>
                </w:p>
              </w:tc>
              <w:tc>
                <w:tcPr>
                  <w:tcW w:w="1356" w:type="pct"/>
                  <w:noWrap w:val="0"/>
                  <w:vAlign w:val="center"/>
                </w:tcPr>
                <w:p w14:paraId="205E002B">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SW17  900-003-S17</w:t>
                  </w:r>
                </w:p>
              </w:tc>
              <w:tc>
                <w:tcPr>
                  <w:tcW w:w="554" w:type="pct"/>
                  <w:noWrap w:val="0"/>
                  <w:vAlign w:val="center"/>
                </w:tcPr>
                <w:p w14:paraId="47258990">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0.55</w:t>
                  </w:r>
                </w:p>
              </w:tc>
              <w:tc>
                <w:tcPr>
                  <w:tcW w:w="1043" w:type="pct"/>
                  <w:noWrap w:val="0"/>
                  <w:vAlign w:val="center"/>
                </w:tcPr>
                <w:p w14:paraId="7639F7C3">
                  <w:pPr>
                    <w:pStyle w:val="7"/>
                    <w:keepNext w:val="0"/>
                    <w:keepLines w:val="0"/>
                    <w:suppressLineNumbers w:val="0"/>
                    <w:bidi w:val="0"/>
                    <w:spacing w:before="0" w:beforeAutospacing="0" w:after="0" w:afterAutospacing="0"/>
                    <w:ind w:left="0" w:right="0"/>
                    <w:rPr>
                      <w:rFonts w:hint="default"/>
                    </w:rPr>
                  </w:pPr>
                  <w:r>
                    <w:rPr>
                      <w:rFonts w:hint="default"/>
                    </w:rPr>
                    <w:t>交由厂家回收处理</w:t>
                  </w:r>
                </w:p>
              </w:tc>
            </w:tr>
            <w:tr w14:paraId="5FD1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74" w:type="pct"/>
                  <w:noWrap w:val="0"/>
                  <w:vAlign w:val="center"/>
                </w:tcPr>
                <w:p w14:paraId="1FCE8C66">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697" w:type="pct"/>
                  <w:vMerge w:val="continue"/>
                  <w:noWrap w:val="0"/>
                  <w:vAlign w:val="center"/>
                </w:tcPr>
                <w:p w14:paraId="2938A35F">
                  <w:pPr>
                    <w:pStyle w:val="7"/>
                    <w:keepNext w:val="0"/>
                    <w:keepLines w:val="0"/>
                    <w:suppressLineNumbers w:val="0"/>
                    <w:bidi w:val="0"/>
                    <w:spacing w:before="0" w:beforeAutospacing="0" w:after="0" w:afterAutospacing="0"/>
                    <w:ind w:left="0" w:right="0"/>
                    <w:rPr>
                      <w:rFonts w:hint="default"/>
                      <w:b w:val="0"/>
                      <w:bCs w:val="0"/>
                      <w:lang w:val="en-US" w:eastAsia="zh-CN"/>
                    </w:rPr>
                  </w:pPr>
                </w:p>
              </w:tc>
              <w:tc>
                <w:tcPr>
                  <w:tcW w:w="1073" w:type="pct"/>
                  <w:noWrap w:val="0"/>
                  <w:vAlign w:val="center"/>
                </w:tcPr>
                <w:p w14:paraId="22121B99">
                  <w:pPr>
                    <w:pStyle w:val="7"/>
                    <w:keepNext w:val="0"/>
                    <w:keepLines w:val="0"/>
                    <w:suppressLineNumbers w:val="0"/>
                    <w:bidi w:val="0"/>
                    <w:spacing w:before="0" w:beforeAutospacing="0" w:after="0" w:afterAutospacing="0"/>
                    <w:ind w:left="0" w:right="0"/>
                    <w:rPr>
                      <w:rFonts w:hint="default"/>
                      <w:b w:val="0"/>
                      <w:bCs w:val="0"/>
                    </w:rPr>
                  </w:pPr>
                  <w:r>
                    <w:rPr>
                      <w:rFonts w:hint="default"/>
                      <w:b w:val="0"/>
                      <w:bCs w:val="0"/>
                      <w:lang w:val="en-US" w:eastAsia="zh-CN"/>
                    </w:rPr>
                    <w:t>各除尘器收集的粉尘</w:t>
                  </w:r>
                </w:p>
              </w:tc>
              <w:tc>
                <w:tcPr>
                  <w:tcW w:w="1356" w:type="pct"/>
                  <w:noWrap w:val="0"/>
                  <w:vAlign w:val="center"/>
                </w:tcPr>
                <w:p w14:paraId="0A979C4F">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SW17</w:t>
                  </w:r>
                  <w:r>
                    <w:rPr>
                      <w:rFonts w:hint="eastAsia"/>
                      <w:lang w:val="en-US" w:eastAsia="zh-CN"/>
                    </w:rPr>
                    <w:t xml:space="preserve">  </w:t>
                  </w:r>
                  <w:r>
                    <w:rPr>
                      <w:rFonts w:hint="default"/>
                      <w:lang w:val="en-US" w:eastAsia="zh-CN"/>
                    </w:rPr>
                    <w:t>900-099-S17</w:t>
                  </w:r>
                </w:p>
              </w:tc>
              <w:tc>
                <w:tcPr>
                  <w:tcW w:w="554" w:type="pct"/>
                  <w:noWrap w:val="0"/>
                  <w:vAlign w:val="center"/>
                </w:tcPr>
                <w:p w14:paraId="430F0EFE">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5.73234</w:t>
                  </w:r>
                </w:p>
              </w:tc>
              <w:tc>
                <w:tcPr>
                  <w:tcW w:w="1043" w:type="pct"/>
                  <w:noWrap w:val="0"/>
                  <w:vAlign w:val="center"/>
                </w:tcPr>
                <w:p w14:paraId="3A75449A">
                  <w:pPr>
                    <w:pStyle w:val="7"/>
                    <w:keepNext w:val="0"/>
                    <w:keepLines w:val="0"/>
                    <w:suppressLineNumbers w:val="0"/>
                    <w:bidi w:val="0"/>
                    <w:spacing w:before="0" w:beforeAutospacing="0" w:after="0" w:afterAutospacing="0"/>
                    <w:ind w:left="0" w:right="0"/>
                    <w:rPr>
                      <w:rFonts w:hint="default" w:eastAsia="宋体"/>
                      <w:lang w:val="en-US" w:eastAsia="zh-CN"/>
                    </w:rPr>
                  </w:pPr>
                  <w:r>
                    <w:rPr>
                      <w:rFonts w:hint="eastAsia"/>
                      <w:lang w:val="en-US" w:eastAsia="zh-CN"/>
                    </w:rPr>
                    <w:t>回用于生产</w:t>
                  </w:r>
                </w:p>
              </w:tc>
            </w:tr>
            <w:tr w14:paraId="3779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shd w:val="clear" w:color="auto" w:fill="auto"/>
                  <w:noWrap w:val="0"/>
                  <w:vAlign w:val="center"/>
                </w:tcPr>
                <w:p w14:paraId="04757FE9">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default"/>
                      <w:lang w:val="en-US" w:eastAsia="zh-CN"/>
                    </w:rPr>
                    <w:t>3</w:t>
                  </w:r>
                </w:p>
              </w:tc>
              <w:tc>
                <w:tcPr>
                  <w:tcW w:w="697" w:type="pct"/>
                  <w:vMerge w:val="continue"/>
                  <w:noWrap w:val="0"/>
                  <w:vAlign w:val="center"/>
                </w:tcPr>
                <w:p w14:paraId="5513AF3D">
                  <w:pPr>
                    <w:pStyle w:val="7"/>
                    <w:keepNext w:val="0"/>
                    <w:keepLines w:val="0"/>
                    <w:suppressLineNumbers w:val="0"/>
                    <w:bidi w:val="0"/>
                    <w:spacing w:before="0" w:beforeAutospacing="0" w:after="0" w:afterAutospacing="0"/>
                    <w:ind w:left="0" w:right="0"/>
                    <w:rPr>
                      <w:rFonts w:hint="default"/>
                    </w:rPr>
                  </w:pPr>
                </w:p>
              </w:tc>
              <w:tc>
                <w:tcPr>
                  <w:tcW w:w="1073" w:type="pct"/>
                  <w:noWrap w:val="0"/>
                  <w:vAlign w:val="center"/>
                </w:tcPr>
                <w:p w14:paraId="3B06C930">
                  <w:pPr>
                    <w:pStyle w:val="7"/>
                    <w:keepNext w:val="0"/>
                    <w:keepLines w:val="0"/>
                    <w:suppressLineNumbers w:val="0"/>
                    <w:bidi w:val="0"/>
                    <w:spacing w:before="0" w:beforeAutospacing="0" w:after="0" w:afterAutospacing="0"/>
                    <w:ind w:left="0" w:right="0"/>
                    <w:rPr>
                      <w:rFonts w:hint="default"/>
                    </w:rPr>
                  </w:pPr>
                  <w:r>
                    <w:rPr>
                      <w:rFonts w:hint="default"/>
                    </w:rPr>
                    <w:t>混凝土残渣</w:t>
                  </w:r>
                </w:p>
              </w:tc>
              <w:tc>
                <w:tcPr>
                  <w:tcW w:w="1356" w:type="pct"/>
                  <w:noWrap w:val="0"/>
                  <w:vAlign w:val="center"/>
                </w:tcPr>
                <w:p w14:paraId="263013E1">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SW17</w:t>
                  </w:r>
                  <w:r>
                    <w:rPr>
                      <w:rFonts w:hint="eastAsia"/>
                      <w:lang w:val="en-US" w:eastAsia="zh-CN"/>
                    </w:rPr>
                    <w:t xml:space="preserve">  </w:t>
                  </w:r>
                  <w:r>
                    <w:rPr>
                      <w:rFonts w:hint="default"/>
                      <w:lang w:val="en-US" w:eastAsia="zh-CN"/>
                    </w:rPr>
                    <w:t>900-099-S17</w:t>
                  </w:r>
                </w:p>
              </w:tc>
              <w:tc>
                <w:tcPr>
                  <w:tcW w:w="554" w:type="pct"/>
                  <w:noWrap w:val="0"/>
                  <w:vAlign w:val="center"/>
                </w:tcPr>
                <w:p w14:paraId="5A34C4C8">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0.5</w:t>
                  </w:r>
                </w:p>
              </w:tc>
              <w:tc>
                <w:tcPr>
                  <w:tcW w:w="1043" w:type="pct"/>
                  <w:noWrap w:val="0"/>
                  <w:vAlign w:val="center"/>
                </w:tcPr>
                <w:p w14:paraId="5DBA83EA">
                  <w:pPr>
                    <w:pStyle w:val="7"/>
                    <w:keepNext w:val="0"/>
                    <w:keepLines w:val="0"/>
                    <w:suppressLineNumbers w:val="0"/>
                    <w:bidi w:val="0"/>
                    <w:spacing w:before="0" w:beforeAutospacing="0" w:after="0" w:afterAutospacing="0"/>
                    <w:ind w:left="0" w:right="0"/>
                    <w:rPr>
                      <w:rFonts w:hint="default"/>
                    </w:rPr>
                  </w:pPr>
                  <w:r>
                    <w:rPr>
                      <w:rFonts w:hint="default"/>
                    </w:rPr>
                    <w:t>回用于生产</w:t>
                  </w:r>
                </w:p>
              </w:tc>
            </w:tr>
            <w:tr w14:paraId="355E3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shd w:val="clear" w:color="auto" w:fill="auto"/>
                  <w:noWrap w:val="0"/>
                  <w:vAlign w:val="center"/>
                </w:tcPr>
                <w:p w14:paraId="17159DD1">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default"/>
                      <w:lang w:val="en-US" w:eastAsia="zh-CN"/>
                    </w:rPr>
                    <w:t>4</w:t>
                  </w:r>
                </w:p>
              </w:tc>
              <w:tc>
                <w:tcPr>
                  <w:tcW w:w="697" w:type="pct"/>
                  <w:vMerge w:val="continue"/>
                  <w:noWrap w:val="0"/>
                  <w:vAlign w:val="center"/>
                </w:tcPr>
                <w:p w14:paraId="775966B5">
                  <w:pPr>
                    <w:pStyle w:val="7"/>
                    <w:keepNext w:val="0"/>
                    <w:keepLines w:val="0"/>
                    <w:suppressLineNumbers w:val="0"/>
                    <w:bidi w:val="0"/>
                    <w:spacing w:before="0" w:beforeAutospacing="0" w:after="0" w:afterAutospacing="0"/>
                    <w:ind w:left="0" w:right="0"/>
                    <w:rPr>
                      <w:rFonts w:hint="default"/>
                      <w:lang w:val="en-US" w:eastAsia="zh-CN"/>
                    </w:rPr>
                  </w:pPr>
                </w:p>
              </w:tc>
              <w:tc>
                <w:tcPr>
                  <w:tcW w:w="1073" w:type="pct"/>
                  <w:noWrap w:val="0"/>
                  <w:vAlign w:val="center"/>
                </w:tcPr>
                <w:p w14:paraId="3CFF61DA">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沉淀池底泥</w:t>
                  </w:r>
                </w:p>
              </w:tc>
              <w:tc>
                <w:tcPr>
                  <w:tcW w:w="1356" w:type="pct"/>
                  <w:noWrap w:val="0"/>
                  <w:vAlign w:val="center"/>
                </w:tcPr>
                <w:p w14:paraId="449C9931">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SW07  900-099-S07</w:t>
                  </w:r>
                </w:p>
              </w:tc>
              <w:tc>
                <w:tcPr>
                  <w:tcW w:w="554" w:type="pct"/>
                  <w:noWrap w:val="0"/>
                  <w:vAlign w:val="center"/>
                </w:tcPr>
                <w:p w14:paraId="02142509">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0.5</w:t>
                  </w:r>
                </w:p>
              </w:tc>
              <w:tc>
                <w:tcPr>
                  <w:tcW w:w="1043" w:type="pct"/>
                  <w:noWrap w:val="0"/>
                  <w:vAlign w:val="center"/>
                </w:tcPr>
                <w:p w14:paraId="49142C15">
                  <w:pPr>
                    <w:pStyle w:val="7"/>
                    <w:keepNext w:val="0"/>
                    <w:keepLines w:val="0"/>
                    <w:suppressLineNumbers w:val="0"/>
                    <w:bidi w:val="0"/>
                    <w:spacing w:before="0" w:beforeAutospacing="0" w:after="0" w:afterAutospacing="0"/>
                    <w:ind w:left="0" w:right="0"/>
                    <w:rPr>
                      <w:rFonts w:hint="default"/>
                    </w:rPr>
                  </w:pPr>
                  <w:r>
                    <w:rPr>
                      <w:rFonts w:hint="default"/>
                    </w:rPr>
                    <w:t>回用于生产</w:t>
                  </w:r>
                </w:p>
              </w:tc>
            </w:tr>
            <w:tr w14:paraId="55FE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shd w:val="clear" w:color="auto" w:fill="auto"/>
                  <w:noWrap w:val="0"/>
                  <w:vAlign w:val="center"/>
                </w:tcPr>
                <w:p w14:paraId="45685EDA">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default"/>
                      <w:lang w:val="en-US" w:eastAsia="zh-CN"/>
                    </w:rPr>
                    <w:t>5</w:t>
                  </w:r>
                </w:p>
              </w:tc>
              <w:tc>
                <w:tcPr>
                  <w:tcW w:w="697" w:type="pct"/>
                  <w:vMerge w:val="continue"/>
                  <w:noWrap w:val="0"/>
                  <w:vAlign w:val="center"/>
                </w:tcPr>
                <w:p w14:paraId="1B50D448">
                  <w:pPr>
                    <w:pStyle w:val="7"/>
                    <w:keepNext w:val="0"/>
                    <w:keepLines w:val="0"/>
                    <w:suppressLineNumbers w:val="0"/>
                    <w:bidi w:val="0"/>
                    <w:spacing w:before="0" w:beforeAutospacing="0" w:after="0" w:afterAutospacing="0"/>
                    <w:ind w:left="0" w:right="0"/>
                    <w:rPr>
                      <w:rFonts w:hint="default"/>
                      <w:lang w:val="en-US" w:eastAsia="zh-CN"/>
                    </w:rPr>
                  </w:pPr>
                </w:p>
              </w:tc>
              <w:tc>
                <w:tcPr>
                  <w:tcW w:w="1073" w:type="pct"/>
                  <w:shd w:val="clear" w:color="auto" w:fill="auto"/>
                  <w:noWrap w:val="0"/>
                  <w:vAlign w:val="center"/>
                </w:tcPr>
                <w:p w14:paraId="2C43EBA4">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废布袋</w:t>
                  </w:r>
                </w:p>
              </w:tc>
              <w:tc>
                <w:tcPr>
                  <w:tcW w:w="1356" w:type="pct"/>
                  <w:shd w:val="clear" w:color="auto" w:fill="auto"/>
                  <w:noWrap w:val="0"/>
                  <w:vAlign w:val="center"/>
                </w:tcPr>
                <w:p w14:paraId="1B965781">
                  <w:pPr>
                    <w:pStyle w:val="7"/>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SW59  900-0</w:t>
                  </w:r>
                  <w:r>
                    <w:rPr>
                      <w:rFonts w:hint="eastAsia" w:cs="Times New Roman"/>
                      <w:lang w:val="en-US" w:eastAsia="zh-CN"/>
                    </w:rPr>
                    <w:t>0</w:t>
                  </w:r>
                  <w:r>
                    <w:rPr>
                      <w:rFonts w:hint="default" w:ascii="Times New Roman" w:hAnsi="Times New Roman" w:cs="Times New Roman"/>
                      <w:lang w:val="en-US" w:eastAsia="zh-CN"/>
                    </w:rPr>
                    <w:t>9-S59</w:t>
                  </w:r>
                </w:p>
              </w:tc>
              <w:tc>
                <w:tcPr>
                  <w:tcW w:w="554" w:type="pct"/>
                  <w:shd w:val="clear" w:color="auto" w:fill="auto"/>
                  <w:noWrap w:val="0"/>
                  <w:vAlign w:val="center"/>
                </w:tcPr>
                <w:p w14:paraId="38C4816F">
                  <w:pPr>
                    <w:pStyle w:val="7"/>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0.</w:t>
                  </w:r>
                  <w:r>
                    <w:rPr>
                      <w:rFonts w:hint="eastAsia" w:cs="Times New Roman"/>
                      <w:lang w:val="en-US" w:eastAsia="zh-CN"/>
                    </w:rPr>
                    <w:t>2</w:t>
                  </w:r>
                </w:p>
              </w:tc>
              <w:tc>
                <w:tcPr>
                  <w:tcW w:w="1043" w:type="pct"/>
                  <w:vMerge w:val="restart"/>
                  <w:noWrap w:val="0"/>
                  <w:vAlign w:val="center"/>
                </w:tcPr>
                <w:p w14:paraId="66B93AE5">
                  <w:pPr>
                    <w:pStyle w:val="7"/>
                    <w:keepNext w:val="0"/>
                    <w:keepLines w:val="0"/>
                    <w:suppressLineNumbers w:val="0"/>
                    <w:bidi w:val="0"/>
                    <w:spacing w:before="0" w:beforeAutospacing="0" w:after="0" w:afterAutospacing="0"/>
                    <w:ind w:left="0" w:right="0"/>
                    <w:rPr>
                      <w:rFonts w:hint="default"/>
                    </w:rPr>
                  </w:pPr>
                  <w:r>
                    <w:rPr>
                      <w:rFonts w:hint="default"/>
                    </w:rPr>
                    <w:t>交由厂家回收处理</w:t>
                  </w:r>
                </w:p>
              </w:tc>
            </w:tr>
            <w:tr w14:paraId="5B06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shd w:val="clear" w:color="auto" w:fill="auto"/>
                  <w:noWrap w:val="0"/>
                  <w:vAlign w:val="center"/>
                </w:tcPr>
                <w:p w14:paraId="020FA377">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eastAsia"/>
                      <w:lang w:val="en-US" w:eastAsia="zh-CN"/>
                    </w:rPr>
                    <w:t>6</w:t>
                  </w:r>
                </w:p>
              </w:tc>
              <w:tc>
                <w:tcPr>
                  <w:tcW w:w="697" w:type="pct"/>
                  <w:vMerge w:val="continue"/>
                  <w:noWrap w:val="0"/>
                  <w:vAlign w:val="center"/>
                </w:tcPr>
                <w:p w14:paraId="57969DDA">
                  <w:pPr>
                    <w:pStyle w:val="7"/>
                    <w:keepNext w:val="0"/>
                    <w:keepLines w:val="0"/>
                    <w:suppressLineNumbers w:val="0"/>
                    <w:bidi w:val="0"/>
                    <w:spacing w:before="0" w:beforeAutospacing="0" w:after="0" w:afterAutospacing="0"/>
                    <w:ind w:left="0" w:right="0"/>
                    <w:rPr>
                      <w:rFonts w:hint="default"/>
                      <w:lang w:val="en-US" w:eastAsia="zh-CN"/>
                    </w:rPr>
                  </w:pPr>
                </w:p>
              </w:tc>
              <w:tc>
                <w:tcPr>
                  <w:tcW w:w="1073" w:type="pct"/>
                  <w:shd w:val="clear" w:color="auto" w:fill="auto"/>
                  <w:noWrap w:val="0"/>
                  <w:vAlign w:val="center"/>
                </w:tcPr>
                <w:p w14:paraId="668CE741">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eastAsia" w:cs="Times New Roman"/>
                      <w:lang w:val="en-US" w:eastAsia="zh-CN"/>
                    </w:rPr>
                    <w:t>废滤芯</w:t>
                  </w:r>
                </w:p>
              </w:tc>
              <w:tc>
                <w:tcPr>
                  <w:tcW w:w="1356" w:type="pct"/>
                  <w:shd w:val="clear" w:color="auto" w:fill="auto"/>
                  <w:noWrap w:val="0"/>
                  <w:vAlign w:val="center"/>
                </w:tcPr>
                <w:p w14:paraId="54C213D1">
                  <w:pPr>
                    <w:pStyle w:val="7"/>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SW59  900-009-S59</w:t>
                  </w:r>
                </w:p>
              </w:tc>
              <w:tc>
                <w:tcPr>
                  <w:tcW w:w="554" w:type="pct"/>
                  <w:shd w:val="clear" w:color="auto" w:fill="auto"/>
                  <w:noWrap w:val="0"/>
                  <w:vAlign w:val="center"/>
                </w:tcPr>
                <w:p w14:paraId="0C3C5C88">
                  <w:pPr>
                    <w:pStyle w:val="7"/>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kern w:val="2"/>
                      <w:sz w:val="21"/>
                      <w:szCs w:val="20"/>
                      <w:lang w:val="en-US" w:eastAsia="zh-CN" w:bidi="ar-SA"/>
                    </w:rPr>
                  </w:pPr>
                  <w:r>
                    <w:rPr>
                      <w:rFonts w:hint="default" w:ascii="Times New Roman" w:hAnsi="Times New Roman" w:cs="Times New Roman"/>
                      <w:lang w:val="en-US" w:eastAsia="zh-CN"/>
                    </w:rPr>
                    <w:t>0.</w:t>
                  </w:r>
                  <w:r>
                    <w:rPr>
                      <w:rFonts w:hint="eastAsia" w:cs="Times New Roman"/>
                      <w:lang w:val="en-US" w:eastAsia="zh-CN"/>
                    </w:rPr>
                    <w:t>2</w:t>
                  </w:r>
                </w:p>
              </w:tc>
              <w:tc>
                <w:tcPr>
                  <w:tcW w:w="1043" w:type="pct"/>
                  <w:vMerge w:val="continue"/>
                  <w:noWrap w:val="0"/>
                  <w:vAlign w:val="center"/>
                </w:tcPr>
                <w:p w14:paraId="2C10DFCB">
                  <w:pPr>
                    <w:pStyle w:val="7"/>
                    <w:keepNext w:val="0"/>
                    <w:keepLines w:val="0"/>
                    <w:suppressLineNumbers w:val="0"/>
                    <w:bidi w:val="0"/>
                    <w:spacing w:before="0" w:beforeAutospacing="0" w:after="0" w:afterAutospacing="0"/>
                    <w:ind w:left="0" w:right="0"/>
                    <w:rPr>
                      <w:rFonts w:hint="default"/>
                    </w:rPr>
                  </w:pPr>
                </w:p>
              </w:tc>
            </w:tr>
            <w:tr w14:paraId="3FD3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4" w:type="pct"/>
                  <w:shd w:val="clear" w:color="auto" w:fill="auto"/>
                  <w:noWrap w:val="0"/>
                  <w:vAlign w:val="center"/>
                </w:tcPr>
                <w:p w14:paraId="63234C26">
                  <w:pPr>
                    <w:pStyle w:val="7"/>
                    <w:keepNext w:val="0"/>
                    <w:keepLines w:val="0"/>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kern w:val="2"/>
                      <w:sz w:val="21"/>
                      <w:szCs w:val="20"/>
                      <w:lang w:val="en-US" w:eastAsia="zh-CN" w:bidi="ar-SA"/>
                    </w:rPr>
                  </w:pPr>
                </w:p>
              </w:tc>
              <w:tc>
                <w:tcPr>
                  <w:tcW w:w="697" w:type="pct"/>
                  <w:shd w:val="clear" w:color="auto" w:fill="auto"/>
                  <w:noWrap w:val="0"/>
                  <w:vAlign w:val="center"/>
                </w:tcPr>
                <w:p w14:paraId="28F12D1C">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eastAsia" w:cs="Times New Roman"/>
                      <w:kern w:val="2"/>
                      <w:sz w:val="21"/>
                      <w:szCs w:val="20"/>
                      <w:lang w:val="en-US" w:eastAsia="zh-CN" w:bidi="ar-SA"/>
                    </w:rPr>
                    <w:t>生活垃圾</w:t>
                  </w:r>
                </w:p>
              </w:tc>
              <w:tc>
                <w:tcPr>
                  <w:tcW w:w="1073" w:type="pct"/>
                  <w:shd w:val="clear" w:color="auto" w:fill="auto"/>
                  <w:noWrap w:val="0"/>
                  <w:vAlign w:val="center"/>
                </w:tcPr>
                <w:p w14:paraId="3C9307F1">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default"/>
                      <w:lang w:val="en-US" w:eastAsia="zh-CN"/>
                    </w:rPr>
                    <w:t>生活垃圾</w:t>
                  </w:r>
                </w:p>
              </w:tc>
              <w:tc>
                <w:tcPr>
                  <w:tcW w:w="1356" w:type="pct"/>
                  <w:shd w:val="clear" w:color="auto" w:fill="auto"/>
                  <w:noWrap w:val="0"/>
                  <w:vAlign w:val="center"/>
                </w:tcPr>
                <w:p w14:paraId="4A8CA077">
                  <w:pPr>
                    <w:pStyle w:val="7"/>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kern w:val="2"/>
                      <w:sz w:val="21"/>
                      <w:szCs w:val="20"/>
                      <w:lang w:val="en-US" w:eastAsia="zh-CN" w:bidi="ar-SA"/>
                    </w:rPr>
                  </w:pPr>
                  <w:r>
                    <w:rPr>
                      <w:rFonts w:hint="eastAsia"/>
                      <w:lang w:val="en-US" w:eastAsia="zh-CN"/>
                    </w:rPr>
                    <w:t>SW64  900-099-S64</w:t>
                  </w:r>
                </w:p>
              </w:tc>
              <w:tc>
                <w:tcPr>
                  <w:tcW w:w="554" w:type="pct"/>
                  <w:shd w:val="clear" w:color="auto" w:fill="auto"/>
                  <w:noWrap w:val="0"/>
                  <w:vAlign w:val="center"/>
                </w:tcPr>
                <w:p w14:paraId="4B0031AF">
                  <w:pPr>
                    <w:pStyle w:val="7"/>
                    <w:keepNext w:val="0"/>
                    <w:keepLines w:val="0"/>
                    <w:suppressLineNumbers w:val="0"/>
                    <w:bidi w:val="0"/>
                    <w:spacing w:before="0" w:beforeAutospacing="0" w:after="0" w:afterAutospacing="0"/>
                    <w:ind w:left="0" w:right="0" w:firstLine="0" w:firstLineChars="0"/>
                    <w:rPr>
                      <w:rFonts w:hint="eastAsia" w:ascii="Times New Roman" w:hAnsi="Times New Roman" w:eastAsia="宋体" w:cs="Times New Roman"/>
                      <w:kern w:val="2"/>
                      <w:sz w:val="21"/>
                      <w:szCs w:val="20"/>
                      <w:lang w:val="en-US" w:eastAsia="zh-CN" w:bidi="ar-SA"/>
                    </w:rPr>
                  </w:pPr>
                  <w:r>
                    <w:rPr>
                      <w:rFonts w:hint="default"/>
                      <w:lang w:val="en-US" w:eastAsia="zh-CN"/>
                    </w:rPr>
                    <w:t>1.</w:t>
                  </w:r>
                  <w:r>
                    <w:rPr>
                      <w:rFonts w:hint="eastAsia"/>
                      <w:lang w:val="en-US" w:eastAsia="zh-CN"/>
                    </w:rPr>
                    <w:t>56</w:t>
                  </w:r>
                </w:p>
              </w:tc>
              <w:tc>
                <w:tcPr>
                  <w:tcW w:w="1043" w:type="pct"/>
                  <w:shd w:val="clear" w:color="auto" w:fill="auto"/>
                  <w:noWrap w:val="0"/>
                  <w:vAlign w:val="center"/>
                </w:tcPr>
                <w:p w14:paraId="6A5F4343">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default"/>
                    </w:rPr>
                    <w:t>交由环卫部门处理</w:t>
                  </w:r>
                </w:p>
              </w:tc>
            </w:tr>
            <w:tr w14:paraId="50AE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4" w:type="pct"/>
                  <w:shd w:val="clear" w:color="auto" w:fill="auto"/>
                  <w:noWrap w:val="0"/>
                  <w:vAlign w:val="center"/>
                </w:tcPr>
                <w:p w14:paraId="6B4BF35A">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eastAsia"/>
                      <w:lang w:val="en-US" w:eastAsia="zh-CN"/>
                    </w:rPr>
                    <w:t>7</w:t>
                  </w:r>
                </w:p>
              </w:tc>
              <w:tc>
                <w:tcPr>
                  <w:tcW w:w="697" w:type="pct"/>
                  <w:vMerge w:val="restart"/>
                  <w:shd w:val="clear" w:color="auto" w:fill="auto"/>
                  <w:noWrap w:val="0"/>
                  <w:vAlign w:val="center"/>
                </w:tcPr>
                <w:p w14:paraId="6F439B9B">
                  <w:pPr>
                    <w:pStyle w:val="7"/>
                    <w:keepNext w:val="0"/>
                    <w:keepLines w:val="0"/>
                    <w:suppressLineNumbers w:val="0"/>
                    <w:bidi w:val="0"/>
                    <w:spacing w:before="0" w:beforeAutospacing="0" w:after="0" w:afterAutospacing="0"/>
                    <w:ind w:left="0" w:right="0" w:firstLine="0" w:firstLineChars="0"/>
                    <w:rPr>
                      <w:rFonts w:hint="default" w:ascii="Times New Roman" w:hAnsi="Times New Roman" w:eastAsia="宋体" w:cs="Times New Roman"/>
                      <w:kern w:val="2"/>
                      <w:sz w:val="21"/>
                      <w:szCs w:val="20"/>
                      <w:lang w:val="en-US" w:eastAsia="zh-CN" w:bidi="ar-SA"/>
                    </w:rPr>
                  </w:pPr>
                  <w:r>
                    <w:rPr>
                      <w:rFonts w:hint="default"/>
                    </w:rPr>
                    <w:t>危险废物</w:t>
                  </w:r>
                </w:p>
              </w:tc>
              <w:tc>
                <w:tcPr>
                  <w:tcW w:w="1073" w:type="pct"/>
                  <w:noWrap w:val="0"/>
                  <w:vAlign w:val="center"/>
                </w:tcPr>
                <w:p w14:paraId="1933742C">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废润滑油</w:t>
                  </w:r>
                </w:p>
              </w:tc>
              <w:tc>
                <w:tcPr>
                  <w:tcW w:w="1356" w:type="pct"/>
                  <w:noWrap w:val="0"/>
                  <w:vAlign w:val="center"/>
                </w:tcPr>
                <w:p w14:paraId="23F30298">
                  <w:pPr>
                    <w:pStyle w:val="7"/>
                    <w:keepNext w:val="0"/>
                    <w:keepLines w:val="0"/>
                    <w:suppressLineNumbers w:val="0"/>
                    <w:bidi w:val="0"/>
                    <w:spacing w:before="0" w:beforeAutospacing="0" w:after="0" w:afterAutospacing="0"/>
                    <w:ind w:left="0" w:right="0"/>
                    <w:rPr>
                      <w:rFonts w:hint="default"/>
                      <w:lang w:val="en-US" w:eastAsia="zh-CN"/>
                    </w:rPr>
                  </w:pPr>
                  <w:r>
                    <w:rPr>
                      <w:rFonts w:hint="default"/>
                    </w:rPr>
                    <w:t>HW08</w:t>
                  </w:r>
                  <w:r>
                    <w:rPr>
                      <w:rFonts w:hint="eastAsia"/>
                      <w:lang w:val="en-US" w:eastAsia="zh-CN"/>
                    </w:rPr>
                    <w:t xml:space="preserve">  </w:t>
                  </w:r>
                  <w:r>
                    <w:rPr>
                      <w:rFonts w:hint="default"/>
                    </w:rPr>
                    <w:t>900-214-08</w:t>
                  </w:r>
                </w:p>
              </w:tc>
              <w:tc>
                <w:tcPr>
                  <w:tcW w:w="554" w:type="pct"/>
                  <w:noWrap w:val="0"/>
                  <w:vAlign w:val="center"/>
                </w:tcPr>
                <w:p w14:paraId="23887E09">
                  <w:pPr>
                    <w:pStyle w:val="7"/>
                    <w:keepNext w:val="0"/>
                    <w:keepLines w:val="0"/>
                    <w:suppressLineNumbers w:val="0"/>
                    <w:bidi w:val="0"/>
                    <w:spacing w:before="0" w:beforeAutospacing="0" w:after="0" w:afterAutospacing="0"/>
                    <w:ind w:left="0" w:right="0"/>
                    <w:rPr>
                      <w:rFonts w:hint="default"/>
                      <w:lang w:val="en-US" w:eastAsia="zh-CN"/>
                    </w:rPr>
                  </w:pPr>
                  <w:r>
                    <w:rPr>
                      <w:rFonts w:hint="default"/>
                    </w:rPr>
                    <w:t>0.2</w:t>
                  </w:r>
                </w:p>
              </w:tc>
              <w:tc>
                <w:tcPr>
                  <w:tcW w:w="1043" w:type="pct"/>
                  <w:vMerge w:val="restart"/>
                  <w:noWrap w:val="0"/>
                  <w:vAlign w:val="center"/>
                </w:tcPr>
                <w:p w14:paraId="415146E7">
                  <w:pPr>
                    <w:pStyle w:val="7"/>
                    <w:keepNext w:val="0"/>
                    <w:keepLines w:val="0"/>
                    <w:suppressLineNumbers w:val="0"/>
                    <w:bidi w:val="0"/>
                    <w:spacing w:before="0" w:beforeAutospacing="0" w:after="0" w:afterAutospacing="0"/>
                    <w:ind w:left="0" w:right="0"/>
                    <w:rPr>
                      <w:rFonts w:hint="default"/>
                    </w:rPr>
                  </w:pPr>
                  <w:r>
                    <w:rPr>
                      <w:rFonts w:hint="default"/>
                    </w:rPr>
                    <w:t>定期交有资质的单位进行处理</w:t>
                  </w:r>
                </w:p>
              </w:tc>
            </w:tr>
            <w:tr w14:paraId="6770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74" w:type="pct"/>
                  <w:shd w:val="clear" w:color="auto" w:fill="auto"/>
                  <w:noWrap w:val="0"/>
                  <w:vAlign w:val="center"/>
                </w:tcPr>
                <w:p w14:paraId="55CB223C">
                  <w:pPr>
                    <w:pStyle w:val="7"/>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kern w:val="2"/>
                      <w:sz w:val="21"/>
                      <w:szCs w:val="20"/>
                      <w:lang w:val="en-US" w:eastAsia="zh-CN" w:bidi="ar-SA"/>
                    </w:rPr>
                  </w:pPr>
                  <w:r>
                    <w:rPr>
                      <w:rFonts w:hint="eastAsia"/>
                      <w:lang w:val="en-US" w:eastAsia="zh-CN"/>
                    </w:rPr>
                    <w:t>8</w:t>
                  </w:r>
                </w:p>
              </w:tc>
              <w:tc>
                <w:tcPr>
                  <w:tcW w:w="697" w:type="pct"/>
                  <w:vMerge w:val="continue"/>
                  <w:noWrap w:val="0"/>
                  <w:vAlign w:val="center"/>
                </w:tcPr>
                <w:p w14:paraId="246BE7D0">
                  <w:pPr>
                    <w:pStyle w:val="7"/>
                    <w:keepNext w:val="0"/>
                    <w:keepLines w:val="0"/>
                    <w:suppressLineNumbers w:val="0"/>
                    <w:bidi w:val="0"/>
                    <w:spacing w:before="0" w:beforeAutospacing="0" w:after="0" w:afterAutospacing="0"/>
                    <w:ind w:left="0" w:right="0"/>
                    <w:rPr>
                      <w:rFonts w:hint="default"/>
                      <w:lang w:val="en-US" w:eastAsia="zh-CN"/>
                    </w:rPr>
                  </w:pPr>
                </w:p>
              </w:tc>
              <w:tc>
                <w:tcPr>
                  <w:tcW w:w="1073" w:type="pct"/>
                  <w:noWrap w:val="0"/>
                  <w:vAlign w:val="center"/>
                </w:tcPr>
                <w:p w14:paraId="610F910C">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废润滑油桶</w:t>
                  </w:r>
                </w:p>
              </w:tc>
              <w:tc>
                <w:tcPr>
                  <w:tcW w:w="1356" w:type="pct"/>
                  <w:noWrap w:val="0"/>
                  <w:vAlign w:val="center"/>
                </w:tcPr>
                <w:p w14:paraId="492F9698">
                  <w:pPr>
                    <w:pStyle w:val="7"/>
                    <w:keepNext w:val="0"/>
                    <w:keepLines w:val="0"/>
                    <w:suppressLineNumbers w:val="0"/>
                    <w:bidi w:val="0"/>
                    <w:spacing w:before="0" w:beforeAutospacing="0" w:after="0" w:afterAutospacing="0"/>
                    <w:ind w:left="0" w:right="0"/>
                    <w:rPr>
                      <w:rFonts w:hint="eastAsia"/>
                      <w:lang w:val="en-US" w:eastAsia="zh-CN"/>
                    </w:rPr>
                  </w:pPr>
                  <w:r>
                    <w:rPr>
                      <w:rFonts w:hint="default"/>
                    </w:rPr>
                    <w:t>HW08</w:t>
                  </w:r>
                  <w:r>
                    <w:rPr>
                      <w:rFonts w:hint="eastAsia"/>
                      <w:lang w:val="en-US" w:eastAsia="zh-CN"/>
                    </w:rPr>
                    <w:t xml:space="preserve"> </w:t>
                  </w:r>
                  <w:r>
                    <w:rPr>
                      <w:rFonts w:hint="default"/>
                    </w:rPr>
                    <w:t xml:space="preserve"> 900-249-08</w:t>
                  </w:r>
                </w:p>
              </w:tc>
              <w:tc>
                <w:tcPr>
                  <w:tcW w:w="554" w:type="pct"/>
                  <w:noWrap w:val="0"/>
                  <w:vAlign w:val="center"/>
                </w:tcPr>
                <w:p w14:paraId="4793C7D0">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0.02</w:t>
                  </w:r>
                </w:p>
              </w:tc>
              <w:tc>
                <w:tcPr>
                  <w:tcW w:w="1043" w:type="pct"/>
                  <w:vMerge w:val="continue"/>
                  <w:noWrap w:val="0"/>
                  <w:vAlign w:val="center"/>
                </w:tcPr>
                <w:p w14:paraId="52C369F5">
                  <w:pPr>
                    <w:pStyle w:val="7"/>
                    <w:keepNext w:val="0"/>
                    <w:keepLines w:val="0"/>
                    <w:suppressLineNumbers w:val="0"/>
                    <w:bidi w:val="0"/>
                    <w:spacing w:before="0" w:beforeAutospacing="0" w:after="0" w:afterAutospacing="0"/>
                    <w:ind w:left="0" w:right="0"/>
                    <w:rPr>
                      <w:rFonts w:hint="default"/>
                    </w:rPr>
                  </w:pPr>
                </w:p>
              </w:tc>
            </w:tr>
          </w:tbl>
          <w:p w14:paraId="40C19532">
            <w:pPr>
              <w:pStyle w:val="4"/>
              <w:keepNext w:val="0"/>
              <w:keepLines w:val="0"/>
              <w:suppressLineNumbers w:val="0"/>
              <w:bidi w:val="0"/>
              <w:spacing w:before="0" w:beforeAutospacing="0" w:after="0" w:afterAutospacing="0"/>
              <w:ind w:left="0" w:right="0"/>
              <w:rPr>
                <w:rFonts w:hint="default"/>
              </w:rPr>
            </w:pPr>
            <w:r>
              <w:rPr>
                <w:rFonts w:hint="default"/>
              </w:rPr>
              <w:t>4.2</w:t>
            </w:r>
            <w:r>
              <w:rPr>
                <w:rFonts w:hint="eastAsia"/>
                <w:lang w:val="en-US" w:eastAsia="zh-CN"/>
              </w:rPr>
              <w:t xml:space="preserve"> </w:t>
            </w:r>
            <w:r>
              <w:rPr>
                <w:rFonts w:hint="default"/>
              </w:rPr>
              <w:t>防治措施</w:t>
            </w:r>
          </w:p>
          <w:p w14:paraId="09A7452B">
            <w:pPr>
              <w:keepNext w:val="0"/>
              <w:keepLines w:val="0"/>
              <w:suppressLineNumbers w:val="0"/>
              <w:bidi w:val="0"/>
              <w:spacing w:before="0" w:beforeAutospacing="0" w:after="0" w:afterAutospacing="0"/>
              <w:ind w:left="0" w:right="0"/>
              <w:rPr>
                <w:rFonts w:hint="default"/>
              </w:rPr>
            </w:pPr>
            <w:r>
              <w:rPr>
                <w:rFonts w:hint="eastAsia"/>
                <w:lang w:val="en-US" w:eastAsia="zh-CN"/>
              </w:rPr>
              <w:t>固体废物、危险</w:t>
            </w:r>
            <w:r>
              <w:rPr>
                <w:rFonts w:hint="default"/>
              </w:rPr>
              <w:t>废物在厂内贮存</w:t>
            </w:r>
            <w:r>
              <w:rPr>
                <w:rFonts w:hint="default"/>
                <w:lang w:eastAsia="zh-CN"/>
              </w:rPr>
              <w:t>、</w:t>
            </w:r>
            <w:r>
              <w:rPr>
                <w:rFonts w:hint="default"/>
              </w:rPr>
              <w:t>运输措施</w:t>
            </w:r>
            <w:r>
              <w:rPr>
                <w:rFonts w:hint="default"/>
                <w:lang w:eastAsia="zh-CN"/>
              </w:rPr>
              <w:t>、</w:t>
            </w:r>
            <w:r>
              <w:rPr>
                <w:rFonts w:hint="default"/>
                <w:lang w:val="en-US" w:eastAsia="zh-CN"/>
              </w:rPr>
              <w:t>污染控制要求</w:t>
            </w:r>
            <w:r>
              <w:rPr>
                <w:rFonts w:hint="default"/>
              </w:rPr>
              <w:t>如下。</w:t>
            </w:r>
          </w:p>
          <w:p w14:paraId="65C5A632">
            <w:pPr>
              <w:pStyle w:val="3"/>
              <w:keepLines w:val="0"/>
              <w:suppressLineNumbers w:val="0"/>
              <w:bidi w:val="0"/>
              <w:spacing w:before="0" w:beforeAutospacing="0" w:after="0" w:afterAutospacing="0"/>
              <w:ind w:right="0"/>
              <w:rPr>
                <w:rFonts w:hint="default"/>
                <w:lang w:val="en-US"/>
              </w:rPr>
            </w:pPr>
            <w:r>
              <w:rPr>
                <w:rFonts w:hint="default"/>
              </w:rPr>
              <w:t>4.</w:t>
            </w:r>
            <w:r>
              <w:rPr>
                <w:rFonts w:hint="eastAsia"/>
                <w:lang w:val="en-US" w:eastAsia="zh-CN"/>
              </w:rPr>
              <w:t xml:space="preserve">2.1 </w:t>
            </w:r>
            <w:r>
              <w:rPr>
                <w:rFonts w:hint="default"/>
                <w:lang w:val="en-US" w:eastAsia="zh-CN"/>
              </w:rPr>
              <w:t>一般固废防治措施</w:t>
            </w:r>
          </w:p>
          <w:p w14:paraId="33159B04">
            <w:pPr>
              <w:keepNext w:val="0"/>
              <w:keepLines w:val="0"/>
              <w:suppressLineNumbers w:val="0"/>
              <w:bidi w:val="0"/>
              <w:spacing w:before="0" w:beforeAutospacing="0" w:after="0" w:afterAutospacing="0"/>
              <w:ind w:left="0" w:right="0"/>
              <w:rPr>
                <w:rFonts w:hint="default"/>
                <w:b w:val="0"/>
                <w:bCs w:val="0"/>
                <w:lang w:val="zh-CN" w:eastAsia="zh-CN"/>
              </w:rPr>
            </w:pPr>
            <w:r>
              <w:rPr>
                <w:rFonts w:hint="default"/>
                <w:b w:val="0"/>
                <w:bCs w:val="0"/>
                <w:lang w:val="zh-CN" w:eastAsia="zh-CN"/>
              </w:rPr>
              <w:t>本项目将严格按照《中华人民共和国固体废物污染环境防治法》（2020年9月1日修订）</w:t>
            </w:r>
            <w:r>
              <w:rPr>
                <w:rFonts w:hint="eastAsia" w:ascii="宋体" w:hAnsi="宋体" w:eastAsia="宋体" w:cs="宋体"/>
                <w:b w:val="0"/>
                <w:bCs w:val="0"/>
                <w:lang w:val="zh-CN" w:eastAsia="zh-CN"/>
              </w:rPr>
              <w:t>“防扬散、防流失、防渗漏或者其他防止污染环境的措施，不得擅自倾倒、堆放、丢弃、遗撒固体废物”的要求做好“三防”</w:t>
            </w:r>
            <w:r>
              <w:rPr>
                <w:rFonts w:hint="default"/>
                <w:b w:val="0"/>
                <w:bCs w:val="0"/>
                <w:lang w:val="zh-CN" w:eastAsia="zh-CN"/>
              </w:rPr>
              <w:t>，各类固体废物妥善处置，不得形成二次污染，同时禁止向生活垃圾收集设施投放工业固体废物。一般工业固废厂区内暂存参照执行《一般工业固体废物贮存和填埋污染控制标准》（GB18599-2020）中的</w:t>
            </w:r>
            <w:r>
              <w:rPr>
                <w:rFonts w:hint="eastAsia" w:ascii="宋体" w:hAnsi="宋体" w:eastAsia="宋体" w:cs="宋体"/>
                <w:b w:val="0"/>
                <w:bCs w:val="0"/>
                <w:lang w:val="zh-CN" w:eastAsia="zh-CN"/>
              </w:rPr>
              <w:t>“其贮存过程应满足相应防渗漏、防雨淋、防扬尘等环境保护要求”</w:t>
            </w:r>
            <w:r>
              <w:rPr>
                <w:rFonts w:hint="default"/>
                <w:b w:val="0"/>
                <w:bCs w:val="0"/>
                <w:lang w:val="zh-CN" w:eastAsia="zh-CN"/>
              </w:rPr>
              <w:t>。</w:t>
            </w:r>
          </w:p>
          <w:p w14:paraId="0E90F440">
            <w:pPr>
              <w:keepNext w:val="0"/>
              <w:keepLines w:val="0"/>
              <w:suppressLineNumbers w:val="0"/>
              <w:bidi w:val="0"/>
              <w:spacing w:before="0" w:beforeAutospacing="0" w:after="0" w:afterAutospacing="0"/>
              <w:ind w:left="0" w:right="0"/>
              <w:rPr>
                <w:rFonts w:hint="default"/>
                <w:b w:val="0"/>
                <w:bCs w:val="0"/>
                <w:lang w:val="zh-CN" w:eastAsia="zh-CN"/>
              </w:rPr>
            </w:pPr>
            <w:r>
              <w:rPr>
                <w:rFonts w:hint="default"/>
                <w:b w:val="0"/>
                <w:bCs w:val="0"/>
                <w:lang w:val="zh-CN" w:eastAsia="zh-CN"/>
              </w:rPr>
              <w:t>一般固废贮存管理要求落实如下：</w:t>
            </w:r>
          </w:p>
          <w:p w14:paraId="4678FCEF">
            <w:pPr>
              <w:keepNext w:val="0"/>
              <w:keepLines w:val="0"/>
              <w:suppressLineNumbers w:val="0"/>
              <w:bidi w:val="0"/>
              <w:spacing w:before="0" w:beforeAutospacing="0" w:after="0" w:afterAutospacing="0"/>
              <w:ind w:left="0" w:right="0"/>
              <w:rPr>
                <w:rFonts w:hint="default"/>
                <w:b w:val="0"/>
                <w:bCs w:val="0"/>
                <w:lang w:val="zh-CN" w:eastAsia="zh-CN"/>
              </w:rPr>
            </w:pPr>
            <w:r>
              <w:rPr>
                <w:rFonts w:hint="default"/>
                <w:b w:val="0"/>
                <w:bCs w:val="0"/>
                <w:lang w:val="zh-CN" w:eastAsia="zh-CN"/>
              </w:rPr>
              <w:t>①产生单位应当按照《一般工业固体废物管理台账制定指南（试行）》要求，建立管理台账，全面、准确地记录一般工业固体废物种类、数量、流向、贮存、利用、处置等信息。鼓励优先使用信息系统建立电子台账，建立电子台账的产生单位，无需再记录纸质台账。无法建立或者不适于使用电子台账的，建立纸质台账。</w:t>
            </w:r>
          </w:p>
          <w:p w14:paraId="16EE425A">
            <w:pPr>
              <w:keepNext w:val="0"/>
              <w:keepLines w:val="0"/>
              <w:suppressLineNumbers w:val="0"/>
              <w:bidi w:val="0"/>
              <w:spacing w:before="0" w:beforeAutospacing="0" w:after="0" w:afterAutospacing="0"/>
              <w:ind w:left="0" w:right="0"/>
              <w:rPr>
                <w:rFonts w:hint="default"/>
                <w:b w:val="0"/>
                <w:bCs w:val="0"/>
                <w:lang w:val="zh-CN" w:eastAsia="zh-CN"/>
              </w:rPr>
            </w:pPr>
            <w:r>
              <w:rPr>
                <w:rFonts w:hint="default"/>
                <w:b w:val="0"/>
                <w:bCs w:val="0"/>
                <w:lang w:val="zh-CN" w:eastAsia="zh-CN"/>
              </w:rPr>
              <w:t>②采用库房、包装工具（罐、桶、包装袋等）贮存一般工业固体废物，其贮存过程应当设置一般工业固体废物贮存库。贮存库设有雨棚、围堰或围墙，仓库内部地面干净平整无损，地面应当做硬化或其他防渗措施处理，满足防扬散、防流失、防渗漏、防雨淋等环境保护要求，不应露天堆放一般工业固体废物。应在贮存设施显著位置张贴符合《环境保护图形标志-固体废物贮存（处置）场》（GB15562.2）规定的环境保护图形标志，并注明相应固废类别。</w:t>
            </w:r>
          </w:p>
          <w:p w14:paraId="45A0B25E">
            <w:pPr>
              <w:keepNext w:val="0"/>
              <w:keepLines w:val="0"/>
              <w:suppressLineNumbers w:val="0"/>
              <w:bidi w:val="0"/>
              <w:spacing w:before="0" w:beforeAutospacing="0" w:after="0" w:afterAutospacing="0"/>
              <w:ind w:left="0" w:right="0"/>
              <w:rPr>
                <w:rFonts w:hint="default"/>
                <w:b w:val="0"/>
                <w:bCs w:val="0"/>
                <w:lang w:val="zh-CN" w:eastAsia="zh-CN"/>
              </w:rPr>
            </w:pPr>
            <w:r>
              <w:rPr>
                <w:rFonts w:hint="default"/>
                <w:b w:val="0"/>
                <w:bCs w:val="0"/>
                <w:lang w:val="zh-CN" w:eastAsia="zh-CN"/>
              </w:rPr>
              <w:t>③对照《固体废物分类与代码目录》，将一般工业固体废物分类分区贮存。一般工业固体废物不得混入生活垃圾和危险废物，不得向生活垃圾收集设施中投放工业固体废物。</w:t>
            </w:r>
          </w:p>
          <w:p w14:paraId="57A01C6C">
            <w:pPr>
              <w:pStyle w:val="3"/>
              <w:keepLines w:val="0"/>
              <w:suppressLineNumbers w:val="0"/>
              <w:bidi w:val="0"/>
              <w:spacing w:before="0" w:beforeAutospacing="0" w:after="0" w:afterAutospacing="0"/>
              <w:ind w:right="0"/>
              <w:rPr>
                <w:rFonts w:hint="default"/>
                <w:lang w:val="zh-CN"/>
              </w:rPr>
            </w:pPr>
            <w:r>
              <w:rPr>
                <w:rFonts w:hint="default"/>
              </w:rPr>
              <w:t>4.2.</w:t>
            </w:r>
            <w:r>
              <w:rPr>
                <w:rFonts w:hint="eastAsia"/>
                <w:lang w:val="en-US" w:eastAsia="zh-CN"/>
              </w:rPr>
              <w:t>2 危险废物</w:t>
            </w:r>
            <w:r>
              <w:rPr>
                <w:rFonts w:hint="default"/>
                <w:lang w:val="zh-CN"/>
              </w:rPr>
              <w:t>厂内贮存措施</w:t>
            </w:r>
          </w:p>
          <w:p w14:paraId="6355F70D">
            <w:pPr>
              <w:keepNext w:val="0"/>
              <w:keepLines w:val="0"/>
              <w:suppressLineNumbers w:val="0"/>
              <w:bidi w:val="0"/>
              <w:spacing w:before="0" w:beforeAutospacing="0" w:after="0" w:afterAutospacing="0"/>
              <w:ind w:left="0" w:right="0"/>
              <w:rPr>
                <w:rFonts w:hint="default"/>
                <w:lang w:val="en-US" w:eastAsia="zh-CN"/>
              </w:rPr>
            </w:pPr>
            <w:r>
              <w:rPr>
                <w:rFonts w:hint="default"/>
                <w:lang w:val="zh-CN"/>
              </w:rPr>
              <w:t>本项目危险废物需依据《国家危险废物名录（</w:t>
            </w:r>
            <w:r>
              <w:rPr>
                <w:rFonts w:hint="eastAsia"/>
                <w:lang w:val="en-US" w:eastAsia="zh-CN"/>
              </w:rPr>
              <w:t>2025</w:t>
            </w:r>
            <w:r>
              <w:rPr>
                <w:rFonts w:hint="default"/>
                <w:lang w:val="zh-CN"/>
              </w:rPr>
              <w:t>版）》和《危险废物鉴别标准 通则》（GB5085.7-2019），委托专业机构收集</w:t>
            </w:r>
            <w:r>
              <w:rPr>
                <w:rFonts w:hint="default"/>
                <w:lang w:val="en-US" w:eastAsia="zh-CN"/>
              </w:rPr>
              <w:t>处理</w:t>
            </w:r>
            <w:r>
              <w:rPr>
                <w:rFonts w:hint="default"/>
                <w:lang w:val="zh-CN"/>
              </w:rPr>
              <w:t>危险废物。</w:t>
            </w:r>
            <w:r>
              <w:rPr>
                <w:rFonts w:hint="eastAsia"/>
                <w:lang w:val="en-US" w:eastAsia="zh-CN"/>
              </w:rPr>
              <w:t>危废贮存点设置在厂房西北角，占地6m</w:t>
            </w:r>
            <w:r>
              <w:rPr>
                <w:rFonts w:hint="eastAsia"/>
                <w:vertAlign w:val="superscript"/>
                <w:lang w:val="en-US" w:eastAsia="zh-CN"/>
              </w:rPr>
              <w:t>2</w:t>
            </w:r>
            <w:r>
              <w:rPr>
                <w:rFonts w:hint="eastAsia"/>
                <w:lang w:val="en-US" w:eastAsia="zh-CN"/>
              </w:rPr>
              <w:t>。</w:t>
            </w:r>
          </w:p>
          <w:p w14:paraId="2D3A5097">
            <w:pPr>
              <w:keepNext w:val="0"/>
              <w:keepLines w:val="0"/>
              <w:suppressLineNumbers w:val="0"/>
              <w:bidi w:val="0"/>
              <w:spacing w:before="0" w:beforeAutospacing="0" w:after="0" w:afterAutospacing="0"/>
              <w:ind w:left="0" w:right="0"/>
              <w:rPr>
                <w:rFonts w:hint="default"/>
                <w:lang w:val="zh-CN"/>
              </w:rPr>
            </w:pPr>
            <w:r>
              <w:rPr>
                <w:rFonts w:hint="default"/>
                <w:lang w:val="zh-CN"/>
              </w:rPr>
              <w:t>对盛装危险废物的容器和包装物，要确保无破损、泄漏和其他缺陷，依据《危险废物贮存污染控制标准》（GB18597-20</w:t>
            </w:r>
            <w:r>
              <w:rPr>
                <w:rFonts w:hint="default"/>
              </w:rPr>
              <w:t>23</w:t>
            </w:r>
            <w:r>
              <w:rPr>
                <w:rFonts w:hint="default"/>
                <w:lang w:val="zh-CN"/>
              </w:rPr>
              <w:t>）规范建设危险废物贮存场所并设置危险废物标识。加强危险废物贮存期间的环境风险管理，危险废物贮存时间不得超过一年。针对本工程产生的危险固废，环评提出如下建议：</w:t>
            </w:r>
          </w:p>
          <w:p w14:paraId="046708D3">
            <w:pPr>
              <w:keepNext w:val="0"/>
              <w:keepLines w:val="0"/>
              <w:suppressLineNumbers w:val="0"/>
              <w:bidi w:val="0"/>
              <w:spacing w:before="0" w:beforeAutospacing="0" w:after="0" w:afterAutospacing="0"/>
              <w:ind w:left="0" w:right="0"/>
              <w:rPr>
                <w:rFonts w:hint="default"/>
                <w:lang w:val="zh-CN"/>
              </w:rPr>
            </w:pPr>
            <w:r>
              <w:rPr>
                <w:rFonts w:hint="default"/>
                <w:lang w:val="zh-CN"/>
              </w:rPr>
              <w:t>（</w:t>
            </w:r>
            <w:r>
              <w:rPr>
                <w:rFonts w:hint="default"/>
              </w:rPr>
              <w:t>1</w:t>
            </w:r>
            <w:r>
              <w:rPr>
                <w:rFonts w:hint="default"/>
                <w:lang w:val="zh-CN"/>
              </w:rPr>
              <w:t>）贮存危险废物的容器：</w:t>
            </w:r>
          </w:p>
          <w:p w14:paraId="667B7311">
            <w:pPr>
              <w:keepNext w:val="0"/>
              <w:keepLines w:val="0"/>
              <w:suppressLineNumbers w:val="0"/>
              <w:bidi w:val="0"/>
              <w:spacing w:before="0" w:beforeAutospacing="0" w:after="0" w:afterAutospacing="0"/>
              <w:ind w:left="0" w:right="0"/>
              <w:rPr>
                <w:rFonts w:hint="eastAsia"/>
                <w:lang w:val="zh-CN" w:eastAsia="zh-CN"/>
              </w:rPr>
            </w:pPr>
            <w:r>
              <w:rPr>
                <w:rFonts w:hint="default"/>
                <w:lang w:val="zh-CN"/>
              </w:rPr>
              <w:t>①</w:t>
            </w:r>
            <w:r>
              <w:rPr>
                <w:rFonts w:hint="default"/>
              </w:rPr>
              <w:t>容器和包装物材质、内衬应与盛装的危险废物相容</w:t>
            </w:r>
            <w:r>
              <w:rPr>
                <w:rFonts w:hint="eastAsia"/>
                <w:lang w:eastAsia="zh-CN"/>
              </w:rPr>
              <w:t>；</w:t>
            </w:r>
          </w:p>
          <w:p w14:paraId="543E9655">
            <w:pPr>
              <w:keepNext w:val="0"/>
              <w:keepLines w:val="0"/>
              <w:suppressLineNumbers w:val="0"/>
              <w:bidi w:val="0"/>
              <w:spacing w:before="0" w:beforeAutospacing="0" w:after="0" w:afterAutospacing="0"/>
              <w:ind w:left="0" w:right="0"/>
              <w:rPr>
                <w:rFonts w:hint="eastAsia"/>
                <w:lang w:val="zh-CN" w:eastAsia="zh-CN"/>
              </w:rPr>
            </w:pPr>
            <w:r>
              <w:rPr>
                <w:rFonts w:hint="default"/>
                <w:lang w:val="zh-CN"/>
              </w:rPr>
              <w:t>②</w:t>
            </w:r>
            <w:r>
              <w:rPr>
                <w:rFonts w:hint="default"/>
              </w:rPr>
              <w:t>针对不同类别、形态、物理化学性质的危险废物，其容器和包装物应满足相应的防渗、防漏、防腐和强度等要求</w:t>
            </w:r>
            <w:r>
              <w:rPr>
                <w:rFonts w:hint="eastAsia"/>
                <w:lang w:eastAsia="zh-CN"/>
              </w:rPr>
              <w:t>；</w:t>
            </w:r>
          </w:p>
          <w:p w14:paraId="214EB813">
            <w:pPr>
              <w:keepNext w:val="0"/>
              <w:keepLines w:val="0"/>
              <w:suppressLineNumbers w:val="0"/>
              <w:bidi w:val="0"/>
              <w:spacing w:before="0" w:beforeAutospacing="0" w:after="0" w:afterAutospacing="0"/>
              <w:ind w:left="0" w:right="0"/>
              <w:rPr>
                <w:rFonts w:hint="eastAsia"/>
                <w:lang w:eastAsia="zh-CN"/>
              </w:rPr>
            </w:pPr>
            <w:r>
              <w:rPr>
                <w:rFonts w:hint="default"/>
                <w:lang w:val="zh-CN"/>
              </w:rPr>
              <w:t>③</w:t>
            </w:r>
            <w:r>
              <w:rPr>
                <w:rFonts w:hint="default"/>
              </w:rPr>
              <w:t>硬质容器和包装物及其支护结构堆叠码放时不应有明显变形，无破损泄漏</w:t>
            </w:r>
            <w:r>
              <w:rPr>
                <w:rFonts w:hint="eastAsia"/>
                <w:lang w:eastAsia="zh-CN"/>
              </w:rPr>
              <w:t>；</w:t>
            </w:r>
          </w:p>
          <w:p w14:paraId="1F405F8F">
            <w:pPr>
              <w:keepNext w:val="0"/>
              <w:keepLines w:val="0"/>
              <w:suppressLineNumbers w:val="0"/>
              <w:bidi w:val="0"/>
              <w:spacing w:before="0" w:beforeAutospacing="0" w:after="0" w:afterAutospacing="0"/>
              <w:ind w:left="0" w:right="0"/>
              <w:rPr>
                <w:rFonts w:hint="eastAsia"/>
                <w:lang w:eastAsia="zh-CN"/>
              </w:rPr>
            </w:pPr>
            <w:r>
              <w:rPr>
                <w:rFonts w:hint="default"/>
              </w:rPr>
              <w:t>④柔性容器和包装物堆叠码放时应封口严密，无破损泄漏</w:t>
            </w:r>
            <w:r>
              <w:rPr>
                <w:rFonts w:hint="eastAsia"/>
                <w:lang w:eastAsia="zh-CN"/>
              </w:rPr>
              <w:t>；</w:t>
            </w:r>
          </w:p>
          <w:p w14:paraId="67067FEE">
            <w:pPr>
              <w:keepNext w:val="0"/>
              <w:keepLines w:val="0"/>
              <w:suppressLineNumbers w:val="0"/>
              <w:bidi w:val="0"/>
              <w:spacing w:before="0" w:beforeAutospacing="0" w:after="0" w:afterAutospacing="0"/>
              <w:ind w:left="0" w:right="0"/>
              <w:rPr>
                <w:rFonts w:hint="eastAsia"/>
                <w:lang w:eastAsia="zh-CN"/>
              </w:rPr>
            </w:pPr>
            <w:r>
              <w:rPr>
                <w:rFonts w:hint="default"/>
              </w:rPr>
              <w:t>⑤使用容器盛装液态、半固态危险废物时，容器内部应留有适当的空间，以适应因温度变化等可能引发的收缩和膨胀，防止其导致容器渗漏或永久变形</w:t>
            </w:r>
            <w:r>
              <w:rPr>
                <w:rFonts w:hint="eastAsia"/>
                <w:lang w:eastAsia="zh-CN"/>
              </w:rPr>
              <w:t>；</w:t>
            </w:r>
          </w:p>
          <w:p w14:paraId="7E51CA12">
            <w:pPr>
              <w:keepNext w:val="0"/>
              <w:keepLines w:val="0"/>
              <w:suppressLineNumbers w:val="0"/>
              <w:bidi w:val="0"/>
              <w:spacing w:before="0" w:beforeAutospacing="0" w:after="0" w:afterAutospacing="0"/>
              <w:ind w:left="0" w:right="0"/>
              <w:rPr>
                <w:rFonts w:hint="default"/>
              </w:rPr>
            </w:pPr>
            <w:r>
              <w:rPr>
                <w:rFonts w:hint="default"/>
              </w:rPr>
              <w:t>⑥容器和包装物外表面应保持清洁。</w:t>
            </w:r>
          </w:p>
          <w:p w14:paraId="03605DA6">
            <w:pPr>
              <w:keepNext w:val="0"/>
              <w:keepLines w:val="0"/>
              <w:suppressLineNumbers w:val="0"/>
              <w:bidi w:val="0"/>
              <w:spacing w:before="0" w:beforeAutospacing="0" w:after="0" w:afterAutospacing="0"/>
              <w:ind w:left="0" w:right="0"/>
              <w:rPr>
                <w:rFonts w:hint="default"/>
              </w:rPr>
            </w:pPr>
            <w:r>
              <w:rPr>
                <w:rFonts w:hint="default"/>
              </w:rPr>
              <w:t>（2）危险废物管理要求</w:t>
            </w:r>
          </w:p>
          <w:p w14:paraId="4E2D28AA">
            <w:pPr>
              <w:keepNext w:val="0"/>
              <w:keepLines w:val="0"/>
              <w:suppressLineNumbers w:val="0"/>
              <w:bidi w:val="0"/>
              <w:spacing w:before="0" w:beforeAutospacing="0" w:after="0" w:afterAutospacing="0"/>
              <w:ind w:left="0" w:right="0"/>
              <w:rPr>
                <w:rFonts w:hint="default"/>
              </w:rPr>
            </w:pPr>
            <w:r>
              <w:rPr>
                <w:rFonts w:hint="default"/>
              </w:rPr>
              <w:t>①制定危险废物管理计划；</w:t>
            </w:r>
          </w:p>
          <w:p w14:paraId="75AB234E">
            <w:pPr>
              <w:keepNext w:val="0"/>
              <w:keepLines w:val="0"/>
              <w:suppressLineNumbers w:val="0"/>
              <w:bidi w:val="0"/>
              <w:spacing w:before="0" w:beforeAutospacing="0" w:after="0" w:afterAutospacing="0"/>
              <w:ind w:left="0" w:right="0"/>
              <w:rPr>
                <w:rFonts w:hint="default"/>
              </w:rPr>
            </w:pPr>
            <w:r>
              <w:rPr>
                <w:rFonts w:hint="default"/>
              </w:rPr>
              <w:t>②建立危险废物管理台账，如实记录危险废物的种类、产生量、流向、贮存、利用、处置等有关信息；</w:t>
            </w:r>
          </w:p>
          <w:p w14:paraId="1308ACEA">
            <w:pPr>
              <w:keepNext w:val="0"/>
              <w:keepLines w:val="0"/>
              <w:suppressLineNumbers w:val="0"/>
              <w:bidi w:val="0"/>
              <w:spacing w:before="0" w:beforeAutospacing="0" w:after="0" w:afterAutospacing="0"/>
              <w:ind w:left="0" w:right="0"/>
              <w:rPr>
                <w:rFonts w:hint="default"/>
              </w:rPr>
            </w:pPr>
            <w:r>
              <w:rPr>
                <w:rFonts w:hint="default"/>
              </w:rPr>
              <w:t>③通过国家危险废物信息管理系统向所在地生态环境主管部门备案危险废物管理计划，申报危险废物有关资料；</w:t>
            </w:r>
          </w:p>
          <w:p w14:paraId="0486080C">
            <w:pPr>
              <w:keepNext w:val="0"/>
              <w:keepLines w:val="0"/>
              <w:suppressLineNumbers w:val="0"/>
              <w:bidi w:val="0"/>
              <w:spacing w:before="0" w:beforeAutospacing="0" w:after="0" w:afterAutospacing="0"/>
              <w:ind w:left="0" w:right="0"/>
              <w:rPr>
                <w:rFonts w:hint="default"/>
              </w:rPr>
            </w:pPr>
            <w:r>
              <w:rPr>
                <w:rFonts w:hint="default"/>
              </w:rPr>
              <w:t>④产生危险废物的单位应当按照实际情况填写记录有关内容，并对内容的真实性、准确性和完整性负责；</w:t>
            </w:r>
          </w:p>
          <w:p w14:paraId="593026AD">
            <w:pPr>
              <w:keepNext w:val="0"/>
              <w:keepLines w:val="0"/>
              <w:suppressLineNumbers w:val="0"/>
              <w:bidi w:val="0"/>
              <w:spacing w:before="0" w:beforeAutospacing="0" w:after="0" w:afterAutospacing="0"/>
              <w:ind w:left="0" w:right="0"/>
              <w:rPr>
                <w:rFonts w:hint="eastAsia"/>
                <w:lang w:eastAsia="zh-CN"/>
              </w:rPr>
            </w:pPr>
            <w:r>
              <w:rPr>
                <w:rFonts w:hint="default"/>
              </w:rPr>
              <w:t>⑤在危险废物产生场所设置电子地磅、视频监控、电子标签等集成智能监控手段，如实记录危险废物有关信息</w:t>
            </w:r>
            <w:r>
              <w:rPr>
                <w:rFonts w:hint="eastAsia"/>
                <w:lang w:eastAsia="zh-CN"/>
              </w:rPr>
              <w:t>；</w:t>
            </w:r>
          </w:p>
          <w:p w14:paraId="0685D8C1">
            <w:pPr>
              <w:keepNext w:val="0"/>
              <w:keepLines w:val="0"/>
              <w:suppressLineNumbers w:val="0"/>
              <w:bidi w:val="0"/>
              <w:spacing w:before="0" w:beforeAutospacing="0" w:after="0" w:afterAutospacing="0"/>
              <w:ind w:left="0" w:right="0"/>
              <w:rPr>
                <w:rFonts w:hint="eastAsia"/>
                <w:lang w:eastAsia="zh-CN"/>
              </w:rPr>
            </w:pPr>
            <w:r>
              <w:rPr>
                <w:rFonts w:hint="default"/>
              </w:rPr>
              <w:t>⑥产生危险废物的单位应建立危险废物管理台账，落实危险废物管理台账记录的责任人，明确工作职责，并对危险废物管理台账的真实性、准确性和完整性负法律责任</w:t>
            </w:r>
            <w:r>
              <w:rPr>
                <w:rFonts w:hint="eastAsia"/>
                <w:lang w:eastAsia="zh-CN"/>
              </w:rPr>
              <w:t>；</w:t>
            </w:r>
          </w:p>
          <w:p w14:paraId="52991D94">
            <w:pPr>
              <w:keepNext w:val="0"/>
              <w:keepLines w:val="0"/>
              <w:suppressLineNumbers w:val="0"/>
              <w:bidi w:val="0"/>
              <w:spacing w:before="0" w:beforeAutospacing="0" w:after="0" w:afterAutospacing="0"/>
              <w:ind w:left="0" w:right="0"/>
              <w:rPr>
                <w:rFonts w:hint="default"/>
              </w:rPr>
            </w:pPr>
            <w:r>
              <w:rPr>
                <w:rFonts w:hint="default"/>
              </w:rPr>
              <w:t>⑦产生危险废物的单位应根据危险废物产生、贮存、利用、处置等环节的动态流向，如实建立各环节的危险废物管理台账。</w:t>
            </w:r>
          </w:p>
          <w:p w14:paraId="52A478FD">
            <w:pPr>
              <w:keepNext w:val="0"/>
              <w:keepLines w:val="0"/>
              <w:suppressLineNumbers w:val="0"/>
              <w:bidi w:val="0"/>
              <w:spacing w:before="0" w:beforeAutospacing="0" w:after="0" w:afterAutospacing="0"/>
              <w:ind w:left="0" w:right="0"/>
              <w:rPr>
                <w:rFonts w:hint="default"/>
              </w:rPr>
            </w:pPr>
            <w:r>
              <w:rPr>
                <w:rFonts w:hint="default"/>
              </w:rPr>
              <w:t>（3）对</w:t>
            </w:r>
            <w:r>
              <w:rPr>
                <w:rFonts w:hint="eastAsia"/>
                <w:lang w:eastAsia="zh-CN"/>
              </w:rPr>
              <w:t>危废贮存点</w:t>
            </w:r>
            <w:r>
              <w:rPr>
                <w:rFonts w:hint="default"/>
              </w:rPr>
              <w:t>选址要求：</w:t>
            </w:r>
          </w:p>
          <w:p w14:paraId="4433BBE5">
            <w:pPr>
              <w:keepNext w:val="0"/>
              <w:keepLines w:val="0"/>
              <w:suppressLineNumbers w:val="0"/>
              <w:bidi w:val="0"/>
              <w:spacing w:before="0" w:beforeAutospacing="0" w:after="0" w:afterAutospacing="0"/>
              <w:ind w:left="0" w:right="0"/>
              <w:rPr>
                <w:rFonts w:hint="eastAsia"/>
                <w:lang w:eastAsia="zh-CN"/>
              </w:rPr>
            </w:pPr>
            <w:r>
              <w:rPr>
                <w:rFonts w:hint="default"/>
              </w:rPr>
              <w:t>①</w:t>
            </w:r>
            <w:r>
              <w:rPr>
                <w:rFonts w:hint="eastAsia"/>
                <w:lang w:eastAsia="zh-CN"/>
              </w:rPr>
              <w:t>危废贮存点</w:t>
            </w:r>
            <w:r>
              <w:rPr>
                <w:rFonts w:hint="default"/>
              </w:rPr>
              <w:t>选址应满足生态环境保护法律法规、规划和</w:t>
            </w:r>
            <w:r>
              <w:rPr>
                <w:rFonts w:hint="eastAsia" w:ascii="宋体" w:hAnsi="宋体" w:eastAsia="宋体" w:cs="宋体"/>
              </w:rPr>
              <w:t>“三线一单”</w:t>
            </w:r>
            <w:r>
              <w:rPr>
                <w:rFonts w:hint="default"/>
              </w:rPr>
              <w:t>生态环境分区管控的要求，建设项目应依法进行环境影响评价</w:t>
            </w:r>
            <w:r>
              <w:rPr>
                <w:rFonts w:hint="eastAsia"/>
                <w:lang w:eastAsia="zh-CN"/>
              </w:rPr>
              <w:t>；</w:t>
            </w:r>
          </w:p>
          <w:p w14:paraId="29096393">
            <w:pPr>
              <w:keepNext w:val="0"/>
              <w:keepLines w:val="0"/>
              <w:suppressLineNumbers w:val="0"/>
              <w:bidi w:val="0"/>
              <w:spacing w:before="0" w:beforeAutospacing="0" w:after="0" w:afterAutospacing="0"/>
              <w:ind w:left="0" w:right="0"/>
              <w:rPr>
                <w:rFonts w:hint="eastAsia"/>
                <w:lang w:eastAsia="zh-CN"/>
              </w:rPr>
            </w:pPr>
            <w:r>
              <w:rPr>
                <w:rFonts w:hint="default"/>
              </w:rPr>
              <w:t>②</w:t>
            </w:r>
            <w:r>
              <w:rPr>
                <w:rFonts w:hint="eastAsia"/>
                <w:lang w:eastAsia="zh-CN"/>
              </w:rPr>
              <w:t>危废贮存点</w:t>
            </w:r>
            <w:r>
              <w:rPr>
                <w:rFonts w:hint="default"/>
              </w:rPr>
              <w:t>不应选在生态保护红线区域、永久基本农田和其他需要特别保护的区域内，不应建在溶洞区或易遭受洪水、滑坡、泥石流、潮汐等严重自然灾害影响的地区</w:t>
            </w:r>
            <w:r>
              <w:rPr>
                <w:rFonts w:hint="eastAsia"/>
                <w:lang w:eastAsia="zh-CN"/>
              </w:rPr>
              <w:t>；</w:t>
            </w:r>
          </w:p>
          <w:p w14:paraId="5DE833E5">
            <w:pPr>
              <w:keepNext w:val="0"/>
              <w:keepLines w:val="0"/>
              <w:suppressLineNumbers w:val="0"/>
              <w:bidi w:val="0"/>
              <w:spacing w:before="0" w:beforeAutospacing="0" w:after="0" w:afterAutospacing="0"/>
              <w:ind w:left="0" w:right="0"/>
              <w:rPr>
                <w:rFonts w:hint="eastAsia"/>
                <w:lang w:eastAsia="zh-CN"/>
              </w:rPr>
            </w:pPr>
            <w:r>
              <w:rPr>
                <w:rFonts w:hint="default"/>
              </w:rPr>
              <w:t>③</w:t>
            </w:r>
            <w:r>
              <w:rPr>
                <w:rFonts w:hint="eastAsia"/>
                <w:lang w:eastAsia="zh-CN"/>
              </w:rPr>
              <w:t>危废贮存点</w:t>
            </w:r>
            <w:r>
              <w:rPr>
                <w:rFonts w:hint="default"/>
              </w:rPr>
              <w:t>不应选在江河、湖泊、运河、渠道、水库及其最高水位线以下的滩地和岸坡，以及法律法规规定禁止贮存危险废物的其他地点</w:t>
            </w:r>
            <w:r>
              <w:rPr>
                <w:rFonts w:hint="eastAsia"/>
                <w:lang w:eastAsia="zh-CN"/>
              </w:rPr>
              <w:t>；</w:t>
            </w:r>
          </w:p>
          <w:p w14:paraId="69AA900B">
            <w:pPr>
              <w:keepNext w:val="0"/>
              <w:keepLines w:val="0"/>
              <w:suppressLineNumbers w:val="0"/>
              <w:bidi w:val="0"/>
              <w:spacing w:before="0" w:beforeAutospacing="0" w:after="0" w:afterAutospacing="0"/>
              <w:ind w:left="0" w:right="0"/>
              <w:rPr>
                <w:rFonts w:hint="default"/>
              </w:rPr>
            </w:pPr>
            <w:r>
              <w:rPr>
                <w:rFonts w:hint="default"/>
              </w:rPr>
              <w:t>④</w:t>
            </w:r>
            <w:r>
              <w:rPr>
                <w:rFonts w:hint="eastAsia"/>
                <w:lang w:eastAsia="zh-CN"/>
              </w:rPr>
              <w:t>危废贮存点</w:t>
            </w:r>
            <w:r>
              <w:rPr>
                <w:rFonts w:hint="default"/>
              </w:rPr>
              <w:t>场址的位置以及其与周围环境敏感目标的距离应依据环境影响评价文件确定。</w:t>
            </w:r>
          </w:p>
          <w:p w14:paraId="4154D51E">
            <w:pPr>
              <w:keepNext w:val="0"/>
              <w:keepLines w:val="0"/>
              <w:suppressLineNumbers w:val="0"/>
              <w:bidi w:val="0"/>
              <w:spacing w:before="0" w:beforeAutospacing="0" w:after="0" w:afterAutospacing="0"/>
              <w:ind w:left="0" w:right="0"/>
              <w:rPr>
                <w:rFonts w:hint="default"/>
                <w:lang w:val="zh-CN"/>
              </w:rPr>
            </w:pPr>
            <w:r>
              <w:rPr>
                <w:rFonts w:hint="default"/>
                <w:lang w:val="zh-CN"/>
              </w:rPr>
              <w:t>（</w:t>
            </w:r>
            <w:r>
              <w:rPr>
                <w:rFonts w:hint="default"/>
              </w:rPr>
              <w:t>4</w:t>
            </w:r>
            <w:r>
              <w:rPr>
                <w:rFonts w:hint="default"/>
                <w:lang w:val="zh-CN"/>
              </w:rPr>
              <w:t>）对</w:t>
            </w:r>
            <w:r>
              <w:rPr>
                <w:rFonts w:hint="eastAsia"/>
                <w:lang w:val="en-US" w:eastAsia="zh-CN"/>
              </w:rPr>
              <w:t>危废贮存点</w:t>
            </w:r>
            <w:r>
              <w:rPr>
                <w:rFonts w:hint="default"/>
                <w:lang w:val="zh-CN"/>
              </w:rPr>
              <w:t>要求：</w:t>
            </w:r>
          </w:p>
          <w:p w14:paraId="38A5AE6C">
            <w:pPr>
              <w:keepNext w:val="0"/>
              <w:keepLines w:val="0"/>
              <w:suppressLineNumbers w:val="0"/>
              <w:bidi w:val="0"/>
              <w:spacing w:before="0" w:beforeAutospacing="0" w:after="0" w:afterAutospacing="0"/>
              <w:ind w:left="0" w:right="0"/>
              <w:rPr>
                <w:rFonts w:hint="eastAsia"/>
                <w:lang w:eastAsia="zh-CN"/>
              </w:rPr>
            </w:pPr>
            <w:r>
              <w:rPr>
                <w:rFonts w:hint="default"/>
                <w:lang w:val="zh-CN"/>
              </w:rPr>
              <w:t>①</w:t>
            </w:r>
            <w:r>
              <w:rPr>
                <w:rFonts w:hint="eastAsia"/>
                <w:lang w:eastAsia="zh-CN"/>
              </w:rPr>
              <w:t>危废贮存点</w:t>
            </w:r>
            <w:r>
              <w:rPr>
                <w:rFonts w:hint="default"/>
              </w:rPr>
              <w:t>内不同贮存分区之间应采取隔离措施。隔离措施可根据危险废物特性采用过道、隔板或隔墙等方式</w:t>
            </w:r>
            <w:r>
              <w:rPr>
                <w:rFonts w:hint="eastAsia"/>
                <w:lang w:eastAsia="zh-CN"/>
              </w:rPr>
              <w:t>；</w:t>
            </w:r>
          </w:p>
          <w:p w14:paraId="7EAC6DD3">
            <w:pPr>
              <w:keepNext w:val="0"/>
              <w:keepLines w:val="0"/>
              <w:suppressLineNumbers w:val="0"/>
              <w:bidi w:val="0"/>
              <w:spacing w:before="0" w:beforeAutospacing="0" w:after="0" w:afterAutospacing="0"/>
              <w:ind w:left="0" w:right="0"/>
              <w:rPr>
                <w:rFonts w:hint="default"/>
              </w:rPr>
            </w:pPr>
            <w:r>
              <w:rPr>
                <w:rFonts w:hint="default"/>
              </w:rPr>
              <w:t>②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p w14:paraId="0BE2AAC3">
            <w:pPr>
              <w:keepNext w:val="0"/>
              <w:keepLines w:val="0"/>
              <w:suppressLineNumbers w:val="0"/>
              <w:bidi w:val="0"/>
              <w:spacing w:before="0" w:beforeAutospacing="0" w:after="0" w:afterAutospacing="0"/>
              <w:ind w:left="0" w:right="0"/>
              <w:rPr>
                <w:rFonts w:hint="default"/>
              </w:rPr>
            </w:pPr>
            <w:r>
              <w:rPr>
                <w:rFonts w:hint="default"/>
              </w:rPr>
              <w:t>（5）固体废物管理要求</w:t>
            </w:r>
          </w:p>
          <w:p w14:paraId="6CDE3915">
            <w:pPr>
              <w:keepNext w:val="0"/>
              <w:keepLines w:val="0"/>
              <w:suppressLineNumbers w:val="0"/>
              <w:bidi w:val="0"/>
              <w:spacing w:before="0" w:beforeAutospacing="0" w:after="0" w:afterAutospacing="0"/>
              <w:ind w:left="0" w:right="0"/>
              <w:rPr>
                <w:rFonts w:hint="default"/>
              </w:rPr>
            </w:pPr>
            <w:r>
              <w:rPr>
                <w:rFonts w:hint="default"/>
              </w:rPr>
              <w:t>①一般工业固体废物管理台账实施分级管理；</w:t>
            </w:r>
          </w:p>
          <w:p w14:paraId="22183FC5">
            <w:pPr>
              <w:keepNext w:val="0"/>
              <w:keepLines w:val="0"/>
              <w:suppressLineNumbers w:val="0"/>
              <w:bidi w:val="0"/>
              <w:spacing w:before="0" w:beforeAutospacing="0" w:after="0" w:afterAutospacing="0"/>
              <w:ind w:left="0" w:right="0"/>
              <w:rPr>
                <w:rFonts w:hint="default"/>
                <w:lang w:val="zh-CN"/>
              </w:rPr>
            </w:pPr>
            <w:r>
              <w:rPr>
                <w:rFonts w:hint="default"/>
              </w:rPr>
              <w:t>②采用国家建立的一般工业固体废物管理电子台账，简化数据填写、台账管理等工作；</w:t>
            </w:r>
          </w:p>
          <w:p w14:paraId="39F7D0F3">
            <w:pPr>
              <w:keepNext w:val="0"/>
              <w:keepLines w:val="0"/>
              <w:suppressLineNumbers w:val="0"/>
              <w:bidi w:val="0"/>
              <w:spacing w:before="0" w:beforeAutospacing="0" w:after="0" w:afterAutospacing="0"/>
              <w:ind w:left="0" w:right="0"/>
              <w:rPr>
                <w:rFonts w:hint="default"/>
                <w:lang w:val="zh-CN"/>
              </w:rPr>
            </w:pPr>
            <w:r>
              <w:rPr>
                <w:rFonts w:hint="default"/>
              </w:rPr>
              <w:t>③台账记录表各表单的负责人对记录信息的真实性、完整性和规范性负责；</w:t>
            </w:r>
          </w:p>
          <w:p w14:paraId="31773A6E">
            <w:pPr>
              <w:keepNext w:val="0"/>
              <w:keepLines w:val="0"/>
              <w:suppressLineNumbers w:val="0"/>
              <w:bidi w:val="0"/>
              <w:spacing w:before="0" w:beforeAutospacing="0" w:after="0" w:afterAutospacing="0"/>
              <w:ind w:left="0" w:right="0"/>
              <w:rPr>
                <w:rFonts w:hint="default"/>
                <w:lang w:val="zh-CN"/>
              </w:rPr>
            </w:pPr>
            <w:r>
              <w:rPr>
                <w:rFonts w:hint="default"/>
              </w:rPr>
              <w:t>④产废单位应当设立专人负责台账的管理与归档，一般工业固体废物管理台账保存期限不少于5年；</w:t>
            </w:r>
          </w:p>
          <w:p w14:paraId="343E00C5">
            <w:pPr>
              <w:keepNext w:val="0"/>
              <w:keepLines w:val="0"/>
              <w:suppressLineNumbers w:val="0"/>
              <w:bidi w:val="0"/>
              <w:spacing w:before="0" w:beforeAutospacing="0" w:after="0" w:afterAutospacing="0"/>
              <w:ind w:left="0" w:right="0"/>
              <w:rPr>
                <w:rFonts w:hint="default"/>
              </w:rPr>
            </w:pPr>
            <w:r>
              <w:rPr>
                <w:rFonts w:hint="default"/>
              </w:rPr>
              <w:t>⑤在固体废物产生场所、贮存场所及磅秤位置等关键点位设置视频监控，提高台账记录信息的准确性。</w:t>
            </w:r>
          </w:p>
          <w:p w14:paraId="0352C829">
            <w:pPr>
              <w:pStyle w:val="3"/>
              <w:keepLines w:val="0"/>
              <w:suppressLineNumbers w:val="0"/>
              <w:bidi w:val="0"/>
              <w:spacing w:before="0" w:beforeAutospacing="0" w:after="0" w:afterAutospacing="0"/>
              <w:ind w:right="0"/>
              <w:rPr>
                <w:rFonts w:hint="default"/>
                <w:lang w:val="zh-CN"/>
              </w:rPr>
            </w:pPr>
            <w:r>
              <w:rPr>
                <w:rFonts w:hint="default"/>
              </w:rPr>
              <w:t>4.2.</w:t>
            </w:r>
            <w:r>
              <w:rPr>
                <w:rFonts w:hint="eastAsia"/>
                <w:lang w:val="en-US" w:eastAsia="zh-CN"/>
              </w:rPr>
              <w:t xml:space="preserve">3 </w:t>
            </w:r>
            <w:r>
              <w:rPr>
                <w:rFonts w:hint="default"/>
                <w:lang w:val="zh-CN"/>
              </w:rPr>
              <w:t>危险废物运输措施</w:t>
            </w:r>
          </w:p>
          <w:p w14:paraId="3938A911">
            <w:pPr>
              <w:keepNext w:val="0"/>
              <w:keepLines w:val="0"/>
              <w:suppressLineNumbers w:val="0"/>
              <w:bidi w:val="0"/>
              <w:spacing w:before="0" w:beforeAutospacing="0" w:after="0" w:afterAutospacing="0"/>
              <w:ind w:left="0" w:right="0"/>
              <w:rPr>
                <w:rFonts w:hint="default"/>
              </w:rPr>
            </w:pPr>
            <w:r>
              <w:rPr>
                <w:rFonts w:hint="default"/>
              </w:rPr>
              <w:t>防止运输过程中危险废物的污染损害是防止危险废物污染损害的主要环节之一。在运输过程中，如果管理不当或未采取适当的污染防治和安全防护措施，则极易造成污染。我国每年都发生危险废物运输事故，并造成了严重的污染危害。因此，必须对危险废物的运输加以控制和管理。运输危险废物，必须同时符合两个要求，一是必须采取防止污染环境的措施，符合环境保护的要求，做到无害化的运输；二是必须将所运输的危险废物作为危险货物对待，遵守国家有关危险货物运输管理的规定，符合危险货物运输的安全防护要求，做到安全运输。具体的防治污染环境的措施有：</w:t>
            </w:r>
          </w:p>
          <w:p w14:paraId="50C6A1CC">
            <w:pPr>
              <w:keepNext w:val="0"/>
              <w:keepLines w:val="0"/>
              <w:suppressLineNumbers w:val="0"/>
              <w:bidi w:val="0"/>
              <w:spacing w:before="0" w:beforeAutospacing="0" w:after="0" w:afterAutospacing="0"/>
              <w:ind w:left="0" w:right="0"/>
              <w:rPr>
                <w:rFonts w:hint="default"/>
              </w:rPr>
            </w:pPr>
            <w:r>
              <w:rPr>
                <w:rFonts w:hint="default"/>
              </w:rPr>
              <w:t>①运输时应当采取密闭、遮盖等措施防止扬散；</w:t>
            </w:r>
          </w:p>
          <w:p w14:paraId="4B8EFB92">
            <w:pPr>
              <w:keepNext w:val="0"/>
              <w:keepLines w:val="0"/>
              <w:suppressLineNumbers w:val="0"/>
              <w:bidi w:val="0"/>
              <w:spacing w:before="0" w:beforeAutospacing="0" w:after="0" w:afterAutospacing="0"/>
              <w:ind w:left="0" w:right="0"/>
              <w:rPr>
                <w:rFonts w:hint="default"/>
              </w:rPr>
            </w:pPr>
            <w:r>
              <w:rPr>
                <w:rFonts w:hint="default"/>
              </w:rPr>
              <w:t>②对运输危险废物的设施和设备应当加强管理和维护，保证其正常运行和使用；</w:t>
            </w:r>
          </w:p>
          <w:p w14:paraId="166D7B29">
            <w:pPr>
              <w:keepNext w:val="0"/>
              <w:keepLines w:val="0"/>
              <w:suppressLineNumbers w:val="0"/>
              <w:bidi w:val="0"/>
              <w:spacing w:before="0" w:beforeAutospacing="0" w:after="0" w:afterAutospacing="0"/>
              <w:ind w:left="0" w:right="0"/>
              <w:rPr>
                <w:rFonts w:hint="default"/>
              </w:rPr>
            </w:pPr>
            <w:r>
              <w:rPr>
                <w:rFonts w:hint="default"/>
              </w:rPr>
              <w:t>③不能混合运输性质不相容而又未经安全性处置的危险废物；</w:t>
            </w:r>
          </w:p>
          <w:p w14:paraId="48EB4EA2">
            <w:pPr>
              <w:keepNext w:val="0"/>
              <w:keepLines w:val="0"/>
              <w:suppressLineNumbers w:val="0"/>
              <w:bidi w:val="0"/>
              <w:spacing w:before="0" w:beforeAutospacing="0" w:after="0" w:afterAutospacing="0"/>
              <w:ind w:left="0" w:right="0"/>
              <w:rPr>
                <w:rFonts w:hint="default"/>
              </w:rPr>
            </w:pPr>
            <w:r>
              <w:rPr>
                <w:rFonts w:hint="default"/>
              </w:rPr>
              <w:t>④禁止将危险废物与旅客在同一运输工具上载运；</w:t>
            </w:r>
          </w:p>
          <w:p w14:paraId="1F1300DF">
            <w:pPr>
              <w:keepNext w:val="0"/>
              <w:keepLines w:val="0"/>
              <w:suppressLineNumbers w:val="0"/>
              <w:bidi w:val="0"/>
              <w:spacing w:before="0" w:beforeAutospacing="0" w:after="0" w:afterAutospacing="0"/>
              <w:ind w:left="0" w:right="0"/>
              <w:rPr>
                <w:rFonts w:hint="default"/>
              </w:rPr>
            </w:pPr>
            <w:r>
              <w:rPr>
                <w:rFonts w:hint="default"/>
              </w:rPr>
              <w:t>⑤运输危险废物的设施和设备在转作他用时，必须经过消除污染的处理，方可使用；</w:t>
            </w:r>
          </w:p>
          <w:p w14:paraId="5E7BEEFA">
            <w:pPr>
              <w:keepNext w:val="0"/>
              <w:keepLines w:val="0"/>
              <w:suppressLineNumbers w:val="0"/>
              <w:bidi w:val="0"/>
              <w:spacing w:before="0" w:beforeAutospacing="0" w:after="0" w:afterAutospacing="0"/>
              <w:ind w:left="0" w:right="0"/>
              <w:rPr>
                <w:rFonts w:hint="default"/>
              </w:rPr>
            </w:pPr>
            <w:r>
              <w:rPr>
                <w:rFonts w:hint="default"/>
              </w:rPr>
              <w:t>⑥运输危险废物的人员，应当接受专业培训；经考核合格后，方可从事运输危险废物的工作；</w:t>
            </w:r>
          </w:p>
          <w:p w14:paraId="1F726371">
            <w:pPr>
              <w:keepNext w:val="0"/>
              <w:keepLines w:val="0"/>
              <w:suppressLineNumbers w:val="0"/>
              <w:bidi w:val="0"/>
              <w:spacing w:before="0" w:beforeAutospacing="0" w:after="0" w:afterAutospacing="0"/>
              <w:ind w:left="0" w:right="0"/>
              <w:rPr>
                <w:rFonts w:hint="default"/>
              </w:rPr>
            </w:pPr>
            <w:r>
              <w:rPr>
                <w:rFonts w:hint="default"/>
              </w:rPr>
              <w:t>⑦运输危险废物的单位应当制定在发生意外事故时采取的应急措施和防范措施；</w:t>
            </w:r>
          </w:p>
          <w:p w14:paraId="1123BD7C">
            <w:pPr>
              <w:keepNext w:val="0"/>
              <w:keepLines w:val="0"/>
              <w:suppressLineNumbers w:val="0"/>
              <w:bidi w:val="0"/>
              <w:spacing w:before="0" w:beforeAutospacing="0" w:after="0" w:afterAutospacing="0"/>
              <w:ind w:left="0" w:right="0"/>
              <w:rPr>
                <w:rFonts w:hint="default"/>
              </w:rPr>
            </w:pPr>
            <w:r>
              <w:rPr>
                <w:rFonts w:hint="default"/>
              </w:rPr>
              <w:t>⑧运输时，发生突发性事故必须立即采取措施消除或者减轻对环境的污染危害，及时通报给附近的单位和居民，并向事故发生地县级以上人民政府环境保护行政主管部门和有关部门报告，接受调查处理。</w:t>
            </w:r>
          </w:p>
          <w:p w14:paraId="57F9BD5A">
            <w:pPr>
              <w:keepNext w:val="0"/>
              <w:keepLines w:val="0"/>
              <w:suppressLineNumbers w:val="0"/>
              <w:bidi w:val="0"/>
              <w:spacing w:before="0" w:beforeAutospacing="0" w:after="0" w:afterAutospacing="0"/>
              <w:ind w:left="0" w:right="0"/>
              <w:rPr>
                <w:rFonts w:hint="default"/>
              </w:rPr>
            </w:pPr>
            <w:r>
              <w:rPr>
                <w:rFonts w:hint="default"/>
              </w:rPr>
              <w:t>综上，本项目</w:t>
            </w:r>
            <w:r>
              <w:rPr>
                <w:rFonts w:hint="default"/>
                <w:lang w:val="en-US" w:eastAsia="zh-CN"/>
              </w:rPr>
              <w:t>危险</w:t>
            </w:r>
            <w:r>
              <w:rPr>
                <w:rFonts w:hint="default"/>
              </w:rPr>
              <w:t>废物去向明确，均能得到妥善处置，对周围环境影响不大。</w:t>
            </w:r>
          </w:p>
          <w:p w14:paraId="63AA2323">
            <w:pPr>
              <w:pStyle w:val="3"/>
              <w:keepLines w:val="0"/>
              <w:suppressLineNumbers w:val="0"/>
              <w:bidi w:val="0"/>
              <w:spacing w:before="0" w:beforeAutospacing="0" w:after="0" w:afterAutospacing="0"/>
              <w:ind w:right="0"/>
              <w:rPr>
                <w:rFonts w:hint="default"/>
              </w:rPr>
            </w:pPr>
            <w:r>
              <w:rPr>
                <w:rFonts w:hint="default"/>
                <w:lang w:val="en-US" w:eastAsia="zh-CN"/>
              </w:rPr>
              <w:t>4.2.</w:t>
            </w:r>
            <w:r>
              <w:rPr>
                <w:rFonts w:hint="eastAsia"/>
                <w:lang w:val="en-US" w:eastAsia="zh-CN"/>
              </w:rPr>
              <w:t xml:space="preserve">4 </w:t>
            </w:r>
            <w:r>
              <w:rPr>
                <w:rFonts w:hint="default"/>
                <w:lang w:val="en-US" w:eastAsia="zh-CN"/>
              </w:rPr>
              <w:t>贮存设施污染控制要求</w:t>
            </w:r>
          </w:p>
          <w:p w14:paraId="2F82DA39">
            <w:pPr>
              <w:keepNext w:val="0"/>
              <w:keepLines w:val="0"/>
              <w:suppressLineNumbers w:val="0"/>
              <w:bidi w:val="0"/>
              <w:spacing w:before="0" w:beforeAutospacing="0" w:after="0" w:afterAutospacing="0"/>
              <w:ind w:left="0" w:right="0"/>
              <w:rPr>
                <w:rFonts w:hint="default"/>
                <w:lang w:val="en-US" w:eastAsia="zh-CN"/>
              </w:rPr>
            </w:pPr>
            <w:r>
              <w:rPr>
                <w:rFonts w:hint="default"/>
                <w:lang w:val="zh-CN"/>
              </w:rPr>
              <w:t>依据《危险废物贮存污染控制标准》（GB18597-20</w:t>
            </w:r>
            <w:r>
              <w:rPr>
                <w:rFonts w:hint="default"/>
              </w:rPr>
              <w:t>23</w:t>
            </w:r>
            <w:r>
              <w:rPr>
                <w:rFonts w:hint="default"/>
                <w:lang w:val="zh-CN"/>
              </w:rPr>
              <w:t>）中相关</w:t>
            </w:r>
            <w:r>
              <w:rPr>
                <w:rFonts w:hint="default"/>
                <w:lang w:val="en-US" w:eastAsia="zh-CN"/>
              </w:rPr>
              <w:t>要求，对贮存设施污染控制要求如下：</w:t>
            </w:r>
          </w:p>
          <w:p w14:paraId="39BA76EC">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①贮存设施应根据危险废物的形态、物理化学性质、包装形式和污染物迁移途径，采取必要的防风、防晒、防雨、防漏、防渗、防腐以及其他环境污染防治措施，不应露天堆放危险废物</w:t>
            </w:r>
            <w:r>
              <w:rPr>
                <w:rFonts w:hint="eastAsia"/>
                <w:lang w:val="en-US" w:eastAsia="zh-CN"/>
              </w:rPr>
              <w:t>；</w:t>
            </w:r>
          </w:p>
          <w:p w14:paraId="79EEEBA7">
            <w:pPr>
              <w:keepNext w:val="0"/>
              <w:keepLines w:val="0"/>
              <w:suppressLineNumbers w:val="0"/>
              <w:bidi w:val="0"/>
              <w:spacing w:before="0" w:beforeAutospacing="0" w:after="0" w:afterAutospacing="0"/>
              <w:ind w:left="0" w:right="0"/>
              <w:rPr>
                <w:rFonts w:hint="default"/>
              </w:rPr>
            </w:pPr>
            <w:r>
              <w:rPr>
                <w:rFonts w:hint="default"/>
                <w:lang w:val="en-US" w:eastAsia="zh-CN"/>
              </w:rPr>
              <w:t>②贮存设施应根据危险废物的类别、数量、形态、物理化学性质和污染防治等要求设置必要的贮存分区，避免不相容的危险废物接触、混合</w:t>
            </w:r>
            <w:r>
              <w:rPr>
                <w:rFonts w:hint="eastAsia"/>
                <w:lang w:val="en-US" w:eastAsia="zh-CN"/>
              </w:rPr>
              <w:t>；</w:t>
            </w:r>
          </w:p>
          <w:p w14:paraId="2E4251BC">
            <w:pPr>
              <w:keepNext w:val="0"/>
              <w:keepLines w:val="0"/>
              <w:suppressLineNumbers w:val="0"/>
              <w:bidi w:val="0"/>
              <w:spacing w:before="0" w:beforeAutospacing="0" w:after="0" w:afterAutospacing="0"/>
              <w:ind w:left="0" w:right="0"/>
              <w:rPr>
                <w:rFonts w:hint="default"/>
              </w:rPr>
            </w:pPr>
            <w:r>
              <w:rPr>
                <w:rFonts w:hint="default"/>
                <w:lang w:val="en-US" w:eastAsia="zh-CN"/>
              </w:rPr>
              <w:t>③贮存设施或贮存分区内地面、墙面裙脚、堵截泄漏的围堰、接触危险废物的隔板和墙体等应采用坚固的材料建造，表面无裂缝</w:t>
            </w:r>
            <w:r>
              <w:rPr>
                <w:rFonts w:hint="eastAsia"/>
                <w:lang w:val="en-US" w:eastAsia="zh-CN"/>
              </w:rPr>
              <w:t>；</w:t>
            </w:r>
          </w:p>
          <w:p w14:paraId="269A469E">
            <w:pPr>
              <w:keepNext w:val="0"/>
              <w:keepLines w:val="0"/>
              <w:suppressLineNumbers w:val="0"/>
              <w:bidi w:val="0"/>
              <w:spacing w:before="0" w:beforeAutospacing="0" w:after="0" w:afterAutospacing="0"/>
              <w:ind w:left="0" w:right="0"/>
              <w:rPr>
                <w:rFonts w:hint="default"/>
              </w:rPr>
            </w:pPr>
            <w:r>
              <w:rPr>
                <w:rFonts w:hint="default"/>
                <w:lang w:val="en-US" w:eastAsia="zh-CN"/>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vertAlign w:val="superscript"/>
                <w:lang w:val="en-US" w:eastAsia="zh-CN"/>
              </w:rPr>
              <w:t>-7</w:t>
            </w:r>
            <w:r>
              <w:rPr>
                <w:rFonts w:hint="default"/>
                <w:lang w:val="en-US" w:eastAsia="zh-CN"/>
              </w:rPr>
              <w:t>cm/s），或至少2mm厚高密度聚乙烯膜等人工防渗材料（渗透系数不大于10</w:t>
            </w:r>
            <w:r>
              <w:rPr>
                <w:rFonts w:hint="default"/>
                <w:vertAlign w:val="superscript"/>
                <w:lang w:val="en-US" w:eastAsia="zh-CN"/>
              </w:rPr>
              <w:t>-10</w:t>
            </w:r>
            <w:r>
              <w:rPr>
                <w:rFonts w:hint="default"/>
                <w:lang w:val="en-US" w:eastAsia="zh-CN"/>
              </w:rPr>
              <w:t>cm/s），或其他防渗性能等效的材料</w:t>
            </w:r>
            <w:r>
              <w:rPr>
                <w:rFonts w:hint="eastAsia"/>
                <w:lang w:val="en-US" w:eastAsia="zh-CN"/>
              </w:rPr>
              <w:t>；</w:t>
            </w:r>
          </w:p>
          <w:p w14:paraId="6600DA9A">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⑤同一贮存设施宜采用相同的防渗、防腐工艺（包括防渗、防腐结构或材料），防渗、防腐材料应覆盖所有可能与废物及其渗滤液、渗漏液等接触的构筑物表面；采用不同防渗、防腐工艺应分别建设贮存分区。</w:t>
            </w:r>
          </w:p>
          <w:p w14:paraId="6741CCA9">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⑥贮存设施应采取技术和管理措施防止无关人员进入。</w:t>
            </w:r>
          </w:p>
          <w:p w14:paraId="52777E4D">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本项目</w:t>
            </w:r>
            <w:r>
              <w:rPr>
                <w:rFonts w:hint="eastAsia"/>
                <w:lang w:val="en-US" w:eastAsia="zh-CN"/>
              </w:rPr>
              <w:t>危废贮存点</w:t>
            </w:r>
            <w:r>
              <w:rPr>
                <w:rFonts w:hint="default"/>
                <w:lang w:val="en-US" w:eastAsia="zh-CN"/>
              </w:rPr>
              <w:t>防渗层为至少1m厚</w:t>
            </w:r>
            <w:r>
              <w:rPr>
                <w:rFonts w:hint="eastAsia"/>
                <w:lang w:val="en-US" w:eastAsia="zh-CN"/>
              </w:rPr>
              <w:t>黏土</w:t>
            </w:r>
            <w:r>
              <w:rPr>
                <w:rFonts w:hint="default"/>
                <w:lang w:val="en-US" w:eastAsia="zh-CN"/>
              </w:rPr>
              <w:t>层（渗透系数≤10</w:t>
            </w:r>
            <w:r>
              <w:rPr>
                <w:rFonts w:hint="default"/>
                <w:vertAlign w:val="superscript"/>
                <w:lang w:val="en-US" w:eastAsia="zh-CN"/>
              </w:rPr>
              <w:t>-7</w:t>
            </w:r>
            <w:r>
              <w:rPr>
                <w:rFonts w:hint="default"/>
                <w:lang w:val="en-US" w:eastAsia="zh-CN"/>
              </w:rPr>
              <w:t>cm/s），或2mm厚高密度聚乙烯，或至少2mm厚的其他人工材料，渗透系数≤10</w:t>
            </w:r>
            <w:r>
              <w:rPr>
                <w:rFonts w:hint="default"/>
                <w:vertAlign w:val="superscript"/>
                <w:lang w:val="en-US" w:eastAsia="zh-CN"/>
              </w:rPr>
              <w:t>-6</w:t>
            </w:r>
            <w:r>
              <w:rPr>
                <w:rFonts w:hint="default"/>
                <w:lang w:val="en-US" w:eastAsia="zh-CN"/>
              </w:rPr>
              <w:t>cm/s。地面及裙角应做耐腐蚀硬化、防渗漏处理，且表面无裂隙，所使用的材料要与危险废物相容</w:t>
            </w:r>
            <w:r>
              <w:rPr>
                <w:rFonts w:hint="eastAsia"/>
                <w:lang w:val="en-US" w:eastAsia="zh-CN"/>
              </w:rPr>
              <w:t>。</w:t>
            </w:r>
          </w:p>
          <w:p w14:paraId="7343DFC4">
            <w:pPr>
              <w:pStyle w:val="3"/>
              <w:keepLines w:val="0"/>
              <w:suppressLineNumbers w:val="0"/>
              <w:bidi w:val="0"/>
              <w:spacing w:before="0" w:beforeAutospacing="0" w:after="0" w:afterAutospacing="0"/>
              <w:ind w:right="0"/>
              <w:rPr>
                <w:rFonts w:hint="default"/>
              </w:rPr>
            </w:pPr>
            <w:r>
              <w:rPr>
                <w:rFonts w:hint="default"/>
              </w:rPr>
              <w:t>5</w:t>
            </w:r>
            <w:r>
              <w:rPr>
                <w:rFonts w:hint="eastAsia"/>
                <w:lang w:val="en-US" w:eastAsia="zh-CN"/>
              </w:rPr>
              <w:t xml:space="preserve"> </w:t>
            </w:r>
            <w:r>
              <w:rPr>
                <w:rFonts w:hint="default"/>
              </w:rPr>
              <w:t>土壤</w:t>
            </w:r>
            <w:r>
              <w:rPr>
                <w:rFonts w:hint="default"/>
                <w:lang w:eastAsia="zh-CN"/>
              </w:rPr>
              <w:t>、</w:t>
            </w:r>
            <w:r>
              <w:rPr>
                <w:rFonts w:hint="default"/>
              </w:rPr>
              <w:t>地下水环境影响分析</w:t>
            </w:r>
          </w:p>
          <w:p w14:paraId="62318345">
            <w:pPr>
              <w:keepNext w:val="0"/>
              <w:keepLines w:val="0"/>
              <w:suppressLineNumbers w:val="0"/>
              <w:bidi w:val="0"/>
              <w:spacing w:before="0" w:beforeAutospacing="0" w:after="0" w:afterAutospacing="0"/>
              <w:ind w:left="0" w:right="0"/>
              <w:rPr>
                <w:rFonts w:hint="default"/>
                <w:lang w:eastAsia="zh-CN"/>
              </w:rPr>
            </w:pPr>
            <w:r>
              <w:rPr>
                <w:rFonts w:hint="default"/>
              </w:rPr>
              <w:t>根据对项目污染途径分析可知，项目潜在的主要污染途径主要为渗漏作用，结合项目实际情况，建设单位拟采取以下污染防治措施对土壤及地下水环境进行保护</w:t>
            </w:r>
            <w:r>
              <w:rPr>
                <w:rFonts w:hint="default"/>
                <w:lang w:eastAsia="zh-CN"/>
              </w:rPr>
              <w:t>：</w:t>
            </w:r>
          </w:p>
          <w:p w14:paraId="76E65B58">
            <w:pPr>
              <w:keepNext w:val="0"/>
              <w:keepLines w:val="0"/>
              <w:suppressLineNumbers w:val="0"/>
              <w:bidi w:val="0"/>
              <w:spacing w:before="0" w:beforeAutospacing="0" w:after="0" w:afterAutospacing="0"/>
              <w:ind w:left="0" w:right="0"/>
              <w:rPr>
                <w:rFonts w:hint="default"/>
              </w:rPr>
            </w:pPr>
            <w:r>
              <w:rPr>
                <w:rFonts w:hint="default"/>
              </w:rPr>
              <w:t>①严格按照地下水污染防控分区防控原则，对项目各功能区采取有效污染渗漏防控措施，</w:t>
            </w:r>
            <w:r>
              <w:rPr>
                <w:rFonts w:hint="eastAsia"/>
                <w:lang w:val="en-US" w:eastAsia="zh-CN"/>
              </w:rPr>
              <w:t>厂房</w:t>
            </w:r>
            <w:r>
              <w:rPr>
                <w:rFonts w:hint="default"/>
              </w:rPr>
              <w:t>为简单防渗区，采用一般地面硬化</w:t>
            </w:r>
            <w:r>
              <w:rPr>
                <w:rFonts w:hint="eastAsia"/>
                <w:lang w:eastAsia="zh-CN"/>
              </w:rPr>
              <w:t>（</w:t>
            </w:r>
            <w:r>
              <w:rPr>
                <w:rFonts w:hint="eastAsia"/>
                <w:lang w:val="en-US" w:eastAsia="zh-CN"/>
              </w:rPr>
              <w:t>水泥硬化</w:t>
            </w:r>
            <w:r>
              <w:rPr>
                <w:rFonts w:hint="eastAsia"/>
                <w:lang w:eastAsia="zh-CN"/>
              </w:rPr>
              <w:t>）</w:t>
            </w:r>
            <w:r>
              <w:rPr>
                <w:rFonts w:hint="default"/>
              </w:rPr>
              <w:t>即可；</w:t>
            </w:r>
            <w:r>
              <w:rPr>
                <w:rFonts w:hint="eastAsia"/>
                <w:lang w:val="en-US" w:eastAsia="zh-CN"/>
              </w:rPr>
              <w:t>化粪池、沉淀池为一般防渗区，地面等效黏土防渗层厚度≥1.5m，渗透系数≤1×10</w:t>
            </w:r>
            <w:r>
              <w:rPr>
                <w:rFonts w:hint="eastAsia"/>
                <w:vertAlign w:val="superscript"/>
                <w:lang w:val="en-US" w:eastAsia="zh-CN"/>
              </w:rPr>
              <w:t>-7</w:t>
            </w:r>
            <w:r>
              <w:rPr>
                <w:rFonts w:hint="eastAsia"/>
                <w:lang w:val="en-US" w:eastAsia="zh-CN"/>
              </w:rPr>
              <w:t>cm/s</w:t>
            </w:r>
            <w:r>
              <w:rPr>
                <w:rFonts w:hint="eastAsia"/>
                <w:lang w:eastAsia="zh-CN"/>
              </w:rPr>
              <w:t>；危险废物贮存点</w:t>
            </w:r>
            <w:r>
              <w:rPr>
                <w:rFonts w:hint="default"/>
              </w:rPr>
              <w:t>设置成重点防渗区，</w:t>
            </w:r>
            <w:r>
              <w:rPr>
                <w:rFonts w:hint="eastAsia"/>
                <w:lang w:val="en-US" w:eastAsia="zh-CN"/>
              </w:rPr>
              <w:t>地面</w:t>
            </w:r>
            <w:r>
              <w:rPr>
                <w:rFonts w:hint="default"/>
                <w:lang w:val="en-US" w:eastAsia="zh-CN"/>
              </w:rPr>
              <w:t>至少1m厚黏土层（渗透系数不大于10</w:t>
            </w:r>
            <w:r>
              <w:rPr>
                <w:rFonts w:hint="default"/>
                <w:vertAlign w:val="superscript"/>
                <w:lang w:val="en-US" w:eastAsia="zh-CN"/>
              </w:rPr>
              <w:t>-7</w:t>
            </w:r>
            <w:r>
              <w:rPr>
                <w:rFonts w:hint="default"/>
                <w:lang w:val="en-US" w:eastAsia="zh-CN"/>
              </w:rPr>
              <w:t>cm/s），或至少2mm厚高密度聚乙烯膜等人工防渗材料（渗透系数不大于10</w:t>
            </w:r>
            <w:r>
              <w:rPr>
                <w:rFonts w:hint="default"/>
                <w:vertAlign w:val="superscript"/>
                <w:lang w:val="en-US" w:eastAsia="zh-CN"/>
              </w:rPr>
              <w:t>-10</w:t>
            </w:r>
            <w:r>
              <w:rPr>
                <w:rFonts w:hint="default"/>
                <w:lang w:val="en-US" w:eastAsia="zh-CN"/>
              </w:rPr>
              <w:t>cm/s）</w:t>
            </w:r>
            <w:r>
              <w:rPr>
                <w:rFonts w:hint="default"/>
              </w:rPr>
              <w:t>；</w:t>
            </w:r>
          </w:p>
          <w:p w14:paraId="35BE4E29">
            <w:pPr>
              <w:keepNext w:val="0"/>
              <w:keepLines w:val="0"/>
              <w:suppressLineNumbers w:val="0"/>
              <w:bidi w:val="0"/>
              <w:spacing w:before="0" w:beforeAutospacing="0" w:after="0" w:afterAutospacing="0"/>
              <w:ind w:left="0" w:right="0"/>
              <w:rPr>
                <w:rFonts w:hint="default"/>
              </w:rPr>
            </w:pPr>
            <w:r>
              <w:rPr>
                <w:rFonts w:hint="default"/>
              </w:rPr>
              <w:t>②设置贮存分区，将不同危险废物隔离存放；</w:t>
            </w:r>
          </w:p>
          <w:p w14:paraId="1672CE7F">
            <w:pPr>
              <w:keepNext w:val="0"/>
              <w:keepLines w:val="0"/>
              <w:suppressLineNumbers w:val="0"/>
              <w:bidi w:val="0"/>
              <w:spacing w:before="0" w:beforeAutospacing="0" w:after="0" w:afterAutospacing="0"/>
              <w:ind w:left="0" w:right="0"/>
              <w:rPr>
                <w:rFonts w:hint="eastAsia"/>
                <w:lang w:eastAsia="zh-CN"/>
              </w:rPr>
            </w:pPr>
            <w:r>
              <w:rPr>
                <w:rFonts w:hint="default"/>
              </w:rPr>
              <w:t>③贮存库内不同贮存分区之间应采用隔板隔离措施来进行不同贮存分区之间的隔离</w:t>
            </w:r>
            <w:r>
              <w:rPr>
                <w:rFonts w:hint="eastAsia"/>
                <w:lang w:eastAsia="zh-CN"/>
              </w:rPr>
              <w:t>；</w:t>
            </w:r>
          </w:p>
          <w:p w14:paraId="6C75150B">
            <w:pPr>
              <w:keepNext w:val="0"/>
              <w:keepLines w:val="0"/>
              <w:suppressLineNumbers w:val="0"/>
              <w:bidi w:val="0"/>
              <w:spacing w:before="0" w:beforeAutospacing="0" w:after="0" w:afterAutospacing="0"/>
              <w:ind w:left="0" w:right="0"/>
              <w:rPr>
                <w:rFonts w:hint="default"/>
              </w:rPr>
            </w:pPr>
            <w:r>
              <w:rPr>
                <w:rFonts w:hint="default"/>
              </w:rPr>
              <w:t>④贮存分区的隔板应采用坚固的材料建造，表面无裂缝；</w:t>
            </w:r>
          </w:p>
          <w:p w14:paraId="7F5B0B79">
            <w:pPr>
              <w:keepNext w:val="0"/>
              <w:keepLines w:val="0"/>
              <w:suppressLineNumbers w:val="0"/>
              <w:bidi w:val="0"/>
              <w:spacing w:before="0" w:beforeAutospacing="0" w:after="0" w:afterAutospacing="0"/>
              <w:ind w:left="0" w:right="0"/>
              <w:rPr>
                <w:rFonts w:hint="default"/>
              </w:rPr>
            </w:pPr>
            <w:r>
              <w:rPr>
                <w:rFonts w:hint="default"/>
              </w:rPr>
              <w:t>⑤厂内设置严格的运营管理制度，杜绝跑冒滴漏等风险事故发生，从源头杜绝渗漏事故的发生，降低厂区运营风险。</w:t>
            </w:r>
          </w:p>
          <w:p w14:paraId="6458DAD7">
            <w:pPr>
              <w:keepNext w:val="0"/>
              <w:keepLines w:val="0"/>
              <w:suppressLineNumbers w:val="0"/>
              <w:bidi w:val="0"/>
              <w:spacing w:before="0" w:beforeAutospacing="0" w:after="0" w:afterAutospacing="0"/>
              <w:ind w:left="0" w:right="0"/>
              <w:rPr>
                <w:rFonts w:hint="default"/>
              </w:rPr>
            </w:pPr>
            <w:r>
              <w:rPr>
                <w:rFonts w:hint="default"/>
              </w:rPr>
              <w:t>通过上述措施本项目对地下水、土壤污染造成影响不大。本项目分区防渗要求见下表。</w:t>
            </w:r>
          </w:p>
          <w:p w14:paraId="1106B01F">
            <w:pPr>
              <w:pStyle w:val="5"/>
              <w:suppressLineNumbers w:val="0"/>
              <w:bidi w:val="0"/>
              <w:spacing w:before="0" w:beforeAutospacing="0" w:after="0" w:afterAutospacing="0"/>
              <w:ind w:left="0" w:right="0"/>
              <w:rPr>
                <w:rFonts w:hint="default"/>
              </w:rPr>
            </w:pPr>
            <w:r>
              <w:rPr>
                <w:rFonts w:hint="default"/>
              </w:rPr>
              <w:t>表</w:t>
            </w:r>
            <w:r>
              <w:rPr>
                <w:rFonts w:hint="eastAsia"/>
                <w:lang w:val="en-US" w:eastAsia="zh-CN"/>
              </w:rPr>
              <w:t>4-10</w:t>
            </w:r>
            <w:r>
              <w:rPr>
                <w:rFonts w:hint="default"/>
                <w:lang w:val="en-US" w:eastAsia="zh-CN"/>
              </w:rPr>
              <w:t xml:space="preserve">  </w:t>
            </w:r>
            <w:r>
              <w:rPr>
                <w:rFonts w:hint="default"/>
              </w:rPr>
              <w:t>分区防渗要求</w:t>
            </w:r>
          </w:p>
          <w:tbl>
            <w:tblPr>
              <w:tblStyle w:val="33"/>
              <w:tblW w:w="813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0"/>
              <w:gridCol w:w="2046"/>
              <w:gridCol w:w="1306"/>
              <w:gridCol w:w="4108"/>
            </w:tblGrid>
            <w:tr w14:paraId="78CD9C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5DA143E4">
                  <w:pPr>
                    <w:pStyle w:val="7"/>
                    <w:keepNext w:val="0"/>
                    <w:keepLines w:val="0"/>
                    <w:suppressLineNumbers w:val="0"/>
                    <w:bidi w:val="0"/>
                    <w:spacing w:before="0" w:beforeAutospacing="0" w:after="0" w:afterAutospacing="0"/>
                    <w:ind w:left="0" w:right="0"/>
                    <w:rPr>
                      <w:rFonts w:hint="default"/>
                    </w:rPr>
                  </w:pPr>
                  <w:r>
                    <w:rPr>
                      <w:rFonts w:hint="default"/>
                    </w:rPr>
                    <w:t>序号</w:t>
                  </w:r>
                </w:p>
              </w:tc>
              <w:tc>
                <w:tcPr>
                  <w:tcW w:w="2046" w:type="dxa"/>
                  <w:noWrap w:val="0"/>
                  <w:vAlign w:val="center"/>
                </w:tcPr>
                <w:p w14:paraId="28FF8D33">
                  <w:pPr>
                    <w:pStyle w:val="7"/>
                    <w:keepNext w:val="0"/>
                    <w:keepLines w:val="0"/>
                    <w:suppressLineNumbers w:val="0"/>
                    <w:bidi w:val="0"/>
                    <w:spacing w:before="0" w:beforeAutospacing="0" w:after="0" w:afterAutospacing="0"/>
                    <w:ind w:left="0" w:right="0"/>
                    <w:rPr>
                      <w:rFonts w:hint="default"/>
                    </w:rPr>
                  </w:pPr>
                  <w:r>
                    <w:rPr>
                      <w:rFonts w:hint="default"/>
                    </w:rPr>
                    <w:t>项目</w:t>
                  </w:r>
                </w:p>
              </w:tc>
              <w:tc>
                <w:tcPr>
                  <w:tcW w:w="1306" w:type="dxa"/>
                  <w:noWrap w:val="0"/>
                  <w:vAlign w:val="center"/>
                </w:tcPr>
                <w:p w14:paraId="2507E5ED">
                  <w:pPr>
                    <w:pStyle w:val="7"/>
                    <w:keepNext w:val="0"/>
                    <w:keepLines w:val="0"/>
                    <w:suppressLineNumbers w:val="0"/>
                    <w:bidi w:val="0"/>
                    <w:spacing w:before="0" w:beforeAutospacing="0" w:after="0" w:afterAutospacing="0"/>
                    <w:ind w:left="0" w:right="0"/>
                    <w:rPr>
                      <w:rFonts w:hint="default"/>
                    </w:rPr>
                  </w:pPr>
                  <w:r>
                    <w:rPr>
                      <w:rFonts w:hint="default"/>
                    </w:rPr>
                    <w:t>类别</w:t>
                  </w:r>
                </w:p>
              </w:tc>
              <w:tc>
                <w:tcPr>
                  <w:tcW w:w="4108" w:type="dxa"/>
                  <w:noWrap w:val="0"/>
                  <w:vAlign w:val="center"/>
                </w:tcPr>
                <w:p w14:paraId="1D5722C6">
                  <w:pPr>
                    <w:pStyle w:val="7"/>
                    <w:keepNext w:val="0"/>
                    <w:keepLines w:val="0"/>
                    <w:suppressLineNumbers w:val="0"/>
                    <w:bidi w:val="0"/>
                    <w:spacing w:before="0" w:beforeAutospacing="0" w:after="0" w:afterAutospacing="0"/>
                    <w:ind w:left="0" w:right="0"/>
                    <w:rPr>
                      <w:rFonts w:hint="default"/>
                    </w:rPr>
                  </w:pPr>
                  <w:r>
                    <w:rPr>
                      <w:rFonts w:hint="default"/>
                    </w:rPr>
                    <w:t>保护措施</w:t>
                  </w:r>
                </w:p>
              </w:tc>
            </w:tr>
            <w:tr w14:paraId="080E55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283447BA">
                  <w:pPr>
                    <w:pStyle w:val="7"/>
                    <w:keepNext w:val="0"/>
                    <w:keepLines w:val="0"/>
                    <w:suppressLineNumbers w:val="0"/>
                    <w:bidi w:val="0"/>
                    <w:spacing w:before="0" w:beforeAutospacing="0" w:after="0" w:afterAutospacing="0"/>
                    <w:ind w:left="0" w:right="0"/>
                    <w:rPr>
                      <w:rFonts w:hint="default"/>
                    </w:rPr>
                  </w:pPr>
                  <w:r>
                    <w:rPr>
                      <w:rFonts w:hint="default"/>
                    </w:rPr>
                    <w:t>1</w:t>
                  </w:r>
                </w:p>
              </w:tc>
              <w:tc>
                <w:tcPr>
                  <w:tcW w:w="2046" w:type="dxa"/>
                  <w:noWrap w:val="0"/>
                  <w:vAlign w:val="center"/>
                </w:tcPr>
                <w:p w14:paraId="6D279E67">
                  <w:pPr>
                    <w:pStyle w:val="7"/>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厂房</w:t>
                  </w:r>
                </w:p>
              </w:tc>
              <w:tc>
                <w:tcPr>
                  <w:tcW w:w="1306" w:type="dxa"/>
                  <w:noWrap w:val="0"/>
                  <w:vAlign w:val="center"/>
                </w:tcPr>
                <w:p w14:paraId="5B06E130">
                  <w:pPr>
                    <w:pStyle w:val="7"/>
                    <w:keepNext w:val="0"/>
                    <w:keepLines w:val="0"/>
                    <w:suppressLineNumbers w:val="0"/>
                    <w:bidi w:val="0"/>
                    <w:spacing w:before="0" w:beforeAutospacing="0" w:after="0" w:afterAutospacing="0"/>
                    <w:ind w:left="0" w:right="0"/>
                    <w:rPr>
                      <w:rFonts w:hint="default"/>
                    </w:rPr>
                  </w:pPr>
                  <w:r>
                    <w:rPr>
                      <w:rFonts w:hint="default"/>
                    </w:rPr>
                    <w:t>简单防渗区</w:t>
                  </w:r>
                </w:p>
              </w:tc>
              <w:tc>
                <w:tcPr>
                  <w:tcW w:w="4108" w:type="dxa"/>
                  <w:noWrap w:val="0"/>
                  <w:vAlign w:val="center"/>
                </w:tcPr>
                <w:p w14:paraId="0E811F01">
                  <w:pPr>
                    <w:pStyle w:val="7"/>
                    <w:keepNext w:val="0"/>
                    <w:keepLines w:val="0"/>
                    <w:suppressLineNumbers w:val="0"/>
                    <w:bidi w:val="0"/>
                    <w:spacing w:before="0" w:beforeAutospacing="0" w:after="0" w:afterAutospacing="0"/>
                    <w:ind w:left="0" w:right="0"/>
                    <w:rPr>
                      <w:rFonts w:hint="default"/>
                      <w:lang w:eastAsia="zh-CN"/>
                    </w:rPr>
                  </w:pPr>
                  <w:r>
                    <w:rPr>
                      <w:rFonts w:hint="default"/>
                    </w:rPr>
                    <w:t>一般地面硬化</w:t>
                  </w:r>
                  <w:r>
                    <w:rPr>
                      <w:rFonts w:hint="default"/>
                      <w:lang w:eastAsia="zh-CN"/>
                    </w:rPr>
                    <w:t>（</w:t>
                  </w:r>
                  <w:r>
                    <w:rPr>
                      <w:rFonts w:hint="default"/>
                      <w:lang w:val="en-US" w:eastAsia="zh-CN"/>
                    </w:rPr>
                    <w:t>水泥硬化</w:t>
                  </w:r>
                  <w:r>
                    <w:rPr>
                      <w:rFonts w:hint="default"/>
                      <w:lang w:eastAsia="zh-CN"/>
                    </w:rPr>
                    <w:t>）</w:t>
                  </w:r>
                </w:p>
              </w:tc>
            </w:tr>
            <w:tr w14:paraId="3005F5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4D73392D">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2</w:t>
                  </w:r>
                </w:p>
              </w:tc>
              <w:tc>
                <w:tcPr>
                  <w:tcW w:w="2046" w:type="dxa"/>
                  <w:noWrap w:val="0"/>
                  <w:vAlign w:val="center"/>
                </w:tcPr>
                <w:p w14:paraId="329C21F1">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化粪池、</w:t>
                  </w:r>
                  <w:r>
                    <w:rPr>
                      <w:rFonts w:hint="eastAsia"/>
                      <w:lang w:val="en-US" w:eastAsia="zh-CN"/>
                    </w:rPr>
                    <w:t>沉淀池</w:t>
                  </w:r>
                </w:p>
              </w:tc>
              <w:tc>
                <w:tcPr>
                  <w:tcW w:w="1306" w:type="dxa"/>
                  <w:noWrap w:val="0"/>
                  <w:vAlign w:val="center"/>
                </w:tcPr>
                <w:p w14:paraId="521F630C">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一般防渗区</w:t>
                  </w:r>
                </w:p>
              </w:tc>
              <w:tc>
                <w:tcPr>
                  <w:tcW w:w="4108" w:type="dxa"/>
                  <w:noWrap w:val="0"/>
                  <w:vAlign w:val="center"/>
                </w:tcPr>
                <w:p w14:paraId="2772E0D5">
                  <w:pPr>
                    <w:pStyle w:val="7"/>
                    <w:keepNext w:val="0"/>
                    <w:keepLines w:val="0"/>
                    <w:suppressLineNumbers w:val="0"/>
                    <w:bidi w:val="0"/>
                    <w:spacing w:before="0" w:beforeAutospacing="0" w:after="0" w:afterAutospacing="0"/>
                    <w:ind w:left="0" w:right="0"/>
                    <w:rPr>
                      <w:rFonts w:hint="default"/>
                    </w:rPr>
                  </w:pPr>
                  <w:r>
                    <w:rPr>
                      <w:rFonts w:hint="default"/>
                    </w:rPr>
                    <w:t>等效黏土防渗层厚度≥1.5m，渗透系数≤1×10</w:t>
                  </w:r>
                  <w:r>
                    <w:rPr>
                      <w:rFonts w:hint="default"/>
                      <w:vertAlign w:val="superscript"/>
                    </w:rPr>
                    <w:t>-7</w:t>
                  </w:r>
                  <w:r>
                    <w:rPr>
                      <w:rFonts w:hint="default"/>
                    </w:rPr>
                    <w:t>cm/s</w:t>
                  </w:r>
                </w:p>
              </w:tc>
            </w:tr>
            <w:tr w14:paraId="59BBFF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70" w:type="dxa"/>
                  <w:noWrap w:val="0"/>
                  <w:vAlign w:val="center"/>
                </w:tcPr>
                <w:p w14:paraId="032C56F0">
                  <w:pPr>
                    <w:pStyle w:val="7"/>
                    <w:keepNext w:val="0"/>
                    <w:keepLines w:val="0"/>
                    <w:suppressLineNumbers w:val="0"/>
                    <w:bidi w:val="0"/>
                    <w:spacing w:before="0" w:beforeAutospacing="0" w:after="0" w:afterAutospacing="0"/>
                    <w:ind w:left="0" w:right="0"/>
                    <w:rPr>
                      <w:rFonts w:hint="default"/>
                      <w:lang w:eastAsia="zh-CN"/>
                    </w:rPr>
                  </w:pPr>
                  <w:r>
                    <w:rPr>
                      <w:rFonts w:hint="default"/>
                      <w:lang w:val="en-US" w:eastAsia="zh-CN"/>
                    </w:rPr>
                    <w:t>3</w:t>
                  </w:r>
                </w:p>
              </w:tc>
              <w:tc>
                <w:tcPr>
                  <w:tcW w:w="2046" w:type="dxa"/>
                  <w:noWrap w:val="0"/>
                  <w:vAlign w:val="center"/>
                </w:tcPr>
                <w:p w14:paraId="1CA883F0">
                  <w:pPr>
                    <w:pStyle w:val="7"/>
                    <w:keepNext w:val="0"/>
                    <w:keepLines w:val="0"/>
                    <w:suppressLineNumbers w:val="0"/>
                    <w:bidi w:val="0"/>
                    <w:spacing w:before="0" w:beforeAutospacing="0" w:after="0" w:afterAutospacing="0"/>
                    <w:ind w:left="0" w:right="0"/>
                    <w:rPr>
                      <w:rFonts w:hint="eastAsia" w:eastAsia="宋体"/>
                      <w:lang w:val="en-US" w:eastAsia="zh-CN"/>
                    </w:rPr>
                  </w:pPr>
                  <w:r>
                    <w:rPr>
                      <w:rFonts w:hint="eastAsia"/>
                      <w:lang w:eastAsia="zh-CN"/>
                    </w:rPr>
                    <w:t>危险废物贮存点</w:t>
                  </w:r>
                </w:p>
              </w:tc>
              <w:tc>
                <w:tcPr>
                  <w:tcW w:w="1306" w:type="dxa"/>
                  <w:noWrap w:val="0"/>
                  <w:vAlign w:val="center"/>
                </w:tcPr>
                <w:p w14:paraId="5C512A24">
                  <w:pPr>
                    <w:pStyle w:val="7"/>
                    <w:keepNext w:val="0"/>
                    <w:keepLines w:val="0"/>
                    <w:suppressLineNumbers w:val="0"/>
                    <w:bidi w:val="0"/>
                    <w:spacing w:before="0" w:beforeAutospacing="0" w:after="0" w:afterAutospacing="0"/>
                    <w:ind w:left="0" w:right="0"/>
                    <w:rPr>
                      <w:rFonts w:hint="default"/>
                    </w:rPr>
                  </w:pPr>
                  <w:r>
                    <w:rPr>
                      <w:rFonts w:hint="default"/>
                    </w:rPr>
                    <w:t>重点防渗区</w:t>
                  </w:r>
                </w:p>
              </w:tc>
              <w:tc>
                <w:tcPr>
                  <w:tcW w:w="4108" w:type="dxa"/>
                  <w:noWrap w:val="0"/>
                  <w:vAlign w:val="center"/>
                </w:tcPr>
                <w:p w14:paraId="2EE2A0F8">
                  <w:pPr>
                    <w:pStyle w:val="7"/>
                    <w:keepNext w:val="0"/>
                    <w:keepLines w:val="0"/>
                    <w:suppressLineNumbers w:val="0"/>
                    <w:bidi w:val="0"/>
                    <w:spacing w:before="0" w:beforeAutospacing="0" w:after="0" w:afterAutospacing="0"/>
                    <w:ind w:left="0" w:right="0"/>
                    <w:rPr>
                      <w:rFonts w:hint="default"/>
                    </w:rPr>
                  </w:pPr>
                  <w:r>
                    <w:rPr>
                      <w:rFonts w:hint="default"/>
                      <w:lang w:val="en-US" w:eastAsia="zh-CN"/>
                    </w:rPr>
                    <w:t>防渗层为至少1m厚</w:t>
                  </w:r>
                  <w:r>
                    <w:rPr>
                      <w:rFonts w:hint="eastAsia"/>
                      <w:lang w:val="en-US" w:eastAsia="zh-CN"/>
                    </w:rPr>
                    <w:t>黏土</w:t>
                  </w:r>
                  <w:r>
                    <w:rPr>
                      <w:rFonts w:hint="default"/>
                      <w:lang w:val="en-US" w:eastAsia="zh-CN"/>
                    </w:rPr>
                    <w:t>层（渗透系数≤10</w:t>
                  </w:r>
                  <w:r>
                    <w:rPr>
                      <w:rFonts w:hint="default"/>
                      <w:vertAlign w:val="superscript"/>
                      <w:lang w:val="en-US" w:eastAsia="zh-CN"/>
                    </w:rPr>
                    <w:t>-7</w:t>
                  </w:r>
                  <w:r>
                    <w:rPr>
                      <w:rFonts w:hint="default"/>
                      <w:lang w:val="en-US" w:eastAsia="zh-CN"/>
                    </w:rPr>
                    <w:t>cm/s），或2mm厚高密度聚乙烯，或至少2mm厚的其他人工材料，渗透系数≤10</w:t>
                  </w:r>
                  <w:r>
                    <w:rPr>
                      <w:rFonts w:hint="default"/>
                      <w:vertAlign w:val="superscript"/>
                      <w:lang w:val="en-US" w:eastAsia="zh-CN"/>
                    </w:rPr>
                    <w:t>-6</w:t>
                  </w:r>
                  <w:r>
                    <w:rPr>
                      <w:rFonts w:hint="default"/>
                      <w:lang w:val="en-US" w:eastAsia="zh-CN"/>
                    </w:rPr>
                    <w:t>cm/s。地面及裙角应做耐腐蚀硬化、防渗漏处理，且表面无裂隙，所使用的材料要与危险废物相容</w:t>
                  </w:r>
                </w:p>
              </w:tc>
            </w:tr>
          </w:tbl>
          <w:p w14:paraId="352CD422">
            <w:pPr>
              <w:pStyle w:val="3"/>
              <w:keepLines w:val="0"/>
              <w:suppressLineNumbers w:val="0"/>
              <w:bidi w:val="0"/>
              <w:spacing w:before="0" w:beforeAutospacing="0" w:after="0" w:afterAutospacing="0"/>
              <w:ind w:right="0"/>
              <w:rPr>
                <w:rFonts w:hint="eastAsia"/>
                <w:lang w:val="en-US" w:eastAsia="zh-CN"/>
              </w:rPr>
            </w:pPr>
            <w:r>
              <w:rPr>
                <w:rFonts w:hint="default"/>
              </w:rPr>
              <w:t>6</w:t>
            </w:r>
            <w:r>
              <w:rPr>
                <w:rFonts w:hint="eastAsia"/>
                <w:lang w:val="en-US" w:eastAsia="zh-CN"/>
              </w:rPr>
              <w:t xml:space="preserve"> </w:t>
            </w:r>
            <w:r>
              <w:rPr>
                <w:rFonts w:hint="default"/>
              </w:rPr>
              <w:t>环境风险</w:t>
            </w:r>
            <w:r>
              <w:rPr>
                <w:rFonts w:hint="eastAsia"/>
                <w:lang w:val="en-US" w:eastAsia="zh-CN"/>
              </w:rPr>
              <w:t>分析</w:t>
            </w:r>
          </w:p>
          <w:p w14:paraId="7C086065">
            <w:pPr>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环境风险评价的目的是分析和预测建设项目存在的潜在危险、有害因素，建设项目建设和运行期间可能发生的突发性事件或事故，引起有毒有害和易燃易爆等物质的泄漏，所造成的人身安全与环境影响和损害程度，提出合理可行的防范、应急与减缓措施，以使建设项目事故率、损失和环境影响达到可接受的水平。</w:t>
            </w:r>
          </w:p>
          <w:p w14:paraId="49C619D6">
            <w:pPr>
              <w:pStyle w:val="4"/>
              <w:keepNext w:val="0"/>
              <w:keepLines w:val="0"/>
              <w:suppressLineNumbers w:val="0"/>
              <w:bidi w:val="0"/>
              <w:spacing w:before="0" w:beforeAutospacing="0" w:after="0" w:afterAutospacing="0"/>
              <w:ind w:left="0" w:right="0"/>
              <w:rPr>
                <w:rFonts w:hint="default"/>
              </w:rPr>
            </w:pPr>
            <w:r>
              <w:rPr>
                <w:rFonts w:hint="default"/>
              </w:rPr>
              <w:t>6.1</w:t>
            </w:r>
            <w:r>
              <w:rPr>
                <w:rFonts w:hint="eastAsia"/>
                <w:lang w:val="en-US" w:eastAsia="zh-CN"/>
              </w:rPr>
              <w:t xml:space="preserve"> </w:t>
            </w:r>
            <w:r>
              <w:rPr>
                <w:rFonts w:hint="default"/>
              </w:rPr>
              <w:t>风险调查</w:t>
            </w:r>
          </w:p>
          <w:p w14:paraId="3601DB5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项目</w:t>
            </w:r>
            <w:r>
              <w:rPr>
                <w:rFonts w:hint="eastAsia"/>
                <w:lang w:val="en-US" w:eastAsia="zh-CN"/>
              </w:rPr>
              <w:t>生产</w:t>
            </w:r>
            <w:r>
              <w:rPr>
                <w:rFonts w:hint="default"/>
                <w:lang w:val="en-US" w:eastAsia="zh-CN"/>
              </w:rPr>
              <w:t>过程中可能用到的化学品见表4-1</w:t>
            </w:r>
            <w:r>
              <w:rPr>
                <w:rFonts w:hint="eastAsia"/>
                <w:lang w:val="en-US" w:eastAsia="zh-CN"/>
              </w:rPr>
              <w:t>1</w:t>
            </w:r>
            <w:r>
              <w:rPr>
                <w:rFonts w:hint="default"/>
                <w:lang w:val="en-US" w:eastAsia="zh-CN"/>
              </w:rPr>
              <w:t>。</w:t>
            </w:r>
          </w:p>
          <w:p w14:paraId="6F73B03C">
            <w:pPr>
              <w:pStyle w:val="5"/>
              <w:suppressLineNumbers w:val="0"/>
              <w:bidi w:val="0"/>
              <w:spacing w:before="0" w:beforeAutospacing="0" w:after="0" w:afterAutospacing="0"/>
              <w:ind w:left="0" w:right="0"/>
              <w:rPr>
                <w:rFonts w:hint="default"/>
                <w:lang w:val="en-US" w:eastAsia="zh-CN"/>
              </w:rPr>
            </w:pPr>
            <w:r>
              <w:rPr>
                <w:rFonts w:hint="default"/>
                <w:lang w:val="en-US" w:eastAsia="zh-CN"/>
              </w:rPr>
              <w:t>表4-1</w:t>
            </w:r>
            <w:r>
              <w:rPr>
                <w:rFonts w:hint="eastAsia"/>
                <w:lang w:val="en-US" w:eastAsia="zh-CN"/>
              </w:rPr>
              <w:t>1</w:t>
            </w:r>
            <w:r>
              <w:rPr>
                <w:rFonts w:hint="default"/>
                <w:lang w:val="en-US" w:eastAsia="zh-CN"/>
              </w:rPr>
              <w:t xml:space="preserve">  项目主要化学品危险源识别</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2218"/>
              <w:gridCol w:w="1869"/>
              <w:gridCol w:w="2050"/>
            </w:tblGrid>
            <w:tr w14:paraId="1E52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67CF66A0">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化学品名称</w:t>
                  </w:r>
                </w:p>
              </w:tc>
              <w:tc>
                <w:tcPr>
                  <w:tcW w:w="1355" w:type="pct"/>
                </w:tcPr>
                <w:p w14:paraId="735F1B17">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最大储存量（t）</w:t>
                  </w:r>
                </w:p>
              </w:tc>
              <w:tc>
                <w:tcPr>
                  <w:tcW w:w="1142" w:type="pct"/>
                </w:tcPr>
                <w:p w14:paraId="188F3B1B">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临界量（t）</w:t>
                  </w:r>
                </w:p>
              </w:tc>
              <w:tc>
                <w:tcPr>
                  <w:tcW w:w="1252" w:type="pct"/>
                </w:tcPr>
                <w:p w14:paraId="6A0C06BB">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Q值</w:t>
                  </w:r>
                </w:p>
              </w:tc>
            </w:tr>
            <w:tr w14:paraId="2354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20EB740B">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废润滑油</w:t>
                  </w:r>
                </w:p>
              </w:tc>
              <w:tc>
                <w:tcPr>
                  <w:tcW w:w="1355" w:type="pct"/>
                </w:tcPr>
                <w:p w14:paraId="45A614C0">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eastAsia" w:cs="Times New Roman"/>
                      <w:highlight w:val="none"/>
                      <w:lang w:val="en-US" w:eastAsia="zh-CN"/>
                    </w:rPr>
                    <w:t>0.2</w:t>
                  </w:r>
                </w:p>
              </w:tc>
              <w:tc>
                <w:tcPr>
                  <w:tcW w:w="1142" w:type="pct"/>
                </w:tcPr>
                <w:p w14:paraId="7DABE4C9">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eastAsia" w:cs="Times New Roman"/>
                      <w:highlight w:val="none"/>
                      <w:lang w:val="en-US" w:eastAsia="zh-CN"/>
                    </w:rPr>
                    <w:t>2500</w:t>
                  </w:r>
                </w:p>
              </w:tc>
              <w:tc>
                <w:tcPr>
                  <w:tcW w:w="1252" w:type="pct"/>
                </w:tcPr>
                <w:p w14:paraId="4AF4148B">
                  <w:pPr>
                    <w:pStyle w:val="170"/>
                    <w:keepNext w:val="0"/>
                    <w:keepLines w:val="0"/>
                    <w:suppressLineNumbers w:val="0"/>
                    <w:bidi w:val="0"/>
                    <w:spacing w:before="0" w:beforeAutospacing="0" w:after="0" w:afterAutospacing="0"/>
                    <w:ind w:left="0" w:right="0"/>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8×10</w:t>
                  </w:r>
                  <w:r>
                    <w:rPr>
                      <w:rFonts w:hint="default" w:ascii="Times New Roman" w:hAnsi="Times New Roman" w:cs="Times New Roman"/>
                      <w:highlight w:val="none"/>
                      <w:vertAlign w:val="superscript"/>
                      <w:lang w:val="en-US" w:eastAsia="zh-CN"/>
                    </w:rPr>
                    <w:t>-5</w:t>
                  </w:r>
                </w:p>
              </w:tc>
            </w:tr>
          </w:tbl>
          <w:p w14:paraId="64DB13D1">
            <w:pPr>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根据《建设项目环境风险评价技术导则》（HJ169-2018）附录B重点关注的危险物质及临界量以及《危险化学品重大危险源辨识》（GB18218-2018），本项目涉及的环境风险物质主要为</w:t>
            </w:r>
            <w:r>
              <w:rPr>
                <w:rFonts w:hint="eastAsia"/>
                <w:lang w:val="en-US" w:eastAsia="zh-CN"/>
              </w:rPr>
              <w:t>润滑油</w:t>
            </w:r>
            <w:r>
              <w:rPr>
                <w:rFonts w:hint="default"/>
                <w:lang w:val="en-US" w:eastAsia="zh-CN"/>
              </w:rPr>
              <w:t>。由</w:t>
            </w:r>
            <w:r>
              <w:rPr>
                <w:rFonts w:hint="default"/>
                <w:highlight w:val="none"/>
                <w:lang w:val="en-US" w:eastAsia="zh-CN"/>
              </w:rPr>
              <w:t>表4-</w:t>
            </w:r>
            <w:r>
              <w:rPr>
                <w:rFonts w:hint="eastAsia"/>
                <w:highlight w:val="none"/>
                <w:lang w:val="en-US" w:eastAsia="zh-CN"/>
              </w:rPr>
              <w:t>11</w:t>
            </w:r>
            <w:r>
              <w:rPr>
                <w:rFonts w:hint="default"/>
                <w:lang w:val="en-US" w:eastAsia="zh-CN"/>
              </w:rPr>
              <w:t>可知，Q=8×10</w:t>
            </w:r>
            <w:r>
              <w:rPr>
                <w:rFonts w:hint="default"/>
                <w:vertAlign w:val="superscript"/>
                <w:lang w:val="en-US" w:eastAsia="zh-CN"/>
              </w:rPr>
              <w:t>-5</w:t>
            </w:r>
            <w:r>
              <w:rPr>
                <w:rFonts w:hint="default"/>
                <w:lang w:val="en-US" w:eastAsia="zh-CN"/>
              </w:rPr>
              <w:t>&lt;1，该项目环境风险潜势为Ⅰ。因此，项目不存在重大危险源，企业环境风险等级评定为简单分析。</w:t>
            </w:r>
          </w:p>
          <w:p w14:paraId="2FA310CC">
            <w:pPr>
              <w:pStyle w:val="4"/>
              <w:keepNext w:val="0"/>
              <w:keepLines w:val="0"/>
              <w:suppressLineNumbers w:val="0"/>
              <w:bidi w:val="0"/>
              <w:spacing w:before="0" w:beforeAutospacing="0" w:after="0" w:afterAutospacing="0"/>
              <w:ind w:left="0" w:right="0"/>
              <w:rPr>
                <w:rFonts w:hint="default"/>
              </w:rPr>
            </w:pPr>
            <w:r>
              <w:rPr>
                <w:rFonts w:hint="default"/>
              </w:rPr>
              <w:t>6.</w:t>
            </w:r>
            <w:r>
              <w:rPr>
                <w:rFonts w:hint="default"/>
                <w:lang w:val="en-US" w:eastAsia="zh-CN"/>
              </w:rPr>
              <w:t>2</w:t>
            </w:r>
            <w:r>
              <w:rPr>
                <w:rFonts w:hint="eastAsia"/>
                <w:lang w:val="en-US" w:eastAsia="zh-CN"/>
              </w:rPr>
              <w:t xml:space="preserve"> </w:t>
            </w:r>
            <w:r>
              <w:rPr>
                <w:rFonts w:hint="default"/>
              </w:rPr>
              <w:t>环境风险源影响途径</w:t>
            </w:r>
            <w:r>
              <w:rPr>
                <w:rFonts w:hint="default"/>
                <w:lang w:val="en-US" w:eastAsia="zh-CN"/>
              </w:rPr>
              <w:t>识别</w:t>
            </w:r>
          </w:p>
          <w:p w14:paraId="6C4A9E3C">
            <w:pPr>
              <w:keepNext w:val="0"/>
              <w:keepLines w:val="0"/>
              <w:suppressLineNumbers w:val="0"/>
              <w:bidi w:val="0"/>
              <w:spacing w:before="0" w:beforeAutospacing="0" w:after="0" w:afterAutospacing="0"/>
              <w:ind w:left="0" w:right="0"/>
              <w:rPr>
                <w:rFonts w:hint="default"/>
              </w:rPr>
            </w:pPr>
            <w:r>
              <w:rPr>
                <w:rFonts w:hint="default"/>
              </w:rPr>
              <w:t>物质风险识别范围：主要原材料及辅助材料、燃料、中间产品、最终产品以及生产过</w:t>
            </w:r>
            <w:r>
              <w:rPr>
                <w:rFonts w:hint="eastAsia"/>
                <w:lang w:eastAsia="zh-CN"/>
              </w:rPr>
              <w:t>程中</w:t>
            </w:r>
            <w:r>
              <w:rPr>
                <w:rFonts w:hint="default"/>
              </w:rPr>
              <w:t>排放的</w:t>
            </w:r>
            <w:r>
              <w:rPr>
                <w:rFonts w:hint="eastAsia" w:ascii="宋体" w:hAnsi="宋体" w:eastAsia="宋体" w:cs="宋体"/>
              </w:rPr>
              <w:t>“三废”</w:t>
            </w:r>
            <w:r>
              <w:rPr>
                <w:rFonts w:hint="default"/>
              </w:rPr>
              <w:t>污染物等。根据《危险化学品</w:t>
            </w:r>
            <w:r>
              <w:rPr>
                <w:rFonts w:hint="default"/>
                <w:lang w:val="en-US" w:eastAsia="zh-CN"/>
              </w:rPr>
              <w:t>目</w:t>
            </w:r>
            <w:r>
              <w:rPr>
                <w:rFonts w:hint="default"/>
              </w:rPr>
              <w:t>录》（2015版）及《建设项目环境风险评价技术导则》（HJ169-2018）中附录B重点关注的危险物质及物质本身的危险性、毒理性指标和毒性等级分类，并考虑其燃烧爆炸性，进行识别。根据物质特性，对环境影响较大的是废</w:t>
            </w:r>
            <w:r>
              <w:rPr>
                <w:rFonts w:hint="default"/>
                <w:lang w:val="en-US" w:eastAsia="zh-CN"/>
              </w:rPr>
              <w:t>润滑</w:t>
            </w:r>
            <w:r>
              <w:rPr>
                <w:rFonts w:hint="default"/>
              </w:rPr>
              <w:t>油泄漏可能会影响大气环境及人员健康、影响土壤、地下水环境等</w:t>
            </w:r>
            <w:r>
              <w:rPr>
                <w:rFonts w:hint="eastAsia"/>
                <w:lang w:eastAsia="zh-CN"/>
              </w:rPr>
              <w:t>。</w:t>
            </w:r>
          </w:p>
          <w:p w14:paraId="1D22FD0D">
            <w:pPr>
              <w:keepNext w:val="0"/>
              <w:keepLines w:val="0"/>
              <w:suppressLineNumbers w:val="0"/>
              <w:bidi w:val="0"/>
              <w:spacing w:before="0" w:beforeAutospacing="0" w:after="0" w:afterAutospacing="0"/>
              <w:ind w:left="0" w:right="0"/>
              <w:rPr>
                <w:rFonts w:hint="default"/>
              </w:rPr>
            </w:pPr>
            <w:r>
              <w:rPr>
                <w:rFonts w:hint="default"/>
              </w:rPr>
              <w:t>生产设施风险识别范围：主要生产装置、贮运系统、公用工程系统，工程环保设施及辅助生产设施等。本项目主要考虑厂房发生火灾等引发的次生突发环境事件。以及废气处理设施故障导致废气超标外排，影响周围大气环境及厂区周边人员健康。</w:t>
            </w:r>
          </w:p>
          <w:p w14:paraId="27BD07A6">
            <w:pPr>
              <w:pStyle w:val="4"/>
              <w:keepNext w:val="0"/>
              <w:keepLines w:val="0"/>
              <w:suppressLineNumbers w:val="0"/>
              <w:bidi w:val="0"/>
              <w:spacing w:before="0" w:beforeAutospacing="0" w:after="0" w:afterAutospacing="0"/>
              <w:ind w:left="0" w:right="0"/>
              <w:rPr>
                <w:rFonts w:hint="default"/>
              </w:rPr>
            </w:pPr>
            <w:r>
              <w:rPr>
                <w:rFonts w:hint="default"/>
              </w:rPr>
              <w:t>6.</w:t>
            </w:r>
            <w:r>
              <w:rPr>
                <w:rFonts w:hint="eastAsia"/>
                <w:lang w:val="en-US" w:eastAsia="zh-CN"/>
              </w:rPr>
              <w:t xml:space="preserve">3 </w:t>
            </w:r>
            <w:r>
              <w:rPr>
                <w:rFonts w:hint="default"/>
              </w:rPr>
              <w:t>风险防范措施</w:t>
            </w:r>
          </w:p>
          <w:p w14:paraId="6FF0F9F4">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为减少油类物质泄漏等引起的火灾事故，提出以下环境风险防范措施及应急要求：</w:t>
            </w:r>
          </w:p>
          <w:p w14:paraId="1EE46533">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①成立专门的责任机构，保证事故发生时组织相关力量及时控制事故的危害，在第一时间，有序有效地控制事故污染，把事故危害减小到最小。</w:t>
            </w:r>
          </w:p>
          <w:p w14:paraId="23959A4C">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②健全各项制度，强化安全管理意识，加强用电设备及线路的检修和管理。</w:t>
            </w:r>
          </w:p>
          <w:p w14:paraId="4053A2DC">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③严格按照消防安全部门要求，配置消防设施。</w:t>
            </w:r>
          </w:p>
          <w:p w14:paraId="180D71B0">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④油类物质等易燃易爆物品存储远离火源。在采取以上措施后，可有效降低风险发生的概率。</w:t>
            </w:r>
          </w:p>
          <w:p w14:paraId="74924CB9">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为减少项目废气处理设施非正常工况导致颗粒物超标排放对周边环境的影响，提出以下环境风险防范措施及应急要求：</w:t>
            </w:r>
          </w:p>
          <w:p w14:paraId="2335637A">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（1）制定环保设备运行维护制度，并派专人进行管理，定期对环保设备进行点检维护。</w:t>
            </w:r>
          </w:p>
          <w:p w14:paraId="25E610A7">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（2）定期对风机的运行情况进行检查记录，一旦发现运行异常，立即对相应的生产设备进行停产，并对风机设备进行维修。</w:t>
            </w:r>
          </w:p>
          <w:p w14:paraId="5DE44AF2">
            <w:pPr>
              <w:pStyle w:val="3"/>
              <w:keepLines w:val="0"/>
              <w:suppressLineNumbers w:val="0"/>
              <w:bidi w:val="0"/>
              <w:spacing w:before="0" w:beforeAutospacing="0" w:after="0" w:afterAutospacing="0"/>
              <w:ind w:right="0"/>
              <w:rPr>
                <w:rFonts w:hint="default"/>
                <w:b w:val="0"/>
                <w:bCs w:val="0"/>
                <w:lang w:val="en-US" w:eastAsia="zh-CN"/>
              </w:rPr>
            </w:pPr>
            <w:r>
              <w:rPr>
                <w:rFonts w:hint="default"/>
                <w:b w:val="0"/>
                <w:bCs w:val="0"/>
                <w:lang w:val="en-US" w:eastAsia="zh-CN"/>
              </w:rPr>
              <w:t>（3）对布袋除尘器装置进行定期检查，确保废气处理效率，若发现破损、损坏或堵塞严重，应立即进行更换，确保其处理效率。</w:t>
            </w:r>
          </w:p>
          <w:p w14:paraId="32C2106C">
            <w:pPr>
              <w:pStyle w:val="3"/>
              <w:keepLines w:val="0"/>
              <w:suppressLineNumbers w:val="0"/>
              <w:bidi w:val="0"/>
              <w:spacing w:before="0" w:beforeAutospacing="0" w:after="0" w:afterAutospacing="0"/>
              <w:ind w:right="0"/>
              <w:rPr>
                <w:rFonts w:hint="default"/>
              </w:rPr>
            </w:pPr>
            <w:r>
              <w:rPr>
                <w:rFonts w:hint="default"/>
                <w:lang w:val="en-US" w:eastAsia="zh-CN"/>
              </w:rPr>
              <w:t>7</w:t>
            </w:r>
            <w:r>
              <w:rPr>
                <w:rFonts w:hint="eastAsia"/>
                <w:lang w:val="en-US" w:eastAsia="zh-CN"/>
              </w:rPr>
              <w:t xml:space="preserve"> </w:t>
            </w:r>
            <w:r>
              <w:rPr>
                <w:rFonts w:hint="default"/>
              </w:rPr>
              <w:t>环保投资</w:t>
            </w:r>
          </w:p>
          <w:p w14:paraId="18314B2B">
            <w:pPr>
              <w:keepNext w:val="0"/>
              <w:keepLines w:val="0"/>
              <w:suppressLineNumbers w:val="0"/>
              <w:bidi w:val="0"/>
              <w:spacing w:before="0" w:beforeAutospacing="0" w:after="0" w:afterAutospacing="0"/>
              <w:ind w:left="0" w:right="0"/>
              <w:rPr>
                <w:rFonts w:hint="default"/>
              </w:rPr>
            </w:pPr>
            <w:r>
              <w:rPr>
                <w:rFonts w:hint="default"/>
              </w:rPr>
              <w:t>本项目总投资</w:t>
            </w:r>
            <w:r>
              <w:rPr>
                <w:rFonts w:hint="eastAsia"/>
                <w:lang w:val="en-US" w:eastAsia="zh-CN"/>
              </w:rPr>
              <w:t>64</w:t>
            </w:r>
            <w:r>
              <w:rPr>
                <w:rFonts w:hint="default"/>
              </w:rPr>
              <w:t>万元，环保措施投资估算合计</w:t>
            </w:r>
            <w:r>
              <w:rPr>
                <w:rFonts w:hint="eastAsia"/>
                <w:lang w:val="en-US" w:eastAsia="zh-CN"/>
              </w:rPr>
              <w:t>9</w:t>
            </w:r>
            <w:r>
              <w:rPr>
                <w:rFonts w:hint="default"/>
              </w:rPr>
              <w:t>万元，占总投资的</w:t>
            </w:r>
            <w:r>
              <w:rPr>
                <w:rFonts w:hint="eastAsia"/>
                <w:lang w:val="en-US" w:eastAsia="zh-CN"/>
              </w:rPr>
              <w:t>14.06</w:t>
            </w:r>
            <w:r>
              <w:rPr>
                <w:rFonts w:hint="default"/>
              </w:rPr>
              <w:t>%，环</w:t>
            </w:r>
            <w:r>
              <w:rPr>
                <w:rFonts w:hint="default"/>
                <w:lang w:val="en-US" w:eastAsia="zh-CN"/>
              </w:rPr>
              <w:t>保</w:t>
            </w:r>
            <w:r>
              <w:rPr>
                <w:rFonts w:hint="default"/>
              </w:rPr>
              <w:t>投资见</w:t>
            </w:r>
            <w:r>
              <w:rPr>
                <w:rFonts w:hint="eastAsia"/>
                <w:lang w:val="en-US" w:eastAsia="zh-CN"/>
              </w:rPr>
              <w:t>下</w:t>
            </w:r>
            <w:r>
              <w:rPr>
                <w:rFonts w:hint="default"/>
              </w:rPr>
              <w:t>表。</w:t>
            </w:r>
          </w:p>
          <w:p w14:paraId="1831C111">
            <w:pPr>
              <w:pStyle w:val="5"/>
              <w:suppressLineNumbers w:val="0"/>
              <w:bidi w:val="0"/>
              <w:spacing w:before="0" w:beforeAutospacing="0" w:after="0" w:afterAutospacing="0"/>
              <w:ind w:left="0" w:right="0"/>
              <w:rPr>
                <w:rFonts w:hint="default"/>
              </w:rPr>
            </w:pPr>
            <w:r>
              <w:rPr>
                <w:rFonts w:hint="default"/>
              </w:rPr>
              <w:t>表</w:t>
            </w:r>
            <w:r>
              <w:rPr>
                <w:rFonts w:hint="eastAsia"/>
                <w:lang w:val="en-US" w:eastAsia="zh-CN"/>
              </w:rPr>
              <w:t>4-14</w:t>
            </w:r>
            <w:r>
              <w:rPr>
                <w:rFonts w:hint="default"/>
                <w:lang w:val="en-US" w:eastAsia="zh-CN"/>
              </w:rPr>
              <w:t xml:space="preserve">  </w:t>
            </w:r>
            <w:r>
              <w:rPr>
                <w:rFonts w:hint="default"/>
              </w:rPr>
              <w:t>环保措施投资估算</w:t>
            </w:r>
          </w:p>
          <w:tbl>
            <w:tblPr>
              <w:tblStyle w:val="33"/>
              <w:tblW w:w="4998" w:type="pct"/>
              <w:tblInd w:w="-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8"/>
              <w:gridCol w:w="1149"/>
              <w:gridCol w:w="5233"/>
              <w:gridCol w:w="1092"/>
            </w:tblGrid>
            <w:tr w14:paraId="0D7D67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33" w:type="pct"/>
                  <w:noWrap w:val="0"/>
                  <w:vAlign w:val="center"/>
                </w:tcPr>
                <w:p w14:paraId="63E8869E">
                  <w:pPr>
                    <w:pStyle w:val="7"/>
                    <w:keepNext w:val="0"/>
                    <w:keepLines w:val="0"/>
                    <w:suppressLineNumbers w:val="0"/>
                    <w:bidi w:val="0"/>
                    <w:spacing w:before="0" w:beforeAutospacing="0" w:after="0" w:afterAutospacing="0"/>
                    <w:ind w:left="0" w:right="0"/>
                    <w:rPr>
                      <w:rFonts w:hint="default"/>
                    </w:rPr>
                  </w:pPr>
                  <w:r>
                    <w:rPr>
                      <w:rFonts w:hint="default"/>
                    </w:rPr>
                    <w:t>工期</w:t>
                  </w:r>
                </w:p>
              </w:tc>
              <w:tc>
                <w:tcPr>
                  <w:tcW w:w="702" w:type="pct"/>
                  <w:noWrap w:val="0"/>
                  <w:vAlign w:val="center"/>
                </w:tcPr>
                <w:p w14:paraId="1F13A0BE">
                  <w:pPr>
                    <w:pStyle w:val="7"/>
                    <w:keepNext w:val="0"/>
                    <w:keepLines w:val="0"/>
                    <w:suppressLineNumbers w:val="0"/>
                    <w:bidi w:val="0"/>
                    <w:spacing w:before="0" w:beforeAutospacing="0" w:after="0" w:afterAutospacing="0"/>
                    <w:ind w:left="0" w:right="0"/>
                    <w:rPr>
                      <w:rFonts w:hint="default"/>
                    </w:rPr>
                  </w:pPr>
                  <w:r>
                    <w:rPr>
                      <w:rFonts w:hint="default"/>
                    </w:rPr>
                    <w:t>治理项目</w:t>
                  </w:r>
                </w:p>
              </w:tc>
              <w:tc>
                <w:tcPr>
                  <w:tcW w:w="3197" w:type="pct"/>
                  <w:noWrap w:val="0"/>
                  <w:vAlign w:val="center"/>
                </w:tcPr>
                <w:p w14:paraId="36FF3623">
                  <w:pPr>
                    <w:pStyle w:val="7"/>
                    <w:keepNext w:val="0"/>
                    <w:keepLines w:val="0"/>
                    <w:suppressLineNumbers w:val="0"/>
                    <w:bidi w:val="0"/>
                    <w:spacing w:before="0" w:beforeAutospacing="0" w:after="0" w:afterAutospacing="0"/>
                    <w:ind w:left="0" w:right="0"/>
                    <w:rPr>
                      <w:rFonts w:hint="default"/>
                    </w:rPr>
                  </w:pPr>
                  <w:r>
                    <w:rPr>
                      <w:rFonts w:hint="default"/>
                    </w:rPr>
                    <w:t>措施主要内容</w:t>
                  </w:r>
                </w:p>
              </w:tc>
              <w:tc>
                <w:tcPr>
                  <w:tcW w:w="667" w:type="pct"/>
                  <w:noWrap w:val="0"/>
                  <w:vAlign w:val="center"/>
                </w:tcPr>
                <w:p w14:paraId="4D7B48DD">
                  <w:pPr>
                    <w:pStyle w:val="7"/>
                    <w:keepNext w:val="0"/>
                    <w:keepLines w:val="0"/>
                    <w:suppressLineNumbers w:val="0"/>
                    <w:bidi w:val="0"/>
                    <w:spacing w:before="0" w:beforeAutospacing="0" w:after="0" w:afterAutospacing="0"/>
                    <w:ind w:left="0" w:right="0"/>
                    <w:rPr>
                      <w:rFonts w:hint="default"/>
                    </w:rPr>
                  </w:pPr>
                  <w:r>
                    <w:rPr>
                      <w:rFonts w:hint="default"/>
                    </w:rPr>
                    <w:t>投资</w:t>
                  </w:r>
                </w:p>
              </w:tc>
            </w:tr>
            <w:tr w14:paraId="4901F6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33" w:type="pct"/>
                  <w:vMerge w:val="restart"/>
                  <w:noWrap w:val="0"/>
                  <w:vAlign w:val="center"/>
                </w:tcPr>
                <w:p w14:paraId="38AC51AC">
                  <w:pPr>
                    <w:pStyle w:val="7"/>
                    <w:keepNext w:val="0"/>
                    <w:keepLines w:val="0"/>
                    <w:suppressLineNumbers w:val="0"/>
                    <w:bidi w:val="0"/>
                    <w:spacing w:before="0" w:beforeAutospacing="0" w:after="0" w:afterAutospacing="0"/>
                    <w:ind w:left="0" w:right="0"/>
                    <w:rPr>
                      <w:rFonts w:hint="default"/>
                    </w:rPr>
                  </w:pPr>
                  <w:r>
                    <w:rPr>
                      <w:rFonts w:hint="default"/>
                    </w:rPr>
                    <w:t>运营期</w:t>
                  </w:r>
                </w:p>
              </w:tc>
              <w:tc>
                <w:tcPr>
                  <w:tcW w:w="702" w:type="pct"/>
                  <w:vMerge w:val="restart"/>
                  <w:noWrap w:val="0"/>
                  <w:vAlign w:val="center"/>
                </w:tcPr>
                <w:p w14:paraId="52443E69">
                  <w:pPr>
                    <w:pStyle w:val="7"/>
                    <w:keepNext w:val="0"/>
                    <w:keepLines w:val="0"/>
                    <w:suppressLineNumbers w:val="0"/>
                    <w:bidi w:val="0"/>
                    <w:spacing w:before="0" w:beforeAutospacing="0" w:after="0" w:afterAutospacing="0"/>
                    <w:ind w:left="0" w:right="0"/>
                    <w:rPr>
                      <w:rFonts w:hint="default"/>
                    </w:rPr>
                  </w:pPr>
                  <w:r>
                    <w:rPr>
                      <w:rFonts w:hint="default"/>
                      <w:lang w:val="en-US" w:eastAsia="zh-CN"/>
                    </w:rPr>
                    <w:t>废气</w:t>
                  </w:r>
                </w:p>
              </w:tc>
              <w:tc>
                <w:tcPr>
                  <w:tcW w:w="3197" w:type="pct"/>
                  <w:noWrap w:val="0"/>
                  <w:vAlign w:val="center"/>
                </w:tcPr>
                <w:p w14:paraId="274FDE71">
                  <w:pPr>
                    <w:pStyle w:val="7"/>
                    <w:keepNext w:val="0"/>
                    <w:keepLines w:val="0"/>
                    <w:suppressLineNumbers w:val="0"/>
                    <w:bidi w:val="0"/>
                    <w:spacing w:before="0" w:beforeAutospacing="0" w:after="0" w:afterAutospacing="0"/>
                    <w:ind w:left="0" w:right="0"/>
                    <w:rPr>
                      <w:rFonts w:hint="default"/>
                      <w:lang w:val="en-US"/>
                    </w:rPr>
                  </w:pPr>
                  <w:r>
                    <w:rPr>
                      <w:rFonts w:hint="default"/>
                    </w:rPr>
                    <w:t>水泥</w:t>
                  </w:r>
                  <w:r>
                    <w:rPr>
                      <w:rFonts w:hint="default"/>
                      <w:lang w:val="en-US" w:eastAsia="zh-CN"/>
                    </w:rPr>
                    <w:t>筒</w:t>
                  </w:r>
                  <w:r>
                    <w:rPr>
                      <w:rFonts w:hint="default"/>
                    </w:rPr>
                    <w:t>仓</w:t>
                  </w:r>
                  <w:r>
                    <w:rPr>
                      <w:rFonts w:hint="eastAsia"/>
                      <w:lang w:eastAsia="zh-CN"/>
                    </w:rPr>
                    <w:t>：</w:t>
                  </w:r>
                  <w:r>
                    <w:rPr>
                      <w:rFonts w:hint="eastAsia"/>
                      <w:lang w:val="en-US" w:eastAsia="zh-CN"/>
                    </w:rPr>
                    <w:t>滤筒式过滤器</w:t>
                  </w:r>
                </w:p>
              </w:tc>
              <w:tc>
                <w:tcPr>
                  <w:tcW w:w="667" w:type="pct"/>
                  <w:noWrap w:val="0"/>
                  <w:vAlign w:val="center"/>
                </w:tcPr>
                <w:p w14:paraId="4A61C9BB">
                  <w:pPr>
                    <w:pStyle w:val="7"/>
                    <w:keepNext w:val="0"/>
                    <w:keepLines w:val="0"/>
                    <w:suppressLineNumbers w:val="0"/>
                    <w:bidi w:val="0"/>
                    <w:spacing w:before="0" w:beforeAutospacing="0" w:after="0" w:afterAutospacing="0"/>
                    <w:ind w:left="0" w:right="0"/>
                    <w:rPr>
                      <w:rFonts w:hint="default"/>
                      <w:lang w:val="en-US"/>
                    </w:rPr>
                  </w:pPr>
                  <w:r>
                    <w:rPr>
                      <w:rFonts w:hint="eastAsia"/>
                      <w:lang w:val="en-US" w:eastAsia="zh-CN"/>
                    </w:rPr>
                    <w:t>3</w:t>
                  </w:r>
                </w:p>
              </w:tc>
            </w:tr>
            <w:tr w14:paraId="7EC892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33" w:type="pct"/>
                  <w:vMerge w:val="continue"/>
                  <w:noWrap w:val="0"/>
                  <w:vAlign w:val="center"/>
                </w:tcPr>
                <w:p w14:paraId="7AA3CF05">
                  <w:pPr>
                    <w:pStyle w:val="7"/>
                    <w:keepNext w:val="0"/>
                    <w:keepLines w:val="0"/>
                    <w:suppressLineNumbers w:val="0"/>
                    <w:bidi w:val="0"/>
                    <w:spacing w:before="0" w:beforeAutospacing="0" w:after="0" w:afterAutospacing="0"/>
                    <w:ind w:left="0" w:right="0"/>
                    <w:rPr>
                      <w:rFonts w:hint="default"/>
                    </w:rPr>
                  </w:pPr>
                </w:p>
              </w:tc>
              <w:tc>
                <w:tcPr>
                  <w:tcW w:w="702" w:type="pct"/>
                  <w:vMerge w:val="continue"/>
                  <w:noWrap w:val="0"/>
                  <w:vAlign w:val="center"/>
                </w:tcPr>
                <w:p w14:paraId="77218BC9">
                  <w:pPr>
                    <w:pStyle w:val="7"/>
                    <w:keepNext w:val="0"/>
                    <w:keepLines w:val="0"/>
                    <w:suppressLineNumbers w:val="0"/>
                    <w:bidi w:val="0"/>
                    <w:spacing w:before="0" w:beforeAutospacing="0" w:after="0" w:afterAutospacing="0"/>
                    <w:ind w:left="0" w:right="0"/>
                    <w:rPr>
                      <w:rFonts w:hint="default"/>
                      <w:lang w:val="en-US" w:eastAsia="zh-CN"/>
                    </w:rPr>
                  </w:pPr>
                </w:p>
              </w:tc>
              <w:tc>
                <w:tcPr>
                  <w:tcW w:w="3197" w:type="pct"/>
                  <w:noWrap w:val="0"/>
                  <w:vAlign w:val="center"/>
                </w:tcPr>
                <w:p w14:paraId="4DE0582B">
                  <w:pPr>
                    <w:pStyle w:val="7"/>
                    <w:keepNext w:val="0"/>
                    <w:keepLines w:val="0"/>
                    <w:suppressLineNumbers w:val="0"/>
                    <w:bidi w:val="0"/>
                    <w:spacing w:before="0" w:beforeAutospacing="0" w:after="0" w:afterAutospacing="0"/>
                    <w:ind w:left="0" w:right="0"/>
                    <w:rPr>
                      <w:rFonts w:hint="default"/>
                      <w:lang w:eastAsia="zh-CN"/>
                    </w:rPr>
                  </w:pPr>
                  <w:r>
                    <w:rPr>
                      <w:rFonts w:hint="eastAsia"/>
                      <w:lang w:val="en-US" w:eastAsia="zh-CN"/>
                    </w:rPr>
                    <w:t>上料口</w:t>
                  </w:r>
                  <w:r>
                    <w:rPr>
                      <w:rFonts w:hint="default"/>
                      <w:lang w:eastAsia="zh-CN"/>
                    </w:rPr>
                    <w:t>：</w:t>
                  </w:r>
                  <w:r>
                    <w:rPr>
                      <w:rFonts w:hint="default"/>
                    </w:rPr>
                    <w:t>布袋除尘器</w:t>
                  </w:r>
                  <w:r>
                    <w:rPr>
                      <w:rFonts w:hint="default"/>
                      <w:lang w:val="en-US" w:eastAsia="zh-CN"/>
                    </w:rPr>
                    <w:t>+15米高排气筒</w:t>
                  </w:r>
                </w:p>
              </w:tc>
              <w:tc>
                <w:tcPr>
                  <w:tcW w:w="667" w:type="pct"/>
                  <w:noWrap w:val="0"/>
                  <w:vAlign w:val="center"/>
                </w:tcPr>
                <w:p w14:paraId="2B93C864">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3.5</w:t>
                  </w:r>
                </w:p>
              </w:tc>
            </w:tr>
            <w:tr w14:paraId="56E1F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433" w:type="pct"/>
                  <w:vMerge w:val="continue"/>
                  <w:noWrap w:val="0"/>
                  <w:vAlign w:val="center"/>
                </w:tcPr>
                <w:p w14:paraId="1762FF6D">
                  <w:pPr>
                    <w:pStyle w:val="7"/>
                    <w:keepNext w:val="0"/>
                    <w:keepLines w:val="0"/>
                    <w:suppressLineNumbers w:val="0"/>
                    <w:bidi w:val="0"/>
                    <w:spacing w:before="0" w:beforeAutospacing="0" w:after="0" w:afterAutospacing="0"/>
                    <w:ind w:left="0" w:right="0"/>
                    <w:rPr>
                      <w:rFonts w:hint="default"/>
                    </w:rPr>
                  </w:pPr>
                </w:p>
              </w:tc>
              <w:tc>
                <w:tcPr>
                  <w:tcW w:w="702" w:type="pct"/>
                  <w:noWrap w:val="0"/>
                  <w:vAlign w:val="center"/>
                </w:tcPr>
                <w:p w14:paraId="6466D6DE">
                  <w:pPr>
                    <w:pStyle w:val="7"/>
                    <w:keepNext w:val="0"/>
                    <w:keepLines w:val="0"/>
                    <w:suppressLineNumbers w:val="0"/>
                    <w:bidi w:val="0"/>
                    <w:spacing w:before="0" w:beforeAutospacing="0" w:after="0" w:afterAutospacing="0"/>
                    <w:ind w:left="0" w:right="0"/>
                    <w:rPr>
                      <w:rFonts w:hint="default"/>
                      <w:lang w:val="en-US" w:eastAsia="zh-CN"/>
                    </w:rPr>
                  </w:pPr>
                  <w:r>
                    <w:rPr>
                      <w:rFonts w:hint="default"/>
                    </w:rPr>
                    <w:t>废水</w:t>
                  </w:r>
                </w:p>
              </w:tc>
              <w:tc>
                <w:tcPr>
                  <w:tcW w:w="3197" w:type="pct"/>
                  <w:noWrap w:val="0"/>
                  <w:vAlign w:val="center"/>
                </w:tcPr>
                <w:p w14:paraId="7E5E67D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化粪池</w:t>
                  </w:r>
                  <w:r>
                    <w:rPr>
                      <w:rFonts w:hint="eastAsia"/>
                      <w:lang w:val="en-US" w:eastAsia="zh-CN"/>
                    </w:rPr>
                    <w:t>、沉淀池</w:t>
                  </w:r>
                </w:p>
              </w:tc>
              <w:tc>
                <w:tcPr>
                  <w:tcW w:w="667" w:type="pct"/>
                  <w:noWrap w:val="0"/>
                  <w:vAlign w:val="center"/>
                </w:tcPr>
                <w:p w14:paraId="0FF5C146">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w:t>
                  </w:r>
                </w:p>
              </w:tc>
            </w:tr>
            <w:tr w14:paraId="3BEFD8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33" w:type="pct"/>
                  <w:vMerge w:val="continue"/>
                  <w:noWrap w:val="0"/>
                  <w:vAlign w:val="center"/>
                </w:tcPr>
                <w:p w14:paraId="47B34D08">
                  <w:pPr>
                    <w:pStyle w:val="7"/>
                    <w:keepNext w:val="0"/>
                    <w:keepLines w:val="0"/>
                    <w:suppressLineNumbers w:val="0"/>
                    <w:bidi w:val="0"/>
                    <w:spacing w:before="0" w:beforeAutospacing="0" w:after="0" w:afterAutospacing="0"/>
                    <w:ind w:left="0" w:right="0"/>
                    <w:rPr>
                      <w:rFonts w:hint="default"/>
                    </w:rPr>
                  </w:pPr>
                </w:p>
              </w:tc>
              <w:tc>
                <w:tcPr>
                  <w:tcW w:w="702" w:type="pct"/>
                  <w:noWrap w:val="0"/>
                  <w:vAlign w:val="center"/>
                </w:tcPr>
                <w:p w14:paraId="3A07664F">
                  <w:pPr>
                    <w:pStyle w:val="7"/>
                    <w:keepNext w:val="0"/>
                    <w:keepLines w:val="0"/>
                    <w:suppressLineNumbers w:val="0"/>
                    <w:bidi w:val="0"/>
                    <w:spacing w:before="0" w:beforeAutospacing="0" w:after="0" w:afterAutospacing="0"/>
                    <w:ind w:left="0" w:right="0"/>
                    <w:rPr>
                      <w:rFonts w:hint="default"/>
                    </w:rPr>
                  </w:pPr>
                  <w:r>
                    <w:rPr>
                      <w:rFonts w:hint="default"/>
                    </w:rPr>
                    <w:t>噪声</w:t>
                  </w:r>
                </w:p>
              </w:tc>
              <w:tc>
                <w:tcPr>
                  <w:tcW w:w="3197" w:type="pct"/>
                  <w:noWrap w:val="0"/>
                  <w:vAlign w:val="center"/>
                </w:tcPr>
                <w:p w14:paraId="417FD8B6">
                  <w:pPr>
                    <w:pStyle w:val="7"/>
                    <w:keepNext w:val="0"/>
                    <w:keepLines w:val="0"/>
                    <w:suppressLineNumbers w:val="0"/>
                    <w:bidi w:val="0"/>
                    <w:spacing w:before="0" w:beforeAutospacing="0" w:after="0" w:afterAutospacing="0"/>
                    <w:ind w:left="0" w:right="0"/>
                    <w:rPr>
                      <w:rFonts w:hint="default"/>
                    </w:rPr>
                  </w:pPr>
                  <w:r>
                    <w:rPr>
                      <w:rFonts w:hint="default"/>
                    </w:rPr>
                    <w:t>设备基础减震垫</w:t>
                  </w:r>
                </w:p>
              </w:tc>
              <w:tc>
                <w:tcPr>
                  <w:tcW w:w="667" w:type="pct"/>
                  <w:noWrap w:val="0"/>
                  <w:vAlign w:val="center"/>
                </w:tcPr>
                <w:p w14:paraId="118CDF39">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0.3</w:t>
                  </w:r>
                </w:p>
              </w:tc>
            </w:tr>
            <w:tr w14:paraId="469D0A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33" w:type="pct"/>
                  <w:vMerge w:val="continue"/>
                  <w:noWrap w:val="0"/>
                  <w:vAlign w:val="center"/>
                </w:tcPr>
                <w:p w14:paraId="792C84A6">
                  <w:pPr>
                    <w:pStyle w:val="7"/>
                    <w:keepNext w:val="0"/>
                    <w:keepLines w:val="0"/>
                    <w:suppressLineNumbers w:val="0"/>
                    <w:bidi w:val="0"/>
                    <w:spacing w:before="0" w:beforeAutospacing="0" w:after="0" w:afterAutospacing="0"/>
                    <w:ind w:left="0" w:right="0"/>
                    <w:rPr>
                      <w:rFonts w:hint="default"/>
                    </w:rPr>
                  </w:pPr>
                </w:p>
              </w:tc>
              <w:tc>
                <w:tcPr>
                  <w:tcW w:w="702" w:type="pct"/>
                  <w:noWrap w:val="0"/>
                  <w:vAlign w:val="center"/>
                </w:tcPr>
                <w:p w14:paraId="153F3095">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固体废物</w:t>
                  </w:r>
                </w:p>
              </w:tc>
              <w:tc>
                <w:tcPr>
                  <w:tcW w:w="3197" w:type="pct"/>
                  <w:noWrap w:val="0"/>
                  <w:vAlign w:val="center"/>
                </w:tcPr>
                <w:p w14:paraId="36D5869A">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设置生活垃圾桶</w:t>
                  </w:r>
                </w:p>
              </w:tc>
              <w:tc>
                <w:tcPr>
                  <w:tcW w:w="667" w:type="pct"/>
                  <w:noWrap w:val="0"/>
                  <w:vAlign w:val="center"/>
                </w:tcPr>
                <w:p w14:paraId="1F39391D">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0.2</w:t>
                  </w:r>
                </w:p>
              </w:tc>
            </w:tr>
            <w:tr w14:paraId="3905984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433" w:type="pct"/>
                  <w:vMerge w:val="continue"/>
                  <w:noWrap w:val="0"/>
                  <w:vAlign w:val="center"/>
                </w:tcPr>
                <w:p w14:paraId="5E1C38BF">
                  <w:pPr>
                    <w:pStyle w:val="7"/>
                    <w:keepNext w:val="0"/>
                    <w:keepLines w:val="0"/>
                    <w:suppressLineNumbers w:val="0"/>
                    <w:bidi w:val="0"/>
                    <w:spacing w:before="0" w:beforeAutospacing="0" w:after="0" w:afterAutospacing="0"/>
                    <w:ind w:left="0" w:right="0"/>
                    <w:rPr>
                      <w:rFonts w:hint="default"/>
                    </w:rPr>
                  </w:pPr>
                </w:p>
              </w:tc>
              <w:tc>
                <w:tcPr>
                  <w:tcW w:w="702" w:type="pct"/>
                  <w:noWrap w:val="0"/>
                  <w:vAlign w:val="center"/>
                </w:tcPr>
                <w:p w14:paraId="0F52ECD7">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t>危险废物</w:t>
                  </w:r>
                </w:p>
              </w:tc>
              <w:tc>
                <w:tcPr>
                  <w:tcW w:w="3197" w:type="pct"/>
                  <w:noWrap w:val="0"/>
                  <w:vAlign w:val="center"/>
                </w:tcPr>
                <w:p w14:paraId="0C5E422C">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设置危废贮存点</w:t>
                  </w:r>
                </w:p>
              </w:tc>
              <w:tc>
                <w:tcPr>
                  <w:tcW w:w="667" w:type="pct"/>
                  <w:noWrap w:val="0"/>
                  <w:vAlign w:val="center"/>
                </w:tcPr>
                <w:p w14:paraId="06A5D086">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1</w:t>
                  </w:r>
                </w:p>
              </w:tc>
            </w:tr>
            <w:tr w14:paraId="204C78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1135" w:type="pct"/>
                  <w:gridSpan w:val="2"/>
                  <w:noWrap w:val="0"/>
                  <w:vAlign w:val="center"/>
                </w:tcPr>
                <w:p w14:paraId="62A2DEAE">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合计</w:t>
                  </w:r>
                </w:p>
              </w:tc>
              <w:tc>
                <w:tcPr>
                  <w:tcW w:w="3197" w:type="pct"/>
                  <w:noWrap w:val="0"/>
                  <w:vAlign w:val="center"/>
                </w:tcPr>
                <w:p w14:paraId="36258D64">
                  <w:pPr>
                    <w:pStyle w:val="7"/>
                    <w:keepNext w:val="0"/>
                    <w:keepLines w:val="0"/>
                    <w:suppressLineNumbers w:val="0"/>
                    <w:bidi w:val="0"/>
                    <w:spacing w:before="0" w:beforeAutospacing="0" w:after="0" w:afterAutospacing="0"/>
                    <w:ind w:left="0" w:right="0"/>
                    <w:rPr>
                      <w:rFonts w:hint="default"/>
                      <w:lang w:val="en-US" w:eastAsia="zh-CN"/>
                    </w:rPr>
                  </w:pPr>
                  <w:r>
                    <w:rPr>
                      <w:rFonts w:hint="eastAsia"/>
                      <w:lang w:val="en-US" w:eastAsia="zh-CN"/>
                    </w:rPr>
                    <w:t>/</w:t>
                  </w:r>
                </w:p>
              </w:tc>
              <w:tc>
                <w:tcPr>
                  <w:tcW w:w="667" w:type="pct"/>
                  <w:noWrap w:val="0"/>
                  <w:vAlign w:val="center"/>
                </w:tcPr>
                <w:p w14:paraId="67E6C1E9">
                  <w:pPr>
                    <w:pStyle w:val="7"/>
                    <w:keepNext w:val="0"/>
                    <w:keepLines w:val="0"/>
                    <w:suppressLineNumbers w:val="0"/>
                    <w:bidi w:val="0"/>
                    <w:spacing w:before="0" w:beforeAutospacing="0" w:after="0" w:afterAutospacing="0"/>
                    <w:ind w:left="0" w:right="0"/>
                    <w:rPr>
                      <w:rFonts w:hint="default"/>
                      <w:lang w:val="en-US" w:eastAsia="zh-CN"/>
                    </w:rPr>
                  </w:pPr>
                  <w:r>
                    <w:rPr>
                      <w:rFonts w:hint="default"/>
                      <w:lang w:val="en-US" w:eastAsia="zh-CN"/>
                    </w:rPr>
                    <w:fldChar w:fldCharType="begin"/>
                  </w:r>
                  <w:r>
                    <w:rPr>
                      <w:rFonts w:hint="default"/>
                      <w:lang w:val="en-US" w:eastAsia="zh-CN"/>
                    </w:rPr>
                    <w:instrText xml:space="preserve"> = sum(D2:D7) \* MERGEFORMAT </w:instrText>
                  </w:r>
                  <w:r>
                    <w:rPr>
                      <w:rFonts w:hint="default"/>
                      <w:lang w:val="en-US" w:eastAsia="zh-CN"/>
                    </w:rPr>
                    <w:fldChar w:fldCharType="separate"/>
                  </w:r>
                  <w:r>
                    <w:rPr>
                      <w:rFonts w:hint="default"/>
                      <w:lang w:val="en-US" w:eastAsia="zh-CN"/>
                    </w:rPr>
                    <w:t>9</w:t>
                  </w:r>
                  <w:r>
                    <w:rPr>
                      <w:rFonts w:hint="default"/>
                      <w:lang w:val="en-US" w:eastAsia="zh-CN"/>
                    </w:rPr>
                    <w:fldChar w:fldCharType="end"/>
                  </w:r>
                </w:p>
              </w:tc>
            </w:tr>
          </w:tbl>
          <w:p w14:paraId="6F3CBA2E">
            <w:pPr>
              <w:pStyle w:val="32"/>
              <w:keepNext w:val="0"/>
              <w:keepLines w:val="0"/>
              <w:suppressLineNumbers w:val="0"/>
              <w:spacing w:before="0" w:beforeAutospacing="0" w:afterAutospacing="0"/>
              <w:ind w:right="0"/>
              <w:rPr>
                <w:rFonts w:hint="default"/>
              </w:rPr>
            </w:pPr>
          </w:p>
          <w:p w14:paraId="51687185">
            <w:pPr>
              <w:pStyle w:val="32"/>
              <w:keepNext w:val="0"/>
              <w:keepLines w:val="0"/>
              <w:suppressLineNumbers w:val="0"/>
              <w:spacing w:before="0" w:beforeAutospacing="0" w:afterAutospacing="0"/>
              <w:ind w:right="0"/>
              <w:rPr>
                <w:rFonts w:hint="default"/>
              </w:rPr>
            </w:pPr>
          </w:p>
          <w:p w14:paraId="151E5A01">
            <w:pPr>
              <w:pStyle w:val="32"/>
              <w:keepNext w:val="0"/>
              <w:keepLines w:val="0"/>
              <w:suppressLineNumbers w:val="0"/>
              <w:spacing w:before="0" w:beforeAutospacing="0" w:afterAutospacing="0"/>
              <w:ind w:right="0"/>
              <w:rPr>
                <w:rFonts w:hint="default"/>
              </w:rPr>
            </w:pPr>
          </w:p>
          <w:p w14:paraId="647E3FE2">
            <w:pPr>
              <w:keepNext w:val="0"/>
              <w:keepLines w:val="0"/>
              <w:suppressLineNumbers w:val="0"/>
              <w:spacing w:before="0" w:beforeAutospacing="0" w:after="0" w:afterAutospacing="0"/>
              <w:ind w:left="0" w:right="0"/>
              <w:rPr>
                <w:rFonts w:hint="eastAsia"/>
                <w:vertAlign w:val="baseline"/>
              </w:rPr>
            </w:pPr>
          </w:p>
          <w:p w14:paraId="5F670EBB">
            <w:pPr>
              <w:pStyle w:val="32"/>
              <w:keepNext w:val="0"/>
              <w:keepLines w:val="0"/>
              <w:suppressLineNumbers w:val="0"/>
              <w:spacing w:before="0" w:beforeAutospacing="0" w:afterAutospacing="0"/>
              <w:ind w:right="0"/>
              <w:rPr>
                <w:rFonts w:hint="eastAsia"/>
                <w:vertAlign w:val="baseline"/>
              </w:rPr>
            </w:pPr>
          </w:p>
          <w:p w14:paraId="45DBCAE1">
            <w:pPr>
              <w:pStyle w:val="32"/>
              <w:keepNext w:val="0"/>
              <w:keepLines w:val="0"/>
              <w:suppressLineNumbers w:val="0"/>
              <w:spacing w:before="0" w:beforeAutospacing="0" w:afterAutospacing="0"/>
              <w:ind w:right="0"/>
              <w:rPr>
                <w:rFonts w:hint="eastAsia"/>
                <w:vertAlign w:val="baseline"/>
              </w:rPr>
            </w:pPr>
          </w:p>
          <w:p w14:paraId="7F5D570F">
            <w:pPr>
              <w:pStyle w:val="32"/>
              <w:keepNext w:val="0"/>
              <w:keepLines w:val="0"/>
              <w:suppressLineNumbers w:val="0"/>
              <w:spacing w:before="0" w:beforeAutospacing="0" w:afterAutospacing="0"/>
              <w:ind w:left="0" w:leftChars="0" w:right="0" w:firstLine="0" w:firstLineChars="0"/>
              <w:rPr>
                <w:rFonts w:hint="eastAsia"/>
                <w:vertAlign w:val="baseline"/>
              </w:rPr>
            </w:pPr>
          </w:p>
        </w:tc>
      </w:tr>
    </w:tbl>
    <w:p w14:paraId="6E86F03A">
      <w:pPr>
        <w:rPr>
          <w:rFonts w:hint="eastAsia"/>
        </w:rPr>
        <w:sectPr>
          <w:pgSz w:w="11907" w:h="16840"/>
          <w:pgMar w:top="1701" w:right="1531" w:bottom="2127"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4C232013">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000000"/>
          <w:sz w:val="30"/>
          <w:szCs w:val="30"/>
          <w:highlight w:val="none"/>
        </w:rPr>
      </w:pPr>
      <w:r>
        <w:rPr>
          <w:rFonts w:hint="eastAsia" w:ascii="黑体" w:hAnsi="黑体" w:eastAsia="黑体"/>
          <w:snapToGrid w:val="0"/>
          <w:color w:val="000000"/>
          <w:sz w:val="30"/>
          <w:szCs w:val="30"/>
          <w:highlight w:val="none"/>
        </w:rPr>
        <w:t>五、</w:t>
      </w:r>
      <w:bookmarkStart w:id="5" w:name="_Hlk54167917"/>
      <w:r>
        <w:rPr>
          <w:rFonts w:hint="eastAsia" w:ascii="黑体" w:hAnsi="黑体" w:eastAsia="黑体"/>
          <w:snapToGrid w:val="0"/>
          <w:color w:val="000000"/>
          <w:sz w:val="30"/>
          <w:szCs w:val="30"/>
          <w:highlight w:val="none"/>
        </w:rPr>
        <w:t>环境保护措施监督检查清单</w:t>
      </w:r>
      <w:bookmarkEnd w:id="5"/>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3"/>
        <w:gridCol w:w="2041"/>
        <w:gridCol w:w="1394"/>
        <w:gridCol w:w="2161"/>
        <w:gridCol w:w="2341"/>
      </w:tblGrid>
      <w:tr w14:paraId="4F761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63" w:type="dxa"/>
            <w:tcBorders>
              <w:bottom w:val="single" w:color="auto" w:sz="6" w:space="0"/>
              <w:tl2br w:val="single" w:color="auto" w:sz="4" w:space="0"/>
            </w:tcBorders>
            <w:noWrap w:val="0"/>
            <w:vAlign w:val="center"/>
          </w:tcPr>
          <w:p w14:paraId="5B5EB3DC">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 xml:space="preserve"> 内容</w:t>
            </w:r>
          </w:p>
          <w:p w14:paraId="218B817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p>
          <w:p w14:paraId="231BACB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要素</w:t>
            </w:r>
          </w:p>
        </w:tc>
        <w:tc>
          <w:tcPr>
            <w:tcW w:w="2041" w:type="dxa"/>
            <w:noWrap w:val="0"/>
            <w:vAlign w:val="center"/>
          </w:tcPr>
          <w:p w14:paraId="1418AD6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排放口(编号、名称)/污染源</w:t>
            </w:r>
          </w:p>
        </w:tc>
        <w:tc>
          <w:tcPr>
            <w:tcW w:w="1394" w:type="dxa"/>
            <w:noWrap w:val="0"/>
            <w:vAlign w:val="center"/>
          </w:tcPr>
          <w:p w14:paraId="5D37980C">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污染物项目</w:t>
            </w:r>
          </w:p>
        </w:tc>
        <w:tc>
          <w:tcPr>
            <w:tcW w:w="2161" w:type="dxa"/>
            <w:noWrap w:val="0"/>
            <w:vAlign w:val="center"/>
          </w:tcPr>
          <w:p w14:paraId="6CF336CF">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环境保护措施</w:t>
            </w:r>
          </w:p>
        </w:tc>
        <w:tc>
          <w:tcPr>
            <w:tcW w:w="2341" w:type="dxa"/>
            <w:noWrap w:val="0"/>
            <w:vAlign w:val="center"/>
          </w:tcPr>
          <w:p w14:paraId="4D3A992D">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执行标准</w:t>
            </w:r>
          </w:p>
        </w:tc>
      </w:tr>
      <w:tr w14:paraId="7B6010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863" w:type="dxa"/>
            <w:vMerge w:val="restart"/>
            <w:tcBorders>
              <w:top w:val="single" w:color="auto" w:sz="6" w:space="0"/>
            </w:tcBorders>
            <w:noWrap w:val="0"/>
            <w:vAlign w:val="center"/>
          </w:tcPr>
          <w:p w14:paraId="5C882DB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大气环境</w:t>
            </w:r>
          </w:p>
        </w:tc>
        <w:tc>
          <w:tcPr>
            <w:tcW w:w="2041" w:type="dxa"/>
            <w:noWrap w:val="0"/>
            <w:vAlign w:val="center"/>
          </w:tcPr>
          <w:p w14:paraId="22879938">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eastAsia"/>
                <w:lang w:val="en-US" w:eastAsia="zh-CN"/>
              </w:rPr>
              <w:t>上料废气</w:t>
            </w:r>
            <w:r>
              <w:rPr>
                <w:rFonts w:hint="default"/>
              </w:rPr>
              <w:t>排气</w:t>
            </w:r>
            <w:r>
              <w:rPr>
                <w:rFonts w:hint="eastAsia"/>
                <w:lang w:val="en-US" w:eastAsia="zh-CN"/>
              </w:rPr>
              <w:t>口</w:t>
            </w:r>
          </w:p>
          <w:p w14:paraId="5A81368D">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val="en-US"/>
              </w:rPr>
            </w:pPr>
            <w:r>
              <w:rPr>
                <w:rFonts w:hint="eastAsia"/>
                <w:lang w:val="en-US" w:eastAsia="zh-CN"/>
              </w:rPr>
              <w:t>(</w:t>
            </w:r>
            <w:r>
              <w:rPr>
                <w:rFonts w:hint="default"/>
                <w:lang w:val="en-US" w:eastAsia="zh-CN"/>
              </w:rPr>
              <w:t>DA001</w:t>
            </w:r>
            <w:r>
              <w:rPr>
                <w:rFonts w:hint="eastAsia"/>
                <w:lang w:val="en-US" w:eastAsia="zh-CN"/>
              </w:rPr>
              <w:t>)</w:t>
            </w:r>
          </w:p>
        </w:tc>
        <w:tc>
          <w:tcPr>
            <w:tcW w:w="1394" w:type="dxa"/>
            <w:vMerge w:val="restart"/>
            <w:noWrap w:val="0"/>
            <w:vAlign w:val="center"/>
          </w:tcPr>
          <w:p w14:paraId="7A2232CB">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颗粒物</w:t>
            </w:r>
          </w:p>
        </w:tc>
        <w:tc>
          <w:tcPr>
            <w:tcW w:w="2161" w:type="dxa"/>
            <w:noWrap w:val="0"/>
            <w:vAlign w:val="center"/>
          </w:tcPr>
          <w:p w14:paraId="0C42C82A">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eastAsia="zh-CN"/>
              </w:rPr>
            </w:pPr>
            <w:r>
              <w:rPr>
                <w:rFonts w:hint="eastAsia"/>
                <w:lang w:val="en-US" w:eastAsia="zh-CN"/>
              </w:rPr>
              <w:t>集气罩</w:t>
            </w:r>
            <w:r>
              <w:rPr>
                <w:rFonts w:hint="default"/>
                <w:lang w:val="en-US" w:eastAsia="zh-CN"/>
              </w:rPr>
              <w:t>+</w:t>
            </w:r>
            <w:r>
              <w:rPr>
                <w:rFonts w:hint="default"/>
              </w:rPr>
              <w:t>布袋除尘器+15m高排气筒</w:t>
            </w:r>
            <w:r>
              <w:rPr>
                <w:rFonts w:hint="eastAsia"/>
                <w:lang w:eastAsia="zh-CN"/>
              </w:rPr>
              <w:t>（</w:t>
            </w:r>
            <w:r>
              <w:rPr>
                <w:rFonts w:hint="eastAsia"/>
                <w:lang w:val="en-US" w:eastAsia="zh-CN"/>
              </w:rPr>
              <w:t>DA001</w:t>
            </w:r>
            <w:r>
              <w:rPr>
                <w:rFonts w:hint="eastAsia"/>
                <w:lang w:eastAsia="zh-CN"/>
              </w:rPr>
              <w:t>）</w:t>
            </w:r>
          </w:p>
        </w:tc>
        <w:tc>
          <w:tcPr>
            <w:tcW w:w="2341" w:type="dxa"/>
            <w:noWrap w:val="0"/>
            <w:vAlign w:val="center"/>
          </w:tcPr>
          <w:p w14:paraId="3C664AF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eastAsia="宋体"/>
                <w:lang w:eastAsia="zh-CN"/>
              </w:rPr>
            </w:pPr>
            <w:r>
              <w:rPr>
                <w:rFonts w:hint="default"/>
              </w:rPr>
              <w:t>《水泥工业大气污染物排放标准》（含2025年修改单）（GB4915-2013）表</w:t>
            </w:r>
            <w:r>
              <w:rPr>
                <w:rFonts w:hint="eastAsia"/>
                <w:lang w:val="en-US" w:eastAsia="zh-CN"/>
              </w:rPr>
              <w:t>1</w:t>
            </w:r>
          </w:p>
        </w:tc>
      </w:tr>
      <w:tr w14:paraId="1198FC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63" w:type="dxa"/>
            <w:vMerge w:val="continue"/>
            <w:noWrap w:val="0"/>
            <w:vAlign w:val="center"/>
          </w:tcPr>
          <w:p w14:paraId="4E10B9C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p>
        </w:tc>
        <w:tc>
          <w:tcPr>
            <w:tcW w:w="2041" w:type="dxa"/>
            <w:vMerge w:val="restart"/>
            <w:noWrap w:val="0"/>
            <w:vAlign w:val="center"/>
          </w:tcPr>
          <w:p w14:paraId="08A4F045">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eastAsia="宋体"/>
                <w:lang w:val="en-US" w:eastAsia="zh-CN"/>
              </w:rPr>
            </w:pPr>
            <w:r>
              <w:rPr>
                <w:rFonts w:hint="eastAsia"/>
                <w:lang w:val="en-US" w:eastAsia="zh-CN"/>
              </w:rPr>
              <w:t>厂界</w:t>
            </w:r>
          </w:p>
        </w:tc>
        <w:tc>
          <w:tcPr>
            <w:tcW w:w="1394" w:type="dxa"/>
            <w:vMerge w:val="continue"/>
            <w:noWrap w:val="0"/>
            <w:vAlign w:val="center"/>
          </w:tcPr>
          <w:p w14:paraId="1E0C0C4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p>
        </w:tc>
        <w:tc>
          <w:tcPr>
            <w:tcW w:w="2161" w:type="dxa"/>
            <w:noWrap w:val="0"/>
            <w:vAlign w:val="center"/>
          </w:tcPr>
          <w:p w14:paraId="34FA480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eastAsia"/>
                <w:lang w:val="en-US" w:eastAsia="zh-CN"/>
              </w:rPr>
              <w:t>厂房</w:t>
            </w:r>
            <w:r>
              <w:rPr>
                <w:rFonts w:hint="default"/>
              </w:rPr>
              <w:t>采用全封闭式结构</w:t>
            </w:r>
            <w:r>
              <w:rPr>
                <w:rFonts w:hint="eastAsia"/>
                <w:lang w:val="en-US" w:eastAsia="zh-CN"/>
              </w:rPr>
              <w:t>+洒水、</w:t>
            </w:r>
            <w:r>
              <w:rPr>
                <w:rFonts w:hint="default"/>
              </w:rPr>
              <w:t>筒仓顶部设置</w:t>
            </w:r>
            <w:r>
              <w:rPr>
                <w:rFonts w:hint="default"/>
                <w:lang w:val="en-US" w:eastAsia="zh-CN"/>
              </w:rPr>
              <w:t>滤筒式过滤器</w:t>
            </w:r>
            <w:r>
              <w:rPr>
                <w:rFonts w:hint="eastAsia"/>
                <w:lang w:val="en-US" w:eastAsia="zh-CN"/>
              </w:rPr>
              <w:t>、物料搅拌采用全封闭设施</w:t>
            </w:r>
          </w:p>
        </w:tc>
        <w:tc>
          <w:tcPr>
            <w:tcW w:w="2341" w:type="dxa"/>
            <w:noWrap w:val="0"/>
            <w:vAlign w:val="center"/>
          </w:tcPr>
          <w:p w14:paraId="023670C9">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r>
              <w:rPr>
                <w:rFonts w:hint="default"/>
              </w:rPr>
              <w:t>《水泥工业大气污染物排放标准》（含2025年修改单）（GB4915-2013）表</w:t>
            </w:r>
            <w:r>
              <w:rPr>
                <w:rFonts w:hint="eastAsia"/>
                <w:lang w:val="en-US" w:eastAsia="zh-CN"/>
              </w:rPr>
              <w:t>3</w:t>
            </w:r>
          </w:p>
        </w:tc>
      </w:tr>
      <w:tr w14:paraId="6AC864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863" w:type="dxa"/>
            <w:vMerge w:val="continue"/>
            <w:noWrap w:val="0"/>
            <w:vAlign w:val="center"/>
          </w:tcPr>
          <w:p w14:paraId="0D01CA6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p>
        </w:tc>
        <w:tc>
          <w:tcPr>
            <w:tcW w:w="2041" w:type="dxa"/>
            <w:vMerge w:val="continue"/>
            <w:noWrap w:val="0"/>
            <w:vAlign w:val="center"/>
          </w:tcPr>
          <w:p w14:paraId="61DD744D">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lang w:val="en-US" w:eastAsia="zh-CN"/>
              </w:rPr>
            </w:pPr>
          </w:p>
        </w:tc>
        <w:tc>
          <w:tcPr>
            <w:tcW w:w="1394" w:type="dxa"/>
            <w:noWrap w:val="0"/>
            <w:vAlign w:val="center"/>
          </w:tcPr>
          <w:p w14:paraId="62E5862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jc w:val="center"/>
              <w:textAlignment w:val="auto"/>
              <w:rPr>
                <w:rFonts w:hint="default"/>
              </w:rPr>
            </w:pPr>
            <w:r>
              <w:rPr>
                <w:rFonts w:hint="eastAsia" w:cs="Times New Roman"/>
                <w:lang w:val="en-US" w:eastAsia="zh-CN"/>
              </w:rPr>
              <w:t>非甲烷总烃</w:t>
            </w:r>
          </w:p>
        </w:tc>
        <w:tc>
          <w:tcPr>
            <w:tcW w:w="2161" w:type="dxa"/>
            <w:noWrap w:val="0"/>
            <w:vAlign w:val="center"/>
          </w:tcPr>
          <w:p w14:paraId="52CDBA4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lang w:val="en-US" w:eastAsia="zh-CN"/>
              </w:rPr>
            </w:pPr>
            <w:r>
              <w:rPr>
                <w:rFonts w:hint="default" w:ascii="Times New Roman" w:hAnsi="Times New Roman" w:cs="Times New Roman"/>
                <w:lang w:val="en-US" w:eastAsia="zh-CN"/>
              </w:rPr>
              <w:t>/</w:t>
            </w:r>
          </w:p>
        </w:tc>
        <w:tc>
          <w:tcPr>
            <w:tcW w:w="2341" w:type="dxa"/>
            <w:noWrap w:val="0"/>
            <w:vAlign w:val="center"/>
          </w:tcPr>
          <w:p w14:paraId="0A644D9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default"/>
              </w:rPr>
            </w:pPr>
            <w:r>
              <w:rPr>
                <w:rFonts w:hint="default" w:ascii="Times New Roman" w:hAnsi="Times New Roman" w:cs="Times New Roman"/>
                <w:lang w:val="en-US" w:eastAsia="zh-CN"/>
              </w:rPr>
              <w:t>《大气污染物综合排放标准》（GB16297-1996）表2无组织排放监控浓度限值</w:t>
            </w:r>
          </w:p>
        </w:tc>
      </w:tr>
      <w:tr w14:paraId="74CE02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noWrap w:val="0"/>
            <w:vAlign w:val="center"/>
          </w:tcPr>
          <w:p w14:paraId="18BFDA6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地表水环境</w:t>
            </w:r>
          </w:p>
        </w:tc>
        <w:tc>
          <w:tcPr>
            <w:tcW w:w="2041" w:type="dxa"/>
            <w:noWrap w:val="0"/>
            <w:vAlign w:val="center"/>
          </w:tcPr>
          <w:p w14:paraId="1495D985">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eastAsia" w:eastAsia="宋体"/>
                <w:lang w:eastAsia="zh-CN"/>
              </w:rPr>
            </w:pPr>
            <w:r>
              <w:rPr>
                <w:rFonts w:hint="eastAsia"/>
                <w:lang w:val="en-US" w:eastAsia="zh-CN"/>
              </w:rPr>
              <w:t>生活污水</w:t>
            </w:r>
          </w:p>
        </w:tc>
        <w:tc>
          <w:tcPr>
            <w:tcW w:w="1394" w:type="dxa"/>
            <w:noWrap w:val="0"/>
            <w:vAlign w:val="center"/>
          </w:tcPr>
          <w:p w14:paraId="46A04D7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SS、COD、BOD</w:t>
            </w:r>
            <w:r>
              <w:rPr>
                <w:rFonts w:hint="eastAsia"/>
                <w:vertAlign w:val="subscript"/>
                <w:lang w:val="en-US" w:eastAsia="zh-CN"/>
              </w:rPr>
              <w:t>5</w:t>
            </w:r>
            <w:r>
              <w:rPr>
                <w:rFonts w:hint="default"/>
              </w:rPr>
              <w:t>、氨氮</w:t>
            </w:r>
          </w:p>
        </w:tc>
        <w:tc>
          <w:tcPr>
            <w:tcW w:w="2161" w:type="dxa"/>
            <w:noWrap w:val="0"/>
            <w:vAlign w:val="center"/>
          </w:tcPr>
          <w:p w14:paraId="06750F29">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lang w:val="en-US" w:eastAsia="zh-CN"/>
              </w:rPr>
              <w:t>排入化粪池处理后，</w:t>
            </w:r>
            <w:r>
              <w:rPr>
                <w:rFonts w:hint="eastAsia"/>
                <w:lang w:val="en-US" w:eastAsia="zh-CN"/>
              </w:rPr>
              <w:t>定期清掏至和静县污水处理厂</w:t>
            </w:r>
            <w:r>
              <w:rPr>
                <w:rFonts w:hint="default"/>
                <w:lang w:val="en-US" w:eastAsia="zh-CN"/>
              </w:rPr>
              <w:t>处理</w:t>
            </w:r>
          </w:p>
        </w:tc>
        <w:tc>
          <w:tcPr>
            <w:tcW w:w="2341" w:type="dxa"/>
            <w:noWrap w:val="0"/>
            <w:vAlign w:val="center"/>
          </w:tcPr>
          <w:p w14:paraId="24FE163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lang w:val="en-US" w:eastAsia="zh-CN"/>
              </w:rPr>
              <w:t>《污水综合排放标准》（GB8978-1996）三级标准</w:t>
            </w:r>
          </w:p>
        </w:tc>
      </w:tr>
      <w:tr w14:paraId="7AA8D8A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jc w:val="center"/>
        </w:trPr>
        <w:tc>
          <w:tcPr>
            <w:tcW w:w="863" w:type="dxa"/>
            <w:noWrap w:val="0"/>
            <w:vAlign w:val="center"/>
          </w:tcPr>
          <w:p w14:paraId="5D053A3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声环境</w:t>
            </w:r>
          </w:p>
        </w:tc>
        <w:tc>
          <w:tcPr>
            <w:tcW w:w="2041" w:type="dxa"/>
            <w:noWrap w:val="0"/>
            <w:vAlign w:val="center"/>
          </w:tcPr>
          <w:p w14:paraId="03F294A8">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lang w:val="en-US"/>
              </w:rPr>
            </w:pPr>
            <w:r>
              <w:rPr>
                <w:rFonts w:hint="eastAsia"/>
                <w:lang w:val="en-US" w:eastAsia="zh-CN"/>
              </w:rPr>
              <w:t>设备噪声</w:t>
            </w:r>
          </w:p>
        </w:tc>
        <w:tc>
          <w:tcPr>
            <w:tcW w:w="1394" w:type="dxa"/>
            <w:noWrap w:val="0"/>
            <w:vAlign w:val="center"/>
          </w:tcPr>
          <w:p w14:paraId="73350C9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eastAsia"/>
                <w:lang w:val="en-US" w:eastAsia="zh-CN"/>
              </w:rPr>
              <w:t>等效A声级</w:t>
            </w:r>
          </w:p>
        </w:tc>
        <w:tc>
          <w:tcPr>
            <w:tcW w:w="2161" w:type="dxa"/>
            <w:noWrap w:val="0"/>
            <w:vAlign w:val="center"/>
          </w:tcPr>
          <w:p w14:paraId="7DD3E79A">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eastAsia="宋体"/>
                <w:lang w:val="en-US" w:eastAsia="zh-CN"/>
              </w:rPr>
            </w:pPr>
            <w:r>
              <w:rPr>
                <w:rFonts w:hint="default"/>
              </w:rPr>
              <w:t>基础减振、隔声罩</w:t>
            </w:r>
            <w:r>
              <w:rPr>
                <w:rFonts w:hint="eastAsia"/>
                <w:lang w:eastAsia="zh-CN"/>
              </w:rPr>
              <w:t>、</w:t>
            </w:r>
            <w:r>
              <w:rPr>
                <w:rFonts w:hint="eastAsia"/>
                <w:lang w:val="en-US" w:eastAsia="zh-CN"/>
              </w:rPr>
              <w:t>绿化</w:t>
            </w:r>
          </w:p>
        </w:tc>
        <w:tc>
          <w:tcPr>
            <w:tcW w:w="2341" w:type="dxa"/>
            <w:noWrap w:val="0"/>
            <w:vAlign w:val="center"/>
          </w:tcPr>
          <w:p w14:paraId="71026E68">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《工业企业厂界环境噪声排放标准》（GB12348-2008）中的</w:t>
            </w:r>
            <w:r>
              <w:rPr>
                <w:rFonts w:hint="eastAsia"/>
                <w:lang w:val="en-US" w:eastAsia="zh-CN"/>
              </w:rPr>
              <w:t>2</w:t>
            </w:r>
            <w:r>
              <w:rPr>
                <w:rFonts w:hint="default"/>
              </w:rPr>
              <w:t>类标准</w:t>
            </w:r>
          </w:p>
        </w:tc>
      </w:tr>
      <w:tr w14:paraId="7BC2A9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noWrap w:val="0"/>
            <w:vAlign w:val="center"/>
          </w:tcPr>
          <w:p w14:paraId="269C8BE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电磁辐射</w:t>
            </w:r>
          </w:p>
        </w:tc>
        <w:tc>
          <w:tcPr>
            <w:tcW w:w="2041" w:type="dxa"/>
            <w:noWrap w:val="0"/>
            <w:vAlign w:val="center"/>
          </w:tcPr>
          <w:p w14:paraId="18B4C4A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w:t>
            </w:r>
          </w:p>
        </w:tc>
        <w:tc>
          <w:tcPr>
            <w:tcW w:w="1394" w:type="dxa"/>
            <w:noWrap w:val="0"/>
            <w:vAlign w:val="center"/>
          </w:tcPr>
          <w:p w14:paraId="50C2812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w:t>
            </w:r>
          </w:p>
        </w:tc>
        <w:tc>
          <w:tcPr>
            <w:tcW w:w="2161" w:type="dxa"/>
            <w:noWrap w:val="0"/>
            <w:vAlign w:val="center"/>
          </w:tcPr>
          <w:p w14:paraId="74242E59">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w:t>
            </w:r>
          </w:p>
        </w:tc>
        <w:tc>
          <w:tcPr>
            <w:tcW w:w="2341" w:type="dxa"/>
            <w:noWrap w:val="0"/>
            <w:vAlign w:val="center"/>
          </w:tcPr>
          <w:p w14:paraId="52255385">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w:t>
            </w:r>
          </w:p>
        </w:tc>
      </w:tr>
      <w:tr w14:paraId="69F972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4" w:hRule="atLeast"/>
          <w:jc w:val="center"/>
        </w:trPr>
        <w:tc>
          <w:tcPr>
            <w:tcW w:w="863" w:type="dxa"/>
            <w:noWrap w:val="0"/>
            <w:vAlign w:val="center"/>
          </w:tcPr>
          <w:p w14:paraId="213BC84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固体</w:t>
            </w:r>
            <w:r>
              <w:rPr>
                <w:rFonts w:hint="eastAsia"/>
                <w:lang w:val="en-US" w:eastAsia="zh-CN"/>
              </w:rPr>
              <w:t xml:space="preserve"> </w:t>
            </w:r>
            <w:r>
              <w:rPr>
                <w:rFonts w:hint="default"/>
              </w:rPr>
              <w:t>废物</w:t>
            </w:r>
          </w:p>
        </w:tc>
        <w:tc>
          <w:tcPr>
            <w:tcW w:w="7937" w:type="dxa"/>
            <w:gridSpan w:val="4"/>
            <w:noWrap w:val="0"/>
            <w:vAlign w:val="center"/>
          </w:tcPr>
          <w:p w14:paraId="4595358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rPr>
            </w:pPr>
            <w:r>
              <w:rPr>
                <w:rFonts w:hint="default"/>
              </w:rPr>
              <w:t>水泥筒仓滤筒式过滤器拦截的</w:t>
            </w:r>
            <w:r>
              <w:rPr>
                <w:rFonts w:hint="default"/>
                <w:lang w:val="en-US" w:eastAsia="zh-CN"/>
              </w:rPr>
              <w:t>粉</w:t>
            </w:r>
            <w:r>
              <w:rPr>
                <w:rFonts w:hint="default"/>
              </w:rPr>
              <w:t>尘</w:t>
            </w:r>
            <w:r>
              <w:rPr>
                <w:rFonts w:hint="default"/>
                <w:lang w:eastAsia="zh-CN"/>
              </w:rPr>
              <w:t>、</w:t>
            </w:r>
            <w:r>
              <w:rPr>
                <w:rFonts w:hint="default"/>
              </w:rPr>
              <w:t>上料口设置除尘器收集的粉尘、混凝土残渣沉淀池底泥回用于生产</w:t>
            </w:r>
            <w:r>
              <w:rPr>
                <w:rFonts w:hint="default"/>
                <w:lang w:eastAsia="zh-CN"/>
              </w:rPr>
              <w:t>；</w:t>
            </w:r>
            <w:r>
              <w:rPr>
                <w:rFonts w:hint="default"/>
              </w:rPr>
              <w:t>废布袋</w:t>
            </w:r>
            <w:r>
              <w:rPr>
                <w:rFonts w:hint="default"/>
                <w:lang w:eastAsia="zh-CN"/>
              </w:rPr>
              <w:t>、</w:t>
            </w:r>
            <w:r>
              <w:rPr>
                <w:rFonts w:hint="default"/>
                <w:lang w:val="en-US" w:eastAsia="zh-CN"/>
              </w:rPr>
              <w:t>废滤芯</w:t>
            </w:r>
            <w:r>
              <w:rPr>
                <w:rFonts w:hint="default"/>
              </w:rPr>
              <w:t>交由厂家回收处理；生活垃圾分类收集后委托环卫部门及时清运</w:t>
            </w:r>
            <w:r>
              <w:rPr>
                <w:rFonts w:hint="default"/>
                <w:lang w:eastAsia="zh-CN"/>
              </w:rPr>
              <w:t>；</w:t>
            </w:r>
            <w:r>
              <w:rPr>
                <w:rFonts w:hint="default"/>
                <w:lang w:val="en-US" w:eastAsia="zh-CN"/>
              </w:rPr>
              <w:t>废润滑油、废润滑油桶储</w:t>
            </w:r>
            <w:r>
              <w:rPr>
                <w:rFonts w:hint="default"/>
              </w:rPr>
              <w:t>存于危废贮存点后交由有资质单位处理。</w:t>
            </w:r>
          </w:p>
        </w:tc>
      </w:tr>
      <w:tr w14:paraId="0415DD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noWrap w:val="0"/>
            <w:vAlign w:val="center"/>
          </w:tcPr>
          <w:p w14:paraId="58D1E144">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土壤及地下水污染防治措施</w:t>
            </w:r>
          </w:p>
        </w:tc>
        <w:tc>
          <w:tcPr>
            <w:tcW w:w="7937" w:type="dxa"/>
            <w:gridSpan w:val="4"/>
            <w:noWrap w:val="0"/>
            <w:vAlign w:val="center"/>
          </w:tcPr>
          <w:p w14:paraId="3F71314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lang w:val="en-US" w:eastAsia="zh-CN"/>
              </w:rPr>
            </w:pPr>
            <w:r>
              <w:rPr>
                <w:rFonts w:hint="default"/>
                <w:lang w:val="en-US" w:eastAsia="zh-CN"/>
              </w:rPr>
              <w:t>①简单防渗：</w:t>
            </w:r>
            <w:r>
              <w:rPr>
                <w:rFonts w:hint="eastAsia"/>
                <w:lang w:val="en-US" w:eastAsia="zh-CN"/>
              </w:rPr>
              <w:t>厂房</w:t>
            </w:r>
            <w:r>
              <w:rPr>
                <w:rFonts w:hint="default"/>
                <w:lang w:val="en-US" w:eastAsia="zh-CN"/>
              </w:rPr>
              <w:t>进行一般地面硬化；</w:t>
            </w:r>
          </w:p>
          <w:p w14:paraId="21EB095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rPr>
            </w:pPr>
            <w:r>
              <w:rPr>
                <w:rFonts w:hint="default"/>
                <w:lang w:val="en-US" w:eastAsia="zh-CN"/>
              </w:rPr>
              <w:t>②一般防渗：化粪池、沉淀池，以混凝土浇筑底板，并设有防渗层，等效黏土防渗层Mb≥1.5m，渗透系数≤10</w:t>
            </w:r>
            <w:r>
              <w:rPr>
                <w:rFonts w:hint="default"/>
                <w:vertAlign w:val="superscript"/>
                <w:lang w:val="en-US" w:eastAsia="zh-CN"/>
              </w:rPr>
              <w:t>-7</w:t>
            </w:r>
            <w:r>
              <w:rPr>
                <w:rFonts w:hint="default"/>
                <w:lang w:val="en-US" w:eastAsia="zh-CN"/>
              </w:rPr>
              <w:t>cm/s。</w:t>
            </w:r>
          </w:p>
          <w:p w14:paraId="24DEE35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lang w:eastAsia="zh-CN"/>
              </w:rPr>
            </w:pPr>
            <w:r>
              <w:rPr>
                <w:rFonts w:hint="eastAsia"/>
                <w:lang w:val="en-US" w:eastAsia="zh-CN"/>
              </w:rPr>
              <w:t>③重点防渗：危险废物贮存点，</w:t>
            </w:r>
            <w:r>
              <w:rPr>
                <w:rFonts w:hint="default"/>
              </w:rPr>
              <w:t>防渗层为至少1m厚</w:t>
            </w:r>
            <w:r>
              <w:rPr>
                <w:rFonts w:hint="eastAsia"/>
                <w:lang w:eastAsia="zh-CN"/>
              </w:rPr>
              <w:t>黏土</w:t>
            </w:r>
            <w:r>
              <w:rPr>
                <w:rFonts w:hint="default"/>
              </w:rPr>
              <w:t>层（渗透系数≤10</w:t>
            </w:r>
            <w:r>
              <w:rPr>
                <w:rFonts w:hint="default"/>
                <w:vertAlign w:val="superscript"/>
              </w:rPr>
              <w:t>-7</w:t>
            </w:r>
            <w:r>
              <w:rPr>
                <w:rFonts w:hint="default"/>
              </w:rPr>
              <w:t>cm/s），或2mm厚高密度聚乙烯，或至少2mm厚的其他人工材料，渗透系数≤10</w:t>
            </w:r>
            <w:r>
              <w:rPr>
                <w:rFonts w:hint="default"/>
                <w:vertAlign w:val="superscript"/>
              </w:rPr>
              <w:t>-6</w:t>
            </w:r>
            <w:r>
              <w:rPr>
                <w:rFonts w:hint="default"/>
              </w:rPr>
              <w:t>cm/s</w:t>
            </w:r>
            <w:r>
              <w:rPr>
                <w:rFonts w:hint="eastAsia"/>
                <w:lang w:eastAsia="zh-CN"/>
              </w:rPr>
              <w:t>。</w:t>
            </w:r>
          </w:p>
        </w:tc>
      </w:tr>
      <w:tr w14:paraId="251B83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noWrap w:val="0"/>
            <w:vAlign w:val="center"/>
          </w:tcPr>
          <w:p w14:paraId="364E014F">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生态保护措施</w:t>
            </w:r>
          </w:p>
        </w:tc>
        <w:tc>
          <w:tcPr>
            <w:tcW w:w="7937" w:type="dxa"/>
            <w:gridSpan w:val="4"/>
            <w:noWrap w:val="0"/>
            <w:vAlign w:val="center"/>
          </w:tcPr>
          <w:p w14:paraId="7ACBD1D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jc w:val="center"/>
              <w:textAlignment w:val="auto"/>
              <w:rPr>
                <w:rFonts w:hint="eastAsia" w:eastAsia="宋体"/>
                <w:lang w:eastAsia="zh-CN"/>
              </w:rPr>
            </w:pPr>
            <w:r>
              <w:rPr>
                <w:rFonts w:hint="eastAsia"/>
                <w:lang w:val="en-US" w:eastAsia="zh-CN"/>
              </w:rPr>
              <w:t>无</w:t>
            </w:r>
          </w:p>
        </w:tc>
      </w:tr>
      <w:tr w14:paraId="327102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63" w:type="dxa"/>
            <w:noWrap w:val="0"/>
            <w:vAlign w:val="center"/>
          </w:tcPr>
          <w:p w14:paraId="427F5F1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环境风险防范措施</w:t>
            </w:r>
          </w:p>
        </w:tc>
        <w:tc>
          <w:tcPr>
            <w:tcW w:w="7937" w:type="dxa"/>
            <w:gridSpan w:val="4"/>
            <w:noWrap w:val="0"/>
            <w:vAlign w:val="center"/>
          </w:tcPr>
          <w:p w14:paraId="20B1E22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为减少项目事故对周边环境的影响，本次评价建议单位做好如下防范措施：</w:t>
            </w:r>
          </w:p>
          <w:p w14:paraId="476BA595">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（1）成立专门的责任机构，保证事故发生时组织相关力量及时控制事故的危害，在第一时间，有序有效地控制事故污染，把事故危害减小到</w:t>
            </w:r>
            <w:r>
              <w:rPr>
                <w:rFonts w:hint="default" w:ascii="Times New Roman" w:hAnsi="Times New Roman" w:cs="Times New Roman"/>
                <w:lang w:eastAsia="zh-CN"/>
              </w:rPr>
              <w:t>最小</w:t>
            </w:r>
            <w:r>
              <w:rPr>
                <w:rFonts w:hint="default" w:ascii="Times New Roman" w:hAnsi="Times New Roman" w:cs="Times New Roman"/>
              </w:rPr>
              <w:t>。</w:t>
            </w:r>
          </w:p>
          <w:p w14:paraId="11485054">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（2）健全各项制度，强化安全管理意识，加强用电设备及线路的检修和管理。</w:t>
            </w:r>
          </w:p>
          <w:p w14:paraId="403D9524">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（3）严格按照消防安全部门要求，配置消防设施。</w:t>
            </w:r>
          </w:p>
          <w:p w14:paraId="4787AE7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（4）油类物质等易燃易爆物品存储远离火源。</w:t>
            </w:r>
          </w:p>
          <w:p w14:paraId="67A6B365">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（5）制定环保设备运行维护制度，并派专人进行管理，定期对环保设备进行点检维护。</w:t>
            </w:r>
          </w:p>
          <w:p w14:paraId="4A0E2E2A">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（6）定期对风机的运行情况进行检查记录，一旦发现运行异常，立即对相应的生产设备进行停产，并对风机设备进行维修。</w:t>
            </w:r>
          </w:p>
          <w:p w14:paraId="6E9F27B4">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w:hAnsi="Times New Roman" w:cs="Times New Roman"/>
              </w:rPr>
            </w:pPr>
            <w:r>
              <w:rPr>
                <w:rFonts w:hint="default" w:ascii="Times New Roman" w:hAnsi="Times New Roman" w:cs="Times New Roman"/>
              </w:rPr>
              <w:t>（7）对布袋除尘器装置进行定期检查，确保废气处理效率，若发现破损、损坏或堵塞严重，应立即进行更换，确保其处理效率。</w:t>
            </w:r>
          </w:p>
          <w:p w14:paraId="56EBCC3D">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rPr>
            </w:pPr>
            <w:r>
              <w:rPr>
                <w:rFonts w:hint="default" w:ascii="Times New Roman" w:hAnsi="Times New Roman" w:cs="Times New Roman"/>
              </w:rPr>
              <w:t>采取以上措施后，可有效降低事故发生的概率。</w:t>
            </w:r>
          </w:p>
        </w:tc>
      </w:tr>
      <w:tr w14:paraId="08A222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863" w:type="dxa"/>
            <w:noWrap w:val="0"/>
            <w:vAlign w:val="center"/>
          </w:tcPr>
          <w:p w14:paraId="697A258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ind w:left="0" w:right="0"/>
              <w:textAlignment w:val="auto"/>
              <w:rPr>
                <w:rFonts w:hint="default"/>
              </w:rPr>
            </w:pPr>
            <w:r>
              <w:rPr>
                <w:rFonts w:hint="default"/>
              </w:rPr>
              <w:t>其他环境管理要求</w:t>
            </w:r>
          </w:p>
        </w:tc>
        <w:tc>
          <w:tcPr>
            <w:tcW w:w="7937" w:type="dxa"/>
            <w:gridSpan w:val="4"/>
            <w:noWrap w:val="0"/>
            <w:vAlign w:val="center"/>
          </w:tcPr>
          <w:p w14:paraId="5D32BA9B">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1.管理制度</w:t>
            </w:r>
          </w:p>
          <w:p w14:paraId="309C457D">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为了减少建设项目生产运行期对环境构成的不良影响，在采取环保治理工程措施解决建设项目环境影响的同时，必须制定全面的企业环境管理计划，配备专职环保人员1-2名，负责环境监督管理工作，同时要加强对管理人员的环保培训，不断提高管理水平。企业排污发生重大变化、污染治理设施改变或生产运行计划改变等都必须向当地生态环境主管部门申报，经审批同意后方可实施。对污染治理设施管理必须与生产经营活动一起纳入企业的日常管理中，要建立岗位责任制，制定操作规程，建立管理台账。</w:t>
            </w:r>
          </w:p>
          <w:p w14:paraId="444E93F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2.排放口信息化、规范化</w:t>
            </w:r>
          </w:p>
          <w:p w14:paraId="1F637B3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建设项目排气筒采样平台、采样口等内容须按照《排污单位污染物排放口监测点位设置技术规范》（HJ1405-2024）要求设置。</w:t>
            </w:r>
          </w:p>
          <w:p w14:paraId="2B3F726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3.排污申报</w:t>
            </w:r>
          </w:p>
          <w:p w14:paraId="2058784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对照《固定污染源排污许可分类管理名录（2021年版）》，本项目属于“二十五、非金属矿物制品业-77石膏、水泥制品及类似制品制造-水泥制品制造3021”，实施登记管理，应当在全国排污许可证管理信息平台填报排污登记表，登记基本信息、污染物排放去向、执行的污染物排放标准以及采取的污染防治措施等信息。</w:t>
            </w:r>
          </w:p>
          <w:p w14:paraId="0865683C">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4.环境管理台账</w:t>
            </w:r>
          </w:p>
          <w:p w14:paraId="4B667387">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企业应按照行业排污许可管理要求制定管理台账，落实环境管理台账记录的责任部门和责任人，明确工作职责，包括台账的记录、整理、维护和管理等，并对台账记录结果的真实性、完整性和规范性负责，台账保存期限不得少于5年。</w:t>
            </w:r>
          </w:p>
          <w:p w14:paraId="7B297891">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5.环保信息公开</w:t>
            </w:r>
          </w:p>
          <w:p w14:paraId="546E14E6">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要求根据《企业事业单位环境信息公开办法》（环境保护部令第31号），企业事业单位应当按照强制公开和自愿公开相结合的原则，及时、如实地公开其环境信息。企业事业单位应当建立健全本单位环境信息公开制度，指定机构负责本单位环境信息公开日常工作，排污单位应当公开以下信息：</w:t>
            </w:r>
          </w:p>
          <w:p w14:paraId="4B4D6080">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（1）基础信息，包括单位名称、组织机构代码、法定代表人、生产地址、联系方式以及生产经营和管理服务的主要内容、产品及规模。</w:t>
            </w:r>
          </w:p>
          <w:p w14:paraId="4EB1C86E">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（2）排污信息，包括主要污染物及其他污染物的名称、排放方式、排放口数量和分布情况、排放浓度和总量、超标情况以及执行的污染物排放标准、核定的排放总量。</w:t>
            </w:r>
          </w:p>
          <w:p w14:paraId="199C5903">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（3）防治污染设施的建设和运行情况。</w:t>
            </w:r>
          </w:p>
          <w:p w14:paraId="54F7206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（4）建设项目环境影响评价及其他环境保护行政许可情况。</w:t>
            </w:r>
          </w:p>
          <w:p w14:paraId="20E04B62">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（5）其他应当公开的环境信息。</w:t>
            </w:r>
          </w:p>
          <w:p w14:paraId="6A0BE634">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b w:val="0"/>
                <w:bCs w:val="0"/>
                <w:lang w:val="en-US" w:eastAsia="zh-CN"/>
              </w:rPr>
            </w:pPr>
            <w:r>
              <w:rPr>
                <w:rFonts w:hint="eastAsia"/>
                <w:b w:val="0"/>
                <w:bCs w:val="0"/>
                <w:lang w:val="en-US" w:eastAsia="zh-CN"/>
              </w:rPr>
              <w:t>6.竣工环境保护验收要求</w:t>
            </w:r>
          </w:p>
          <w:p w14:paraId="0F6116DA">
            <w:pPr>
              <w:pStyle w:val="7"/>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eastAsia" w:ascii="Times New Roman" w:hAnsi="Times New Roman" w:eastAsia="宋体" w:cs="Times New Roman"/>
                <w:lang w:val="en-US" w:eastAsia="zh-CN"/>
              </w:rPr>
            </w:pPr>
            <w:r>
              <w:rPr>
                <w:rFonts w:hint="eastAsia"/>
                <w:b w:val="0"/>
                <w:bCs w:val="0"/>
                <w:lang w:val="en-US" w:eastAsia="zh-CN"/>
              </w:rPr>
              <w:t>根据《建设项目竣工环境保护验收暂行办法》，本项目竣工后，建设单位应及时组织竣工环境保护验收，经验收合格后，本项目方可投入正式运行。</w:t>
            </w:r>
          </w:p>
          <w:p w14:paraId="25673B7F">
            <w:pPr>
              <w:keepNext w:val="0"/>
              <w:keepLines w:val="0"/>
              <w:suppressLineNumbers w:val="0"/>
              <w:bidi w:val="0"/>
              <w:spacing w:before="0" w:beforeAutospacing="0" w:after="0" w:afterAutospacing="0"/>
              <w:ind w:left="0" w:right="0"/>
              <w:rPr>
                <w:rFonts w:hint="default"/>
              </w:rPr>
            </w:pPr>
          </w:p>
          <w:p w14:paraId="61933BC2">
            <w:pPr>
              <w:keepNext w:val="0"/>
              <w:keepLines w:val="0"/>
              <w:suppressLineNumbers w:val="0"/>
              <w:bidi w:val="0"/>
              <w:spacing w:before="0" w:beforeAutospacing="0" w:after="0" w:afterAutospacing="0"/>
              <w:ind w:left="0" w:right="0"/>
              <w:rPr>
                <w:rFonts w:hint="default"/>
              </w:rPr>
            </w:pPr>
          </w:p>
          <w:p w14:paraId="4888FFC4">
            <w:pPr>
              <w:keepNext w:val="0"/>
              <w:keepLines w:val="0"/>
              <w:suppressLineNumbers w:val="0"/>
              <w:bidi w:val="0"/>
              <w:spacing w:before="0" w:beforeAutospacing="0" w:after="0" w:afterAutospacing="0"/>
              <w:ind w:left="0" w:right="0"/>
              <w:rPr>
                <w:rFonts w:hint="default"/>
              </w:rPr>
            </w:pPr>
          </w:p>
          <w:p w14:paraId="3F55A2FE">
            <w:pPr>
              <w:keepNext w:val="0"/>
              <w:keepLines w:val="0"/>
              <w:suppressLineNumbers w:val="0"/>
              <w:bidi w:val="0"/>
              <w:spacing w:before="0" w:beforeAutospacing="0" w:after="0" w:afterAutospacing="0"/>
              <w:ind w:left="0" w:right="0"/>
              <w:rPr>
                <w:rFonts w:hint="default"/>
              </w:rPr>
            </w:pPr>
          </w:p>
          <w:p w14:paraId="30C49538">
            <w:pPr>
              <w:keepNext w:val="0"/>
              <w:keepLines w:val="0"/>
              <w:suppressLineNumbers w:val="0"/>
              <w:bidi w:val="0"/>
              <w:spacing w:before="0" w:beforeAutospacing="0" w:after="0" w:afterAutospacing="0"/>
              <w:ind w:left="0" w:right="0"/>
              <w:rPr>
                <w:rFonts w:hint="default"/>
              </w:rPr>
            </w:pPr>
          </w:p>
          <w:p w14:paraId="38AA35C5">
            <w:pPr>
              <w:keepNext w:val="0"/>
              <w:keepLines w:val="0"/>
              <w:suppressLineNumbers w:val="0"/>
              <w:bidi w:val="0"/>
              <w:spacing w:before="0" w:beforeAutospacing="0" w:after="0" w:afterAutospacing="0"/>
              <w:ind w:left="0" w:right="0"/>
              <w:rPr>
                <w:rFonts w:hint="default"/>
              </w:rPr>
            </w:pPr>
          </w:p>
          <w:p w14:paraId="4D44EA8D">
            <w:pPr>
              <w:keepNext w:val="0"/>
              <w:keepLines w:val="0"/>
              <w:suppressLineNumbers w:val="0"/>
              <w:bidi w:val="0"/>
              <w:spacing w:before="0" w:beforeAutospacing="0" w:after="0" w:afterAutospacing="0"/>
              <w:ind w:left="0" w:right="0"/>
              <w:rPr>
                <w:rFonts w:hint="default"/>
              </w:rPr>
            </w:pPr>
          </w:p>
          <w:p w14:paraId="183D36E3">
            <w:pPr>
              <w:keepNext w:val="0"/>
              <w:keepLines w:val="0"/>
              <w:suppressLineNumbers w:val="0"/>
              <w:bidi w:val="0"/>
              <w:spacing w:before="0" w:beforeAutospacing="0" w:after="0" w:afterAutospacing="0"/>
              <w:ind w:left="0" w:right="0"/>
              <w:rPr>
                <w:rFonts w:hint="default"/>
              </w:rPr>
            </w:pPr>
          </w:p>
          <w:p w14:paraId="3C3E4375">
            <w:pPr>
              <w:keepNext w:val="0"/>
              <w:keepLines w:val="0"/>
              <w:suppressLineNumbers w:val="0"/>
              <w:bidi w:val="0"/>
              <w:spacing w:before="0" w:beforeAutospacing="0" w:after="0" w:afterAutospacing="0"/>
              <w:ind w:left="0" w:right="0"/>
              <w:rPr>
                <w:rFonts w:hint="default"/>
              </w:rPr>
            </w:pPr>
          </w:p>
          <w:p w14:paraId="334405D0">
            <w:pPr>
              <w:keepNext w:val="0"/>
              <w:keepLines w:val="0"/>
              <w:suppressLineNumbers w:val="0"/>
              <w:bidi w:val="0"/>
              <w:spacing w:before="0" w:beforeAutospacing="0" w:after="0" w:afterAutospacing="0"/>
              <w:ind w:left="0" w:right="0"/>
              <w:rPr>
                <w:rFonts w:hint="default"/>
              </w:rPr>
            </w:pPr>
          </w:p>
          <w:p w14:paraId="5B20717F">
            <w:pPr>
              <w:keepNext w:val="0"/>
              <w:keepLines w:val="0"/>
              <w:suppressLineNumbers w:val="0"/>
              <w:bidi w:val="0"/>
              <w:spacing w:before="0" w:beforeAutospacing="0" w:after="0" w:afterAutospacing="0"/>
              <w:ind w:left="0" w:right="0"/>
              <w:rPr>
                <w:rFonts w:hint="default"/>
              </w:rPr>
            </w:pPr>
          </w:p>
          <w:p w14:paraId="417478DC">
            <w:pPr>
              <w:keepNext w:val="0"/>
              <w:keepLines w:val="0"/>
              <w:suppressLineNumbers w:val="0"/>
              <w:bidi w:val="0"/>
              <w:spacing w:before="0" w:beforeAutospacing="0" w:after="0" w:afterAutospacing="0"/>
              <w:ind w:left="0" w:right="0"/>
              <w:rPr>
                <w:rFonts w:hint="default"/>
              </w:rPr>
            </w:pPr>
          </w:p>
          <w:p w14:paraId="29972BB6">
            <w:pPr>
              <w:keepNext w:val="0"/>
              <w:keepLines w:val="0"/>
              <w:suppressLineNumbers w:val="0"/>
              <w:bidi w:val="0"/>
              <w:spacing w:before="0" w:beforeAutospacing="0" w:after="0" w:afterAutospacing="0"/>
              <w:ind w:left="0" w:right="0"/>
              <w:rPr>
                <w:rFonts w:hint="default"/>
              </w:rPr>
            </w:pPr>
          </w:p>
          <w:p w14:paraId="05B092AF">
            <w:pPr>
              <w:keepNext w:val="0"/>
              <w:keepLines w:val="0"/>
              <w:suppressLineNumbers w:val="0"/>
              <w:bidi w:val="0"/>
              <w:spacing w:before="0" w:beforeAutospacing="0" w:after="0" w:afterAutospacing="0"/>
              <w:ind w:left="0" w:right="0"/>
              <w:rPr>
                <w:rFonts w:hint="default"/>
              </w:rPr>
            </w:pPr>
          </w:p>
          <w:p w14:paraId="6B01A522">
            <w:pPr>
              <w:keepNext w:val="0"/>
              <w:keepLines w:val="0"/>
              <w:suppressLineNumbers w:val="0"/>
              <w:spacing w:before="0" w:beforeAutospacing="0" w:after="0" w:afterAutospacing="0"/>
              <w:ind w:left="0" w:leftChars="0" w:right="0" w:firstLine="0" w:firstLineChars="0"/>
              <w:rPr>
                <w:rFonts w:hint="default"/>
              </w:rPr>
            </w:pPr>
          </w:p>
        </w:tc>
      </w:tr>
    </w:tbl>
    <w:p w14:paraId="3A1697D5">
      <w:pPr>
        <w:pStyle w:val="30"/>
        <w:keepNext w:val="0"/>
        <w:keepLines w:val="0"/>
        <w:pageBreakBefore w:val="0"/>
        <w:widowControl/>
        <w:kinsoku/>
        <w:wordWrap/>
        <w:overflowPunct/>
        <w:topLinePunct w:val="0"/>
        <w:autoSpaceDE/>
        <w:autoSpaceDN/>
        <w:bidi w:val="0"/>
        <w:adjustRightInd/>
        <w:snapToGrid/>
        <w:spacing w:before="0" w:beforeAutospacing="0" w:after="0" w:afterAutospacing="0"/>
        <w:ind w:firstLine="0" w:firstLineChars="0"/>
        <w:jc w:val="center"/>
        <w:textAlignment w:val="auto"/>
        <w:outlineLvl w:val="0"/>
        <w:rPr>
          <w:rFonts w:ascii="黑体" w:hAnsi="黑体" w:eastAsia="黑体"/>
          <w:snapToGrid w:val="0"/>
          <w:color w:val="000000"/>
          <w:sz w:val="30"/>
          <w:szCs w:val="30"/>
          <w:highlight w:val="none"/>
        </w:rPr>
      </w:pPr>
      <w:r>
        <w:rPr>
          <w:snapToGrid w:val="0"/>
          <w:color w:val="000000"/>
          <w:highlight w:val="none"/>
        </w:rPr>
        <w:br w:type="page"/>
      </w:r>
      <w:r>
        <w:rPr>
          <w:rFonts w:hint="eastAsia" w:ascii="黑体" w:hAnsi="黑体" w:eastAsia="黑体"/>
          <w:snapToGrid w:val="0"/>
          <w:color w:val="000000"/>
          <w:sz w:val="30"/>
          <w:szCs w:val="30"/>
          <w:highlight w:val="none"/>
        </w:rPr>
        <w:t>六、结论</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65"/>
      </w:tblGrid>
      <w:tr w14:paraId="686CC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991" w:hRule="atLeast"/>
          <w:jc w:val="center"/>
        </w:trPr>
        <w:tc>
          <w:tcPr>
            <w:tcW w:w="8865" w:type="dxa"/>
            <w:tcBorders>
              <w:top w:val="single" w:color="auto" w:sz="4" w:space="0"/>
              <w:left w:val="single" w:color="auto" w:sz="4" w:space="0"/>
              <w:bottom w:val="single" w:color="auto" w:sz="4" w:space="0"/>
              <w:right w:val="single" w:color="auto" w:sz="4" w:space="0"/>
            </w:tcBorders>
            <w:noWrap w:val="0"/>
            <w:vAlign w:val="top"/>
          </w:tcPr>
          <w:p w14:paraId="45281109">
            <w:pPr>
              <w:keepNext w:val="0"/>
              <w:keepLines w:val="0"/>
              <w:suppressLineNumbers w:val="0"/>
              <w:bidi w:val="0"/>
              <w:spacing w:before="0" w:beforeAutospacing="0" w:after="0" w:afterAutospacing="0"/>
              <w:ind w:left="0" w:right="0"/>
              <w:rPr>
                <w:rFonts w:hint="default"/>
                <w:highlight w:val="none"/>
              </w:rPr>
            </w:pPr>
            <w:r>
              <w:rPr>
                <w:rFonts w:hint="eastAsia"/>
              </w:rPr>
              <w:t>根据上述分析，本项目建成后对周围环境造成废水、废气、噪声污染较小，建设单位若能在建成后切实落实本环评提出的各项环境污染防治措施，落实“三同时”制度，加强环境管理，确保污染物达标排放，则本项目建成投入使用后，对环境的影响是可以接受的。建设单位须严格遵守环保“三同时”制度，各项治理措施需</w:t>
            </w:r>
            <w:r>
              <w:rPr>
                <w:rFonts w:hint="eastAsia"/>
                <w:lang w:val="en-US" w:eastAsia="zh-CN"/>
              </w:rPr>
              <w:t>验收</w:t>
            </w:r>
            <w:r>
              <w:rPr>
                <w:rFonts w:hint="eastAsia"/>
              </w:rPr>
              <w:t>合格后方可正式投入使用，在此前提下，本项目是可行的。</w:t>
            </w:r>
          </w:p>
        </w:tc>
      </w:tr>
    </w:tbl>
    <w:p w14:paraId="7B7DE88F">
      <w:pPr>
        <w:rPr>
          <w:rFonts w:ascii="宋体"/>
          <w:color w:val="000000"/>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numberInDash"/>
          <w:cols w:space="720" w:num="1"/>
          <w:docGrid w:linePitch="312" w:charSpace="0"/>
        </w:sectPr>
      </w:pPr>
    </w:p>
    <w:p w14:paraId="7C6F6AEA">
      <w:pPr>
        <w:pStyle w:val="30"/>
        <w:bidi w:val="0"/>
        <w:adjustRightInd w:val="0"/>
        <w:snapToGrid w:val="0"/>
        <w:spacing w:before="0" w:beforeAutospacing="0" w:after="0" w:afterAutospacing="0" w:line="360" w:lineRule="auto"/>
        <w:ind w:firstLine="0" w:firstLineChars="0"/>
        <w:jc w:val="left"/>
        <w:outlineLvl w:val="0"/>
        <w:rPr>
          <w:rFonts w:hint="eastAsia" w:ascii="黑体" w:hAnsi="黑体" w:eastAsia="黑体" w:cs="黑体"/>
          <w:snapToGrid w:val="0"/>
          <w:sz w:val="30"/>
          <w:szCs w:val="30"/>
        </w:rPr>
      </w:pPr>
      <w:r>
        <w:rPr>
          <w:rFonts w:hint="eastAsia" w:ascii="黑体" w:hAnsi="黑体" w:eastAsia="黑体" w:cs="黑体"/>
          <w:snapToGrid w:val="0"/>
          <w:sz w:val="30"/>
          <w:szCs w:val="30"/>
        </w:rPr>
        <w:t>附表</w:t>
      </w:r>
    </w:p>
    <w:p w14:paraId="5FB7B019">
      <w:pPr>
        <w:pStyle w:val="30"/>
        <w:bidi w:val="0"/>
        <w:adjustRightInd w:val="0"/>
        <w:snapToGrid w:val="0"/>
        <w:spacing w:before="0" w:beforeAutospacing="0" w:after="0" w:afterAutospacing="0" w:line="360" w:lineRule="auto"/>
        <w:ind w:firstLine="0" w:firstLineChars="0"/>
        <w:jc w:val="center"/>
        <w:outlineLvl w:val="0"/>
        <w:rPr>
          <w:rFonts w:hint="eastAsia" w:ascii="黑体" w:hAnsi="黑体" w:eastAsia="黑体" w:cs="黑体"/>
          <w:snapToGrid w:val="0"/>
          <w:sz w:val="30"/>
          <w:szCs w:val="30"/>
        </w:rPr>
      </w:pPr>
      <w:r>
        <w:rPr>
          <w:rFonts w:hint="eastAsia" w:ascii="黑体" w:hAnsi="黑体" w:eastAsia="黑体" w:cs="黑体"/>
          <w:snapToGrid w:val="0"/>
          <w:sz w:val="30"/>
          <w:szCs w:val="30"/>
        </w:rPr>
        <w:t>建设项</w:t>
      </w:r>
      <w:r>
        <w:rPr>
          <w:rFonts w:hint="eastAsia" w:ascii="黑体" w:hAnsi="黑体" w:eastAsia="黑体" w:cs="黑体"/>
          <w:snapToGrid w:val="0"/>
          <w:sz w:val="30"/>
          <w:szCs w:val="30"/>
          <w:lang w:val="en-US" w:eastAsia="zh-CN"/>
        </w:rPr>
        <w:t>目</w:t>
      </w:r>
      <w:r>
        <w:rPr>
          <w:rFonts w:hint="eastAsia" w:ascii="黑体" w:hAnsi="黑体" w:eastAsia="黑体" w:cs="黑体"/>
          <w:snapToGrid w:val="0"/>
          <w:sz w:val="30"/>
          <w:szCs w:val="30"/>
        </w:rPr>
        <w:t>污染物排放量汇总表</w:t>
      </w:r>
    </w:p>
    <w:tbl>
      <w:tblPr>
        <w:tblStyle w:val="33"/>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725"/>
        <w:gridCol w:w="1600"/>
        <w:gridCol w:w="1276"/>
        <w:gridCol w:w="1401"/>
        <w:gridCol w:w="1538"/>
        <w:gridCol w:w="1256"/>
        <w:gridCol w:w="1875"/>
        <w:gridCol w:w="1736"/>
      </w:tblGrid>
      <w:tr w14:paraId="7101B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381" w:type="dxa"/>
            <w:tcBorders>
              <w:tl2br w:val="single" w:color="auto" w:sz="4" w:space="0"/>
            </w:tcBorders>
            <w:noWrap w:val="0"/>
            <w:tcMar>
              <w:left w:w="28" w:type="dxa"/>
              <w:right w:w="28" w:type="dxa"/>
            </w:tcMar>
            <w:vAlign w:val="center"/>
          </w:tcPr>
          <w:p w14:paraId="5633212D">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项目</w:t>
            </w:r>
          </w:p>
          <w:p w14:paraId="55072E82">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分类</w:t>
            </w:r>
          </w:p>
        </w:tc>
        <w:tc>
          <w:tcPr>
            <w:tcW w:w="1725" w:type="dxa"/>
            <w:noWrap w:val="0"/>
            <w:tcMar>
              <w:left w:w="28" w:type="dxa"/>
              <w:right w:w="28" w:type="dxa"/>
            </w:tcMar>
            <w:vAlign w:val="center"/>
          </w:tcPr>
          <w:p w14:paraId="454A5CEB">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污染物名称</w:t>
            </w:r>
          </w:p>
        </w:tc>
        <w:tc>
          <w:tcPr>
            <w:tcW w:w="1600" w:type="dxa"/>
            <w:noWrap w:val="0"/>
            <w:tcMar>
              <w:left w:w="28" w:type="dxa"/>
              <w:right w:w="28" w:type="dxa"/>
            </w:tcMar>
            <w:vAlign w:val="center"/>
          </w:tcPr>
          <w:p w14:paraId="115B17D9">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现有工程</w:t>
            </w:r>
          </w:p>
          <w:p w14:paraId="1B704B91">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排放量（固体废物产生量）</w:t>
            </w:r>
            <w:r>
              <w:rPr>
                <w:rFonts w:hint="eastAsia"/>
                <w:b w:val="0"/>
                <w:bCs w:val="0"/>
                <w:sz w:val="21"/>
                <w:szCs w:val="21"/>
              </w:rPr>
              <w:fldChar w:fldCharType="begin"/>
            </w:r>
            <w:r>
              <w:rPr>
                <w:rFonts w:hint="eastAsia"/>
                <w:b w:val="0"/>
                <w:bCs w:val="0"/>
                <w:sz w:val="21"/>
                <w:szCs w:val="21"/>
              </w:rPr>
              <w:instrText xml:space="preserve"> = 1 \* GB3 \* MERGEFORMAT </w:instrText>
            </w:r>
            <w:r>
              <w:rPr>
                <w:rFonts w:hint="eastAsia"/>
                <w:b w:val="0"/>
                <w:bCs w:val="0"/>
                <w:sz w:val="21"/>
                <w:szCs w:val="21"/>
              </w:rPr>
              <w:fldChar w:fldCharType="separate"/>
            </w:r>
            <w:r>
              <w:rPr>
                <w:rFonts w:hint="eastAsia"/>
                <w:b w:val="0"/>
                <w:bCs w:val="0"/>
                <w:sz w:val="21"/>
                <w:szCs w:val="21"/>
              </w:rPr>
              <w:t>①</w:t>
            </w:r>
            <w:r>
              <w:rPr>
                <w:rFonts w:hint="eastAsia"/>
                <w:b w:val="0"/>
                <w:bCs w:val="0"/>
                <w:sz w:val="21"/>
                <w:szCs w:val="21"/>
              </w:rPr>
              <w:fldChar w:fldCharType="end"/>
            </w:r>
          </w:p>
        </w:tc>
        <w:tc>
          <w:tcPr>
            <w:tcW w:w="1276" w:type="dxa"/>
            <w:noWrap w:val="0"/>
            <w:tcMar>
              <w:left w:w="28" w:type="dxa"/>
              <w:right w:w="28" w:type="dxa"/>
            </w:tcMar>
            <w:vAlign w:val="center"/>
          </w:tcPr>
          <w:p w14:paraId="1E5CFF88">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现有工程</w:t>
            </w:r>
          </w:p>
          <w:p w14:paraId="0C5C66A1">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许可排放量</w:t>
            </w:r>
          </w:p>
          <w:p w14:paraId="6A5B8553">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fldChar w:fldCharType="begin"/>
            </w:r>
            <w:r>
              <w:rPr>
                <w:rFonts w:hint="eastAsia"/>
                <w:b w:val="0"/>
                <w:bCs w:val="0"/>
                <w:sz w:val="21"/>
                <w:szCs w:val="21"/>
              </w:rPr>
              <w:instrText xml:space="preserve"> = 2 \* GB3 \* MERGEFORMAT </w:instrText>
            </w:r>
            <w:r>
              <w:rPr>
                <w:rFonts w:hint="eastAsia"/>
                <w:b w:val="0"/>
                <w:bCs w:val="0"/>
                <w:sz w:val="21"/>
                <w:szCs w:val="21"/>
              </w:rPr>
              <w:fldChar w:fldCharType="separate"/>
            </w:r>
            <w:r>
              <w:rPr>
                <w:rFonts w:hint="eastAsia"/>
                <w:b w:val="0"/>
                <w:bCs w:val="0"/>
                <w:sz w:val="21"/>
                <w:szCs w:val="21"/>
              </w:rPr>
              <w:t>②</w:t>
            </w:r>
            <w:r>
              <w:rPr>
                <w:rFonts w:hint="eastAsia"/>
                <w:b w:val="0"/>
                <w:bCs w:val="0"/>
                <w:sz w:val="21"/>
                <w:szCs w:val="21"/>
              </w:rPr>
              <w:fldChar w:fldCharType="end"/>
            </w:r>
          </w:p>
        </w:tc>
        <w:tc>
          <w:tcPr>
            <w:tcW w:w="1401" w:type="dxa"/>
            <w:noWrap w:val="0"/>
            <w:tcMar>
              <w:left w:w="28" w:type="dxa"/>
              <w:right w:w="28" w:type="dxa"/>
            </w:tcMar>
            <w:vAlign w:val="center"/>
          </w:tcPr>
          <w:p w14:paraId="23C7698C">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在建工程</w:t>
            </w:r>
          </w:p>
          <w:p w14:paraId="6DD7E491">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排放量（固体废物产生量）</w:t>
            </w:r>
            <w:r>
              <w:rPr>
                <w:rFonts w:hint="eastAsia"/>
                <w:b w:val="0"/>
                <w:bCs w:val="0"/>
                <w:sz w:val="21"/>
                <w:szCs w:val="21"/>
              </w:rPr>
              <w:fldChar w:fldCharType="begin"/>
            </w:r>
            <w:r>
              <w:rPr>
                <w:rFonts w:hint="eastAsia"/>
                <w:b w:val="0"/>
                <w:bCs w:val="0"/>
                <w:sz w:val="21"/>
                <w:szCs w:val="21"/>
              </w:rPr>
              <w:instrText xml:space="preserve"> = 3 \* GB3 \* MERGEFORMAT </w:instrText>
            </w:r>
            <w:r>
              <w:rPr>
                <w:rFonts w:hint="eastAsia"/>
                <w:b w:val="0"/>
                <w:bCs w:val="0"/>
                <w:sz w:val="21"/>
                <w:szCs w:val="21"/>
              </w:rPr>
              <w:fldChar w:fldCharType="separate"/>
            </w:r>
            <w:r>
              <w:rPr>
                <w:rFonts w:hint="eastAsia"/>
                <w:b w:val="0"/>
                <w:bCs w:val="0"/>
                <w:sz w:val="21"/>
                <w:szCs w:val="21"/>
              </w:rPr>
              <w:t>③</w:t>
            </w:r>
            <w:r>
              <w:rPr>
                <w:rFonts w:hint="eastAsia"/>
                <w:b w:val="0"/>
                <w:bCs w:val="0"/>
                <w:sz w:val="21"/>
                <w:szCs w:val="21"/>
              </w:rPr>
              <w:fldChar w:fldCharType="end"/>
            </w:r>
          </w:p>
        </w:tc>
        <w:tc>
          <w:tcPr>
            <w:tcW w:w="1538" w:type="dxa"/>
            <w:noWrap w:val="0"/>
            <w:tcMar>
              <w:left w:w="28" w:type="dxa"/>
              <w:right w:w="28" w:type="dxa"/>
            </w:tcMar>
            <w:vAlign w:val="center"/>
          </w:tcPr>
          <w:p w14:paraId="28E373C2">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本项目排放量（固体废物产生量）</w:t>
            </w:r>
            <w:r>
              <w:rPr>
                <w:rFonts w:hint="eastAsia"/>
                <w:b w:val="0"/>
                <w:bCs w:val="0"/>
                <w:sz w:val="21"/>
                <w:szCs w:val="21"/>
              </w:rPr>
              <w:fldChar w:fldCharType="begin"/>
            </w:r>
            <w:r>
              <w:rPr>
                <w:rFonts w:hint="eastAsia"/>
                <w:b w:val="0"/>
                <w:bCs w:val="0"/>
                <w:sz w:val="21"/>
                <w:szCs w:val="21"/>
              </w:rPr>
              <w:instrText xml:space="preserve"> = 4 \* GB3 \* MERGEFORMAT </w:instrText>
            </w:r>
            <w:r>
              <w:rPr>
                <w:rFonts w:hint="eastAsia"/>
                <w:b w:val="0"/>
                <w:bCs w:val="0"/>
                <w:sz w:val="21"/>
                <w:szCs w:val="21"/>
              </w:rPr>
              <w:fldChar w:fldCharType="separate"/>
            </w:r>
            <w:r>
              <w:rPr>
                <w:rFonts w:hint="eastAsia"/>
                <w:b w:val="0"/>
                <w:bCs w:val="0"/>
                <w:sz w:val="21"/>
                <w:szCs w:val="21"/>
              </w:rPr>
              <w:t>④</w:t>
            </w:r>
            <w:r>
              <w:rPr>
                <w:rFonts w:hint="eastAsia"/>
                <w:b w:val="0"/>
                <w:bCs w:val="0"/>
                <w:sz w:val="21"/>
                <w:szCs w:val="21"/>
              </w:rPr>
              <w:fldChar w:fldCharType="end"/>
            </w:r>
          </w:p>
        </w:tc>
        <w:tc>
          <w:tcPr>
            <w:tcW w:w="1256" w:type="dxa"/>
            <w:noWrap w:val="0"/>
            <w:tcMar>
              <w:left w:w="28" w:type="dxa"/>
              <w:right w:w="28" w:type="dxa"/>
            </w:tcMar>
            <w:vAlign w:val="center"/>
          </w:tcPr>
          <w:p w14:paraId="02A3480E">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以新带老削减量（新建项目不填）</w:t>
            </w:r>
            <w:r>
              <w:rPr>
                <w:rFonts w:hint="eastAsia"/>
                <w:b w:val="0"/>
                <w:bCs w:val="0"/>
                <w:sz w:val="21"/>
                <w:szCs w:val="21"/>
              </w:rPr>
              <w:fldChar w:fldCharType="begin"/>
            </w:r>
            <w:r>
              <w:rPr>
                <w:rFonts w:hint="eastAsia"/>
                <w:b w:val="0"/>
                <w:bCs w:val="0"/>
                <w:sz w:val="21"/>
                <w:szCs w:val="21"/>
              </w:rPr>
              <w:instrText xml:space="preserve"> = 5 \* GB3 \* MERGEFORMAT </w:instrText>
            </w:r>
            <w:r>
              <w:rPr>
                <w:rFonts w:hint="eastAsia"/>
                <w:b w:val="0"/>
                <w:bCs w:val="0"/>
                <w:sz w:val="21"/>
                <w:szCs w:val="21"/>
              </w:rPr>
              <w:fldChar w:fldCharType="separate"/>
            </w:r>
            <w:r>
              <w:rPr>
                <w:rFonts w:hint="eastAsia"/>
                <w:b w:val="0"/>
                <w:bCs w:val="0"/>
                <w:sz w:val="21"/>
                <w:szCs w:val="21"/>
              </w:rPr>
              <w:t>⑤</w:t>
            </w:r>
            <w:r>
              <w:rPr>
                <w:rFonts w:hint="eastAsia"/>
                <w:b w:val="0"/>
                <w:bCs w:val="0"/>
                <w:sz w:val="21"/>
                <w:szCs w:val="21"/>
              </w:rPr>
              <w:fldChar w:fldCharType="end"/>
            </w:r>
          </w:p>
        </w:tc>
        <w:tc>
          <w:tcPr>
            <w:tcW w:w="1875" w:type="dxa"/>
            <w:noWrap w:val="0"/>
            <w:tcMar>
              <w:left w:w="28" w:type="dxa"/>
              <w:right w:w="28" w:type="dxa"/>
            </w:tcMar>
            <w:vAlign w:val="center"/>
          </w:tcPr>
          <w:p w14:paraId="7245A9AA">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本项目建成后全厂排放量（固体废物产生量）</w:t>
            </w:r>
            <w:r>
              <w:rPr>
                <w:rFonts w:hint="eastAsia"/>
                <w:b w:val="0"/>
                <w:bCs w:val="0"/>
                <w:sz w:val="21"/>
                <w:szCs w:val="21"/>
              </w:rPr>
              <w:fldChar w:fldCharType="begin"/>
            </w:r>
            <w:r>
              <w:rPr>
                <w:rFonts w:hint="eastAsia"/>
                <w:b w:val="0"/>
                <w:bCs w:val="0"/>
                <w:sz w:val="21"/>
                <w:szCs w:val="21"/>
              </w:rPr>
              <w:instrText xml:space="preserve"> = 6 \* GB3 \* MERGEFORMAT </w:instrText>
            </w:r>
            <w:r>
              <w:rPr>
                <w:rFonts w:hint="eastAsia"/>
                <w:b w:val="0"/>
                <w:bCs w:val="0"/>
                <w:sz w:val="21"/>
                <w:szCs w:val="21"/>
              </w:rPr>
              <w:fldChar w:fldCharType="separate"/>
            </w:r>
            <w:r>
              <w:rPr>
                <w:rFonts w:hint="eastAsia"/>
                <w:b w:val="0"/>
                <w:bCs w:val="0"/>
                <w:sz w:val="21"/>
                <w:szCs w:val="21"/>
              </w:rPr>
              <w:t>⑥</w:t>
            </w:r>
            <w:r>
              <w:rPr>
                <w:rFonts w:hint="eastAsia"/>
                <w:b w:val="0"/>
                <w:bCs w:val="0"/>
                <w:sz w:val="21"/>
                <w:szCs w:val="21"/>
              </w:rPr>
              <w:fldChar w:fldCharType="end"/>
            </w:r>
          </w:p>
        </w:tc>
        <w:tc>
          <w:tcPr>
            <w:tcW w:w="1736" w:type="dxa"/>
            <w:noWrap w:val="0"/>
            <w:tcMar>
              <w:left w:w="28" w:type="dxa"/>
              <w:right w:w="28" w:type="dxa"/>
            </w:tcMar>
            <w:vAlign w:val="center"/>
          </w:tcPr>
          <w:p w14:paraId="5761A797">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t>变化量</w:t>
            </w:r>
          </w:p>
          <w:p w14:paraId="2ACF7A20">
            <w:pPr>
              <w:pStyle w:val="6"/>
              <w:suppressLineNumbers w:val="0"/>
              <w:bidi w:val="0"/>
              <w:spacing w:before="0" w:beforeAutospacing="0" w:after="0" w:afterAutospacing="0"/>
              <w:ind w:left="0" w:right="0"/>
              <w:rPr>
                <w:rFonts w:hint="eastAsia"/>
                <w:b w:val="0"/>
                <w:bCs w:val="0"/>
                <w:sz w:val="21"/>
                <w:szCs w:val="21"/>
              </w:rPr>
            </w:pPr>
            <w:r>
              <w:rPr>
                <w:rFonts w:hint="eastAsia"/>
                <w:b w:val="0"/>
                <w:bCs w:val="0"/>
                <w:sz w:val="21"/>
                <w:szCs w:val="21"/>
              </w:rPr>
              <w:fldChar w:fldCharType="begin"/>
            </w:r>
            <w:r>
              <w:rPr>
                <w:rFonts w:hint="eastAsia"/>
                <w:b w:val="0"/>
                <w:bCs w:val="0"/>
                <w:sz w:val="21"/>
                <w:szCs w:val="21"/>
              </w:rPr>
              <w:instrText xml:space="preserve"> = 7 \* GB3 \* MERGEFORMAT </w:instrText>
            </w:r>
            <w:r>
              <w:rPr>
                <w:rFonts w:hint="eastAsia"/>
                <w:b w:val="0"/>
                <w:bCs w:val="0"/>
                <w:sz w:val="21"/>
                <w:szCs w:val="21"/>
              </w:rPr>
              <w:fldChar w:fldCharType="separate"/>
            </w:r>
            <w:r>
              <w:rPr>
                <w:rFonts w:hint="eastAsia"/>
                <w:b w:val="0"/>
                <w:bCs w:val="0"/>
                <w:sz w:val="21"/>
                <w:szCs w:val="21"/>
              </w:rPr>
              <w:t>⑦</w:t>
            </w:r>
            <w:r>
              <w:rPr>
                <w:rFonts w:hint="eastAsia"/>
                <w:b w:val="0"/>
                <w:bCs w:val="0"/>
                <w:sz w:val="21"/>
                <w:szCs w:val="21"/>
              </w:rPr>
              <w:fldChar w:fldCharType="end"/>
            </w:r>
          </w:p>
        </w:tc>
      </w:tr>
      <w:tr w14:paraId="64D1A0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81" w:type="dxa"/>
            <w:noWrap w:val="0"/>
            <w:vAlign w:val="center"/>
          </w:tcPr>
          <w:p w14:paraId="0BC3E134">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rPr>
              <w:t>废气</w:t>
            </w:r>
          </w:p>
        </w:tc>
        <w:tc>
          <w:tcPr>
            <w:tcW w:w="1725" w:type="dxa"/>
            <w:noWrap w:val="0"/>
            <w:vAlign w:val="center"/>
          </w:tcPr>
          <w:p w14:paraId="75EADB9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rPr>
              <w:t>颗粒物</w:t>
            </w:r>
          </w:p>
        </w:tc>
        <w:tc>
          <w:tcPr>
            <w:tcW w:w="1600" w:type="dxa"/>
            <w:noWrap w:val="0"/>
            <w:vAlign w:val="center"/>
          </w:tcPr>
          <w:p w14:paraId="600BE095">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w:t>
            </w:r>
          </w:p>
        </w:tc>
        <w:tc>
          <w:tcPr>
            <w:tcW w:w="1276" w:type="dxa"/>
            <w:noWrap w:val="0"/>
            <w:vAlign w:val="center"/>
          </w:tcPr>
          <w:p w14:paraId="1F7D3661">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666B64A7">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shd w:val="clear" w:color="auto" w:fill="auto"/>
            <w:noWrap w:val="0"/>
            <w:vAlign w:val="center"/>
          </w:tcPr>
          <w:p w14:paraId="4491D199">
            <w:pPr>
              <w:pStyle w:val="7"/>
              <w:keepNext w:val="0"/>
              <w:keepLines w:val="0"/>
              <w:suppressLineNumbers w:val="0"/>
              <w:bidi w:val="0"/>
              <w:spacing w:before="0" w:beforeAutospacing="0" w:after="0" w:afterAutospacing="0"/>
              <w:ind w:left="0" w:leftChars="0" w:right="0" w:rightChars="0" w:firstLine="0" w:firstLineChars="0"/>
              <w:rPr>
                <w:rFonts w:hint="eastAsia" w:ascii="宋体" w:hAnsi="宋体" w:eastAsia="宋体" w:cs="宋体"/>
                <w:i w:val="0"/>
                <w:iCs w:val="0"/>
                <w:color w:val="000000"/>
                <w:kern w:val="2"/>
                <w:sz w:val="22"/>
                <w:szCs w:val="22"/>
                <w:u w:val="none"/>
                <w:lang w:val="en-US" w:eastAsia="zh-CN" w:bidi="ar-SA"/>
              </w:rPr>
            </w:pPr>
            <w:r>
              <w:rPr>
                <w:rFonts w:hint="eastAsia"/>
                <w:sz w:val="21"/>
                <w:szCs w:val="21"/>
                <w:lang w:val="en-US" w:eastAsia="zh-CN"/>
              </w:rPr>
              <w:t>0.22386t/a</w:t>
            </w:r>
          </w:p>
        </w:tc>
        <w:tc>
          <w:tcPr>
            <w:tcW w:w="1256" w:type="dxa"/>
            <w:noWrap w:val="0"/>
            <w:vAlign w:val="center"/>
          </w:tcPr>
          <w:p w14:paraId="53B62EC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5E6C1AF4">
            <w:pPr>
              <w:pStyle w:val="6"/>
              <w:suppressLineNumbers w:val="0"/>
              <w:bidi w:val="0"/>
              <w:spacing w:before="0" w:beforeAutospacing="0" w:after="0" w:afterAutospacing="0"/>
              <w:ind w:left="0" w:right="0"/>
              <w:rPr>
                <w:rFonts w:hint="eastAsia"/>
                <w:sz w:val="21"/>
                <w:szCs w:val="21"/>
                <w:lang w:val="en-US" w:eastAsia="zh-CN"/>
              </w:rPr>
            </w:pPr>
            <w:r>
              <w:rPr>
                <w:rFonts w:hint="eastAsia"/>
                <w:sz w:val="21"/>
                <w:szCs w:val="21"/>
                <w:lang w:val="en-US" w:eastAsia="zh-CN"/>
              </w:rPr>
              <w:t>0.22386t/a</w:t>
            </w:r>
          </w:p>
        </w:tc>
        <w:tc>
          <w:tcPr>
            <w:tcW w:w="1736" w:type="dxa"/>
            <w:noWrap w:val="0"/>
            <w:vAlign w:val="center"/>
          </w:tcPr>
          <w:p w14:paraId="4C9E2E88">
            <w:pPr>
              <w:pStyle w:val="6"/>
              <w:suppressLineNumbers w:val="0"/>
              <w:bidi w:val="0"/>
              <w:spacing w:before="0" w:beforeAutospacing="0" w:after="0" w:afterAutospacing="0"/>
              <w:ind w:left="0" w:right="0"/>
              <w:rPr>
                <w:rFonts w:hint="eastAsia"/>
                <w:sz w:val="21"/>
                <w:szCs w:val="21"/>
                <w:lang w:val="en-US" w:eastAsia="zh-CN"/>
              </w:rPr>
            </w:pPr>
            <w:r>
              <w:rPr>
                <w:rFonts w:hint="eastAsia"/>
                <w:sz w:val="21"/>
                <w:szCs w:val="21"/>
                <w:lang w:val="en-US" w:eastAsia="zh-CN"/>
              </w:rPr>
              <w:t>+0.22386t/a</w:t>
            </w:r>
          </w:p>
        </w:tc>
      </w:tr>
      <w:tr w14:paraId="12F4B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381" w:type="dxa"/>
            <w:vMerge w:val="restart"/>
            <w:noWrap w:val="0"/>
            <w:vAlign w:val="center"/>
          </w:tcPr>
          <w:p w14:paraId="13F713A4">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eastAsia"/>
                <w:sz w:val="21"/>
                <w:szCs w:val="21"/>
                <w:lang w:val="en-US" w:eastAsia="zh-CN"/>
              </w:rPr>
              <w:t>废水</w:t>
            </w:r>
          </w:p>
        </w:tc>
        <w:tc>
          <w:tcPr>
            <w:tcW w:w="1725" w:type="dxa"/>
            <w:noWrap w:val="0"/>
            <w:vAlign w:val="center"/>
          </w:tcPr>
          <w:p w14:paraId="20A5D460">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COD</w:t>
            </w:r>
          </w:p>
        </w:tc>
        <w:tc>
          <w:tcPr>
            <w:tcW w:w="1600" w:type="dxa"/>
            <w:noWrap w:val="0"/>
            <w:vAlign w:val="center"/>
          </w:tcPr>
          <w:p w14:paraId="0C1F51DD">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4EA39B66">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0086B814">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2E725D7F">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default"/>
                <w:lang w:val="en-US" w:eastAsia="zh-CN"/>
              </w:rPr>
              <w:t>0.</w:t>
            </w:r>
            <w:r>
              <w:rPr>
                <w:rFonts w:hint="eastAsia"/>
                <w:lang w:val="en-US" w:eastAsia="zh-CN"/>
              </w:rPr>
              <w:t>0156t/a</w:t>
            </w:r>
          </w:p>
        </w:tc>
        <w:tc>
          <w:tcPr>
            <w:tcW w:w="1256" w:type="dxa"/>
            <w:noWrap w:val="0"/>
            <w:vAlign w:val="center"/>
          </w:tcPr>
          <w:p w14:paraId="2A7EDC4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38D12A31">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default"/>
                <w:lang w:val="en-US" w:eastAsia="zh-CN"/>
              </w:rPr>
              <w:t>0.</w:t>
            </w:r>
            <w:r>
              <w:rPr>
                <w:rFonts w:hint="eastAsia"/>
                <w:lang w:val="en-US" w:eastAsia="zh-CN"/>
              </w:rPr>
              <w:t>0156t/a</w:t>
            </w:r>
          </w:p>
        </w:tc>
        <w:tc>
          <w:tcPr>
            <w:tcW w:w="1736" w:type="dxa"/>
            <w:noWrap w:val="0"/>
            <w:vAlign w:val="center"/>
          </w:tcPr>
          <w:p w14:paraId="757FB141">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eastAsia"/>
                <w:lang w:val="en-US" w:eastAsia="zh-CN"/>
              </w:rPr>
              <w:t>+</w:t>
            </w:r>
            <w:r>
              <w:rPr>
                <w:rFonts w:hint="default"/>
                <w:lang w:val="en-US" w:eastAsia="zh-CN"/>
              </w:rPr>
              <w:t>0.</w:t>
            </w:r>
            <w:r>
              <w:rPr>
                <w:rFonts w:hint="eastAsia"/>
                <w:lang w:val="en-US" w:eastAsia="zh-CN"/>
              </w:rPr>
              <w:t>0156t/a</w:t>
            </w:r>
          </w:p>
        </w:tc>
      </w:tr>
      <w:tr w14:paraId="79B9F4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381" w:type="dxa"/>
            <w:vMerge w:val="continue"/>
            <w:noWrap w:val="0"/>
            <w:vAlign w:val="center"/>
          </w:tcPr>
          <w:p w14:paraId="710FE6F0">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44EC7C31">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BOD</w:t>
            </w:r>
            <w:r>
              <w:rPr>
                <w:rFonts w:hint="eastAsia"/>
                <w:sz w:val="21"/>
                <w:szCs w:val="21"/>
                <w:vertAlign w:val="subscript"/>
                <w:lang w:val="en-US" w:eastAsia="zh-CN"/>
              </w:rPr>
              <w:t>5</w:t>
            </w:r>
          </w:p>
        </w:tc>
        <w:tc>
          <w:tcPr>
            <w:tcW w:w="1600" w:type="dxa"/>
            <w:noWrap w:val="0"/>
            <w:vAlign w:val="center"/>
          </w:tcPr>
          <w:p w14:paraId="3693590C">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279003F4">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42473877">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348C3AA7">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default"/>
                <w:lang w:val="en-US" w:eastAsia="zh-CN"/>
              </w:rPr>
              <w:t>0.</w:t>
            </w:r>
            <w:r>
              <w:rPr>
                <w:rFonts w:hint="eastAsia"/>
                <w:lang w:val="en-US" w:eastAsia="zh-CN"/>
              </w:rPr>
              <w:t>0094t/a</w:t>
            </w:r>
          </w:p>
        </w:tc>
        <w:tc>
          <w:tcPr>
            <w:tcW w:w="1256" w:type="dxa"/>
            <w:noWrap w:val="0"/>
            <w:vAlign w:val="center"/>
          </w:tcPr>
          <w:p w14:paraId="0C0890AD">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3927E361">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default"/>
                <w:lang w:val="en-US" w:eastAsia="zh-CN"/>
              </w:rPr>
              <w:t>0.</w:t>
            </w:r>
            <w:r>
              <w:rPr>
                <w:rFonts w:hint="eastAsia"/>
                <w:lang w:val="en-US" w:eastAsia="zh-CN"/>
              </w:rPr>
              <w:t>0094t/a</w:t>
            </w:r>
          </w:p>
        </w:tc>
        <w:tc>
          <w:tcPr>
            <w:tcW w:w="1736" w:type="dxa"/>
            <w:noWrap w:val="0"/>
            <w:vAlign w:val="center"/>
          </w:tcPr>
          <w:p w14:paraId="2AEB0B57">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eastAsia"/>
                <w:lang w:val="en-US" w:eastAsia="zh-CN"/>
              </w:rPr>
              <w:t>+</w:t>
            </w:r>
            <w:r>
              <w:rPr>
                <w:rFonts w:hint="default"/>
                <w:lang w:val="en-US" w:eastAsia="zh-CN"/>
              </w:rPr>
              <w:t>0.</w:t>
            </w:r>
            <w:r>
              <w:rPr>
                <w:rFonts w:hint="eastAsia"/>
                <w:lang w:val="en-US" w:eastAsia="zh-CN"/>
              </w:rPr>
              <w:t>0094t/a</w:t>
            </w:r>
          </w:p>
        </w:tc>
      </w:tr>
      <w:tr w14:paraId="7AFAF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381" w:type="dxa"/>
            <w:vMerge w:val="continue"/>
            <w:noWrap w:val="0"/>
            <w:vAlign w:val="center"/>
          </w:tcPr>
          <w:p w14:paraId="0007484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64185036">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SS</w:t>
            </w:r>
          </w:p>
        </w:tc>
        <w:tc>
          <w:tcPr>
            <w:tcW w:w="1600" w:type="dxa"/>
            <w:noWrap w:val="0"/>
            <w:vAlign w:val="center"/>
          </w:tcPr>
          <w:p w14:paraId="199E785F">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0D92A871">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3992CDA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6D5C5E7F">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eastAsia"/>
                <w:lang w:val="en-US" w:eastAsia="zh-CN"/>
              </w:rPr>
              <w:t>0.0094t/a</w:t>
            </w:r>
          </w:p>
        </w:tc>
        <w:tc>
          <w:tcPr>
            <w:tcW w:w="1256" w:type="dxa"/>
            <w:noWrap w:val="0"/>
            <w:vAlign w:val="center"/>
          </w:tcPr>
          <w:p w14:paraId="42D6FD69">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7BFFA6C1">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eastAsia"/>
                <w:lang w:val="en-US" w:eastAsia="zh-CN"/>
              </w:rPr>
              <w:t>0.0094t/a</w:t>
            </w:r>
          </w:p>
        </w:tc>
        <w:tc>
          <w:tcPr>
            <w:tcW w:w="1736" w:type="dxa"/>
            <w:noWrap w:val="0"/>
            <w:vAlign w:val="center"/>
          </w:tcPr>
          <w:p w14:paraId="3B4C1DDB">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rPr>
            </w:pPr>
            <w:r>
              <w:rPr>
                <w:rFonts w:hint="eastAsia"/>
                <w:lang w:val="en-US" w:eastAsia="zh-CN"/>
              </w:rPr>
              <w:t>+0.0094t/a</w:t>
            </w:r>
          </w:p>
        </w:tc>
      </w:tr>
      <w:tr w14:paraId="786C5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81" w:type="dxa"/>
            <w:vMerge w:val="continue"/>
            <w:noWrap w:val="0"/>
            <w:vAlign w:val="center"/>
          </w:tcPr>
          <w:p w14:paraId="662DFF46">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2FAC007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氨氮</w:t>
            </w:r>
          </w:p>
        </w:tc>
        <w:tc>
          <w:tcPr>
            <w:tcW w:w="1600" w:type="dxa"/>
            <w:noWrap w:val="0"/>
            <w:vAlign w:val="center"/>
          </w:tcPr>
          <w:p w14:paraId="03EFD5D5">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4BF86D2A">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39F39D9A">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49E5FFED">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default"/>
                <w:lang w:val="en-US" w:eastAsia="zh-CN"/>
              </w:rPr>
              <w:t>0.0</w:t>
            </w:r>
            <w:r>
              <w:rPr>
                <w:rFonts w:hint="eastAsia"/>
                <w:lang w:val="en-US" w:eastAsia="zh-CN"/>
              </w:rPr>
              <w:t>012t/a</w:t>
            </w:r>
          </w:p>
        </w:tc>
        <w:tc>
          <w:tcPr>
            <w:tcW w:w="1256" w:type="dxa"/>
            <w:noWrap w:val="0"/>
            <w:vAlign w:val="center"/>
          </w:tcPr>
          <w:p w14:paraId="2F8D3064">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0E4689B9">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lang w:val="en-US" w:eastAsia="zh-CN"/>
              </w:rPr>
            </w:pPr>
            <w:r>
              <w:rPr>
                <w:rFonts w:hint="default"/>
                <w:lang w:val="en-US" w:eastAsia="zh-CN"/>
              </w:rPr>
              <w:t>0.0</w:t>
            </w:r>
            <w:r>
              <w:rPr>
                <w:rFonts w:hint="eastAsia"/>
                <w:lang w:val="en-US" w:eastAsia="zh-CN"/>
              </w:rPr>
              <w:t>012t/a</w:t>
            </w:r>
          </w:p>
        </w:tc>
        <w:tc>
          <w:tcPr>
            <w:tcW w:w="1736" w:type="dxa"/>
            <w:noWrap w:val="0"/>
            <w:vAlign w:val="center"/>
          </w:tcPr>
          <w:p w14:paraId="3E89B411">
            <w:pPr>
              <w:pStyle w:val="7"/>
              <w:keepNext w:val="0"/>
              <w:keepLines w:val="0"/>
              <w:suppressLineNumbers w:val="0"/>
              <w:bidi w:val="0"/>
              <w:spacing w:before="0" w:beforeAutospacing="0" w:after="0" w:afterAutospacing="0" w:line="240" w:lineRule="auto"/>
              <w:ind w:left="0" w:leftChars="0" w:right="0" w:rightChars="0" w:firstLine="0" w:firstLineChars="0"/>
              <w:rPr>
                <w:rFonts w:hint="eastAsia"/>
                <w:b w:val="0"/>
                <w:bCs w:val="0"/>
                <w:sz w:val="21"/>
                <w:szCs w:val="21"/>
              </w:rPr>
            </w:pPr>
            <w:r>
              <w:rPr>
                <w:rFonts w:hint="eastAsia"/>
                <w:lang w:val="en-US" w:eastAsia="zh-CN"/>
              </w:rPr>
              <w:t>+</w:t>
            </w:r>
            <w:r>
              <w:rPr>
                <w:rFonts w:hint="default"/>
                <w:lang w:val="en-US" w:eastAsia="zh-CN"/>
              </w:rPr>
              <w:t>0.0</w:t>
            </w:r>
            <w:r>
              <w:rPr>
                <w:rFonts w:hint="eastAsia"/>
                <w:lang w:val="en-US" w:eastAsia="zh-CN"/>
              </w:rPr>
              <w:t>012t/a</w:t>
            </w:r>
          </w:p>
        </w:tc>
      </w:tr>
      <w:tr w14:paraId="2F230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381" w:type="dxa"/>
            <w:vMerge w:val="restart"/>
            <w:noWrap w:val="0"/>
            <w:vAlign w:val="center"/>
          </w:tcPr>
          <w:p w14:paraId="3C8A05F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eastAsia"/>
                <w:sz w:val="21"/>
                <w:szCs w:val="21"/>
                <w:lang w:val="en-US" w:eastAsia="zh-CN"/>
              </w:rPr>
              <w:t>一般</w:t>
            </w:r>
            <w:r>
              <w:rPr>
                <w:rFonts w:hint="default"/>
                <w:sz w:val="21"/>
                <w:szCs w:val="21"/>
              </w:rPr>
              <w:t>固体废物</w:t>
            </w:r>
          </w:p>
        </w:tc>
        <w:tc>
          <w:tcPr>
            <w:tcW w:w="1725" w:type="dxa"/>
            <w:noWrap w:val="0"/>
            <w:vAlign w:val="center"/>
          </w:tcPr>
          <w:p w14:paraId="01605E05">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lang w:val="en-US" w:eastAsia="zh-CN"/>
              </w:rPr>
              <w:t>废包装桶</w:t>
            </w:r>
          </w:p>
        </w:tc>
        <w:tc>
          <w:tcPr>
            <w:tcW w:w="1600" w:type="dxa"/>
            <w:noWrap w:val="0"/>
            <w:vAlign w:val="center"/>
          </w:tcPr>
          <w:p w14:paraId="338758A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1E370EFD">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39483EBF">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54885BC0">
            <w:pPr>
              <w:pStyle w:val="7"/>
              <w:keepNext w:val="0"/>
              <w:keepLines w:val="0"/>
              <w:suppressLineNumbers w:val="0"/>
              <w:bidi w:val="0"/>
              <w:spacing w:before="0" w:beforeAutospacing="0" w:after="0" w:afterAutospacing="0"/>
              <w:ind w:left="0" w:leftChars="0" w:right="0" w:rightChars="0" w:firstLine="0" w:firstLineChars="0"/>
              <w:rPr>
                <w:rFonts w:hint="default"/>
                <w:b w:val="0"/>
                <w:bCs w:val="0"/>
                <w:sz w:val="21"/>
                <w:szCs w:val="21"/>
                <w:lang w:val="en-US" w:eastAsia="zh-CN"/>
              </w:rPr>
            </w:pPr>
            <w:r>
              <w:rPr>
                <w:rFonts w:hint="eastAsia"/>
                <w:lang w:val="en-US" w:eastAsia="zh-CN"/>
              </w:rPr>
              <w:t>0.55t/a</w:t>
            </w:r>
          </w:p>
        </w:tc>
        <w:tc>
          <w:tcPr>
            <w:tcW w:w="1256" w:type="dxa"/>
            <w:noWrap w:val="0"/>
            <w:vAlign w:val="center"/>
          </w:tcPr>
          <w:p w14:paraId="79E16D8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70503AEA">
            <w:pPr>
              <w:pStyle w:val="7"/>
              <w:keepNext w:val="0"/>
              <w:keepLines w:val="0"/>
              <w:suppressLineNumbers w:val="0"/>
              <w:bidi w:val="0"/>
              <w:spacing w:before="0" w:beforeAutospacing="0" w:after="0" w:afterAutospacing="0"/>
              <w:ind w:left="0" w:leftChars="0" w:right="0" w:rightChars="0" w:firstLine="0" w:firstLineChars="0"/>
              <w:rPr>
                <w:rFonts w:hint="default"/>
                <w:b w:val="0"/>
                <w:bCs w:val="0"/>
                <w:sz w:val="21"/>
                <w:szCs w:val="21"/>
                <w:lang w:val="en-US" w:eastAsia="zh-CN"/>
              </w:rPr>
            </w:pPr>
            <w:r>
              <w:rPr>
                <w:rFonts w:hint="eastAsia"/>
                <w:lang w:val="en-US" w:eastAsia="zh-CN"/>
              </w:rPr>
              <w:t>0.55t/a</w:t>
            </w:r>
          </w:p>
        </w:tc>
        <w:tc>
          <w:tcPr>
            <w:tcW w:w="1736" w:type="dxa"/>
            <w:noWrap w:val="0"/>
            <w:vAlign w:val="center"/>
          </w:tcPr>
          <w:p w14:paraId="2F0B44A2">
            <w:pPr>
              <w:pStyle w:val="7"/>
              <w:keepNext w:val="0"/>
              <w:keepLines w:val="0"/>
              <w:suppressLineNumbers w:val="0"/>
              <w:bidi w:val="0"/>
              <w:spacing w:before="0" w:beforeAutospacing="0" w:after="0" w:afterAutospacing="0"/>
              <w:ind w:left="0" w:leftChars="0" w:right="0" w:rightChars="0" w:firstLine="0" w:firstLineChars="0"/>
              <w:rPr>
                <w:rFonts w:hint="default"/>
                <w:b w:val="0"/>
                <w:bCs w:val="0"/>
                <w:sz w:val="21"/>
                <w:szCs w:val="21"/>
                <w:lang w:val="en-US"/>
              </w:rPr>
            </w:pPr>
            <w:r>
              <w:rPr>
                <w:rFonts w:hint="eastAsia"/>
                <w:lang w:val="en-US" w:eastAsia="zh-CN"/>
              </w:rPr>
              <w:t>+0.55t/a</w:t>
            </w:r>
          </w:p>
        </w:tc>
      </w:tr>
      <w:tr w14:paraId="69B4B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381" w:type="dxa"/>
            <w:vMerge w:val="continue"/>
            <w:noWrap w:val="0"/>
            <w:vAlign w:val="center"/>
          </w:tcPr>
          <w:p w14:paraId="32E2E917">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11B6C9AF">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b w:val="0"/>
                <w:bCs w:val="0"/>
                <w:lang w:val="en-US" w:eastAsia="zh-CN"/>
              </w:rPr>
              <w:t>各除尘器收集的粉尘</w:t>
            </w:r>
          </w:p>
        </w:tc>
        <w:tc>
          <w:tcPr>
            <w:tcW w:w="1600" w:type="dxa"/>
            <w:noWrap w:val="0"/>
            <w:vAlign w:val="center"/>
          </w:tcPr>
          <w:p w14:paraId="615400FC">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09A066BD">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72EA3E5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4ACF935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eastAsia"/>
                <w:lang w:val="en-US" w:eastAsia="zh-CN"/>
              </w:rPr>
              <w:t>5.73234t/a</w:t>
            </w:r>
          </w:p>
        </w:tc>
        <w:tc>
          <w:tcPr>
            <w:tcW w:w="1256" w:type="dxa"/>
            <w:noWrap w:val="0"/>
            <w:vAlign w:val="center"/>
          </w:tcPr>
          <w:p w14:paraId="13804DEE">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3E894207">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eastAsia"/>
                <w:lang w:val="en-US" w:eastAsia="zh-CN"/>
              </w:rPr>
              <w:t>5.73234t/a</w:t>
            </w:r>
          </w:p>
        </w:tc>
        <w:tc>
          <w:tcPr>
            <w:tcW w:w="1736" w:type="dxa"/>
            <w:noWrap w:val="0"/>
            <w:vAlign w:val="center"/>
          </w:tcPr>
          <w:p w14:paraId="4316A162">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eastAsia"/>
                <w:lang w:val="en-US" w:eastAsia="zh-CN"/>
              </w:rPr>
              <w:t>+5.73234t/a</w:t>
            </w:r>
          </w:p>
        </w:tc>
      </w:tr>
      <w:tr w14:paraId="788A8D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81" w:type="dxa"/>
            <w:vMerge w:val="continue"/>
            <w:noWrap w:val="0"/>
            <w:vAlign w:val="center"/>
          </w:tcPr>
          <w:p w14:paraId="55E14D27">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23110DD3">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rPr>
              <w:t>混凝土残渣</w:t>
            </w:r>
          </w:p>
        </w:tc>
        <w:tc>
          <w:tcPr>
            <w:tcW w:w="1600" w:type="dxa"/>
            <w:noWrap w:val="0"/>
            <w:vAlign w:val="center"/>
          </w:tcPr>
          <w:p w14:paraId="3602408A">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276" w:type="dxa"/>
            <w:noWrap w:val="0"/>
            <w:vAlign w:val="center"/>
          </w:tcPr>
          <w:p w14:paraId="20B82180">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401" w:type="dxa"/>
            <w:noWrap w:val="0"/>
            <w:vAlign w:val="center"/>
          </w:tcPr>
          <w:p w14:paraId="5A9B8BCD">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538" w:type="dxa"/>
            <w:noWrap w:val="0"/>
            <w:vAlign w:val="center"/>
          </w:tcPr>
          <w:p w14:paraId="02DB3126">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0.5t/a</w:t>
            </w:r>
          </w:p>
        </w:tc>
        <w:tc>
          <w:tcPr>
            <w:tcW w:w="1256" w:type="dxa"/>
            <w:noWrap w:val="0"/>
            <w:vAlign w:val="center"/>
          </w:tcPr>
          <w:p w14:paraId="3D44B4DA">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875" w:type="dxa"/>
            <w:noWrap w:val="0"/>
            <w:vAlign w:val="center"/>
          </w:tcPr>
          <w:p w14:paraId="56E51C14">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0.5t/a</w:t>
            </w:r>
          </w:p>
        </w:tc>
        <w:tc>
          <w:tcPr>
            <w:tcW w:w="1736" w:type="dxa"/>
            <w:noWrap w:val="0"/>
            <w:vAlign w:val="center"/>
          </w:tcPr>
          <w:p w14:paraId="1B85A036">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+0.5t/a</w:t>
            </w:r>
          </w:p>
        </w:tc>
      </w:tr>
      <w:tr w14:paraId="2DB09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81" w:type="dxa"/>
            <w:vMerge w:val="continue"/>
            <w:noWrap w:val="0"/>
            <w:vAlign w:val="center"/>
          </w:tcPr>
          <w:p w14:paraId="3F4C8679">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23FDEEFD">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lang w:val="en-US" w:eastAsia="zh-CN"/>
              </w:rPr>
              <w:t>沉淀池底泥</w:t>
            </w:r>
          </w:p>
        </w:tc>
        <w:tc>
          <w:tcPr>
            <w:tcW w:w="1600" w:type="dxa"/>
            <w:noWrap w:val="0"/>
            <w:vAlign w:val="center"/>
          </w:tcPr>
          <w:p w14:paraId="2332AC4A">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276" w:type="dxa"/>
            <w:noWrap w:val="0"/>
            <w:vAlign w:val="center"/>
          </w:tcPr>
          <w:p w14:paraId="46F94282">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401" w:type="dxa"/>
            <w:noWrap w:val="0"/>
            <w:vAlign w:val="center"/>
          </w:tcPr>
          <w:p w14:paraId="00385D77">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538" w:type="dxa"/>
            <w:noWrap w:val="0"/>
            <w:vAlign w:val="center"/>
          </w:tcPr>
          <w:p w14:paraId="4298BF08">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0.5t/a</w:t>
            </w:r>
          </w:p>
        </w:tc>
        <w:tc>
          <w:tcPr>
            <w:tcW w:w="1256" w:type="dxa"/>
            <w:noWrap w:val="0"/>
            <w:vAlign w:val="center"/>
          </w:tcPr>
          <w:p w14:paraId="5E2A8B95">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875" w:type="dxa"/>
            <w:noWrap w:val="0"/>
            <w:vAlign w:val="center"/>
          </w:tcPr>
          <w:p w14:paraId="5A372F65">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0.5t/a</w:t>
            </w:r>
          </w:p>
        </w:tc>
        <w:tc>
          <w:tcPr>
            <w:tcW w:w="1736" w:type="dxa"/>
            <w:noWrap w:val="0"/>
            <w:vAlign w:val="center"/>
          </w:tcPr>
          <w:p w14:paraId="66557D6B">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+0.5t/a</w:t>
            </w:r>
          </w:p>
        </w:tc>
      </w:tr>
      <w:tr w14:paraId="440DB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1" w:type="dxa"/>
            <w:vMerge w:val="continue"/>
            <w:noWrap w:val="0"/>
            <w:vAlign w:val="center"/>
          </w:tcPr>
          <w:p w14:paraId="26CCBFC0">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60B822A2">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ascii="Times New Roman" w:hAnsi="Times New Roman" w:cs="Times New Roman"/>
                <w:lang w:val="en-US" w:eastAsia="zh-CN"/>
              </w:rPr>
              <w:t>废布袋</w:t>
            </w:r>
          </w:p>
        </w:tc>
        <w:tc>
          <w:tcPr>
            <w:tcW w:w="1600" w:type="dxa"/>
            <w:noWrap w:val="0"/>
            <w:vAlign w:val="center"/>
          </w:tcPr>
          <w:p w14:paraId="63954BE8">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276" w:type="dxa"/>
            <w:noWrap w:val="0"/>
            <w:vAlign w:val="center"/>
          </w:tcPr>
          <w:p w14:paraId="3C6F70C7">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401" w:type="dxa"/>
            <w:noWrap w:val="0"/>
            <w:vAlign w:val="center"/>
          </w:tcPr>
          <w:p w14:paraId="09A46BDD">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538" w:type="dxa"/>
            <w:noWrap w:val="0"/>
            <w:vAlign w:val="center"/>
          </w:tcPr>
          <w:p w14:paraId="3FBB3975">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ascii="Times New Roman" w:hAnsi="Times New Roman" w:cs="Times New Roman"/>
                <w:lang w:val="en-US" w:eastAsia="zh-CN"/>
              </w:rPr>
              <w:t>0.</w:t>
            </w:r>
            <w:r>
              <w:rPr>
                <w:rFonts w:hint="eastAsia" w:cs="Times New Roman"/>
                <w:lang w:val="en-US" w:eastAsia="zh-CN"/>
              </w:rPr>
              <w:t>2t/a</w:t>
            </w:r>
          </w:p>
        </w:tc>
        <w:tc>
          <w:tcPr>
            <w:tcW w:w="1256" w:type="dxa"/>
            <w:noWrap w:val="0"/>
            <w:vAlign w:val="center"/>
          </w:tcPr>
          <w:p w14:paraId="69A27738">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875" w:type="dxa"/>
            <w:noWrap w:val="0"/>
            <w:vAlign w:val="center"/>
          </w:tcPr>
          <w:p w14:paraId="3D5DE051">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ascii="Times New Roman" w:hAnsi="Times New Roman" w:cs="Times New Roman"/>
                <w:lang w:val="en-US" w:eastAsia="zh-CN"/>
              </w:rPr>
              <w:t>0.</w:t>
            </w:r>
            <w:r>
              <w:rPr>
                <w:rFonts w:hint="eastAsia" w:cs="Times New Roman"/>
                <w:lang w:val="en-US" w:eastAsia="zh-CN"/>
              </w:rPr>
              <w:t>2t/a</w:t>
            </w:r>
          </w:p>
        </w:tc>
        <w:tc>
          <w:tcPr>
            <w:tcW w:w="1736" w:type="dxa"/>
            <w:noWrap w:val="0"/>
            <w:vAlign w:val="center"/>
          </w:tcPr>
          <w:p w14:paraId="058551F3">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cs="Times New Roman"/>
                <w:lang w:val="en-US" w:eastAsia="zh-CN"/>
              </w:rPr>
              <w:t>+</w:t>
            </w:r>
            <w:r>
              <w:rPr>
                <w:rFonts w:hint="default" w:ascii="Times New Roman" w:hAnsi="Times New Roman" w:cs="Times New Roman"/>
                <w:lang w:val="en-US" w:eastAsia="zh-CN"/>
              </w:rPr>
              <w:t>0.</w:t>
            </w:r>
            <w:r>
              <w:rPr>
                <w:rFonts w:hint="eastAsia" w:cs="Times New Roman"/>
                <w:lang w:val="en-US" w:eastAsia="zh-CN"/>
              </w:rPr>
              <w:t>2t/a</w:t>
            </w:r>
          </w:p>
        </w:tc>
      </w:tr>
      <w:tr w14:paraId="1AC94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381" w:type="dxa"/>
            <w:vMerge w:val="continue"/>
            <w:noWrap w:val="0"/>
            <w:vAlign w:val="center"/>
          </w:tcPr>
          <w:p w14:paraId="0622D0E1">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0585665D">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cs="Times New Roman"/>
                <w:lang w:val="en-US" w:eastAsia="zh-CN"/>
              </w:rPr>
              <w:t>废滤芯</w:t>
            </w:r>
          </w:p>
        </w:tc>
        <w:tc>
          <w:tcPr>
            <w:tcW w:w="1600" w:type="dxa"/>
            <w:noWrap w:val="0"/>
            <w:vAlign w:val="center"/>
          </w:tcPr>
          <w:p w14:paraId="6B3DD08A">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276" w:type="dxa"/>
            <w:noWrap w:val="0"/>
            <w:vAlign w:val="center"/>
          </w:tcPr>
          <w:p w14:paraId="2FF24AF3">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401" w:type="dxa"/>
            <w:noWrap w:val="0"/>
            <w:vAlign w:val="center"/>
          </w:tcPr>
          <w:p w14:paraId="5A8418FF">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538" w:type="dxa"/>
            <w:noWrap w:val="0"/>
            <w:vAlign w:val="center"/>
          </w:tcPr>
          <w:p w14:paraId="52A84BD5">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ascii="Times New Roman" w:hAnsi="Times New Roman" w:cs="Times New Roman"/>
                <w:lang w:val="en-US" w:eastAsia="zh-CN"/>
              </w:rPr>
              <w:t>0.</w:t>
            </w:r>
            <w:r>
              <w:rPr>
                <w:rFonts w:hint="eastAsia" w:cs="Times New Roman"/>
                <w:lang w:val="en-US" w:eastAsia="zh-CN"/>
              </w:rPr>
              <w:t>2t/a</w:t>
            </w:r>
          </w:p>
        </w:tc>
        <w:tc>
          <w:tcPr>
            <w:tcW w:w="1256" w:type="dxa"/>
            <w:noWrap w:val="0"/>
            <w:vAlign w:val="center"/>
          </w:tcPr>
          <w:p w14:paraId="0498C438">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875" w:type="dxa"/>
            <w:noWrap w:val="0"/>
            <w:vAlign w:val="center"/>
          </w:tcPr>
          <w:p w14:paraId="41A1938E">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ascii="Times New Roman" w:hAnsi="Times New Roman" w:cs="Times New Roman"/>
                <w:lang w:val="en-US" w:eastAsia="zh-CN"/>
              </w:rPr>
              <w:t>0.</w:t>
            </w:r>
            <w:r>
              <w:rPr>
                <w:rFonts w:hint="eastAsia" w:cs="Times New Roman"/>
                <w:lang w:val="en-US" w:eastAsia="zh-CN"/>
              </w:rPr>
              <w:t>2t/a</w:t>
            </w:r>
          </w:p>
        </w:tc>
        <w:tc>
          <w:tcPr>
            <w:tcW w:w="1736" w:type="dxa"/>
            <w:noWrap w:val="0"/>
            <w:vAlign w:val="center"/>
          </w:tcPr>
          <w:p w14:paraId="2949074A">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cs="Times New Roman"/>
                <w:lang w:val="en-US" w:eastAsia="zh-CN"/>
              </w:rPr>
              <w:t>+</w:t>
            </w:r>
            <w:r>
              <w:rPr>
                <w:rFonts w:hint="default" w:ascii="Times New Roman" w:hAnsi="Times New Roman" w:cs="Times New Roman"/>
                <w:lang w:val="en-US" w:eastAsia="zh-CN"/>
              </w:rPr>
              <w:t>0.</w:t>
            </w:r>
            <w:r>
              <w:rPr>
                <w:rFonts w:hint="eastAsia" w:cs="Times New Roman"/>
                <w:lang w:val="en-US" w:eastAsia="zh-CN"/>
              </w:rPr>
              <w:t>2t/a</w:t>
            </w:r>
          </w:p>
        </w:tc>
      </w:tr>
      <w:tr w14:paraId="135EF0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81" w:type="dxa"/>
            <w:noWrap w:val="0"/>
            <w:vAlign w:val="center"/>
          </w:tcPr>
          <w:p w14:paraId="284DDDB7">
            <w:pPr>
              <w:pStyle w:val="7"/>
              <w:keepNext w:val="0"/>
              <w:keepLines w:val="0"/>
              <w:suppressLineNumbers w:val="0"/>
              <w:bidi w:val="0"/>
              <w:spacing w:before="0" w:beforeAutospacing="0" w:after="0" w:afterAutospacing="0"/>
              <w:ind w:left="0" w:leftChars="0" w:right="0" w:rightChars="0" w:firstLine="0" w:firstLineChars="0"/>
              <w:rPr>
                <w:rFonts w:hint="eastAsia" w:eastAsia="宋体"/>
                <w:b w:val="0"/>
                <w:bCs w:val="0"/>
                <w:sz w:val="21"/>
                <w:szCs w:val="21"/>
                <w:lang w:val="en-US" w:eastAsia="zh-CN"/>
              </w:rPr>
            </w:pPr>
            <w:r>
              <w:rPr>
                <w:rFonts w:hint="eastAsia"/>
                <w:b w:val="0"/>
                <w:bCs w:val="0"/>
                <w:sz w:val="21"/>
                <w:szCs w:val="21"/>
                <w:lang w:val="en-US" w:eastAsia="zh-CN"/>
              </w:rPr>
              <w:t>生活垃圾</w:t>
            </w:r>
          </w:p>
        </w:tc>
        <w:tc>
          <w:tcPr>
            <w:tcW w:w="1725" w:type="dxa"/>
            <w:noWrap w:val="0"/>
            <w:vAlign w:val="center"/>
          </w:tcPr>
          <w:p w14:paraId="465F7602">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sz w:val="21"/>
                <w:szCs w:val="21"/>
                <w:lang w:val="en-US" w:eastAsia="zh-CN"/>
              </w:rPr>
              <w:t>生活垃圾</w:t>
            </w:r>
          </w:p>
        </w:tc>
        <w:tc>
          <w:tcPr>
            <w:tcW w:w="1600" w:type="dxa"/>
            <w:noWrap w:val="0"/>
            <w:vAlign w:val="center"/>
          </w:tcPr>
          <w:p w14:paraId="48C19082">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276" w:type="dxa"/>
            <w:noWrap w:val="0"/>
            <w:vAlign w:val="center"/>
          </w:tcPr>
          <w:p w14:paraId="6A805BD5">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401" w:type="dxa"/>
            <w:noWrap w:val="0"/>
            <w:vAlign w:val="center"/>
          </w:tcPr>
          <w:p w14:paraId="414B4C26">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538" w:type="dxa"/>
            <w:noWrap w:val="0"/>
            <w:vAlign w:val="center"/>
          </w:tcPr>
          <w:p w14:paraId="05938720">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lang w:val="en-US" w:eastAsia="zh-CN"/>
              </w:rPr>
              <w:t>1.</w:t>
            </w:r>
            <w:r>
              <w:rPr>
                <w:rFonts w:hint="eastAsia"/>
                <w:lang w:val="en-US" w:eastAsia="zh-CN"/>
              </w:rPr>
              <w:t>56t/a</w:t>
            </w:r>
          </w:p>
        </w:tc>
        <w:tc>
          <w:tcPr>
            <w:tcW w:w="1256" w:type="dxa"/>
            <w:noWrap w:val="0"/>
            <w:vAlign w:val="center"/>
          </w:tcPr>
          <w:p w14:paraId="0835260F">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sz w:val="21"/>
                <w:szCs w:val="21"/>
                <w:lang w:val="en-US" w:eastAsia="zh-CN"/>
              </w:rPr>
              <w:t>/</w:t>
            </w:r>
          </w:p>
        </w:tc>
        <w:tc>
          <w:tcPr>
            <w:tcW w:w="1875" w:type="dxa"/>
            <w:noWrap w:val="0"/>
            <w:vAlign w:val="center"/>
          </w:tcPr>
          <w:p w14:paraId="035E34CC">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default"/>
                <w:lang w:val="en-US" w:eastAsia="zh-CN"/>
              </w:rPr>
              <w:t>1.</w:t>
            </w:r>
            <w:r>
              <w:rPr>
                <w:rFonts w:hint="eastAsia"/>
                <w:lang w:val="en-US" w:eastAsia="zh-CN"/>
              </w:rPr>
              <w:t>56t/a</w:t>
            </w:r>
          </w:p>
        </w:tc>
        <w:tc>
          <w:tcPr>
            <w:tcW w:w="1736" w:type="dxa"/>
            <w:noWrap w:val="0"/>
            <w:vAlign w:val="center"/>
          </w:tcPr>
          <w:p w14:paraId="517D40DD">
            <w:pPr>
              <w:pStyle w:val="7"/>
              <w:keepNext w:val="0"/>
              <w:keepLines w:val="0"/>
              <w:suppressLineNumbers w:val="0"/>
              <w:bidi w:val="0"/>
              <w:spacing w:before="0" w:beforeAutospacing="0" w:after="0" w:afterAutospacing="0"/>
              <w:ind w:left="0" w:leftChars="0" w:right="0" w:rightChars="0" w:firstLine="0" w:firstLineChars="0"/>
              <w:rPr>
                <w:rFonts w:hint="default"/>
                <w:sz w:val="21"/>
                <w:szCs w:val="21"/>
                <w:lang w:val="en-US" w:eastAsia="zh-CN"/>
              </w:rPr>
            </w:pPr>
            <w:r>
              <w:rPr>
                <w:rFonts w:hint="eastAsia"/>
                <w:lang w:val="en-US" w:eastAsia="zh-CN"/>
              </w:rPr>
              <w:t>+</w:t>
            </w:r>
            <w:r>
              <w:rPr>
                <w:rFonts w:hint="default"/>
                <w:lang w:val="en-US" w:eastAsia="zh-CN"/>
              </w:rPr>
              <w:t>1.</w:t>
            </w:r>
            <w:r>
              <w:rPr>
                <w:rFonts w:hint="eastAsia"/>
                <w:lang w:val="en-US" w:eastAsia="zh-CN"/>
              </w:rPr>
              <w:t>56t/a</w:t>
            </w:r>
          </w:p>
        </w:tc>
      </w:tr>
      <w:tr w14:paraId="0DC187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381" w:type="dxa"/>
            <w:vMerge w:val="restart"/>
            <w:noWrap w:val="0"/>
            <w:vAlign w:val="center"/>
          </w:tcPr>
          <w:p w14:paraId="53931A2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rPr>
              <w:t>危险废物</w:t>
            </w:r>
          </w:p>
        </w:tc>
        <w:tc>
          <w:tcPr>
            <w:tcW w:w="1725" w:type="dxa"/>
            <w:noWrap w:val="0"/>
            <w:vAlign w:val="center"/>
          </w:tcPr>
          <w:p w14:paraId="3C9ADB84">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eastAsia="zh-CN"/>
              </w:rPr>
              <w:t>废润滑油</w:t>
            </w:r>
          </w:p>
        </w:tc>
        <w:tc>
          <w:tcPr>
            <w:tcW w:w="1600" w:type="dxa"/>
            <w:noWrap w:val="0"/>
            <w:vAlign w:val="center"/>
          </w:tcPr>
          <w:p w14:paraId="2D30EF5A">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w:t>
            </w:r>
          </w:p>
        </w:tc>
        <w:tc>
          <w:tcPr>
            <w:tcW w:w="1276" w:type="dxa"/>
            <w:noWrap w:val="0"/>
            <w:vAlign w:val="center"/>
          </w:tcPr>
          <w:p w14:paraId="742B5720">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w:t>
            </w:r>
          </w:p>
        </w:tc>
        <w:tc>
          <w:tcPr>
            <w:tcW w:w="1401" w:type="dxa"/>
            <w:noWrap w:val="0"/>
            <w:vAlign w:val="center"/>
          </w:tcPr>
          <w:p w14:paraId="101E1EC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w:t>
            </w:r>
          </w:p>
        </w:tc>
        <w:tc>
          <w:tcPr>
            <w:tcW w:w="1538" w:type="dxa"/>
            <w:noWrap w:val="0"/>
            <w:vAlign w:val="center"/>
          </w:tcPr>
          <w:p w14:paraId="1B36C439">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rPr>
              <w:t>0.2</w:t>
            </w:r>
            <w:r>
              <w:rPr>
                <w:rFonts w:hint="default"/>
                <w:lang w:val="en-US" w:eastAsia="zh-CN"/>
              </w:rPr>
              <w:t>t/a</w:t>
            </w:r>
          </w:p>
        </w:tc>
        <w:tc>
          <w:tcPr>
            <w:tcW w:w="1256" w:type="dxa"/>
            <w:noWrap w:val="0"/>
            <w:vAlign w:val="center"/>
          </w:tcPr>
          <w:p w14:paraId="5D91EB01">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val="en-US" w:eastAsia="zh-CN"/>
              </w:rPr>
              <w:t>/</w:t>
            </w:r>
          </w:p>
        </w:tc>
        <w:tc>
          <w:tcPr>
            <w:tcW w:w="1875" w:type="dxa"/>
            <w:noWrap w:val="0"/>
            <w:vAlign w:val="center"/>
          </w:tcPr>
          <w:p w14:paraId="75147E2E">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rPr>
              <w:t>0.2</w:t>
            </w:r>
            <w:r>
              <w:rPr>
                <w:rFonts w:hint="default"/>
                <w:lang w:val="en-US" w:eastAsia="zh-CN"/>
              </w:rPr>
              <w:t>t/a</w:t>
            </w:r>
          </w:p>
        </w:tc>
        <w:tc>
          <w:tcPr>
            <w:tcW w:w="1736" w:type="dxa"/>
            <w:noWrap w:val="0"/>
            <w:vAlign w:val="center"/>
          </w:tcPr>
          <w:p w14:paraId="08187D19">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eastAsia"/>
                <w:lang w:val="en-US" w:eastAsia="zh-CN"/>
              </w:rPr>
              <w:t>+</w:t>
            </w:r>
            <w:r>
              <w:rPr>
                <w:rFonts w:hint="default"/>
              </w:rPr>
              <w:t>0.2</w:t>
            </w:r>
            <w:r>
              <w:rPr>
                <w:rFonts w:hint="default"/>
                <w:lang w:val="en-US" w:eastAsia="zh-CN"/>
              </w:rPr>
              <w:t>t/a</w:t>
            </w:r>
          </w:p>
        </w:tc>
      </w:tr>
      <w:tr w14:paraId="31517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81" w:type="dxa"/>
            <w:vMerge w:val="continue"/>
            <w:noWrap w:val="0"/>
            <w:vAlign w:val="center"/>
          </w:tcPr>
          <w:p w14:paraId="55C528BD">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p>
        </w:tc>
        <w:tc>
          <w:tcPr>
            <w:tcW w:w="1725" w:type="dxa"/>
            <w:noWrap w:val="0"/>
            <w:vAlign w:val="center"/>
          </w:tcPr>
          <w:p w14:paraId="745383B7">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default"/>
                <w:sz w:val="21"/>
                <w:szCs w:val="21"/>
                <w:lang w:eastAsia="zh-CN"/>
              </w:rPr>
              <w:t>废润滑油</w:t>
            </w:r>
            <w:r>
              <w:rPr>
                <w:rFonts w:hint="default"/>
                <w:sz w:val="21"/>
                <w:szCs w:val="21"/>
                <w:lang w:val="en-US" w:eastAsia="zh-CN"/>
              </w:rPr>
              <w:t>桶</w:t>
            </w:r>
          </w:p>
        </w:tc>
        <w:tc>
          <w:tcPr>
            <w:tcW w:w="1600" w:type="dxa"/>
            <w:noWrap w:val="0"/>
            <w:vAlign w:val="center"/>
          </w:tcPr>
          <w:p w14:paraId="20AB9215">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276" w:type="dxa"/>
            <w:noWrap w:val="0"/>
            <w:vAlign w:val="center"/>
          </w:tcPr>
          <w:p w14:paraId="77A898F0">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401" w:type="dxa"/>
            <w:noWrap w:val="0"/>
            <w:vAlign w:val="center"/>
          </w:tcPr>
          <w:p w14:paraId="66234AC8">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538" w:type="dxa"/>
            <w:noWrap w:val="0"/>
            <w:vAlign w:val="center"/>
          </w:tcPr>
          <w:p w14:paraId="7EA03F59">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eastAsia"/>
                <w:lang w:val="en-US" w:eastAsia="zh-CN"/>
              </w:rPr>
              <w:t>0.02t/a</w:t>
            </w:r>
          </w:p>
        </w:tc>
        <w:tc>
          <w:tcPr>
            <w:tcW w:w="1256" w:type="dxa"/>
            <w:noWrap w:val="0"/>
            <w:vAlign w:val="center"/>
          </w:tcPr>
          <w:p w14:paraId="0D409FD0">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default"/>
                <w:sz w:val="21"/>
                <w:szCs w:val="21"/>
                <w:lang w:val="en-US" w:eastAsia="zh-CN"/>
              </w:rPr>
              <w:t>/</w:t>
            </w:r>
          </w:p>
        </w:tc>
        <w:tc>
          <w:tcPr>
            <w:tcW w:w="1875" w:type="dxa"/>
            <w:noWrap w:val="0"/>
            <w:vAlign w:val="center"/>
          </w:tcPr>
          <w:p w14:paraId="07DA730A">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lang w:val="en-US" w:eastAsia="zh-CN"/>
              </w:rPr>
            </w:pPr>
            <w:r>
              <w:rPr>
                <w:rFonts w:hint="eastAsia"/>
                <w:lang w:val="en-US" w:eastAsia="zh-CN"/>
              </w:rPr>
              <w:t>0.02t/a</w:t>
            </w:r>
          </w:p>
        </w:tc>
        <w:tc>
          <w:tcPr>
            <w:tcW w:w="1736" w:type="dxa"/>
            <w:noWrap w:val="0"/>
            <w:vAlign w:val="center"/>
          </w:tcPr>
          <w:p w14:paraId="66F8450C">
            <w:pPr>
              <w:pStyle w:val="7"/>
              <w:keepNext w:val="0"/>
              <w:keepLines w:val="0"/>
              <w:suppressLineNumbers w:val="0"/>
              <w:bidi w:val="0"/>
              <w:spacing w:before="0" w:beforeAutospacing="0" w:after="0" w:afterAutospacing="0"/>
              <w:ind w:left="0" w:leftChars="0" w:right="0" w:rightChars="0" w:firstLine="0" w:firstLineChars="0"/>
              <w:rPr>
                <w:rFonts w:hint="eastAsia"/>
                <w:b w:val="0"/>
                <w:bCs w:val="0"/>
                <w:sz w:val="21"/>
                <w:szCs w:val="21"/>
              </w:rPr>
            </w:pPr>
            <w:r>
              <w:rPr>
                <w:rFonts w:hint="eastAsia"/>
                <w:lang w:val="en-US" w:eastAsia="zh-CN"/>
              </w:rPr>
              <w:t>+0.02t/a</w:t>
            </w:r>
          </w:p>
        </w:tc>
      </w:tr>
    </w:tbl>
    <w:p w14:paraId="16B64658">
      <w:pPr>
        <w:pStyle w:val="81"/>
        <w:spacing w:before="192" w:beforeLines="80" w:after="24"/>
        <w:jc w:val="left"/>
      </w:pPr>
      <w:r>
        <w:rPr>
          <w:rFonts w:hAnsi="宋体"/>
          <w:snapToGrid w:val="0"/>
          <w:color w:val="000000"/>
          <w:kern w:val="21"/>
          <w:szCs w:val="21"/>
          <w:highlight w:val="none"/>
        </w:rPr>
        <w:t>注：</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6 \* GB3 \* MERGEFORMAT </w:instrText>
      </w:r>
      <w:r>
        <w:rPr>
          <w:rFonts w:hAnsi="宋体"/>
          <w:snapToGrid w:val="0"/>
          <w:color w:val="000000"/>
          <w:spacing w:val="-16"/>
          <w:kern w:val="21"/>
          <w:szCs w:val="21"/>
          <w:highlight w:val="none"/>
        </w:rPr>
        <w:fldChar w:fldCharType="separate"/>
      </w:r>
      <w:r>
        <w:rPr>
          <w:rFonts w:hint="eastAsia" w:hAnsi="宋体"/>
          <w:color w:val="000000"/>
          <w:szCs w:val="21"/>
          <w:highlight w:val="none"/>
        </w:rPr>
        <w:t>⑥</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1 \* GB3 \* MERGEFORMAT </w:instrText>
      </w:r>
      <w:r>
        <w:rPr>
          <w:rFonts w:hAnsi="宋体"/>
          <w:snapToGrid w:val="0"/>
          <w:color w:val="000000"/>
          <w:spacing w:val="-6"/>
          <w:kern w:val="21"/>
          <w:szCs w:val="21"/>
          <w:highlight w:val="none"/>
        </w:rPr>
        <w:fldChar w:fldCharType="separate"/>
      </w:r>
      <w:r>
        <w:rPr>
          <w:rFonts w:hint="eastAsia" w:hAnsi="宋体"/>
          <w:color w:val="000000"/>
          <w:szCs w:val="21"/>
          <w:highlight w:val="none"/>
        </w:rPr>
        <w:t>①</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3 \* GB3 \* MERGEFORMAT </w:instrText>
      </w:r>
      <w:r>
        <w:rPr>
          <w:rFonts w:hAnsi="宋体"/>
          <w:snapToGrid w:val="0"/>
          <w:color w:val="000000"/>
          <w:spacing w:val="-6"/>
          <w:kern w:val="21"/>
          <w:szCs w:val="21"/>
          <w:highlight w:val="none"/>
        </w:rPr>
        <w:fldChar w:fldCharType="separate"/>
      </w:r>
      <w:r>
        <w:rPr>
          <w:rFonts w:hint="eastAsia" w:hAnsi="宋体"/>
          <w:color w:val="000000"/>
          <w:szCs w:val="21"/>
          <w:highlight w:val="none"/>
        </w:rPr>
        <w:t>③</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4 \* GB3 \* MERGEFORMAT </w:instrText>
      </w:r>
      <w:r>
        <w:rPr>
          <w:rFonts w:hAnsi="宋体"/>
          <w:snapToGrid w:val="0"/>
          <w:color w:val="000000"/>
          <w:spacing w:val="-6"/>
          <w:kern w:val="21"/>
          <w:szCs w:val="21"/>
          <w:highlight w:val="none"/>
        </w:rPr>
        <w:fldChar w:fldCharType="separate"/>
      </w:r>
      <w:r>
        <w:rPr>
          <w:rFonts w:hint="eastAsia" w:hAnsi="宋体"/>
          <w:color w:val="000000"/>
          <w:szCs w:val="21"/>
          <w:highlight w:val="none"/>
        </w:rPr>
        <w:t>④</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5 \* GB3 \* MERGEFORMAT </w:instrText>
      </w:r>
      <w:r>
        <w:rPr>
          <w:rFonts w:hAnsi="宋体"/>
          <w:snapToGrid w:val="0"/>
          <w:color w:val="000000"/>
          <w:spacing w:val="-16"/>
          <w:kern w:val="21"/>
          <w:szCs w:val="21"/>
          <w:highlight w:val="none"/>
        </w:rPr>
        <w:fldChar w:fldCharType="separate"/>
      </w:r>
      <w:r>
        <w:rPr>
          <w:rFonts w:hint="eastAsia" w:hAnsi="宋体"/>
          <w:color w:val="000000"/>
          <w:szCs w:val="21"/>
          <w:highlight w:val="none"/>
        </w:rPr>
        <w:t>⑤</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7 \* GB3 \* MERGEFORMAT </w:instrText>
      </w:r>
      <w:r>
        <w:rPr>
          <w:rFonts w:hAnsi="宋体"/>
          <w:snapToGrid w:val="0"/>
          <w:color w:val="000000"/>
          <w:spacing w:val="-6"/>
          <w:kern w:val="21"/>
          <w:szCs w:val="21"/>
          <w:highlight w:val="none"/>
        </w:rPr>
        <w:fldChar w:fldCharType="separate"/>
      </w:r>
      <w:r>
        <w:rPr>
          <w:rFonts w:hint="eastAsia" w:hAnsi="宋体"/>
          <w:color w:val="000000"/>
          <w:szCs w:val="21"/>
          <w:highlight w:val="none"/>
        </w:rPr>
        <w:t>⑦</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6 \* GB3 \* MERGEFORMAT </w:instrText>
      </w:r>
      <w:r>
        <w:rPr>
          <w:rFonts w:hAnsi="宋体"/>
          <w:snapToGrid w:val="0"/>
          <w:color w:val="000000"/>
          <w:spacing w:val="-16"/>
          <w:kern w:val="21"/>
          <w:szCs w:val="21"/>
          <w:highlight w:val="none"/>
        </w:rPr>
        <w:fldChar w:fldCharType="separate"/>
      </w:r>
      <w:r>
        <w:rPr>
          <w:rFonts w:hint="eastAsia" w:hAnsi="宋体"/>
          <w:color w:val="000000"/>
          <w:szCs w:val="21"/>
          <w:highlight w:val="none"/>
        </w:rPr>
        <w:t>⑥</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1 \* GB3 \* MERGEFORMAT </w:instrText>
      </w:r>
      <w:r>
        <w:rPr>
          <w:rFonts w:hAnsi="宋体"/>
          <w:snapToGrid w:val="0"/>
          <w:color w:val="000000"/>
          <w:spacing w:val="-6"/>
          <w:kern w:val="21"/>
          <w:szCs w:val="21"/>
          <w:highlight w:val="none"/>
        </w:rPr>
        <w:fldChar w:fldCharType="separate"/>
      </w:r>
      <w:r>
        <w:rPr>
          <w:rFonts w:hint="eastAsia" w:hAnsi="宋体"/>
          <w:color w:val="000000"/>
          <w:szCs w:val="21"/>
          <w:highlight w:val="none"/>
        </w:rPr>
        <w:t>①</w:t>
      </w:r>
      <w:r>
        <w:rPr>
          <w:rFonts w:hAnsi="宋体"/>
          <w:snapToGrid w:val="0"/>
          <w:color w:val="000000"/>
          <w:spacing w:val="-6"/>
          <w:kern w:val="21"/>
          <w:szCs w:val="21"/>
          <w:highlight w:val="none"/>
        </w:rPr>
        <w:fldChar w:fldCharType="end"/>
      </w:r>
    </w:p>
    <w:sectPr>
      <w:headerReference r:id="rId10" w:type="default"/>
      <w:footerReference r:id="rId11"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2B5C9E4-8DAB-432E-9435-37819848F119}"/>
  </w:font>
  <w:font w:name="黑体">
    <w:panose1 w:val="02010609060101010101"/>
    <w:charset w:val="86"/>
    <w:family w:val="auto"/>
    <w:pitch w:val="default"/>
    <w:sig w:usb0="800002BF" w:usb1="38CF7CFA" w:usb2="00000016" w:usb3="00000000" w:csb0="00040001" w:csb1="00000000"/>
    <w:embedRegular r:id="rId2" w:fontKey="{CBB51EF0-CF94-4968-9A07-234CEE6CFC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标宋体">
    <w:altName w:val="黑体"/>
    <w:panose1 w:val="00000000000000000000"/>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3EFC9682-DD93-409C-B5E7-94F9A8FD9F40}"/>
  </w:font>
  <w:font w:name="方正小标宋_GBK">
    <w:panose1 w:val="03000509000000000000"/>
    <w:charset w:val="86"/>
    <w:family w:val="script"/>
    <w:pitch w:val="default"/>
    <w:sig w:usb0="00000001" w:usb1="080E0000" w:usb2="00000000" w:usb3="00000000" w:csb0="00040000" w:csb1="00000000"/>
    <w:embedRegular r:id="rId4" w:fontKey="{3B7C07B4-C274-4F71-8D1D-E802A2C45DE0}"/>
  </w:font>
  <w:font w:name="楷体_GB2312">
    <w:panose1 w:val="02010609030101010101"/>
    <w:charset w:val="86"/>
    <w:family w:val="modern"/>
    <w:pitch w:val="default"/>
    <w:sig w:usb0="00000001" w:usb1="080E0000" w:usb2="00000000" w:usb3="00000000" w:csb0="00040000" w:csb1="00000000"/>
    <w:embedRegular r:id="rId5" w:fontKey="{F2D2BDD1-0467-4750-ADE2-00BAE100B56A}"/>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E830">
    <w:pPr>
      <w:pStyle w:val="2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38C2E">
    <w:pPr>
      <w:pStyle w:val="22"/>
      <w:framePr w:wrap="around" w:vAnchor="text" w:hAnchor="margin" w:xAlign="center" w:y="1"/>
      <w:rPr>
        <w:rStyle w:val="37"/>
      </w:rPr>
    </w:pPr>
    <w:r>
      <w:fldChar w:fldCharType="begin"/>
    </w:r>
    <w:r>
      <w:rPr>
        <w:rStyle w:val="37"/>
      </w:rPr>
      <w:instrText xml:space="preserve">PAGE  </w:instrText>
    </w:r>
    <w:r>
      <w:fldChar w:fldCharType="end"/>
    </w:r>
  </w:p>
  <w:p w14:paraId="0CB284E7">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283CC">
    <w:pPr>
      <w:pStyle w:val="22"/>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BB767">
    <w:pPr>
      <w:pStyle w:val="22"/>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A777F">
    <w:pPr>
      <w:pStyle w:val="2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F7B23">
    <w:pPr>
      <w:pStyle w:val="2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BEF04">
    <w:pPr>
      <w:pStyle w:val="23"/>
      <w:pBdr>
        <w:bottom w:val="none" w:color="auto" w:sz="0" w:space="1"/>
      </w:pBdr>
      <w:tabs>
        <w:tab w:val="clear" w:pos="4153"/>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7A473"/>
    <w:multiLevelType w:val="singleLevel"/>
    <w:tmpl w:val="3CF7A473"/>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茜">
    <w15:presenceInfo w15:providerId="None" w15:userId="张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NDAxZmVkNWY3ZGQ0N2FjNDM2ODMxODRkZThlYmQifQ=="/>
  </w:docVars>
  <w:rsids>
    <w:rsidRoot w:val="00A14947"/>
    <w:rsid w:val="00004855"/>
    <w:rsid w:val="000060B3"/>
    <w:rsid w:val="000145DC"/>
    <w:rsid w:val="00015065"/>
    <w:rsid w:val="000152AE"/>
    <w:rsid w:val="00023176"/>
    <w:rsid w:val="00023EFC"/>
    <w:rsid w:val="00034E2C"/>
    <w:rsid w:val="00037AAE"/>
    <w:rsid w:val="000421A9"/>
    <w:rsid w:val="00042319"/>
    <w:rsid w:val="0004364B"/>
    <w:rsid w:val="00047136"/>
    <w:rsid w:val="000472B4"/>
    <w:rsid w:val="00061B1F"/>
    <w:rsid w:val="00071987"/>
    <w:rsid w:val="000733C4"/>
    <w:rsid w:val="00074783"/>
    <w:rsid w:val="00076FE1"/>
    <w:rsid w:val="0008070B"/>
    <w:rsid w:val="000810AC"/>
    <w:rsid w:val="00081A02"/>
    <w:rsid w:val="00082231"/>
    <w:rsid w:val="00086718"/>
    <w:rsid w:val="00087070"/>
    <w:rsid w:val="00087C6B"/>
    <w:rsid w:val="00091A31"/>
    <w:rsid w:val="00092D38"/>
    <w:rsid w:val="0009377B"/>
    <w:rsid w:val="000A14BB"/>
    <w:rsid w:val="000A20C9"/>
    <w:rsid w:val="000A34EC"/>
    <w:rsid w:val="000A5706"/>
    <w:rsid w:val="000B058F"/>
    <w:rsid w:val="000B4271"/>
    <w:rsid w:val="000B4467"/>
    <w:rsid w:val="000B4DB9"/>
    <w:rsid w:val="000C09AC"/>
    <w:rsid w:val="000C3449"/>
    <w:rsid w:val="000C4D7F"/>
    <w:rsid w:val="000C767F"/>
    <w:rsid w:val="000C799C"/>
    <w:rsid w:val="000D432B"/>
    <w:rsid w:val="000D496E"/>
    <w:rsid w:val="000D5A44"/>
    <w:rsid w:val="000D7805"/>
    <w:rsid w:val="000E3ED2"/>
    <w:rsid w:val="000F3D43"/>
    <w:rsid w:val="000F40C8"/>
    <w:rsid w:val="000F4591"/>
    <w:rsid w:val="000F518D"/>
    <w:rsid w:val="000F6179"/>
    <w:rsid w:val="0010136C"/>
    <w:rsid w:val="001024DB"/>
    <w:rsid w:val="00107686"/>
    <w:rsid w:val="0011545F"/>
    <w:rsid w:val="001155E1"/>
    <w:rsid w:val="00117177"/>
    <w:rsid w:val="00120F14"/>
    <w:rsid w:val="00122FFE"/>
    <w:rsid w:val="00124A6A"/>
    <w:rsid w:val="00131803"/>
    <w:rsid w:val="00131F42"/>
    <w:rsid w:val="001340CC"/>
    <w:rsid w:val="00134ABA"/>
    <w:rsid w:val="001357F1"/>
    <w:rsid w:val="00140FA8"/>
    <w:rsid w:val="00142FEB"/>
    <w:rsid w:val="00143A2D"/>
    <w:rsid w:val="001442A4"/>
    <w:rsid w:val="00145A41"/>
    <w:rsid w:val="00151675"/>
    <w:rsid w:val="00151A04"/>
    <w:rsid w:val="0015265A"/>
    <w:rsid w:val="0015597A"/>
    <w:rsid w:val="00156594"/>
    <w:rsid w:val="00157435"/>
    <w:rsid w:val="00174B90"/>
    <w:rsid w:val="0017504D"/>
    <w:rsid w:val="00175E47"/>
    <w:rsid w:val="0017671A"/>
    <w:rsid w:val="00177422"/>
    <w:rsid w:val="00184590"/>
    <w:rsid w:val="00184E83"/>
    <w:rsid w:val="001865C7"/>
    <w:rsid w:val="001870D1"/>
    <w:rsid w:val="0018781E"/>
    <w:rsid w:val="0019262D"/>
    <w:rsid w:val="00194BFB"/>
    <w:rsid w:val="00195546"/>
    <w:rsid w:val="001967C8"/>
    <w:rsid w:val="001A103E"/>
    <w:rsid w:val="001A1430"/>
    <w:rsid w:val="001A18CD"/>
    <w:rsid w:val="001A1B35"/>
    <w:rsid w:val="001A48A2"/>
    <w:rsid w:val="001A4AC3"/>
    <w:rsid w:val="001A6F61"/>
    <w:rsid w:val="001B1003"/>
    <w:rsid w:val="001B314F"/>
    <w:rsid w:val="001B3A8D"/>
    <w:rsid w:val="001B72B8"/>
    <w:rsid w:val="001C132C"/>
    <w:rsid w:val="001C22C8"/>
    <w:rsid w:val="001C48A5"/>
    <w:rsid w:val="001C6428"/>
    <w:rsid w:val="001C69B3"/>
    <w:rsid w:val="001C6DE6"/>
    <w:rsid w:val="001D21B3"/>
    <w:rsid w:val="001D243A"/>
    <w:rsid w:val="001D5595"/>
    <w:rsid w:val="001D5C1B"/>
    <w:rsid w:val="001D7874"/>
    <w:rsid w:val="001D7F22"/>
    <w:rsid w:val="001E1A94"/>
    <w:rsid w:val="001E2D73"/>
    <w:rsid w:val="001E51EF"/>
    <w:rsid w:val="001E6925"/>
    <w:rsid w:val="001F0F17"/>
    <w:rsid w:val="001F1147"/>
    <w:rsid w:val="001F3347"/>
    <w:rsid w:val="001F3E6F"/>
    <w:rsid w:val="001F585C"/>
    <w:rsid w:val="001F6170"/>
    <w:rsid w:val="001F69E4"/>
    <w:rsid w:val="001F6EB0"/>
    <w:rsid w:val="00200B10"/>
    <w:rsid w:val="002043D3"/>
    <w:rsid w:val="002112B7"/>
    <w:rsid w:val="002125B4"/>
    <w:rsid w:val="00212C06"/>
    <w:rsid w:val="002155B8"/>
    <w:rsid w:val="00216C50"/>
    <w:rsid w:val="00221277"/>
    <w:rsid w:val="00223644"/>
    <w:rsid w:val="00223F11"/>
    <w:rsid w:val="00224839"/>
    <w:rsid w:val="002249B2"/>
    <w:rsid w:val="002262B7"/>
    <w:rsid w:val="00226574"/>
    <w:rsid w:val="002278EC"/>
    <w:rsid w:val="0023280E"/>
    <w:rsid w:val="002350A4"/>
    <w:rsid w:val="0023590A"/>
    <w:rsid w:val="002377D1"/>
    <w:rsid w:val="00242A8E"/>
    <w:rsid w:val="00243B90"/>
    <w:rsid w:val="00244F5E"/>
    <w:rsid w:val="00247807"/>
    <w:rsid w:val="002506BC"/>
    <w:rsid w:val="00254345"/>
    <w:rsid w:val="00257D21"/>
    <w:rsid w:val="002604E1"/>
    <w:rsid w:val="00261CA9"/>
    <w:rsid w:val="00261DA1"/>
    <w:rsid w:val="00264557"/>
    <w:rsid w:val="00271646"/>
    <w:rsid w:val="00271D79"/>
    <w:rsid w:val="002747A9"/>
    <w:rsid w:val="00275EAA"/>
    <w:rsid w:val="002805AB"/>
    <w:rsid w:val="00280EA0"/>
    <w:rsid w:val="002821AE"/>
    <w:rsid w:val="00283E55"/>
    <w:rsid w:val="00284204"/>
    <w:rsid w:val="00285EDB"/>
    <w:rsid w:val="00287865"/>
    <w:rsid w:val="00291773"/>
    <w:rsid w:val="0029324B"/>
    <w:rsid w:val="00294C31"/>
    <w:rsid w:val="002A07A2"/>
    <w:rsid w:val="002A168C"/>
    <w:rsid w:val="002A2FEE"/>
    <w:rsid w:val="002A3DC7"/>
    <w:rsid w:val="002B251D"/>
    <w:rsid w:val="002B39B9"/>
    <w:rsid w:val="002B49E2"/>
    <w:rsid w:val="002B56DA"/>
    <w:rsid w:val="002B6699"/>
    <w:rsid w:val="002B6D95"/>
    <w:rsid w:val="002B7B00"/>
    <w:rsid w:val="002B7C44"/>
    <w:rsid w:val="002C0BDD"/>
    <w:rsid w:val="002C2B17"/>
    <w:rsid w:val="002C30D3"/>
    <w:rsid w:val="002D1A9F"/>
    <w:rsid w:val="002D3912"/>
    <w:rsid w:val="002D3DD0"/>
    <w:rsid w:val="002D7674"/>
    <w:rsid w:val="002E1F3A"/>
    <w:rsid w:val="002E298A"/>
    <w:rsid w:val="002E4D5A"/>
    <w:rsid w:val="002E532B"/>
    <w:rsid w:val="002F58EB"/>
    <w:rsid w:val="00301978"/>
    <w:rsid w:val="00302909"/>
    <w:rsid w:val="0030332C"/>
    <w:rsid w:val="003051C2"/>
    <w:rsid w:val="00306FAB"/>
    <w:rsid w:val="00311764"/>
    <w:rsid w:val="00311AAE"/>
    <w:rsid w:val="00312296"/>
    <w:rsid w:val="00313440"/>
    <w:rsid w:val="00314CB4"/>
    <w:rsid w:val="00314F0E"/>
    <w:rsid w:val="00317C70"/>
    <w:rsid w:val="003213EB"/>
    <w:rsid w:val="00321AE8"/>
    <w:rsid w:val="00321D8E"/>
    <w:rsid w:val="00322817"/>
    <w:rsid w:val="00322D79"/>
    <w:rsid w:val="00323550"/>
    <w:rsid w:val="00325928"/>
    <w:rsid w:val="00326B51"/>
    <w:rsid w:val="00331569"/>
    <w:rsid w:val="00332863"/>
    <w:rsid w:val="00332A28"/>
    <w:rsid w:val="00335044"/>
    <w:rsid w:val="0033684D"/>
    <w:rsid w:val="00337B42"/>
    <w:rsid w:val="0034133F"/>
    <w:rsid w:val="00341B42"/>
    <w:rsid w:val="0034348F"/>
    <w:rsid w:val="003436B3"/>
    <w:rsid w:val="00345433"/>
    <w:rsid w:val="0034677B"/>
    <w:rsid w:val="003512DB"/>
    <w:rsid w:val="00356653"/>
    <w:rsid w:val="0035743F"/>
    <w:rsid w:val="00357BE2"/>
    <w:rsid w:val="0036170C"/>
    <w:rsid w:val="003623FC"/>
    <w:rsid w:val="00364F8D"/>
    <w:rsid w:val="003652B8"/>
    <w:rsid w:val="003662BD"/>
    <w:rsid w:val="00366D8D"/>
    <w:rsid w:val="00366E0F"/>
    <w:rsid w:val="00370A8A"/>
    <w:rsid w:val="00371408"/>
    <w:rsid w:val="003735DF"/>
    <w:rsid w:val="00373F20"/>
    <w:rsid w:val="00373FC2"/>
    <w:rsid w:val="00375917"/>
    <w:rsid w:val="00375AB4"/>
    <w:rsid w:val="00381A72"/>
    <w:rsid w:val="00384676"/>
    <w:rsid w:val="00384A31"/>
    <w:rsid w:val="00385558"/>
    <w:rsid w:val="003867F7"/>
    <w:rsid w:val="00390857"/>
    <w:rsid w:val="003969A8"/>
    <w:rsid w:val="003A4BF3"/>
    <w:rsid w:val="003B18CA"/>
    <w:rsid w:val="003B365E"/>
    <w:rsid w:val="003B420D"/>
    <w:rsid w:val="003B6917"/>
    <w:rsid w:val="003C2B62"/>
    <w:rsid w:val="003C3B06"/>
    <w:rsid w:val="003C6665"/>
    <w:rsid w:val="003C6A8C"/>
    <w:rsid w:val="003C6C16"/>
    <w:rsid w:val="003D794D"/>
    <w:rsid w:val="003E1B6E"/>
    <w:rsid w:val="003E1BD9"/>
    <w:rsid w:val="003E29A3"/>
    <w:rsid w:val="003E2F68"/>
    <w:rsid w:val="003E3058"/>
    <w:rsid w:val="003E4330"/>
    <w:rsid w:val="003E622A"/>
    <w:rsid w:val="003E76A9"/>
    <w:rsid w:val="003F0809"/>
    <w:rsid w:val="003F31D4"/>
    <w:rsid w:val="003F58D4"/>
    <w:rsid w:val="003F6A8C"/>
    <w:rsid w:val="003F7170"/>
    <w:rsid w:val="003F755C"/>
    <w:rsid w:val="00402B6C"/>
    <w:rsid w:val="00406F01"/>
    <w:rsid w:val="00411038"/>
    <w:rsid w:val="004131AA"/>
    <w:rsid w:val="00416D50"/>
    <w:rsid w:val="00416FD5"/>
    <w:rsid w:val="00417772"/>
    <w:rsid w:val="004208DC"/>
    <w:rsid w:val="00420E6A"/>
    <w:rsid w:val="00425A9E"/>
    <w:rsid w:val="00426730"/>
    <w:rsid w:val="00426D6B"/>
    <w:rsid w:val="004308D3"/>
    <w:rsid w:val="00431E6C"/>
    <w:rsid w:val="004324F2"/>
    <w:rsid w:val="0043338E"/>
    <w:rsid w:val="00433CE7"/>
    <w:rsid w:val="00435D6A"/>
    <w:rsid w:val="0043689D"/>
    <w:rsid w:val="004369E2"/>
    <w:rsid w:val="00452738"/>
    <w:rsid w:val="00454A2B"/>
    <w:rsid w:val="00456091"/>
    <w:rsid w:val="00456EFD"/>
    <w:rsid w:val="004577E4"/>
    <w:rsid w:val="00460D78"/>
    <w:rsid w:val="00462320"/>
    <w:rsid w:val="00465335"/>
    <w:rsid w:val="00466321"/>
    <w:rsid w:val="0046677F"/>
    <w:rsid w:val="004747B5"/>
    <w:rsid w:val="0047673A"/>
    <w:rsid w:val="0048378F"/>
    <w:rsid w:val="00484B9B"/>
    <w:rsid w:val="004855F6"/>
    <w:rsid w:val="0048661E"/>
    <w:rsid w:val="004868E4"/>
    <w:rsid w:val="0048776F"/>
    <w:rsid w:val="004923B5"/>
    <w:rsid w:val="0049288F"/>
    <w:rsid w:val="00493D0D"/>
    <w:rsid w:val="00494670"/>
    <w:rsid w:val="00496349"/>
    <w:rsid w:val="004A2660"/>
    <w:rsid w:val="004A30B7"/>
    <w:rsid w:val="004A3823"/>
    <w:rsid w:val="004B0FF6"/>
    <w:rsid w:val="004B1B21"/>
    <w:rsid w:val="004B1E38"/>
    <w:rsid w:val="004C3E8E"/>
    <w:rsid w:val="004C3F72"/>
    <w:rsid w:val="004C5BDD"/>
    <w:rsid w:val="004D5490"/>
    <w:rsid w:val="004D56A5"/>
    <w:rsid w:val="004D77B1"/>
    <w:rsid w:val="004E36A1"/>
    <w:rsid w:val="004E5314"/>
    <w:rsid w:val="004E6946"/>
    <w:rsid w:val="004E6997"/>
    <w:rsid w:val="004E71A2"/>
    <w:rsid w:val="004E7D2C"/>
    <w:rsid w:val="004E7DE9"/>
    <w:rsid w:val="004F0D31"/>
    <w:rsid w:val="004F1AD8"/>
    <w:rsid w:val="004F3506"/>
    <w:rsid w:val="004F6477"/>
    <w:rsid w:val="004F7927"/>
    <w:rsid w:val="005039CB"/>
    <w:rsid w:val="005044F3"/>
    <w:rsid w:val="005052C2"/>
    <w:rsid w:val="0050558F"/>
    <w:rsid w:val="00505EAE"/>
    <w:rsid w:val="00506286"/>
    <w:rsid w:val="005072AC"/>
    <w:rsid w:val="00510082"/>
    <w:rsid w:val="00510813"/>
    <w:rsid w:val="00510864"/>
    <w:rsid w:val="00511990"/>
    <w:rsid w:val="00511DE0"/>
    <w:rsid w:val="00512377"/>
    <w:rsid w:val="00514870"/>
    <w:rsid w:val="00514B9B"/>
    <w:rsid w:val="00517F02"/>
    <w:rsid w:val="0052135B"/>
    <w:rsid w:val="00524303"/>
    <w:rsid w:val="005258A2"/>
    <w:rsid w:val="00527271"/>
    <w:rsid w:val="005314C8"/>
    <w:rsid w:val="005335F1"/>
    <w:rsid w:val="00534994"/>
    <w:rsid w:val="00535DC7"/>
    <w:rsid w:val="005401AE"/>
    <w:rsid w:val="005420F5"/>
    <w:rsid w:val="0054278B"/>
    <w:rsid w:val="00542E07"/>
    <w:rsid w:val="00545424"/>
    <w:rsid w:val="0054734B"/>
    <w:rsid w:val="005534DB"/>
    <w:rsid w:val="00554A7B"/>
    <w:rsid w:val="0055572C"/>
    <w:rsid w:val="0056106A"/>
    <w:rsid w:val="00561F7B"/>
    <w:rsid w:val="00563246"/>
    <w:rsid w:val="0056337A"/>
    <w:rsid w:val="00563870"/>
    <w:rsid w:val="00570FE4"/>
    <w:rsid w:val="00571389"/>
    <w:rsid w:val="005720AE"/>
    <w:rsid w:val="00574413"/>
    <w:rsid w:val="00577966"/>
    <w:rsid w:val="00584B0D"/>
    <w:rsid w:val="0058603A"/>
    <w:rsid w:val="005873FA"/>
    <w:rsid w:val="00591846"/>
    <w:rsid w:val="00593F60"/>
    <w:rsid w:val="00594687"/>
    <w:rsid w:val="00594D77"/>
    <w:rsid w:val="005969E4"/>
    <w:rsid w:val="005A06B7"/>
    <w:rsid w:val="005A1178"/>
    <w:rsid w:val="005A1759"/>
    <w:rsid w:val="005A1AE7"/>
    <w:rsid w:val="005A4258"/>
    <w:rsid w:val="005A68A7"/>
    <w:rsid w:val="005B5033"/>
    <w:rsid w:val="005B7AFF"/>
    <w:rsid w:val="005C1165"/>
    <w:rsid w:val="005C393B"/>
    <w:rsid w:val="005C42DF"/>
    <w:rsid w:val="005C5BD9"/>
    <w:rsid w:val="005D1BE3"/>
    <w:rsid w:val="005D2B23"/>
    <w:rsid w:val="005D36AB"/>
    <w:rsid w:val="005D4488"/>
    <w:rsid w:val="005D5B7E"/>
    <w:rsid w:val="005D7540"/>
    <w:rsid w:val="005D7F70"/>
    <w:rsid w:val="005E1D20"/>
    <w:rsid w:val="005E6BCF"/>
    <w:rsid w:val="005E6E0B"/>
    <w:rsid w:val="005F632C"/>
    <w:rsid w:val="005F779B"/>
    <w:rsid w:val="005F7821"/>
    <w:rsid w:val="00603735"/>
    <w:rsid w:val="006056CD"/>
    <w:rsid w:val="006173D5"/>
    <w:rsid w:val="00617CC3"/>
    <w:rsid w:val="00623A37"/>
    <w:rsid w:val="0062473E"/>
    <w:rsid w:val="00626A52"/>
    <w:rsid w:val="00632FE2"/>
    <w:rsid w:val="006368C2"/>
    <w:rsid w:val="006377A6"/>
    <w:rsid w:val="00637A3D"/>
    <w:rsid w:val="00640AAD"/>
    <w:rsid w:val="00640D7F"/>
    <w:rsid w:val="006411EF"/>
    <w:rsid w:val="00641286"/>
    <w:rsid w:val="00654EED"/>
    <w:rsid w:val="00663228"/>
    <w:rsid w:val="00667D2F"/>
    <w:rsid w:val="006722D9"/>
    <w:rsid w:val="006728FD"/>
    <w:rsid w:val="006748B8"/>
    <w:rsid w:val="006775C3"/>
    <w:rsid w:val="00681598"/>
    <w:rsid w:val="006825FC"/>
    <w:rsid w:val="00684A83"/>
    <w:rsid w:val="006861EA"/>
    <w:rsid w:val="006865DB"/>
    <w:rsid w:val="0069033A"/>
    <w:rsid w:val="00692552"/>
    <w:rsid w:val="0069290A"/>
    <w:rsid w:val="0069744B"/>
    <w:rsid w:val="0069775A"/>
    <w:rsid w:val="00697813"/>
    <w:rsid w:val="006A2754"/>
    <w:rsid w:val="006A3EE8"/>
    <w:rsid w:val="006A72BF"/>
    <w:rsid w:val="006A77D2"/>
    <w:rsid w:val="006B03F2"/>
    <w:rsid w:val="006B0D58"/>
    <w:rsid w:val="006B37DC"/>
    <w:rsid w:val="006B3852"/>
    <w:rsid w:val="006B4F68"/>
    <w:rsid w:val="006B7D28"/>
    <w:rsid w:val="006C0592"/>
    <w:rsid w:val="006C272E"/>
    <w:rsid w:val="006C4C39"/>
    <w:rsid w:val="006C5479"/>
    <w:rsid w:val="006C6167"/>
    <w:rsid w:val="006D02B5"/>
    <w:rsid w:val="006D13B5"/>
    <w:rsid w:val="006D15FD"/>
    <w:rsid w:val="006E12FF"/>
    <w:rsid w:val="006E4E80"/>
    <w:rsid w:val="006E607E"/>
    <w:rsid w:val="006F0A38"/>
    <w:rsid w:val="006F3953"/>
    <w:rsid w:val="006F5FE8"/>
    <w:rsid w:val="0070396F"/>
    <w:rsid w:val="00705AB7"/>
    <w:rsid w:val="00706C5D"/>
    <w:rsid w:val="007103E7"/>
    <w:rsid w:val="00710BD4"/>
    <w:rsid w:val="007132DA"/>
    <w:rsid w:val="00713C63"/>
    <w:rsid w:val="00715199"/>
    <w:rsid w:val="00715A07"/>
    <w:rsid w:val="007171C4"/>
    <w:rsid w:val="007171EC"/>
    <w:rsid w:val="00721B59"/>
    <w:rsid w:val="00723050"/>
    <w:rsid w:val="00724F83"/>
    <w:rsid w:val="00732922"/>
    <w:rsid w:val="00734837"/>
    <w:rsid w:val="007374F6"/>
    <w:rsid w:val="00737D08"/>
    <w:rsid w:val="00747959"/>
    <w:rsid w:val="00750ADD"/>
    <w:rsid w:val="0075162E"/>
    <w:rsid w:val="007526B7"/>
    <w:rsid w:val="00753239"/>
    <w:rsid w:val="00754034"/>
    <w:rsid w:val="00755794"/>
    <w:rsid w:val="00756556"/>
    <w:rsid w:val="00757908"/>
    <w:rsid w:val="00760CC1"/>
    <w:rsid w:val="007618C4"/>
    <w:rsid w:val="00767980"/>
    <w:rsid w:val="0077032D"/>
    <w:rsid w:val="00770B19"/>
    <w:rsid w:val="0077463F"/>
    <w:rsid w:val="00775AB9"/>
    <w:rsid w:val="00777851"/>
    <w:rsid w:val="0078147F"/>
    <w:rsid w:val="007836EA"/>
    <w:rsid w:val="00783F45"/>
    <w:rsid w:val="00784CDA"/>
    <w:rsid w:val="007906C4"/>
    <w:rsid w:val="007940EA"/>
    <w:rsid w:val="00794D44"/>
    <w:rsid w:val="00795B06"/>
    <w:rsid w:val="00795F85"/>
    <w:rsid w:val="007967E8"/>
    <w:rsid w:val="007A2170"/>
    <w:rsid w:val="007A22BF"/>
    <w:rsid w:val="007A3323"/>
    <w:rsid w:val="007A35A9"/>
    <w:rsid w:val="007A5F85"/>
    <w:rsid w:val="007B10EE"/>
    <w:rsid w:val="007B1812"/>
    <w:rsid w:val="007B1F8D"/>
    <w:rsid w:val="007B3110"/>
    <w:rsid w:val="007B4B18"/>
    <w:rsid w:val="007B5D91"/>
    <w:rsid w:val="007B72B8"/>
    <w:rsid w:val="007B79D2"/>
    <w:rsid w:val="007B7A58"/>
    <w:rsid w:val="007C08B2"/>
    <w:rsid w:val="007C21B5"/>
    <w:rsid w:val="007C53B3"/>
    <w:rsid w:val="007C569A"/>
    <w:rsid w:val="007C6DC5"/>
    <w:rsid w:val="007D0CDA"/>
    <w:rsid w:val="007D470F"/>
    <w:rsid w:val="007D4B6E"/>
    <w:rsid w:val="007E4BD2"/>
    <w:rsid w:val="007F399F"/>
    <w:rsid w:val="00801393"/>
    <w:rsid w:val="00802F88"/>
    <w:rsid w:val="00806B23"/>
    <w:rsid w:val="00807CE3"/>
    <w:rsid w:val="0081293E"/>
    <w:rsid w:val="0081540C"/>
    <w:rsid w:val="00815465"/>
    <w:rsid w:val="00815510"/>
    <w:rsid w:val="00817E9A"/>
    <w:rsid w:val="008306BD"/>
    <w:rsid w:val="00831A80"/>
    <w:rsid w:val="00833743"/>
    <w:rsid w:val="008340A4"/>
    <w:rsid w:val="008366E1"/>
    <w:rsid w:val="008375DB"/>
    <w:rsid w:val="00837F69"/>
    <w:rsid w:val="00847A0B"/>
    <w:rsid w:val="0085201E"/>
    <w:rsid w:val="00854462"/>
    <w:rsid w:val="00855F99"/>
    <w:rsid w:val="00862B3E"/>
    <w:rsid w:val="00864D7D"/>
    <w:rsid w:val="00870F94"/>
    <w:rsid w:val="00870FDE"/>
    <w:rsid w:val="0087135F"/>
    <w:rsid w:val="00872D94"/>
    <w:rsid w:val="008756CD"/>
    <w:rsid w:val="00876D9A"/>
    <w:rsid w:val="00877C17"/>
    <w:rsid w:val="00880364"/>
    <w:rsid w:val="00880FDB"/>
    <w:rsid w:val="00890A65"/>
    <w:rsid w:val="00891592"/>
    <w:rsid w:val="00891E9E"/>
    <w:rsid w:val="008948C4"/>
    <w:rsid w:val="00894D18"/>
    <w:rsid w:val="00897756"/>
    <w:rsid w:val="008A2F68"/>
    <w:rsid w:val="008A62C7"/>
    <w:rsid w:val="008B4FA6"/>
    <w:rsid w:val="008B5282"/>
    <w:rsid w:val="008B7C17"/>
    <w:rsid w:val="008C2826"/>
    <w:rsid w:val="008C2D01"/>
    <w:rsid w:val="008C40E6"/>
    <w:rsid w:val="008C4564"/>
    <w:rsid w:val="008C49B5"/>
    <w:rsid w:val="008C4B2B"/>
    <w:rsid w:val="008C664F"/>
    <w:rsid w:val="008C6B13"/>
    <w:rsid w:val="008D0F7A"/>
    <w:rsid w:val="008D2AE0"/>
    <w:rsid w:val="008D3212"/>
    <w:rsid w:val="008D3A1D"/>
    <w:rsid w:val="008D6284"/>
    <w:rsid w:val="008D68E4"/>
    <w:rsid w:val="008D7656"/>
    <w:rsid w:val="008E0506"/>
    <w:rsid w:val="008E0CFF"/>
    <w:rsid w:val="008E4598"/>
    <w:rsid w:val="008E5D6B"/>
    <w:rsid w:val="008E76F0"/>
    <w:rsid w:val="008F038F"/>
    <w:rsid w:val="008F11EB"/>
    <w:rsid w:val="008F15FE"/>
    <w:rsid w:val="008F2025"/>
    <w:rsid w:val="008F2D29"/>
    <w:rsid w:val="008F5187"/>
    <w:rsid w:val="008F60D8"/>
    <w:rsid w:val="009010BD"/>
    <w:rsid w:val="00902727"/>
    <w:rsid w:val="00902EDF"/>
    <w:rsid w:val="0090312B"/>
    <w:rsid w:val="00904059"/>
    <w:rsid w:val="009042AB"/>
    <w:rsid w:val="00906348"/>
    <w:rsid w:val="00907926"/>
    <w:rsid w:val="0091076F"/>
    <w:rsid w:val="00911C17"/>
    <w:rsid w:val="00914305"/>
    <w:rsid w:val="009161F0"/>
    <w:rsid w:val="0091736D"/>
    <w:rsid w:val="0092094C"/>
    <w:rsid w:val="009245C9"/>
    <w:rsid w:val="00927EA9"/>
    <w:rsid w:val="00927F71"/>
    <w:rsid w:val="0093037A"/>
    <w:rsid w:val="00932AC9"/>
    <w:rsid w:val="00936A2F"/>
    <w:rsid w:val="0094154D"/>
    <w:rsid w:val="009415AD"/>
    <w:rsid w:val="00941D47"/>
    <w:rsid w:val="009456DD"/>
    <w:rsid w:val="00946814"/>
    <w:rsid w:val="00946FCB"/>
    <w:rsid w:val="0095155F"/>
    <w:rsid w:val="00951D25"/>
    <w:rsid w:val="00954429"/>
    <w:rsid w:val="009563CE"/>
    <w:rsid w:val="0096125A"/>
    <w:rsid w:val="009646CC"/>
    <w:rsid w:val="009648A6"/>
    <w:rsid w:val="00966F99"/>
    <w:rsid w:val="00976328"/>
    <w:rsid w:val="0097680D"/>
    <w:rsid w:val="00982438"/>
    <w:rsid w:val="00983577"/>
    <w:rsid w:val="009835B1"/>
    <w:rsid w:val="0098404C"/>
    <w:rsid w:val="00985283"/>
    <w:rsid w:val="00993839"/>
    <w:rsid w:val="00994D3F"/>
    <w:rsid w:val="00995992"/>
    <w:rsid w:val="00996298"/>
    <w:rsid w:val="00996EAA"/>
    <w:rsid w:val="009A030A"/>
    <w:rsid w:val="009A03E5"/>
    <w:rsid w:val="009A0F3B"/>
    <w:rsid w:val="009A1BB4"/>
    <w:rsid w:val="009A23FE"/>
    <w:rsid w:val="009A2628"/>
    <w:rsid w:val="009A3200"/>
    <w:rsid w:val="009B0897"/>
    <w:rsid w:val="009B2ED9"/>
    <w:rsid w:val="009B73C8"/>
    <w:rsid w:val="009B7BD9"/>
    <w:rsid w:val="009C7DD5"/>
    <w:rsid w:val="009D05B9"/>
    <w:rsid w:val="009D1A74"/>
    <w:rsid w:val="009E1992"/>
    <w:rsid w:val="009E227D"/>
    <w:rsid w:val="009E48A8"/>
    <w:rsid w:val="009E4CCA"/>
    <w:rsid w:val="009E5019"/>
    <w:rsid w:val="009E6895"/>
    <w:rsid w:val="009F1B08"/>
    <w:rsid w:val="009F4066"/>
    <w:rsid w:val="009F42ED"/>
    <w:rsid w:val="00A007DB"/>
    <w:rsid w:val="00A04F1B"/>
    <w:rsid w:val="00A0501B"/>
    <w:rsid w:val="00A14947"/>
    <w:rsid w:val="00A15709"/>
    <w:rsid w:val="00A20116"/>
    <w:rsid w:val="00A20E19"/>
    <w:rsid w:val="00A225DD"/>
    <w:rsid w:val="00A24522"/>
    <w:rsid w:val="00A24562"/>
    <w:rsid w:val="00A26202"/>
    <w:rsid w:val="00A32A83"/>
    <w:rsid w:val="00A368DB"/>
    <w:rsid w:val="00A37124"/>
    <w:rsid w:val="00A4002D"/>
    <w:rsid w:val="00A423AA"/>
    <w:rsid w:val="00A47D7E"/>
    <w:rsid w:val="00A50256"/>
    <w:rsid w:val="00A53EC6"/>
    <w:rsid w:val="00A55C0F"/>
    <w:rsid w:val="00A570A2"/>
    <w:rsid w:val="00A62473"/>
    <w:rsid w:val="00A62638"/>
    <w:rsid w:val="00A64C2B"/>
    <w:rsid w:val="00A714F5"/>
    <w:rsid w:val="00A73891"/>
    <w:rsid w:val="00A74D18"/>
    <w:rsid w:val="00A754A7"/>
    <w:rsid w:val="00A81446"/>
    <w:rsid w:val="00A8713F"/>
    <w:rsid w:val="00A90BA1"/>
    <w:rsid w:val="00A91E41"/>
    <w:rsid w:val="00A92EE3"/>
    <w:rsid w:val="00A9466E"/>
    <w:rsid w:val="00A97A9A"/>
    <w:rsid w:val="00A97E34"/>
    <w:rsid w:val="00AA0671"/>
    <w:rsid w:val="00AA2531"/>
    <w:rsid w:val="00AA29AE"/>
    <w:rsid w:val="00AA2E38"/>
    <w:rsid w:val="00AA601D"/>
    <w:rsid w:val="00AB1E09"/>
    <w:rsid w:val="00AB5330"/>
    <w:rsid w:val="00AB7747"/>
    <w:rsid w:val="00AC0C70"/>
    <w:rsid w:val="00AC14CE"/>
    <w:rsid w:val="00AC2A56"/>
    <w:rsid w:val="00AD055E"/>
    <w:rsid w:val="00AD1CB0"/>
    <w:rsid w:val="00AD47A7"/>
    <w:rsid w:val="00AD49AD"/>
    <w:rsid w:val="00AD5EB8"/>
    <w:rsid w:val="00AD7560"/>
    <w:rsid w:val="00AE17D6"/>
    <w:rsid w:val="00AF0287"/>
    <w:rsid w:val="00AF0CBF"/>
    <w:rsid w:val="00AF1882"/>
    <w:rsid w:val="00AF2408"/>
    <w:rsid w:val="00AF257F"/>
    <w:rsid w:val="00AF33CF"/>
    <w:rsid w:val="00AF4869"/>
    <w:rsid w:val="00AF4D50"/>
    <w:rsid w:val="00AF5A9F"/>
    <w:rsid w:val="00AF6179"/>
    <w:rsid w:val="00AF669F"/>
    <w:rsid w:val="00B04664"/>
    <w:rsid w:val="00B1295A"/>
    <w:rsid w:val="00B14114"/>
    <w:rsid w:val="00B142D8"/>
    <w:rsid w:val="00B163AE"/>
    <w:rsid w:val="00B17FFC"/>
    <w:rsid w:val="00B20A45"/>
    <w:rsid w:val="00B22C5C"/>
    <w:rsid w:val="00B23F3E"/>
    <w:rsid w:val="00B242F4"/>
    <w:rsid w:val="00B248C8"/>
    <w:rsid w:val="00B24F30"/>
    <w:rsid w:val="00B31ABF"/>
    <w:rsid w:val="00B31C21"/>
    <w:rsid w:val="00B3273F"/>
    <w:rsid w:val="00B32948"/>
    <w:rsid w:val="00B33293"/>
    <w:rsid w:val="00B33BE3"/>
    <w:rsid w:val="00B348AB"/>
    <w:rsid w:val="00B34A45"/>
    <w:rsid w:val="00B36B7E"/>
    <w:rsid w:val="00B40D1A"/>
    <w:rsid w:val="00B4230C"/>
    <w:rsid w:val="00B43304"/>
    <w:rsid w:val="00B44F4B"/>
    <w:rsid w:val="00B46C43"/>
    <w:rsid w:val="00B47AA5"/>
    <w:rsid w:val="00B47B83"/>
    <w:rsid w:val="00B53B5D"/>
    <w:rsid w:val="00B54A46"/>
    <w:rsid w:val="00B55365"/>
    <w:rsid w:val="00B60023"/>
    <w:rsid w:val="00B6055E"/>
    <w:rsid w:val="00B60BAE"/>
    <w:rsid w:val="00B6317D"/>
    <w:rsid w:val="00B63FA8"/>
    <w:rsid w:val="00B673D7"/>
    <w:rsid w:val="00B729FA"/>
    <w:rsid w:val="00B76ECF"/>
    <w:rsid w:val="00B7723F"/>
    <w:rsid w:val="00B80534"/>
    <w:rsid w:val="00B80C1A"/>
    <w:rsid w:val="00B83444"/>
    <w:rsid w:val="00B83E4E"/>
    <w:rsid w:val="00B8433C"/>
    <w:rsid w:val="00B84A84"/>
    <w:rsid w:val="00B84D81"/>
    <w:rsid w:val="00B87491"/>
    <w:rsid w:val="00B87534"/>
    <w:rsid w:val="00B96AD2"/>
    <w:rsid w:val="00BA0ED4"/>
    <w:rsid w:val="00BA1294"/>
    <w:rsid w:val="00BA29E9"/>
    <w:rsid w:val="00BA4C4E"/>
    <w:rsid w:val="00BA5B53"/>
    <w:rsid w:val="00BA6FF9"/>
    <w:rsid w:val="00BA7142"/>
    <w:rsid w:val="00BB1B4E"/>
    <w:rsid w:val="00BB237C"/>
    <w:rsid w:val="00BB41A3"/>
    <w:rsid w:val="00BB6E5E"/>
    <w:rsid w:val="00BC13ED"/>
    <w:rsid w:val="00BC1B44"/>
    <w:rsid w:val="00BC2686"/>
    <w:rsid w:val="00BC2773"/>
    <w:rsid w:val="00BC32DC"/>
    <w:rsid w:val="00BC35B6"/>
    <w:rsid w:val="00BC3AB0"/>
    <w:rsid w:val="00BC5976"/>
    <w:rsid w:val="00BC687F"/>
    <w:rsid w:val="00BD1491"/>
    <w:rsid w:val="00BD1B51"/>
    <w:rsid w:val="00BD33DD"/>
    <w:rsid w:val="00BD4596"/>
    <w:rsid w:val="00BE1405"/>
    <w:rsid w:val="00BE2034"/>
    <w:rsid w:val="00BE2DB3"/>
    <w:rsid w:val="00BE312D"/>
    <w:rsid w:val="00BF14F5"/>
    <w:rsid w:val="00BF1C20"/>
    <w:rsid w:val="00BF28CB"/>
    <w:rsid w:val="00BF3BAE"/>
    <w:rsid w:val="00C05A42"/>
    <w:rsid w:val="00C07166"/>
    <w:rsid w:val="00C10578"/>
    <w:rsid w:val="00C11882"/>
    <w:rsid w:val="00C135BC"/>
    <w:rsid w:val="00C14AC2"/>
    <w:rsid w:val="00C15C95"/>
    <w:rsid w:val="00C2008E"/>
    <w:rsid w:val="00C2596A"/>
    <w:rsid w:val="00C27281"/>
    <w:rsid w:val="00C27537"/>
    <w:rsid w:val="00C3077B"/>
    <w:rsid w:val="00C328FE"/>
    <w:rsid w:val="00C33507"/>
    <w:rsid w:val="00C36CA0"/>
    <w:rsid w:val="00C40A57"/>
    <w:rsid w:val="00C41959"/>
    <w:rsid w:val="00C4270D"/>
    <w:rsid w:val="00C4409D"/>
    <w:rsid w:val="00C44E72"/>
    <w:rsid w:val="00C45A06"/>
    <w:rsid w:val="00C45EF0"/>
    <w:rsid w:val="00C47BB7"/>
    <w:rsid w:val="00C47E5B"/>
    <w:rsid w:val="00C514DE"/>
    <w:rsid w:val="00C51D16"/>
    <w:rsid w:val="00C604E8"/>
    <w:rsid w:val="00C60A3D"/>
    <w:rsid w:val="00C61E4B"/>
    <w:rsid w:val="00C647CE"/>
    <w:rsid w:val="00C64BFF"/>
    <w:rsid w:val="00C6695E"/>
    <w:rsid w:val="00C66FAD"/>
    <w:rsid w:val="00C67EE3"/>
    <w:rsid w:val="00C704E9"/>
    <w:rsid w:val="00C74CF8"/>
    <w:rsid w:val="00C754FB"/>
    <w:rsid w:val="00C763C9"/>
    <w:rsid w:val="00C80057"/>
    <w:rsid w:val="00C82232"/>
    <w:rsid w:val="00C82913"/>
    <w:rsid w:val="00C83CB4"/>
    <w:rsid w:val="00C8671C"/>
    <w:rsid w:val="00C92EB3"/>
    <w:rsid w:val="00C960FA"/>
    <w:rsid w:val="00C96BC5"/>
    <w:rsid w:val="00C972B1"/>
    <w:rsid w:val="00C97A20"/>
    <w:rsid w:val="00CA0FFD"/>
    <w:rsid w:val="00CA2CCE"/>
    <w:rsid w:val="00CA3B3C"/>
    <w:rsid w:val="00CA43FD"/>
    <w:rsid w:val="00CA7EF8"/>
    <w:rsid w:val="00CB1840"/>
    <w:rsid w:val="00CB4EE1"/>
    <w:rsid w:val="00CC489B"/>
    <w:rsid w:val="00CC4CD9"/>
    <w:rsid w:val="00CD2BCD"/>
    <w:rsid w:val="00CD3A4C"/>
    <w:rsid w:val="00CD410C"/>
    <w:rsid w:val="00CD4D88"/>
    <w:rsid w:val="00CE10E9"/>
    <w:rsid w:val="00CE2296"/>
    <w:rsid w:val="00CE2910"/>
    <w:rsid w:val="00CE44AC"/>
    <w:rsid w:val="00CE5393"/>
    <w:rsid w:val="00CE678A"/>
    <w:rsid w:val="00CE6DCC"/>
    <w:rsid w:val="00CF3138"/>
    <w:rsid w:val="00CF36BE"/>
    <w:rsid w:val="00CF4369"/>
    <w:rsid w:val="00CF460D"/>
    <w:rsid w:val="00CF6000"/>
    <w:rsid w:val="00D003F3"/>
    <w:rsid w:val="00D0364F"/>
    <w:rsid w:val="00D05D4A"/>
    <w:rsid w:val="00D06834"/>
    <w:rsid w:val="00D10BB8"/>
    <w:rsid w:val="00D12A54"/>
    <w:rsid w:val="00D12DBF"/>
    <w:rsid w:val="00D13A1F"/>
    <w:rsid w:val="00D21BA2"/>
    <w:rsid w:val="00D24C48"/>
    <w:rsid w:val="00D306DD"/>
    <w:rsid w:val="00D308ED"/>
    <w:rsid w:val="00D344FE"/>
    <w:rsid w:val="00D348C2"/>
    <w:rsid w:val="00D35161"/>
    <w:rsid w:val="00D352B6"/>
    <w:rsid w:val="00D35735"/>
    <w:rsid w:val="00D36D86"/>
    <w:rsid w:val="00D428AA"/>
    <w:rsid w:val="00D47E20"/>
    <w:rsid w:val="00D50A34"/>
    <w:rsid w:val="00D53EFA"/>
    <w:rsid w:val="00D5695D"/>
    <w:rsid w:val="00D63803"/>
    <w:rsid w:val="00D82147"/>
    <w:rsid w:val="00D83F7B"/>
    <w:rsid w:val="00D9092D"/>
    <w:rsid w:val="00D92628"/>
    <w:rsid w:val="00D94A7C"/>
    <w:rsid w:val="00D95896"/>
    <w:rsid w:val="00DA5675"/>
    <w:rsid w:val="00DB0F4D"/>
    <w:rsid w:val="00DB2983"/>
    <w:rsid w:val="00DB51FE"/>
    <w:rsid w:val="00DB7D8C"/>
    <w:rsid w:val="00DB7F9A"/>
    <w:rsid w:val="00DC1257"/>
    <w:rsid w:val="00DC18B3"/>
    <w:rsid w:val="00DC3DC0"/>
    <w:rsid w:val="00DC5340"/>
    <w:rsid w:val="00DC5B2B"/>
    <w:rsid w:val="00DC62F3"/>
    <w:rsid w:val="00DC7953"/>
    <w:rsid w:val="00DD318D"/>
    <w:rsid w:val="00DD670F"/>
    <w:rsid w:val="00DD7DBE"/>
    <w:rsid w:val="00DE2F9C"/>
    <w:rsid w:val="00DE50FB"/>
    <w:rsid w:val="00DF1299"/>
    <w:rsid w:val="00DF2279"/>
    <w:rsid w:val="00DF2E12"/>
    <w:rsid w:val="00DF514A"/>
    <w:rsid w:val="00DF6690"/>
    <w:rsid w:val="00DF6804"/>
    <w:rsid w:val="00E0358D"/>
    <w:rsid w:val="00E04323"/>
    <w:rsid w:val="00E070A2"/>
    <w:rsid w:val="00E12319"/>
    <w:rsid w:val="00E145D5"/>
    <w:rsid w:val="00E24218"/>
    <w:rsid w:val="00E25D30"/>
    <w:rsid w:val="00E2656A"/>
    <w:rsid w:val="00E27F81"/>
    <w:rsid w:val="00E31B3B"/>
    <w:rsid w:val="00E346FB"/>
    <w:rsid w:val="00E35B77"/>
    <w:rsid w:val="00E3678D"/>
    <w:rsid w:val="00E36EA0"/>
    <w:rsid w:val="00E36FC1"/>
    <w:rsid w:val="00E3717B"/>
    <w:rsid w:val="00E412D0"/>
    <w:rsid w:val="00E422A6"/>
    <w:rsid w:val="00E472B4"/>
    <w:rsid w:val="00E50765"/>
    <w:rsid w:val="00E51490"/>
    <w:rsid w:val="00E51959"/>
    <w:rsid w:val="00E52F77"/>
    <w:rsid w:val="00E56322"/>
    <w:rsid w:val="00E60982"/>
    <w:rsid w:val="00E62C62"/>
    <w:rsid w:val="00E63BA0"/>
    <w:rsid w:val="00E654C1"/>
    <w:rsid w:val="00E65D97"/>
    <w:rsid w:val="00E66371"/>
    <w:rsid w:val="00E70417"/>
    <w:rsid w:val="00E71914"/>
    <w:rsid w:val="00E721D6"/>
    <w:rsid w:val="00E72A5A"/>
    <w:rsid w:val="00E73354"/>
    <w:rsid w:val="00E77263"/>
    <w:rsid w:val="00E8414E"/>
    <w:rsid w:val="00E870C5"/>
    <w:rsid w:val="00E9083D"/>
    <w:rsid w:val="00E9242D"/>
    <w:rsid w:val="00EA1D5F"/>
    <w:rsid w:val="00EA602B"/>
    <w:rsid w:val="00EB38A8"/>
    <w:rsid w:val="00EB3A71"/>
    <w:rsid w:val="00EB5255"/>
    <w:rsid w:val="00EB5C47"/>
    <w:rsid w:val="00EB6BB9"/>
    <w:rsid w:val="00EC4DD0"/>
    <w:rsid w:val="00EC593E"/>
    <w:rsid w:val="00EC5E75"/>
    <w:rsid w:val="00EC7FB7"/>
    <w:rsid w:val="00ED0639"/>
    <w:rsid w:val="00ED233A"/>
    <w:rsid w:val="00ED237F"/>
    <w:rsid w:val="00ED67E3"/>
    <w:rsid w:val="00ED696E"/>
    <w:rsid w:val="00EE0389"/>
    <w:rsid w:val="00EF4755"/>
    <w:rsid w:val="00EF7135"/>
    <w:rsid w:val="00F01EED"/>
    <w:rsid w:val="00F027DB"/>
    <w:rsid w:val="00F02C77"/>
    <w:rsid w:val="00F11289"/>
    <w:rsid w:val="00F14A7A"/>
    <w:rsid w:val="00F15D39"/>
    <w:rsid w:val="00F1744B"/>
    <w:rsid w:val="00F22985"/>
    <w:rsid w:val="00F27FCF"/>
    <w:rsid w:val="00F3383E"/>
    <w:rsid w:val="00F35F77"/>
    <w:rsid w:val="00F40A70"/>
    <w:rsid w:val="00F465A7"/>
    <w:rsid w:val="00F47E7A"/>
    <w:rsid w:val="00F50B7C"/>
    <w:rsid w:val="00F50BE2"/>
    <w:rsid w:val="00F52CF5"/>
    <w:rsid w:val="00F5470F"/>
    <w:rsid w:val="00F550E6"/>
    <w:rsid w:val="00F56A2F"/>
    <w:rsid w:val="00F608E2"/>
    <w:rsid w:val="00F74345"/>
    <w:rsid w:val="00F80A0A"/>
    <w:rsid w:val="00F82217"/>
    <w:rsid w:val="00F82B19"/>
    <w:rsid w:val="00F83889"/>
    <w:rsid w:val="00F84453"/>
    <w:rsid w:val="00F91298"/>
    <w:rsid w:val="00F91B51"/>
    <w:rsid w:val="00F9212D"/>
    <w:rsid w:val="00F93D41"/>
    <w:rsid w:val="00F965DA"/>
    <w:rsid w:val="00FA406A"/>
    <w:rsid w:val="00FA59AE"/>
    <w:rsid w:val="00FB07E1"/>
    <w:rsid w:val="00FB1C3E"/>
    <w:rsid w:val="00FB46BF"/>
    <w:rsid w:val="00FB503A"/>
    <w:rsid w:val="00FB516C"/>
    <w:rsid w:val="00FB59B8"/>
    <w:rsid w:val="00FB5F29"/>
    <w:rsid w:val="00FB67EC"/>
    <w:rsid w:val="00FB6A27"/>
    <w:rsid w:val="00FB6A72"/>
    <w:rsid w:val="00FD0236"/>
    <w:rsid w:val="00FD0820"/>
    <w:rsid w:val="00FD18F4"/>
    <w:rsid w:val="00FD20A3"/>
    <w:rsid w:val="00FD2500"/>
    <w:rsid w:val="00FD54DB"/>
    <w:rsid w:val="00FD619F"/>
    <w:rsid w:val="00FE6798"/>
    <w:rsid w:val="00FF69BF"/>
    <w:rsid w:val="00FF7781"/>
    <w:rsid w:val="01051CA7"/>
    <w:rsid w:val="010C2B9D"/>
    <w:rsid w:val="01104EE8"/>
    <w:rsid w:val="01290F7E"/>
    <w:rsid w:val="01300937"/>
    <w:rsid w:val="01351407"/>
    <w:rsid w:val="01584235"/>
    <w:rsid w:val="015D1E09"/>
    <w:rsid w:val="01914A8F"/>
    <w:rsid w:val="019A3EBD"/>
    <w:rsid w:val="01AD5116"/>
    <w:rsid w:val="01B335A9"/>
    <w:rsid w:val="01BC3B56"/>
    <w:rsid w:val="024E2787"/>
    <w:rsid w:val="02697903"/>
    <w:rsid w:val="02D301FF"/>
    <w:rsid w:val="02D45050"/>
    <w:rsid w:val="02D6634F"/>
    <w:rsid w:val="02E308FC"/>
    <w:rsid w:val="02E910D4"/>
    <w:rsid w:val="02F96569"/>
    <w:rsid w:val="02FF6321"/>
    <w:rsid w:val="03425B6A"/>
    <w:rsid w:val="036252CF"/>
    <w:rsid w:val="03663993"/>
    <w:rsid w:val="03EA7B21"/>
    <w:rsid w:val="04510922"/>
    <w:rsid w:val="04B346B1"/>
    <w:rsid w:val="04D704ED"/>
    <w:rsid w:val="05950818"/>
    <w:rsid w:val="05F83EAE"/>
    <w:rsid w:val="05FC2D8E"/>
    <w:rsid w:val="06007052"/>
    <w:rsid w:val="06112117"/>
    <w:rsid w:val="06123A7C"/>
    <w:rsid w:val="063E7D85"/>
    <w:rsid w:val="064424ED"/>
    <w:rsid w:val="065D49F2"/>
    <w:rsid w:val="067E5978"/>
    <w:rsid w:val="06972E98"/>
    <w:rsid w:val="0703671F"/>
    <w:rsid w:val="07114CC8"/>
    <w:rsid w:val="07293586"/>
    <w:rsid w:val="07295285"/>
    <w:rsid w:val="072E39D0"/>
    <w:rsid w:val="073C033A"/>
    <w:rsid w:val="07636392"/>
    <w:rsid w:val="07770C56"/>
    <w:rsid w:val="07AA198E"/>
    <w:rsid w:val="07BF77A3"/>
    <w:rsid w:val="081F5483"/>
    <w:rsid w:val="08564AF4"/>
    <w:rsid w:val="088D31B6"/>
    <w:rsid w:val="08955281"/>
    <w:rsid w:val="090E19C9"/>
    <w:rsid w:val="092217DD"/>
    <w:rsid w:val="093A7294"/>
    <w:rsid w:val="096D4913"/>
    <w:rsid w:val="09936A3D"/>
    <w:rsid w:val="099757AA"/>
    <w:rsid w:val="09A81EFE"/>
    <w:rsid w:val="09AF3A76"/>
    <w:rsid w:val="09B44E30"/>
    <w:rsid w:val="09D1765D"/>
    <w:rsid w:val="0A0124A3"/>
    <w:rsid w:val="0A0955A9"/>
    <w:rsid w:val="0A0E6223"/>
    <w:rsid w:val="0A1977EC"/>
    <w:rsid w:val="0A263993"/>
    <w:rsid w:val="0A2D3AC2"/>
    <w:rsid w:val="0A386645"/>
    <w:rsid w:val="0A3F755F"/>
    <w:rsid w:val="0A9B2B96"/>
    <w:rsid w:val="0AA755DF"/>
    <w:rsid w:val="0AB55C49"/>
    <w:rsid w:val="0AB614DF"/>
    <w:rsid w:val="0AC00B79"/>
    <w:rsid w:val="0ACA7202"/>
    <w:rsid w:val="0ACF37E3"/>
    <w:rsid w:val="0AD8315C"/>
    <w:rsid w:val="0B120D44"/>
    <w:rsid w:val="0B13594C"/>
    <w:rsid w:val="0B154457"/>
    <w:rsid w:val="0B1F11B6"/>
    <w:rsid w:val="0B204BAA"/>
    <w:rsid w:val="0B265314"/>
    <w:rsid w:val="0B49322C"/>
    <w:rsid w:val="0B64718D"/>
    <w:rsid w:val="0B9B537E"/>
    <w:rsid w:val="0BA302C9"/>
    <w:rsid w:val="0BD27BF6"/>
    <w:rsid w:val="0C121DC5"/>
    <w:rsid w:val="0C3B3C7D"/>
    <w:rsid w:val="0C8E112C"/>
    <w:rsid w:val="0C8F6793"/>
    <w:rsid w:val="0CAB2EAE"/>
    <w:rsid w:val="0CC41080"/>
    <w:rsid w:val="0CCC323C"/>
    <w:rsid w:val="0CFF05B1"/>
    <w:rsid w:val="0D1D6FF9"/>
    <w:rsid w:val="0D4773F1"/>
    <w:rsid w:val="0D621C7D"/>
    <w:rsid w:val="0D6B2B7C"/>
    <w:rsid w:val="0DA5540D"/>
    <w:rsid w:val="0DB54275"/>
    <w:rsid w:val="0E042561"/>
    <w:rsid w:val="0E27404F"/>
    <w:rsid w:val="0E73034D"/>
    <w:rsid w:val="0EAF6FDC"/>
    <w:rsid w:val="0ECE51BF"/>
    <w:rsid w:val="0F13775A"/>
    <w:rsid w:val="0F2F592A"/>
    <w:rsid w:val="0F4344E5"/>
    <w:rsid w:val="0F5F45FE"/>
    <w:rsid w:val="0F9402A1"/>
    <w:rsid w:val="0F9A112B"/>
    <w:rsid w:val="0F9A14C6"/>
    <w:rsid w:val="0FA15327"/>
    <w:rsid w:val="0FAC4C5F"/>
    <w:rsid w:val="106D2F64"/>
    <w:rsid w:val="10862A78"/>
    <w:rsid w:val="10A1714E"/>
    <w:rsid w:val="10A92F65"/>
    <w:rsid w:val="10B63710"/>
    <w:rsid w:val="10EF77FA"/>
    <w:rsid w:val="10F10820"/>
    <w:rsid w:val="11196B00"/>
    <w:rsid w:val="111C2F7A"/>
    <w:rsid w:val="112D44DB"/>
    <w:rsid w:val="1139194B"/>
    <w:rsid w:val="11665CA1"/>
    <w:rsid w:val="118077E4"/>
    <w:rsid w:val="11BA2C8D"/>
    <w:rsid w:val="1205783C"/>
    <w:rsid w:val="120F215D"/>
    <w:rsid w:val="125C659E"/>
    <w:rsid w:val="12664D01"/>
    <w:rsid w:val="127B5660"/>
    <w:rsid w:val="128B378D"/>
    <w:rsid w:val="128F1832"/>
    <w:rsid w:val="12C0739F"/>
    <w:rsid w:val="1302531E"/>
    <w:rsid w:val="13236C3D"/>
    <w:rsid w:val="13657678"/>
    <w:rsid w:val="13925BA9"/>
    <w:rsid w:val="13951726"/>
    <w:rsid w:val="139F435A"/>
    <w:rsid w:val="13A27D72"/>
    <w:rsid w:val="13C7513D"/>
    <w:rsid w:val="14015831"/>
    <w:rsid w:val="14396509"/>
    <w:rsid w:val="144B2B5E"/>
    <w:rsid w:val="14600BB2"/>
    <w:rsid w:val="147930BD"/>
    <w:rsid w:val="14BD0F46"/>
    <w:rsid w:val="14DD2C3C"/>
    <w:rsid w:val="14DE78B3"/>
    <w:rsid w:val="14F62E1A"/>
    <w:rsid w:val="14FF4A8F"/>
    <w:rsid w:val="15314576"/>
    <w:rsid w:val="158F0645"/>
    <w:rsid w:val="15BC5B65"/>
    <w:rsid w:val="15BE1D23"/>
    <w:rsid w:val="15D276EE"/>
    <w:rsid w:val="16087E1D"/>
    <w:rsid w:val="16645577"/>
    <w:rsid w:val="16E4081A"/>
    <w:rsid w:val="16E97EBB"/>
    <w:rsid w:val="16EB6122"/>
    <w:rsid w:val="170C2DBC"/>
    <w:rsid w:val="171F7DE3"/>
    <w:rsid w:val="174D1AC7"/>
    <w:rsid w:val="17686429"/>
    <w:rsid w:val="17701D14"/>
    <w:rsid w:val="17735226"/>
    <w:rsid w:val="17E72CD8"/>
    <w:rsid w:val="18050C6C"/>
    <w:rsid w:val="1815498D"/>
    <w:rsid w:val="183F223C"/>
    <w:rsid w:val="189F624C"/>
    <w:rsid w:val="18B71954"/>
    <w:rsid w:val="18D76B09"/>
    <w:rsid w:val="18EC666E"/>
    <w:rsid w:val="18F97167"/>
    <w:rsid w:val="193E101D"/>
    <w:rsid w:val="19647958"/>
    <w:rsid w:val="199D21E8"/>
    <w:rsid w:val="19F838C4"/>
    <w:rsid w:val="1A0A56EA"/>
    <w:rsid w:val="1A1B2CC9"/>
    <w:rsid w:val="1A1C66C0"/>
    <w:rsid w:val="1A42393B"/>
    <w:rsid w:val="1AAD45DE"/>
    <w:rsid w:val="1ADA1CCC"/>
    <w:rsid w:val="1B046F80"/>
    <w:rsid w:val="1B3267B5"/>
    <w:rsid w:val="1B40161D"/>
    <w:rsid w:val="1B441859"/>
    <w:rsid w:val="1B443E65"/>
    <w:rsid w:val="1B6606B1"/>
    <w:rsid w:val="1B66081A"/>
    <w:rsid w:val="1B8354DD"/>
    <w:rsid w:val="1B8F7936"/>
    <w:rsid w:val="1BAD248A"/>
    <w:rsid w:val="1BBD3CA1"/>
    <w:rsid w:val="1BEE05B6"/>
    <w:rsid w:val="1C0F1706"/>
    <w:rsid w:val="1C3B4AAE"/>
    <w:rsid w:val="1C5E7925"/>
    <w:rsid w:val="1CFD070F"/>
    <w:rsid w:val="1CFF2861"/>
    <w:rsid w:val="1D1E6063"/>
    <w:rsid w:val="1D24677C"/>
    <w:rsid w:val="1D2B57E5"/>
    <w:rsid w:val="1D5F6196"/>
    <w:rsid w:val="1D6132A5"/>
    <w:rsid w:val="1D894329"/>
    <w:rsid w:val="1D8D334C"/>
    <w:rsid w:val="1D8E56D5"/>
    <w:rsid w:val="1D907DDF"/>
    <w:rsid w:val="1E614873"/>
    <w:rsid w:val="1E7A43DA"/>
    <w:rsid w:val="1EDA7842"/>
    <w:rsid w:val="1EFE0255"/>
    <w:rsid w:val="1F1862E0"/>
    <w:rsid w:val="1F187E0B"/>
    <w:rsid w:val="1F992C90"/>
    <w:rsid w:val="1FAD3679"/>
    <w:rsid w:val="1FB91732"/>
    <w:rsid w:val="1FC86230"/>
    <w:rsid w:val="1FE7539E"/>
    <w:rsid w:val="1FF75CCF"/>
    <w:rsid w:val="2007660D"/>
    <w:rsid w:val="204D2978"/>
    <w:rsid w:val="204D2F70"/>
    <w:rsid w:val="2056797A"/>
    <w:rsid w:val="20617D13"/>
    <w:rsid w:val="20671BE0"/>
    <w:rsid w:val="20702D99"/>
    <w:rsid w:val="207812B9"/>
    <w:rsid w:val="20963CB8"/>
    <w:rsid w:val="20A81A1B"/>
    <w:rsid w:val="20AB6CD3"/>
    <w:rsid w:val="20B07FB6"/>
    <w:rsid w:val="20B37794"/>
    <w:rsid w:val="20B646FB"/>
    <w:rsid w:val="20FB76CE"/>
    <w:rsid w:val="213B74B1"/>
    <w:rsid w:val="215A2310"/>
    <w:rsid w:val="216B497A"/>
    <w:rsid w:val="217516D0"/>
    <w:rsid w:val="21802E98"/>
    <w:rsid w:val="21C8215C"/>
    <w:rsid w:val="21DE318A"/>
    <w:rsid w:val="21E15C1F"/>
    <w:rsid w:val="21EF5B80"/>
    <w:rsid w:val="222B6D33"/>
    <w:rsid w:val="22337355"/>
    <w:rsid w:val="223E7D94"/>
    <w:rsid w:val="224A652B"/>
    <w:rsid w:val="224C0601"/>
    <w:rsid w:val="22576990"/>
    <w:rsid w:val="22592F07"/>
    <w:rsid w:val="22D451E7"/>
    <w:rsid w:val="22F47480"/>
    <w:rsid w:val="22F97D63"/>
    <w:rsid w:val="2323077A"/>
    <w:rsid w:val="238B0A63"/>
    <w:rsid w:val="239154FF"/>
    <w:rsid w:val="23B32B79"/>
    <w:rsid w:val="23DE1C48"/>
    <w:rsid w:val="240210CD"/>
    <w:rsid w:val="242B601E"/>
    <w:rsid w:val="24693AC6"/>
    <w:rsid w:val="24784AF4"/>
    <w:rsid w:val="24A25046"/>
    <w:rsid w:val="24BF09F7"/>
    <w:rsid w:val="24CA7451"/>
    <w:rsid w:val="24CD4B7E"/>
    <w:rsid w:val="24CF3471"/>
    <w:rsid w:val="250D4DFF"/>
    <w:rsid w:val="252D53FE"/>
    <w:rsid w:val="25383641"/>
    <w:rsid w:val="256A5B08"/>
    <w:rsid w:val="25784AB1"/>
    <w:rsid w:val="258C3E08"/>
    <w:rsid w:val="25B37567"/>
    <w:rsid w:val="25EC2D81"/>
    <w:rsid w:val="25F34B83"/>
    <w:rsid w:val="25FB10A1"/>
    <w:rsid w:val="263F2D50"/>
    <w:rsid w:val="266010D1"/>
    <w:rsid w:val="266B5D29"/>
    <w:rsid w:val="26AC6ADD"/>
    <w:rsid w:val="26B67E95"/>
    <w:rsid w:val="26DF5CDA"/>
    <w:rsid w:val="26F63738"/>
    <w:rsid w:val="272621AB"/>
    <w:rsid w:val="273A027F"/>
    <w:rsid w:val="273B094A"/>
    <w:rsid w:val="27413ACB"/>
    <w:rsid w:val="2745542F"/>
    <w:rsid w:val="277057A2"/>
    <w:rsid w:val="2799372D"/>
    <w:rsid w:val="279D11CF"/>
    <w:rsid w:val="27D657C0"/>
    <w:rsid w:val="2868254E"/>
    <w:rsid w:val="28810A66"/>
    <w:rsid w:val="28B5414E"/>
    <w:rsid w:val="28FF5E7D"/>
    <w:rsid w:val="29206EB8"/>
    <w:rsid w:val="29296ACA"/>
    <w:rsid w:val="292F3995"/>
    <w:rsid w:val="29595666"/>
    <w:rsid w:val="29750E90"/>
    <w:rsid w:val="29874881"/>
    <w:rsid w:val="29BF5862"/>
    <w:rsid w:val="29E325E0"/>
    <w:rsid w:val="29FF2103"/>
    <w:rsid w:val="2A452503"/>
    <w:rsid w:val="2A5953F2"/>
    <w:rsid w:val="2A673B00"/>
    <w:rsid w:val="2AB54EB7"/>
    <w:rsid w:val="2B22031C"/>
    <w:rsid w:val="2B371085"/>
    <w:rsid w:val="2B72581C"/>
    <w:rsid w:val="2BA264A3"/>
    <w:rsid w:val="2BA936A8"/>
    <w:rsid w:val="2BC615B9"/>
    <w:rsid w:val="2BD87297"/>
    <w:rsid w:val="2C1B550A"/>
    <w:rsid w:val="2C315A5A"/>
    <w:rsid w:val="2C4B1C25"/>
    <w:rsid w:val="2C532973"/>
    <w:rsid w:val="2C8429E5"/>
    <w:rsid w:val="2C9212DC"/>
    <w:rsid w:val="2CFE784A"/>
    <w:rsid w:val="2D596EAA"/>
    <w:rsid w:val="2D751A6A"/>
    <w:rsid w:val="2D842B02"/>
    <w:rsid w:val="2D9E56F5"/>
    <w:rsid w:val="2DC75E46"/>
    <w:rsid w:val="2E3F5430"/>
    <w:rsid w:val="2E494794"/>
    <w:rsid w:val="2E667F96"/>
    <w:rsid w:val="2E8226AB"/>
    <w:rsid w:val="2EAE74E8"/>
    <w:rsid w:val="2ED95618"/>
    <w:rsid w:val="2EDB3CB4"/>
    <w:rsid w:val="2F044504"/>
    <w:rsid w:val="2F352FB1"/>
    <w:rsid w:val="2F37233F"/>
    <w:rsid w:val="2F835584"/>
    <w:rsid w:val="2F980B7D"/>
    <w:rsid w:val="2FD065E6"/>
    <w:rsid w:val="2FD96870"/>
    <w:rsid w:val="3025554E"/>
    <w:rsid w:val="30580BC9"/>
    <w:rsid w:val="3068095A"/>
    <w:rsid w:val="306A7DD2"/>
    <w:rsid w:val="30B63A5C"/>
    <w:rsid w:val="30D8545C"/>
    <w:rsid w:val="30DE4520"/>
    <w:rsid w:val="30E87D95"/>
    <w:rsid w:val="311E2ED7"/>
    <w:rsid w:val="31336436"/>
    <w:rsid w:val="314825E1"/>
    <w:rsid w:val="315619EE"/>
    <w:rsid w:val="315814C6"/>
    <w:rsid w:val="315C449C"/>
    <w:rsid w:val="31B82709"/>
    <w:rsid w:val="31D05482"/>
    <w:rsid w:val="31D130F1"/>
    <w:rsid w:val="31E0548D"/>
    <w:rsid w:val="32103806"/>
    <w:rsid w:val="32400B34"/>
    <w:rsid w:val="329E6876"/>
    <w:rsid w:val="32A87156"/>
    <w:rsid w:val="32A92C40"/>
    <w:rsid w:val="32D84FED"/>
    <w:rsid w:val="32FE1D45"/>
    <w:rsid w:val="333015F2"/>
    <w:rsid w:val="3341553A"/>
    <w:rsid w:val="3347087D"/>
    <w:rsid w:val="334B6320"/>
    <w:rsid w:val="339B73B2"/>
    <w:rsid w:val="33C47E7B"/>
    <w:rsid w:val="33D934D4"/>
    <w:rsid w:val="33FE2F6A"/>
    <w:rsid w:val="340E07E5"/>
    <w:rsid w:val="34235BF7"/>
    <w:rsid w:val="344F0244"/>
    <w:rsid w:val="34AC1BCE"/>
    <w:rsid w:val="35224D2A"/>
    <w:rsid w:val="353F780A"/>
    <w:rsid w:val="358A7C66"/>
    <w:rsid w:val="358C5FA8"/>
    <w:rsid w:val="35904018"/>
    <w:rsid w:val="35A41DB0"/>
    <w:rsid w:val="35AE1D1F"/>
    <w:rsid w:val="35BB438E"/>
    <w:rsid w:val="35C15DF1"/>
    <w:rsid w:val="35CA6037"/>
    <w:rsid w:val="35E616C4"/>
    <w:rsid w:val="36074A7F"/>
    <w:rsid w:val="363937EB"/>
    <w:rsid w:val="36541A28"/>
    <w:rsid w:val="36923549"/>
    <w:rsid w:val="36B349A1"/>
    <w:rsid w:val="36B75FBF"/>
    <w:rsid w:val="36BD0C45"/>
    <w:rsid w:val="375036A8"/>
    <w:rsid w:val="37506E47"/>
    <w:rsid w:val="376736AE"/>
    <w:rsid w:val="37B86F02"/>
    <w:rsid w:val="37E00298"/>
    <w:rsid w:val="380E421C"/>
    <w:rsid w:val="38127D6C"/>
    <w:rsid w:val="381F6581"/>
    <w:rsid w:val="383A69FC"/>
    <w:rsid w:val="386F6F4C"/>
    <w:rsid w:val="388A741F"/>
    <w:rsid w:val="389F05B8"/>
    <w:rsid w:val="38AB7A31"/>
    <w:rsid w:val="38B302F9"/>
    <w:rsid w:val="38E81294"/>
    <w:rsid w:val="38F12CD3"/>
    <w:rsid w:val="38F31848"/>
    <w:rsid w:val="38F94775"/>
    <w:rsid w:val="392971ED"/>
    <w:rsid w:val="39325651"/>
    <w:rsid w:val="394036D8"/>
    <w:rsid w:val="39533217"/>
    <w:rsid w:val="395C4615"/>
    <w:rsid w:val="39643D30"/>
    <w:rsid w:val="39721FC6"/>
    <w:rsid w:val="397928C9"/>
    <w:rsid w:val="39AD458D"/>
    <w:rsid w:val="39F257E0"/>
    <w:rsid w:val="39FF2357"/>
    <w:rsid w:val="3A872856"/>
    <w:rsid w:val="3ABE667C"/>
    <w:rsid w:val="3AC0768C"/>
    <w:rsid w:val="3AF3465B"/>
    <w:rsid w:val="3B050033"/>
    <w:rsid w:val="3B3763D1"/>
    <w:rsid w:val="3B3A0AC7"/>
    <w:rsid w:val="3B3F4F42"/>
    <w:rsid w:val="3B4F0A10"/>
    <w:rsid w:val="3B8E7694"/>
    <w:rsid w:val="3BBE052B"/>
    <w:rsid w:val="3BDF465E"/>
    <w:rsid w:val="3C2F6E1E"/>
    <w:rsid w:val="3C302111"/>
    <w:rsid w:val="3C4F64BA"/>
    <w:rsid w:val="3C7C7703"/>
    <w:rsid w:val="3C9F3306"/>
    <w:rsid w:val="3CD4693C"/>
    <w:rsid w:val="3CDA245A"/>
    <w:rsid w:val="3CFE6992"/>
    <w:rsid w:val="3D1E06B7"/>
    <w:rsid w:val="3D232A7F"/>
    <w:rsid w:val="3D3C5C9F"/>
    <w:rsid w:val="3D440607"/>
    <w:rsid w:val="3D4D2FA3"/>
    <w:rsid w:val="3D992478"/>
    <w:rsid w:val="3D9A78BC"/>
    <w:rsid w:val="3D9D1A2D"/>
    <w:rsid w:val="3DA478B1"/>
    <w:rsid w:val="3DEA014A"/>
    <w:rsid w:val="3DED64C5"/>
    <w:rsid w:val="3DFD165C"/>
    <w:rsid w:val="3E2441CC"/>
    <w:rsid w:val="3E614CE2"/>
    <w:rsid w:val="3ECA30D0"/>
    <w:rsid w:val="3EDA0523"/>
    <w:rsid w:val="3F1B5411"/>
    <w:rsid w:val="3F44326C"/>
    <w:rsid w:val="3F46341E"/>
    <w:rsid w:val="3F48290A"/>
    <w:rsid w:val="3F570524"/>
    <w:rsid w:val="3F7B0D48"/>
    <w:rsid w:val="3F8A2397"/>
    <w:rsid w:val="3FA8726D"/>
    <w:rsid w:val="3FB3156E"/>
    <w:rsid w:val="3FFF0C57"/>
    <w:rsid w:val="40120FF4"/>
    <w:rsid w:val="402F523B"/>
    <w:rsid w:val="403E2527"/>
    <w:rsid w:val="407A6407"/>
    <w:rsid w:val="40ED1A3F"/>
    <w:rsid w:val="4101455B"/>
    <w:rsid w:val="41123759"/>
    <w:rsid w:val="41151CBB"/>
    <w:rsid w:val="41807B91"/>
    <w:rsid w:val="41B85B16"/>
    <w:rsid w:val="41DB3E1E"/>
    <w:rsid w:val="41E42D5A"/>
    <w:rsid w:val="41E50E41"/>
    <w:rsid w:val="41F843AA"/>
    <w:rsid w:val="4200449D"/>
    <w:rsid w:val="420078C4"/>
    <w:rsid w:val="423A3BCC"/>
    <w:rsid w:val="424E57D2"/>
    <w:rsid w:val="425C53AC"/>
    <w:rsid w:val="427C35C4"/>
    <w:rsid w:val="42B26C49"/>
    <w:rsid w:val="42D1695C"/>
    <w:rsid w:val="42F00403"/>
    <w:rsid w:val="43010BA1"/>
    <w:rsid w:val="43097C95"/>
    <w:rsid w:val="433A6FE6"/>
    <w:rsid w:val="43480868"/>
    <w:rsid w:val="4350713C"/>
    <w:rsid w:val="436653E0"/>
    <w:rsid w:val="436A6830"/>
    <w:rsid w:val="43B104BA"/>
    <w:rsid w:val="43C4431A"/>
    <w:rsid w:val="43D33E5F"/>
    <w:rsid w:val="443B2B89"/>
    <w:rsid w:val="44441478"/>
    <w:rsid w:val="444C3D3F"/>
    <w:rsid w:val="449A5000"/>
    <w:rsid w:val="44A953EE"/>
    <w:rsid w:val="44B951CC"/>
    <w:rsid w:val="44BC3C72"/>
    <w:rsid w:val="44C9538F"/>
    <w:rsid w:val="44CD14E0"/>
    <w:rsid w:val="44CD4FAF"/>
    <w:rsid w:val="44F20B0B"/>
    <w:rsid w:val="45024F34"/>
    <w:rsid w:val="452E5F4C"/>
    <w:rsid w:val="45612018"/>
    <w:rsid w:val="458946E9"/>
    <w:rsid w:val="458F11D2"/>
    <w:rsid w:val="45A01C74"/>
    <w:rsid w:val="45A47C0E"/>
    <w:rsid w:val="45B2510D"/>
    <w:rsid w:val="45DF60E0"/>
    <w:rsid w:val="45E1621C"/>
    <w:rsid w:val="45E530F0"/>
    <w:rsid w:val="46016203"/>
    <w:rsid w:val="46577FD6"/>
    <w:rsid w:val="46673C6F"/>
    <w:rsid w:val="46BA4892"/>
    <w:rsid w:val="46C603C2"/>
    <w:rsid w:val="46D955A7"/>
    <w:rsid w:val="47133957"/>
    <w:rsid w:val="472C5F99"/>
    <w:rsid w:val="47404A5E"/>
    <w:rsid w:val="47411B55"/>
    <w:rsid w:val="474E74E8"/>
    <w:rsid w:val="47A07E0C"/>
    <w:rsid w:val="47A372CE"/>
    <w:rsid w:val="47F429A2"/>
    <w:rsid w:val="48051BE5"/>
    <w:rsid w:val="480D43C6"/>
    <w:rsid w:val="481D0F88"/>
    <w:rsid w:val="483E7E42"/>
    <w:rsid w:val="4870272E"/>
    <w:rsid w:val="488961EF"/>
    <w:rsid w:val="48F86DE0"/>
    <w:rsid w:val="49064736"/>
    <w:rsid w:val="49167B11"/>
    <w:rsid w:val="49401D4D"/>
    <w:rsid w:val="49DC7715"/>
    <w:rsid w:val="49E40558"/>
    <w:rsid w:val="4A023139"/>
    <w:rsid w:val="4A080708"/>
    <w:rsid w:val="4A0D7545"/>
    <w:rsid w:val="4A706407"/>
    <w:rsid w:val="4A7B576F"/>
    <w:rsid w:val="4A80681E"/>
    <w:rsid w:val="4A862BB8"/>
    <w:rsid w:val="4AE03052"/>
    <w:rsid w:val="4AE72D85"/>
    <w:rsid w:val="4AF561A9"/>
    <w:rsid w:val="4B180E1F"/>
    <w:rsid w:val="4B3043BA"/>
    <w:rsid w:val="4B50680B"/>
    <w:rsid w:val="4B647464"/>
    <w:rsid w:val="4B6F6738"/>
    <w:rsid w:val="4B7F41EF"/>
    <w:rsid w:val="4BAA4D79"/>
    <w:rsid w:val="4BBF74EC"/>
    <w:rsid w:val="4BCE5F07"/>
    <w:rsid w:val="4BCF30A2"/>
    <w:rsid w:val="4BD34781"/>
    <w:rsid w:val="4C0D2006"/>
    <w:rsid w:val="4C4A0649"/>
    <w:rsid w:val="4C4A5D67"/>
    <w:rsid w:val="4C53781A"/>
    <w:rsid w:val="4C5C2A29"/>
    <w:rsid w:val="4C7E5ECA"/>
    <w:rsid w:val="4C876AA5"/>
    <w:rsid w:val="4C963F23"/>
    <w:rsid w:val="4C9F627D"/>
    <w:rsid w:val="4CC426C0"/>
    <w:rsid w:val="4D073B49"/>
    <w:rsid w:val="4D0E00FB"/>
    <w:rsid w:val="4D16133C"/>
    <w:rsid w:val="4D176606"/>
    <w:rsid w:val="4D192F9A"/>
    <w:rsid w:val="4D3C09FB"/>
    <w:rsid w:val="4D4548A0"/>
    <w:rsid w:val="4D4F0948"/>
    <w:rsid w:val="4D503602"/>
    <w:rsid w:val="4D67671A"/>
    <w:rsid w:val="4D7328D7"/>
    <w:rsid w:val="4D7C74B9"/>
    <w:rsid w:val="4D907392"/>
    <w:rsid w:val="4D9A6DB5"/>
    <w:rsid w:val="4DC25978"/>
    <w:rsid w:val="4DD529FA"/>
    <w:rsid w:val="4DEC4FB0"/>
    <w:rsid w:val="4DF51FD5"/>
    <w:rsid w:val="4E075D8A"/>
    <w:rsid w:val="4E436333"/>
    <w:rsid w:val="4E6666C9"/>
    <w:rsid w:val="4E6E3088"/>
    <w:rsid w:val="4EC00FAD"/>
    <w:rsid w:val="4EC07798"/>
    <w:rsid w:val="4EC549CB"/>
    <w:rsid w:val="4ECA2430"/>
    <w:rsid w:val="4EDC21F3"/>
    <w:rsid w:val="4F0477D4"/>
    <w:rsid w:val="4F7115D6"/>
    <w:rsid w:val="4F9843DC"/>
    <w:rsid w:val="4FC1649C"/>
    <w:rsid w:val="4FC62A8C"/>
    <w:rsid w:val="4FD173C3"/>
    <w:rsid w:val="4FE20F0D"/>
    <w:rsid w:val="4FE51552"/>
    <w:rsid w:val="501C1F3E"/>
    <w:rsid w:val="50351DE4"/>
    <w:rsid w:val="50504C4B"/>
    <w:rsid w:val="509C6E7C"/>
    <w:rsid w:val="51463623"/>
    <w:rsid w:val="5162104E"/>
    <w:rsid w:val="51875E34"/>
    <w:rsid w:val="51D84DD3"/>
    <w:rsid w:val="51F24C0D"/>
    <w:rsid w:val="52197191"/>
    <w:rsid w:val="5224454D"/>
    <w:rsid w:val="526F6AB8"/>
    <w:rsid w:val="527034A6"/>
    <w:rsid w:val="52754E2E"/>
    <w:rsid w:val="52D93C08"/>
    <w:rsid w:val="52FD7376"/>
    <w:rsid w:val="53051C89"/>
    <w:rsid w:val="530530C9"/>
    <w:rsid w:val="531B4D3E"/>
    <w:rsid w:val="532B114E"/>
    <w:rsid w:val="53336F5B"/>
    <w:rsid w:val="53976014"/>
    <w:rsid w:val="53A039CC"/>
    <w:rsid w:val="53A1505A"/>
    <w:rsid w:val="53AE2320"/>
    <w:rsid w:val="53D13233"/>
    <w:rsid w:val="54063E08"/>
    <w:rsid w:val="540C036C"/>
    <w:rsid w:val="540C2E06"/>
    <w:rsid w:val="54284107"/>
    <w:rsid w:val="543437E8"/>
    <w:rsid w:val="543F2CAE"/>
    <w:rsid w:val="544211D2"/>
    <w:rsid w:val="545C1D7C"/>
    <w:rsid w:val="549F610D"/>
    <w:rsid w:val="54B32738"/>
    <w:rsid w:val="54BB05F6"/>
    <w:rsid w:val="54E024CA"/>
    <w:rsid w:val="54E81862"/>
    <w:rsid w:val="54ED0C26"/>
    <w:rsid w:val="54F73313"/>
    <w:rsid w:val="54F77CD9"/>
    <w:rsid w:val="54F80955"/>
    <w:rsid w:val="551D2CDE"/>
    <w:rsid w:val="55452810"/>
    <w:rsid w:val="555170A7"/>
    <w:rsid w:val="55664405"/>
    <w:rsid w:val="55833339"/>
    <w:rsid w:val="5587536D"/>
    <w:rsid w:val="559B174B"/>
    <w:rsid w:val="55A464FE"/>
    <w:rsid w:val="55CE0CF4"/>
    <w:rsid w:val="55D976D7"/>
    <w:rsid w:val="55F00D88"/>
    <w:rsid w:val="561029C6"/>
    <w:rsid w:val="56762D94"/>
    <w:rsid w:val="56A46187"/>
    <w:rsid w:val="56AD2117"/>
    <w:rsid w:val="56B22A9C"/>
    <w:rsid w:val="56C304F2"/>
    <w:rsid w:val="57263549"/>
    <w:rsid w:val="57355205"/>
    <w:rsid w:val="5756342B"/>
    <w:rsid w:val="57583C44"/>
    <w:rsid w:val="5780554D"/>
    <w:rsid w:val="57B72A76"/>
    <w:rsid w:val="57BB5091"/>
    <w:rsid w:val="57C3426C"/>
    <w:rsid w:val="57CE1F93"/>
    <w:rsid w:val="57D93A81"/>
    <w:rsid w:val="57EF15C9"/>
    <w:rsid w:val="57F64937"/>
    <w:rsid w:val="58061181"/>
    <w:rsid w:val="582E57DE"/>
    <w:rsid w:val="583F4AE9"/>
    <w:rsid w:val="5875297A"/>
    <w:rsid w:val="58841643"/>
    <w:rsid w:val="588743D1"/>
    <w:rsid w:val="5887701A"/>
    <w:rsid w:val="58A1488A"/>
    <w:rsid w:val="58DD0FB2"/>
    <w:rsid w:val="591C10DE"/>
    <w:rsid w:val="595B4CF8"/>
    <w:rsid w:val="59657925"/>
    <w:rsid w:val="59705F4A"/>
    <w:rsid w:val="59981AA8"/>
    <w:rsid w:val="59A002B8"/>
    <w:rsid w:val="59BD186F"/>
    <w:rsid w:val="59C0439F"/>
    <w:rsid w:val="59D625D1"/>
    <w:rsid w:val="59EE6B44"/>
    <w:rsid w:val="5A21536F"/>
    <w:rsid w:val="5A7302EB"/>
    <w:rsid w:val="5A7612E8"/>
    <w:rsid w:val="5A940210"/>
    <w:rsid w:val="5ABE2233"/>
    <w:rsid w:val="5AC86E51"/>
    <w:rsid w:val="5ADF73B1"/>
    <w:rsid w:val="5AFD4361"/>
    <w:rsid w:val="5B1E6BA7"/>
    <w:rsid w:val="5B3E042E"/>
    <w:rsid w:val="5B514088"/>
    <w:rsid w:val="5B767BC7"/>
    <w:rsid w:val="5BCC5A39"/>
    <w:rsid w:val="5BDF5D95"/>
    <w:rsid w:val="5BE83B7A"/>
    <w:rsid w:val="5BF87DDE"/>
    <w:rsid w:val="5BFE7528"/>
    <w:rsid w:val="5C535102"/>
    <w:rsid w:val="5C5B4439"/>
    <w:rsid w:val="5C7907C5"/>
    <w:rsid w:val="5C7E7A17"/>
    <w:rsid w:val="5CA03A80"/>
    <w:rsid w:val="5CF82985"/>
    <w:rsid w:val="5CFD24D8"/>
    <w:rsid w:val="5D075875"/>
    <w:rsid w:val="5D6009B6"/>
    <w:rsid w:val="5D646E07"/>
    <w:rsid w:val="5DBE1B59"/>
    <w:rsid w:val="5DF94D9C"/>
    <w:rsid w:val="5E197DFF"/>
    <w:rsid w:val="5E2467F1"/>
    <w:rsid w:val="5E2B69D2"/>
    <w:rsid w:val="5E3B7987"/>
    <w:rsid w:val="5E3E2A94"/>
    <w:rsid w:val="5E44722B"/>
    <w:rsid w:val="5E6C52B2"/>
    <w:rsid w:val="5E9C5AD4"/>
    <w:rsid w:val="5EB3347B"/>
    <w:rsid w:val="5ED36744"/>
    <w:rsid w:val="5ED66E91"/>
    <w:rsid w:val="5EE52B6E"/>
    <w:rsid w:val="5F0A1DEF"/>
    <w:rsid w:val="5F1A2B43"/>
    <w:rsid w:val="5F404AB0"/>
    <w:rsid w:val="5F50744C"/>
    <w:rsid w:val="5F5A15AE"/>
    <w:rsid w:val="5F985EAD"/>
    <w:rsid w:val="5FB837BB"/>
    <w:rsid w:val="5FDA4A7F"/>
    <w:rsid w:val="600029AB"/>
    <w:rsid w:val="6026055F"/>
    <w:rsid w:val="6074477E"/>
    <w:rsid w:val="608235DC"/>
    <w:rsid w:val="60857113"/>
    <w:rsid w:val="608E59B3"/>
    <w:rsid w:val="60A34714"/>
    <w:rsid w:val="60AC7807"/>
    <w:rsid w:val="60BB3B20"/>
    <w:rsid w:val="60CA729E"/>
    <w:rsid w:val="60CC405A"/>
    <w:rsid w:val="60E76832"/>
    <w:rsid w:val="61202B20"/>
    <w:rsid w:val="613F6656"/>
    <w:rsid w:val="615062FF"/>
    <w:rsid w:val="618B5A4F"/>
    <w:rsid w:val="61921285"/>
    <w:rsid w:val="61E215D8"/>
    <w:rsid w:val="61F21F72"/>
    <w:rsid w:val="621B3775"/>
    <w:rsid w:val="62364782"/>
    <w:rsid w:val="624174A2"/>
    <w:rsid w:val="62660E5C"/>
    <w:rsid w:val="627D7AFF"/>
    <w:rsid w:val="62876034"/>
    <w:rsid w:val="62B32423"/>
    <w:rsid w:val="62FF4946"/>
    <w:rsid w:val="630D43EE"/>
    <w:rsid w:val="63130A1C"/>
    <w:rsid w:val="632138BF"/>
    <w:rsid w:val="6394356A"/>
    <w:rsid w:val="63A65FDA"/>
    <w:rsid w:val="63C61B2C"/>
    <w:rsid w:val="63D40BE9"/>
    <w:rsid w:val="63E44B39"/>
    <w:rsid w:val="63F201AB"/>
    <w:rsid w:val="64102431"/>
    <w:rsid w:val="641D204C"/>
    <w:rsid w:val="643A375C"/>
    <w:rsid w:val="64576058"/>
    <w:rsid w:val="647A6EC2"/>
    <w:rsid w:val="648D73F0"/>
    <w:rsid w:val="64A5243A"/>
    <w:rsid w:val="64F531DE"/>
    <w:rsid w:val="65373578"/>
    <w:rsid w:val="655A2444"/>
    <w:rsid w:val="655D6ED5"/>
    <w:rsid w:val="65647A14"/>
    <w:rsid w:val="65864EAB"/>
    <w:rsid w:val="65CF7417"/>
    <w:rsid w:val="65DA0D53"/>
    <w:rsid w:val="66040DD8"/>
    <w:rsid w:val="66430633"/>
    <w:rsid w:val="669D70EF"/>
    <w:rsid w:val="66F10A4A"/>
    <w:rsid w:val="670125AA"/>
    <w:rsid w:val="671F124A"/>
    <w:rsid w:val="677A33C6"/>
    <w:rsid w:val="678E5C61"/>
    <w:rsid w:val="67A96C2F"/>
    <w:rsid w:val="67D777A8"/>
    <w:rsid w:val="67E2338A"/>
    <w:rsid w:val="681F6961"/>
    <w:rsid w:val="684E5A28"/>
    <w:rsid w:val="68610A2F"/>
    <w:rsid w:val="68805514"/>
    <w:rsid w:val="68C335DC"/>
    <w:rsid w:val="68E25FF6"/>
    <w:rsid w:val="68E869C0"/>
    <w:rsid w:val="692C5D69"/>
    <w:rsid w:val="69316E2F"/>
    <w:rsid w:val="69320E94"/>
    <w:rsid w:val="69425646"/>
    <w:rsid w:val="694E2071"/>
    <w:rsid w:val="694E56FA"/>
    <w:rsid w:val="695653DD"/>
    <w:rsid w:val="69766163"/>
    <w:rsid w:val="697A3B33"/>
    <w:rsid w:val="69A914A7"/>
    <w:rsid w:val="69D44760"/>
    <w:rsid w:val="69F24BF3"/>
    <w:rsid w:val="69F5757D"/>
    <w:rsid w:val="6A015D13"/>
    <w:rsid w:val="6A1B798F"/>
    <w:rsid w:val="6A520EC7"/>
    <w:rsid w:val="6A9040D6"/>
    <w:rsid w:val="6A95216D"/>
    <w:rsid w:val="6AA002CC"/>
    <w:rsid w:val="6AE07F4F"/>
    <w:rsid w:val="6AF87E20"/>
    <w:rsid w:val="6B322639"/>
    <w:rsid w:val="6B713F07"/>
    <w:rsid w:val="6B715AD0"/>
    <w:rsid w:val="6B7565A1"/>
    <w:rsid w:val="6BE86AED"/>
    <w:rsid w:val="6C157813"/>
    <w:rsid w:val="6C4A3FC8"/>
    <w:rsid w:val="6C636C38"/>
    <w:rsid w:val="6C925B8A"/>
    <w:rsid w:val="6C9A748E"/>
    <w:rsid w:val="6D3B140E"/>
    <w:rsid w:val="6D4B4BF1"/>
    <w:rsid w:val="6D8846C4"/>
    <w:rsid w:val="6DA8285B"/>
    <w:rsid w:val="6DB34098"/>
    <w:rsid w:val="6DB545B6"/>
    <w:rsid w:val="6DE02FB4"/>
    <w:rsid w:val="6DFB3F5C"/>
    <w:rsid w:val="6E48029E"/>
    <w:rsid w:val="6E514CED"/>
    <w:rsid w:val="6E6A6F42"/>
    <w:rsid w:val="6EB563D5"/>
    <w:rsid w:val="6ED92677"/>
    <w:rsid w:val="6EE44575"/>
    <w:rsid w:val="6F0A3CF6"/>
    <w:rsid w:val="6F225983"/>
    <w:rsid w:val="6F4517FE"/>
    <w:rsid w:val="6FD73EF5"/>
    <w:rsid w:val="6FEF7AF1"/>
    <w:rsid w:val="6FF2064F"/>
    <w:rsid w:val="6FFC1E95"/>
    <w:rsid w:val="6FFC5590"/>
    <w:rsid w:val="703F3D62"/>
    <w:rsid w:val="7060279C"/>
    <w:rsid w:val="7062199D"/>
    <w:rsid w:val="706B5423"/>
    <w:rsid w:val="706D1DD0"/>
    <w:rsid w:val="70844E6C"/>
    <w:rsid w:val="70856B87"/>
    <w:rsid w:val="70A44730"/>
    <w:rsid w:val="70A77124"/>
    <w:rsid w:val="70D527EE"/>
    <w:rsid w:val="710650F2"/>
    <w:rsid w:val="710B0770"/>
    <w:rsid w:val="715B5300"/>
    <w:rsid w:val="715C7A08"/>
    <w:rsid w:val="71816E6E"/>
    <w:rsid w:val="71D27F8A"/>
    <w:rsid w:val="71FA74B6"/>
    <w:rsid w:val="72315D98"/>
    <w:rsid w:val="72374CA3"/>
    <w:rsid w:val="72553024"/>
    <w:rsid w:val="725F53ED"/>
    <w:rsid w:val="728B79DD"/>
    <w:rsid w:val="72CC63F7"/>
    <w:rsid w:val="72CF0ADC"/>
    <w:rsid w:val="72D60CBC"/>
    <w:rsid w:val="72DC357B"/>
    <w:rsid w:val="730F4CFD"/>
    <w:rsid w:val="73122968"/>
    <w:rsid w:val="731F5D5E"/>
    <w:rsid w:val="735432C6"/>
    <w:rsid w:val="73824EDF"/>
    <w:rsid w:val="739C5B9C"/>
    <w:rsid w:val="73C51AD5"/>
    <w:rsid w:val="74104587"/>
    <w:rsid w:val="741E793C"/>
    <w:rsid w:val="743E5C7A"/>
    <w:rsid w:val="745E3944"/>
    <w:rsid w:val="74636884"/>
    <w:rsid w:val="74B04FB8"/>
    <w:rsid w:val="74BF3B31"/>
    <w:rsid w:val="74EA1A0C"/>
    <w:rsid w:val="75202E72"/>
    <w:rsid w:val="75331B15"/>
    <w:rsid w:val="757A49BD"/>
    <w:rsid w:val="759E564C"/>
    <w:rsid w:val="75C64E50"/>
    <w:rsid w:val="75CE7510"/>
    <w:rsid w:val="7604624F"/>
    <w:rsid w:val="760904D0"/>
    <w:rsid w:val="76157686"/>
    <w:rsid w:val="76226752"/>
    <w:rsid w:val="7635099D"/>
    <w:rsid w:val="76990FA7"/>
    <w:rsid w:val="76E95379"/>
    <w:rsid w:val="76F328BC"/>
    <w:rsid w:val="76FA25E7"/>
    <w:rsid w:val="7702452E"/>
    <w:rsid w:val="7713393C"/>
    <w:rsid w:val="772C6246"/>
    <w:rsid w:val="77355789"/>
    <w:rsid w:val="773D0680"/>
    <w:rsid w:val="77762421"/>
    <w:rsid w:val="77A75DCA"/>
    <w:rsid w:val="77B31576"/>
    <w:rsid w:val="77B56B1F"/>
    <w:rsid w:val="77D76580"/>
    <w:rsid w:val="77E9480C"/>
    <w:rsid w:val="77FA29C9"/>
    <w:rsid w:val="780F09F4"/>
    <w:rsid w:val="786F7A21"/>
    <w:rsid w:val="78774BE4"/>
    <w:rsid w:val="78A50861"/>
    <w:rsid w:val="78A90480"/>
    <w:rsid w:val="78C53631"/>
    <w:rsid w:val="78D34F15"/>
    <w:rsid w:val="78D4237A"/>
    <w:rsid w:val="78E41F7C"/>
    <w:rsid w:val="78FD1981"/>
    <w:rsid w:val="7904202A"/>
    <w:rsid w:val="790D1244"/>
    <w:rsid w:val="7934083F"/>
    <w:rsid w:val="794A7588"/>
    <w:rsid w:val="794B5E50"/>
    <w:rsid w:val="79A14415"/>
    <w:rsid w:val="79EA5B61"/>
    <w:rsid w:val="7A157808"/>
    <w:rsid w:val="7A1B18E5"/>
    <w:rsid w:val="7A245169"/>
    <w:rsid w:val="7A364017"/>
    <w:rsid w:val="7A612331"/>
    <w:rsid w:val="7A8265E1"/>
    <w:rsid w:val="7AA61FE0"/>
    <w:rsid w:val="7B1B1C73"/>
    <w:rsid w:val="7B4078CD"/>
    <w:rsid w:val="7B686D42"/>
    <w:rsid w:val="7B841746"/>
    <w:rsid w:val="7B8816F2"/>
    <w:rsid w:val="7BF1074D"/>
    <w:rsid w:val="7C0071E7"/>
    <w:rsid w:val="7C0175BD"/>
    <w:rsid w:val="7C6C5AC7"/>
    <w:rsid w:val="7C727EB3"/>
    <w:rsid w:val="7CC6544B"/>
    <w:rsid w:val="7CE9270B"/>
    <w:rsid w:val="7D0239FF"/>
    <w:rsid w:val="7D2A47FD"/>
    <w:rsid w:val="7D5E40CD"/>
    <w:rsid w:val="7D870A50"/>
    <w:rsid w:val="7D9B3066"/>
    <w:rsid w:val="7DCD56F2"/>
    <w:rsid w:val="7DFC46D2"/>
    <w:rsid w:val="7EA075BB"/>
    <w:rsid w:val="7EAC2A89"/>
    <w:rsid w:val="7ECF746B"/>
    <w:rsid w:val="7ED4682F"/>
    <w:rsid w:val="7F001CE7"/>
    <w:rsid w:val="7F115350"/>
    <w:rsid w:val="7F34107C"/>
    <w:rsid w:val="7FCF4B78"/>
    <w:rsid w:val="7FE47E50"/>
  </w:rsids>
  <m:mathPr>
    <m:mathFont m:val="Times New Roman"/>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qFormat="1" w:unhideWhenUsed="0" w:uiPriority="0" w:semiHidden="0" w:name="footnote text" w:locked="1"/>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99"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ocked="1"/>
    <w:lsdException w:qFormat="1" w:unhideWhenUsed="0" w:uiPriority="0" w:semiHidden="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qFormat="1"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iPriority="99"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20" w:semiHidden="0" w:name="Emphasis" w:locked="1"/>
    <w:lsdException w:qFormat="1"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qFormat="1" w:unhideWhenUsed="0" w:uiPriority="0" w:semiHidden="0" w:name="HTML Acronym" w:locked="1"/>
    <w:lsdException w:unhideWhenUsed="0" w:uiPriority="0" w:semiHidden="0" w:name="HTML Address" w:locked="1"/>
    <w:lsdException w:qFormat="1" w:unhideWhenUsed="0" w:uiPriority="0" w:semiHidden="0" w:name="HTML Cite" w:locked="1"/>
    <w:lsdException w:qFormat="1" w:unhideWhenUsed="0" w:uiPriority="0" w:semiHidden="0" w:name="HTML Code" w:locked="1"/>
    <w:lsdException w:qFormat="1"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qFormat="1" w:unhideWhenUsed="0" w:uiPriority="0" w:semiHidden="0" w:name="HTML Variable" w:locked="1"/>
    <w:lsdException w:qFormat="1" w:unhideWhenUsed="0" w:uiPriority="0" w:name="Normal Table"/>
    <w:lsdException w:qFormat="1" w:unhideWhenUsed="0" w:uiPriority="0" w:semiHidden="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sdException w:qFormat="1" w:unhideWhenUsed="0" w:uiPriority="0" w:semiHidden="0" w:name="Table Grid"/>
    <w:lsdException w:unhideWhenUsed="0" w:uiPriority="0" w:semiHidden="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bidi w:val="0"/>
      <w:spacing w:line="520" w:lineRule="exact"/>
      <w:ind w:firstLine="144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49"/>
    <w:qFormat/>
    <w:locked/>
    <w:uiPriority w:val="0"/>
    <w:pPr>
      <w:keepNext/>
      <w:overflowPunct w:val="0"/>
      <w:snapToGrid w:val="0"/>
      <w:spacing w:line="520" w:lineRule="exact"/>
      <w:ind w:left="0" w:hanging="432"/>
      <w:outlineLvl w:val="0"/>
    </w:pPr>
    <w:rPr>
      <w:b/>
      <w:bCs/>
      <w:color w:val="000000"/>
      <w:kern w:val="44"/>
      <w:szCs w:val="30"/>
    </w:rPr>
  </w:style>
  <w:style w:type="paragraph" w:styleId="4">
    <w:name w:val="heading 2"/>
    <w:basedOn w:val="1"/>
    <w:next w:val="1"/>
    <w:link w:val="50"/>
    <w:qFormat/>
    <w:locked/>
    <w:uiPriority w:val="0"/>
    <w:pPr>
      <w:spacing w:before="0" w:beforeAutospacing="0" w:after="0" w:afterAutospacing="0"/>
      <w:jc w:val="left"/>
      <w:outlineLvl w:val="1"/>
    </w:pPr>
    <w:rPr>
      <w:rFonts w:hint="eastAsia" w:ascii="Times New Roman" w:hAnsi="Times New Roman" w:eastAsia="宋体" w:cs="Times New Roman"/>
      <w:b/>
      <w:bCs/>
      <w:kern w:val="0"/>
      <w:szCs w:val="24"/>
      <w:lang w:bidi="ar"/>
    </w:rPr>
  </w:style>
  <w:style w:type="paragraph" w:styleId="5">
    <w:name w:val="heading 3"/>
    <w:basedOn w:val="1"/>
    <w:next w:val="1"/>
    <w:link w:val="60"/>
    <w:qFormat/>
    <w:locked/>
    <w:uiPriority w:val="0"/>
    <w:pPr>
      <w:keepNext/>
      <w:keepLines/>
      <w:spacing w:line="240" w:lineRule="auto"/>
      <w:ind w:firstLine="0" w:firstLineChars="0"/>
      <w:jc w:val="center"/>
      <w:outlineLvl w:val="2"/>
    </w:pPr>
    <w:rPr>
      <w:rFonts w:ascii="Times New Roman" w:hAnsi="Times New Roman" w:eastAsia="宋体"/>
      <w:b/>
      <w:bCs/>
      <w:sz w:val="24"/>
      <w:szCs w:val="32"/>
    </w:rPr>
  </w:style>
  <w:style w:type="paragraph" w:styleId="6">
    <w:name w:val="heading 4"/>
    <w:basedOn w:val="1"/>
    <w:next w:val="1"/>
    <w:link w:val="48"/>
    <w:qFormat/>
    <w:locked/>
    <w:uiPriority w:val="0"/>
    <w:pPr>
      <w:keepNext/>
      <w:keepLines/>
      <w:autoSpaceDE w:val="0"/>
      <w:autoSpaceDN w:val="0"/>
      <w:spacing w:line="240" w:lineRule="auto"/>
      <w:ind w:firstLine="0" w:firstLineChars="0"/>
      <w:jc w:val="center"/>
      <w:outlineLvl w:val="3"/>
    </w:pPr>
    <w:rPr>
      <w:rFonts w:ascii="Times New Roman" w:hAnsi="Times New Roman" w:eastAsia="宋体"/>
      <w:bCs/>
      <w:szCs w:val="28"/>
    </w:rPr>
  </w:style>
  <w:style w:type="character" w:default="1" w:styleId="35">
    <w:name w:val="Default Paragraph Font"/>
    <w:semiHidden/>
    <w:qFormat/>
    <w:uiPriority w:val="0"/>
  </w:style>
  <w:style w:type="table" w:default="1" w:styleId="3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lock Text"/>
    <w:basedOn w:val="1"/>
    <w:next w:val="1"/>
    <w:unhideWhenUsed/>
    <w:qFormat/>
    <w:locked/>
    <w:uiPriority w:val="0"/>
    <w:pPr>
      <w:spacing w:beforeLines="0" w:after="120" w:afterLines="0"/>
      <w:ind w:left="1440" w:leftChars="700" w:right="700" w:rightChars="700"/>
    </w:pPr>
    <w:rPr>
      <w:rFonts w:hint="default" w:ascii="Times New Roman" w:hAnsi="Times New Roman" w:eastAsia="宋体" w:cs="Times New Roman"/>
      <w:sz w:val="21"/>
      <w:szCs w:val="24"/>
    </w:rPr>
  </w:style>
  <w:style w:type="paragraph" w:styleId="7">
    <w:name w:val="Normal Indent"/>
    <w:basedOn w:val="1"/>
    <w:next w:val="8"/>
    <w:link w:val="51"/>
    <w:qFormat/>
    <w:locked/>
    <w:uiPriority w:val="0"/>
    <w:pPr>
      <w:spacing w:line="240" w:lineRule="auto"/>
      <w:ind w:firstLine="0" w:firstLineChars="0"/>
      <w:jc w:val="center"/>
    </w:pPr>
    <w:rPr>
      <w:sz w:val="21"/>
      <w:szCs w:val="20"/>
    </w:rPr>
  </w:style>
  <w:style w:type="paragraph" w:customStyle="1" w:styleId="8">
    <w:name w:val="Char Char Char Char Char Char Char Char Char1 Char"/>
    <w:basedOn w:val="1"/>
    <w:next w:val="9"/>
    <w:qFormat/>
    <w:uiPriority w:val="0"/>
    <w:pPr>
      <w:spacing w:line="360" w:lineRule="auto"/>
      <w:ind w:firstLine="200" w:firstLineChars="200"/>
    </w:pPr>
    <w:rPr>
      <w:rFonts w:hAnsi="宋体" w:cs="宋体"/>
      <w:spacing w:val="5"/>
      <w:sz w:val="24"/>
    </w:rPr>
  </w:style>
  <w:style w:type="paragraph" w:styleId="9">
    <w:name w:val="Body Text First Indent"/>
    <w:basedOn w:val="10"/>
    <w:next w:val="1"/>
    <w:link w:val="74"/>
    <w:qFormat/>
    <w:locked/>
    <w:uiPriority w:val="0"/>
    <w:pPr>
      <w:widowControl w:val="0"/>
      <w:snapToGrid/>
      <w:spacing w:before="0" w:after="120" w:line="240" w:lineRule="auto"/>
      <w:ind w:right="0" w:firstLine="420" w:firstLineChars="100"/>
    </w:pPr>
    <w:rPr>
      <w:kern w:val="2"/>
      <w:sz w:val="21"/>
      <w:szCs w:val="24"/>
    </w:rPr>
  </w:style>
  <w:style w:type="paragraph" w:styleId="10">
    <w:name w:val="Body Text"/>
    <w:basedOn w:val="1"/>
    <w:next w:val="1"/>
    <w:link w:val="63"/>
    <w:qFormat/>
    <w:uiPriority w:val="99"/>
    <w:pPr>
      <w:widowControl/>
      <w:snapToGrid w:val="0"/>
      <w:spacing w:before="60" w:after="160" w:line="259" w:lineRule="auto"/>
      <w:ind w:right="113"/>
    </w:pPr>
    <w:rPr>
      <w:kern w:val="0"/>
      <w:sz w:val="18"/>
      <w:szCs w:val="20"/>
    </w:rPr>
  </w:style>
  <w:style w:type="paragraph" w:styleId="11">
    <w:name w:val="caption"/>
    <w:basedOn w:val="1"/>
    <w:next w:val="1"/>
    <w:qFormat/>
    <w:locked/>
    <w:uiPriority w:val="0"/>
    <w:rPr>
      <w:rFonts w:ascii="Cambria" w:hAnsi="Cambria" w:eastAsia="黑体"/>
      <w:sz w:val="20"/>
      <w:szCs w:val="20"/>
    </w:rPr>
  </w:style>
  <w:style w:type="paragraph" w:styleId="12">
    <w:name w:val="Document Map"/>
    <w:basedOn w:val="1"/>
    <w:link w:val="61"/>
    <w:qFormat/>
    <w:locked/>
    <w:uiPriority w:val="0"/>
    <w:rPr>
      <w:rFonts w:ascii="宋体"/>
      <w:kern w:val="0"/>
      <w:sz w:val="18"/>
      <w:szCs w:val="18"/>
    </w:rPr>
  </w:style>
  <w:style w:type="paragraph" w:styleId="13">
    <w:name w:val="annotation text"/>
    <w:basedOn w:val="1"/>
    <w:link w:val="62"/>
    <w:qFormat/>
    <w:uiPriority w:val="0"/>
    <w:pPr>
      <w:jc w:val="left"/>
    </w:pPr>
    <w:rPr>
      <w:kern w:val="0"/>
      <w:sz w:val="24"/>
      <w:szCs w:val="20"/>
    </w:rPr>
  </w:style>
  <w:style w:type="paragraph" w:styleId="14">
    <w:name w:val="Salutation"/>
    <w:basedOn w:val="1"/>
    <w:next w:val="1"/>
    <w:qFormat/>
    <w:locked/>
    <w:uiPriority w:val="0"/>
    <w:rPr>
      <w:rFonts w:ascii="Times New Roman" w:hAnsi="Times New Roman" w:eastAsia="宋体" w:cs="Times New Roman"/>
    </w:rPr>
  </w:style>
  <w:style w:type="paragraph" w:styleId="15">
    <w:name w:val="Body Text Indent"/>
    <w:basedOn w:val="1"/>
    <w:link w:val="64"/>
    <w:qFormat/>
    <w:uiPriority w:val="0"/>
    <w:pPr>
      <w:spacing w:after="120"/>
      <w:ind w:left="420" w:leftChars="200"/>
    </w:pPr>
    <w:rPr>
      <w:kern w:val="0"/>
      <w:sz w:val="24"/>
      <w:szCs w:val="20"/>
    </w:rPr>
  </w:style>
  <w:style w:type="paragraph" w:styleId="16">
    <w:name w:val="List 2"/>
    <w:basedOn w:val="1"/>
    <w:qFormat/>
    <w:locked/>
    <w:uiPriority w:val="0"/>
    <w:pPr>
      <w:adjustRightInd w:val="0"/>
      <w:spacing w:line="312" w:lineRule="atLeast"/>
      <w:ind w:left="840" w:hanging="420"/>
      <w:textAlignment w:val="baseline"/>
    </w:pPr>
    <w:rPr>
      <w:rFonts w:eastAsia="标宋体"/>
      <w:kern w:val="0"/>
      <w:sz w:val="28"/>
      <w:szCs w:val="20"/>
    </w:rPr>
  </w:style>
  <w:style w:type="paragraph" w:styleId="17">
    <w:name w:val="Plain Text"/>
    <w:basedOn w:val="1"/>
    <w:link w:val="65"/>
    <w:qFormat/>
    <w:locked/>
    <w:uiPriority w:val="0"/>
    <w:rPr>
      <w:rFonts w:ascii="宋体" w:hAnsi="Courier New" w:cs="Courier New"/>
      <w:kern w:val="0"/>
      <w:sz w:val="20"/>
      <w:szCs w:val="21"/>
    </w:rPr>
  </w:style>
  <w:style w:type="paragraph" w:styleId="18">
    <w:name w:val="List Bullet 5"/>
    <w:basedOn w:val="1"/>
    <w:link w:val="169"/>
    <w:qFormat/>
    <w:locked/>
    <w:uiPriority w:val="0"/>
    <w:pPr>
      <w:numPr>
        <w:ilvl w:val="0"/>
        <w:numId w:val="1"/>
      </w:numPr>
    </w:pPr>
  </w:style>
  <w:style w:type="paragraph" w:styleId="19">
    <w:name w:val="Date"/>
    <w:basedOn w:val="1"/>
    <w:next w:val="1"/>
    <w:link w:val="66"/>
    <w:qFormat/>
    <w:uiPriority w:val="0"/>
    <w:pPr>
      <w:ind w:left="100" w:leftChars="2500"/>
    </w:pPr>
    <w:rPr>
      <w:kern w:val="0"/>
      <w:sz w:val="24"/>
      <w:szCs w:val="20"/>
    </w:rPr>
  </w:style>
  <w:style w:type="paragraph" w:styleId="20">
    <w:name w:val="Body Text Indent 2"/>
    <w:basedOn w:val="1"/>
    <w:link w:val="67"/>
    <w:qFormat/>
    <w:locked/>
    <w:uiPriority w:val="0"/>
    <w:pPr>
      <w:spacing w:after="120" w:line="480" w:lineRule="auto"/>
      <w:ind w:left="420" w:leftChars="200"/>
    </w:pPr>
  </w:style>
  <w:style w:type="paragraph" w:styleId="21">
    <w:name w:val="Balloon Text"/>
    <w:basedOn w:val="1"/>
    <w:link w:val="68"/>
    <w:qFormat/>
    <w:uiPriority w:val="0"/>
    <w:rPr>
      <w:kern w:val="0"/>
      <w:sz w:val="18"/>
      <w:szCs w:val="20"/>
    </w:rPr>
  </w:style>
  <w:style w:type="paragraph" w:styleId="22">
    <w:name w:val="footer"/>
    <w:basedOn w:val="1"/>
    <w:link w:val="69"/>
    <w:qFormat/>
    <w:uiPriority w:val="99"/>
    <w:pPr>
      <w:tabs>
        <w:tab w:val="center" w:pos="4153"/>
        <w:tab w:val="right" w:pos="8306"/>
      </w:tabs>
      <w:snapToGrid w:val="0"/>
      <w:jc w:val="left"/>
    </w:pPr>
    <w:rPr>
      <w:kern w:val="0"/>
      <w:sz w:val="18"/>
      <w:szCs w:val="20"/>
    </w:rPr>
  </w:style>
  <w:style w:type="paragraph" w:styleId="23">
    <w:name w:val="header"/>
    <w:basedOn w:val="1"/>
    <w:link w:val="70"/>
    <w:qFormat/>
    <w:uiPriority w:val="0"/>
    <w:pPr>
      <w:pBdr>
        <w:bottom w:val="single" w:color="auto" w:sz="6" w:space="1"/>
      </w:pBdr>
      <w:tabs>
        <w:tab w:val="center" w:pos="4153"/>
        <w:tab w:val="right" w:pos="8306"/>
      </w:tabs>
      <w:snapToGrid w:val="0"/>
      <w:jc w:val="center"/>
    </w:pPr>
    <w:rPr>
      <w:kern w:val="0"/>
      <w:sz w:val="18"/>
      <w:szCs w:val="20"/>
    </w:rPr>
  </w:style>
  <w:style w:type="paragraph" w:styleId="24">
    <w:name w:val="toc 1"/>
    <w:basedOn w:val="1"/>
    <w:next w:val="1"/>
    <w:qFormat/>
    <w:locked/>
    <w:uiPriority w:val="39"/>
  </w:style>
  <w:style w:type="paragraph" w:styleId="25">
    <w:name w:val="List"/>
    <w:basedOn w:val="1"/>
    <w:qFormat/>
    <w:locked/>
    <w:uiPriority w:val="0"/>
    <w:pPr>
      <w:ind w:left="200" w:hanging="200" w:hangingChars="200"/>
    </w:pPr>
    <w:rPr>
      <w:rFonts w:ascii="Times New Roman" w:hAnsi="Times New Roman" w:eastAsia="宋体" w:cs="Times New Roman"/>
      <w:szCs w:val="24"/>
    </w:rPr>
  </w:style>
  <w:style w:type="paragraph" w:styleId="26">
    <w:name w:val="footnote text"/>
    <w:basedOn w:val="1"/>
    <w:link w:val="71"/>
    <w:qFormat/>
    <w:locked/>
    <w:uiPriority w:val="0"/>
    <w:pPr>
      <w:snapToGrid w:val="0"/>
      <w:jc w:val="left"/>
    </w:pPr>
    <w:rPr>
      <w:sz w:val="18"/>
      <w:szCs w:val="18"/>
    </w:rPr>
  </w:style>
  <w:style w:type="paragraph" w:styleId="27">
    <w:name w:val="table of figures"/>
    <w:basedOn w:val="1"/>
    <w:next w:val="1"/>
    <w:unhideWhenUsed/>
    <w:qFormat/>
    <w:locked/>
    <w:uiPriority w:val="99"/>
    <w:pPr>
      <w:widowControl/>
      <w:spacing w:line="240" w:lineRule="auto"/>
      <w:ind w:firstLine="0" w:firstLineChars="0"/>
      <w:jc w:val="center"/>
    </w:pPr>
    <w:rPr>
      <w:kern w:val="0"/>
      <w:sz w:val="21"/>
      <w:szCs w:val="21"/>
      <w:lang w:bidi="ar"/>
    </w:rPr>
  </w:style>
  <w:style w:type="paragraph" w:styleId="28">
    <w:name w:val="Body Text 2"/>
    <w:basedOn w:val="1"/>
    <w:unhideWhenUsed/>
    <w:qFormat/>
    <w:locked/>
    <w:uiPriority w:val="99"/>
    <w:pPr>
      <w:spacing w:after="120" w:line="480" w:lineRule="auto"/>
    </w:pPr>
  </w:style>
  <w:style w:type="paragraph" w:styleId="29">
    <w:name w:val="HTML Preformatted"/>
    <w:basedOn w:val="1"/>
    <w:qFormat/>
    <w:lock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0">
    <w:name w:val="Normal (Web)"/>
    <w:basedOn w:val="1"/>
    <w:link w:val="72"/>
    <w:qFormat/>
    <w:uiPriority w:val="0"/>
    <w:pPr>
      <w:widowControl/>
      <w:spacing w:before="100" w:beforeAutospacing="1" w:after="100" w:afterAutospacing="1"/>
      <w:jc w:val="left"/>
    </w:pPr>
    <w:rPr>
      <w:rFonts w:ascii="宋体" w:hAnsi="宋体"/>
      <w:kern w:val="0"/>
      <w:sz w:val="24"/>
      <w:szCs w:val="20"/>
    </w:rPr>
  </w:style>
  <w:style w:type="paragraph" w:styleId="31">
    <w:name w:val="annotation subject"/>
    <w:basedOn w:val="13"/>
    <w:next w:val="13"/>
    <w:link w:val="73"/>
    <w:qFormat/>
    <w:uiPriority w:val="0"/>
    <w:rPr>
      <w:b/>
      <w:sz w:val="24"/>
      <w:szCs w:val="20"/>
    </w:rPr>
  </w:style>
  <w:style w:type="paragraph" w:styleId="32">
    <w:name w:val="Body Text First Indent 2"/>
    <w:basedOn w:val="15"/>
    <w:link w:val="75"/>
    <w:qFormat/>
    <w:locked/>
    <w:uiPriority w:val="0"/>
    <w:pPr>
      <w:spacing w:line="520" w:lineRule="exact"/>
      <w:ind w:left="0" w:leftChars="0" w:firstLine="420" w:firstLineChars="200"/>
    </w:pPr>
    <w:rPr>
      <w:rFonts w:ascii="Times New Roman" w:hAnsi="Times New Roman" w:eastAsia="宋体"/>
      <w:kern w:val="2"/>
      <w:sz w:val="24"/>
      <w:szCs w:val="24"/>
    </w:r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locked/>
    <w:uiPriority w:val="0"/>
    <w:rPr>
      <w:rFonts w:ascii="Times New Roman" w:hAnsi="Times New Roman" w:eastAsia="宋体" w:cs="Times New Roman"/>
      <w:b/>
      <w:bCs/>
    </w:rPr>
  </w:style>
  <w:style w:type="character" w:styleId="37">
    <w:name w:val="page number"/>
    <w:qFormat/>
    <w:locked/>
    <w:uiPriority w:val="0"/>
  </w:style>
  <w:style w:type="character" w:styleId="38">
    <w:name w:val="FollowedHyperlink"/>
    <w:qFormat/>
    <w:locked/>
    <w:uiPriority w:val="0"/>
    <w:rPr>
      <w:rFonts w:ascii="Times New Roman" w:hAnsi="Times New Roman" w:eastAsia="宋体" w:cs="Times New Roman"/>
      <w:color w:val="3F4344"/>
      <w:u w:val="none"/>
    </w:rPr>
  </w:style>
  <w:style w:type="character" w:styleId="39">
    <w:name w:val="Emphasis"/>
    <w:qFormat/>
    <w:locked/>
    <w:uiPriority w:val="20"/>
    <w:rPr>
      <w:i/>
      <w:iCs/>
      <w:color w:val="auto"/>
    </w:rPr>
  </w:style>
  <w:style w:type="character" w:styleId="40">
    <w:name w:val="HTML Definition"/>
    <w:basedOn w:val="35"/>
    <w:qFormat/>
    <w:locked/>
    <w:uiPriority w:val="0"/>
  </w:style>
  <w:style w:type="character" w:styleId="41">
    <w:name w:val="HTML Acronym"/>
    <w:basedOn w:val="35"/>
    <w:qFormat/>
    <w:locked/>
    <w:uiPriority w:val="0"/>
  </w:style>
  <w:style w:type="character" w:styleId="42">
    <w:name w:val="HTML Variable"/>
    <w:basedOn w:val="35"/>
    <w:qFormat/>
    <w:locked/>
    <w:uiPriority w:val="0"/>
  </w:style>
  <w:style w:type="character" w:styleId="43">
    <w:name w:val="Hyperlink"/>
    <w:qFormat/>
    <w:locked/>
    <w:uiPriority w:val="0"/>
    <w:rPr>
      <w:rFonts w:ascii="Times New Roman" w:hAnsi="Times New Roman" w:eastAsia="宋体" w:cs="Times New Roman"/>
      <w:color w:val="3F4344"/>
      <w:u w:val="none"/>
    </w:rPr>
  </w:style>
  <w:style w:type="character" w:styleId="44">
    <w:name w:val="HTML Code"/>
    <w:basedOn w:val="35"/>
    <w:qFormat/>
    <w:locked/>
    <w:uiPriority w:val="0"/>
    <w:rPr>
      <w:rFonts w:ascii="Courier New" w:hAnsi="Courier New"/>
      <w:sz w:val="20"/>
    </w:rPr>
  </w:style>
  <w:style w:type="character" w:styleId="45">
    <w:name w:val="annotation reference"/>
    <w:qFormat/>
    <w:uiPriority w:val="0"/>
    <w:rPr>
      <w:sz w:val="21"/>
    </w:rPr>
  </w:style>
  <w:style w:type="character" w:styleId="46">
    <w:name w:val="HTML Cite"/>
    <w:basedOn w:val="35"/>
    <w:qFormat/>
    <w:locked/>
    <w:uiPriority w:val="0"/>
  </w:style>
  <w:style w:type="character" w:styleId="47">
    <w:name w:val="footnote reference"/>
    <w:qFormat/>
    <w:locked/>
    <w:uiPriority w:val="0"/>
    <w:rPr>
      <w:rFonts w:ascii="Times New Roman" w:hAnsi="Times New Roman" w:eastAsia="宋体" w:cs="Times New Roman"/>
      <w:vertAlign w:val="superscript"/>
    </w:rPr>
  </w:style>
  <w:style w:type="character" w:customStyle="1" w:styleId="48">
    <w:name w:val="标题 4 字符"/>
    <w:link w:val="6"/>
    <w:qFormat/>
    <w:uiPriority w:val="0"/>
    <w:rPr>
      <w:rFonts w:ascii="Times New Roman" w:hAnsi="Times New Roman" w:eastAsia="宋体"/>
      <w:bCs/>
      <w:kern w:val="2"/>
      <w:sz w:val="24"/>
      <w:szCs w:val="28"/>
    </w:rPr>
  </w:style>
  <w:style w:type="character" w:customStyle="1" w:styleId="49">
    <w:name w:val="标题 1 字符"/>
    <w:link w:val="3"/>
    <w:qFormat/>
    <w:uiPriority w:val="0"/>
    <w:rPr>
      <w:rFonts w:ascii="Times New Roman" w:hAnsi="Times New Roman" w:eastAsia="宋体"/>
      <w:b/>
      <w:bCs/>
      <w:color w:val="000000"/>
      <w:kern w:val="44"/>
      <w:sz w:val="24"/>
      <w:szCs w:val="30"/>
    </w:rPr>
  </w:style>
  <w:style w:type="character" w:customStyle="1" w:styleId="50">
    <w:name w:val="标题 2 字符"/>
    <w:link w:val="4"/>
    <w:qFormat/>
    <w:uiPriority w:val="0"/>
    <w:rPr>
      <w:rFonts w:ascii="Times New Roman" w:hAnsi="Times New Roman" w:eastAsia="宋体" w:cs="Times New Roman"/>
      <w:b/>
      <w:bCs/>
      <w:sz w:val="24"/>
      <w:szCs w:val="24"/>
    </w:rPr>
  </w:style>
  <w:style w:type="character" w:customStyle="1" w:styleId="51">
    <w:name w:val="正文缩进 字符"/>
    <w:link w:val="7"/>
    <w:qFormat/>
    <w:uiPriority w:val="0"/>
    <w:rPr>
      <w:rFonts w:ascii="Times New Roman" w:hAnsi="Times New Roman" w:eastAsia="宋体"/>
      <w:kern w:val="2"/>
      <w:sz w:val="21"/>
    </w:rPr>
  </w:style>
  <w:style w:type="paragraph" w:customStyle="1" w:styleId="52">
    <w:name w:val="Default"/>
    <w:basedOn w:val="53"/>
    <w:next w:val="1"/>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53">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54">
    <w:name w:val="正文1"/>
    <w:basedOn w:val="1"/>
    <w:next w:val="1"/>
    <w:qFormat/>
    <w:uiPriority w:val="0"/>
    <w:pPr>
      <w:adjustRightInd w:val="0"/>
      <w:snapToGrid w:val="0"/>
      <w:spacing w:line="520" w:lineRule="exact"/>
      <w:ind w:firstLine="584" w:firstLineChars="200"/>
      <w:textAlignment w:val="baseline"/>
    </w:pPr>
    <w:rPr>
      <w:rFonts w:ascii="宋体" w:hAnsi="宋体" w:cs="Arial"/>
      <w:bCs/>
      <w:snapToGrid w:val="0"/>
      <w:color w:val="000000"/>
      <w:spacing w:val="6"/>
      <w:kern w:val="0"/>
      <w:sz w:val="28"/>
      <w:szCs w:val="28"/>
    </w:rPr>
  </w:style>
  <w:style w:type="paragraph" w:customStyle="1" w:styleId="55">
    <w:name w:val="Default1"/>
    <w:basedOn w:val="56"/>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6">
    <w:name w:val="Normal_14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57">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58">
    <w:name w:val="List Paragraph"/>
    <w:basedOn w:val="1"/>
    <w:qFormat/>
    <w:uiPriority w:val="99"/>
    <w:pPr>
      <w:ind w:firstLine="420" w:firstLineChars="200"/>
    </w:pPr>
  </w:style>
  <w:style w:type="paragraph" w:customStyle="1" w:styleId="59">
    <w:name w:val="xl27"/>
    <w:basedOn w:val="1"/>
    <w:next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s="Times New Roman"/>
      <w:kern w:val="0"/>
      <w:szCs w:val="21"/>
    </w:rPr>
  </w:style>
  <w:style w:type="character" w:customStyle="1" w:styleId="60">
    <w:name w:val="标题 3 字符"/>
    <w:link w:val="5"/>
    <w:qFormat/>
    <w:uiPriority w:val="0"/>
    <w:rPr>
      <w:rFonts w:ascii="Times New Roman" w:hAnsi="Times New Roman" w:eastAsia="宋体"/>
      <w:b/>
      <w:bCs/>
      <w:kern w:val="2"/>
      <w:sz w:val="24"/>
      <w:szCs w:val="32"/>
    </w:rPr>
  </w:style>
  <w:style w:type="character" w:customStyle="1" w:styleId="61">
    <w:name w:val="文档结构图 字符"/>
    <w:link w:val="12"/>
    <w:qFormat/>
    <w:uiPriority w:val="0"/>
    <w:rPr>
      <w:rFonts w:ascii="宋体"/>
      <w:sz w:val="18"/>
      <w:szCs w:val="18"/>
    </w:rPr>
  </w:style>
  <w:style w:type="character" w:customStyle="1" w:styleId="62">
    <w:name w:val="批注文字 字符"/>
    <w:link w:val="13"/>
    <w:qFormat/>
    <w:locked/>
    <w:uiPriority w:val="0"/>
    <w:rPr>
      <w:rFonts w:ascii="Times New Roman" w:hAnsi="Times New Roman" w:eastAsia="宋体"/>
      <w:sz w:val="24"/>
    </w:rPr>
  </w:style>
  <w:style w:type="character" w:customStyle="1" w:styleId="63">
    <w:name w:val="正文文本 字符"/>
    <w:link w:val="10"/>
    <w:qFormat/>
    <w:locked/>
    <w:uiPriority w:val="0"/>
    <w:rPr>
      <w:sz w:val="18"/>
    </w:rPr>
  </w:style>
  <w:style w:type="character" w:customStyle="1" w:styleId="64">
    <w:name w:val="正文文本缩进 字符"/>
    <w:link w:val="15"/>
    <w:qFormat/>
    <w:locked/>
    <w:uiPriority w:val="0"/>
    <w:rPr>
      <w:rFonts w:ascii="Times New Roman" w:hAnsi="Times New Roman" w:eastAsia="宋体"/>
      <w:sz w:val="24"/>
    </w:rPr>
  </w:style>
  <w:style w:type="character" w:customStyle="1" w:styleId="65">
    <w:name w:val="纯文本 字符"/>
    <w:link w:val="17"/>
    <w:qFormat/>
    <w:uiPriority w:val="0"/>
    <w:rPr>
      <w:rFonts w:ascii="宋体" w:hAnsi="Courier New" w:cs="Courier New"/>
      <w:szCs w:val="21"/>
    </w:rPr>
  </w:style>
  <w:style w:type="character" w:customStyle="1" w:styleId="66">
    <w:name w:val="日期 字符1"/>
    <w:link w:val="19"/>
    <w:qFormat/>
    <w:locked/>
    <w:uiPriority w:val="0"/>
    <w:rPr>
      <w:rFonts w:ascii="Times New Roman" w:hAnsi="Times New Roman" w:eastAsia="宋体"/>
      <w:sz w:val="24"/>
    </w:rPr>
  </w:style>
  <w:style w:type="character" w:customStyle="1" w:styleId="67">
    <w:name w:val="正文文本缩进 2 字符"/>
    <w:link w:val="20"/>
    <w:qFormat/>
    <w:uiPriority w:val="0"/>
    <w:rPr>
      <w:kern w:val="2"/>
      <w:sz w:val="21"/>
      <w:szCs w:val="24"/>
    </w:rPr>
  </w:style>
  <w:style w:type="character" w:customStyle="1" w:styleId="68">
    <w:name w:val="批注框文本 字符"/>
    <w:link w:val="21"/>
    <w:qFormat/>
    <w:locked/>
    <w:uiPriority w:val="0"/>
    <w:rPr>
      <w:rFonts w:ascii="Times New Roman" w:hAnsi="Times New Roman" w:eastAsia="宋体"/>
      <w:sz w:val="18"/>
    </w:rPr>
  </w:style>
  <w:style w:type="character" w:customStyle="1" w:styleId="69">
    <w:name w:val="页脚 字符1"/>
    <w:link w:val="22"/>
    <w:qFormat/>
    <w:locked/>
    <w:uiPriority w:val="99"/>
    <w:rPr>
      <w:sz w:val="18"/>
    </w:rPr>
  </w:style>
  <w:style w:type="character" w:customStyle="1" w:styleId="70">
    <w:name w:val="页眉 字符"/>
    <w:link w:val="23"/>
    <w:qFormat/>
    <w:locked/>
    <w:uiPriority w:val="0"/>
    <w:rPr>
      <w:sz w:val="18"/>
    </w:rPr>
  </w:style>
  <w:style w:type="character" w:customStyle="1" w:styleId="71">
    <w:name w:val="脚注文本 字符"/>
    <w:link w:val="26"/>
    <w:qFormat/>
    <w:uiPriority w:val="0"/>
    <w:rPr>
      <w:kern w:val="2"/>
      <w:sz w:val="18"/>
      <w:szCs w:val="18"/>
    </w:rPr>
  </w:style>
  <w:style w:type="character" w:customStyle="1" w:styleId="72">
    <w:name w:val="普通(网站) 字符"/>
    <w:link w:val="30"/>
    <w:qFormat/>
    <w:locked/>
    <w:uiPriority w:val="0"/>
    <w:rPr>
      <w:rFonts w:ascii="宋体" w:hAnsi="宋体" w:eastAsia="宋体"/>
      <w:sz w:val="24"/>
    </w:rPr>
  </w:style>
  <w:style w:type="character" w:customStyle="1" w:styleId="73">
    <w:name w:val="批注主题 字符"/>
    <w:link w:val="31"/>
    <w:qFormat/>
    <w:locked/>
    <w:uiPriority w:val="0"/>
    <w:rPr>
      <w:rFonts w:ascii="Times New Roman" w:hAnsi="Times New Roman" w:eastAsia="宋体"/>
      <w:b/>
      <w:kern w:val="2"/>
      <w:sz w:val="24"/>
    </w:rPr>
  </w:style>
  <w:style w:type="character" w:customStyle="1" w:styleId="74">
    <w:name w:val="正文文本首行缩进 字符"/>
    <w:link w:val="9"/>
    <w:qFormat/>
    <w:uiPriority w:val="0"/>
    <w:rPr>
      <w:kern w:val="2"/>
      <w:sz w:val="21"/>
      <w:szCs w:val="24"/>
    </w:rPr>
  </w:style>
  <w:style w:type="character" w:customStyle="1" w:styleId="75">
    <w:name w:val="正文文本首行缩进 2 字符"/>
    <w:link w:val="32"/>
    <w:qFormat/>
    <w:uiPriority w:val="0"/>
    <w:rPr>
      <w:rFonts w:ascii="Times New Roman" w:hAnsi="Times New Roman" w:eastAsia="宋体"/>
      <w:kern w:val="2"/>
      <w:sz w:val="24"/>
      <w:szCs w:val="24"/>
    </w:rPr>
  </w:style>
  <w:style w:type="paragraph" w:customStyle="1" w:styleId="76">
    <w:name w:val="1"/>
    <w:basedOn w:val="24"/>
    <w:next w:val="28"/>
    <w:semiHidden/>
    <w:qFormat/>
    <w:uiPriority w:val="0"/>
    <w:pPr>
      <w:tabs>
        <w:tab w:val="right" w:leader="dot" w:pos="8296"/>
      </w:tabs>
    </w:pPr>
  </w:style>
  <w:style w:type="paragraph" w:customStyle="1" w:styleId="77">
    <w:name w:val="表格内"/>
    <w:basedOn w:val="1"/>
    <w:qFormat/>
    <w:uiPriority w:val="0"/>
    <w:pPr>
      <w:widowControl/>
      <w:spacing w:line="360" w:lineRule="exact"/>
      <w:jc w:val="center"/>
    </w:pPr>
    <w:rPr>
      <w:snapToGrid w:val="0"/>
      <w:kern w:val="0"/>
      <w:sz w:val="24"/>
      <w:szCs w:val="21"/>
    </w:rPr>
  </w:style>
  <w:style w:type="character" w:customStyle="1" w:styleId="78">
    <w:name w:val="页脚 字符"/>
    <w:qFormat/>
    <w:uiPriority w:val="99"/>
  </w:style>
  <w:style w:type="character" w:customStyle="1" w:styleId="79">
    <w:name w:val="正文文本 字符1"/>
    <w:semiHidden/>
    <w:qFormat/>
    <w:uiPriority w:val="0"/>
    <w:rPr>
      <w:rFonts w:ascii="Times New Roman" w:hAnsi="Times New Roman" w:eastAsia="宋体"/>
      <w:sz w:val="24"/>
    </w:rPr>
  </w:style>
  <w:style w:type="character" w:customStyle="1" w:styleId="80">
    <w:name w:val="表格 Char"/>
    <w:link w:val="81"/>
    <w:qFormat/>
    <w:locked/>
    <w:uiPriority w:val="0"/>
    <w:rPr>
      <w:rFonts w:ascii="宋体"/>
      <w:sz w:val="21"/>
    </w:rPr>
  </w:style>
  <w:style w:type="paragraph" w:customStyle="1" w:styleId="81">
    <w:name w:val="表格"/>
    <w:basedOn w:val="1"/>
    <w:next w:val="1"/>
    <w:link w:val="80"/>
    <w:qFormat/>
    <w:uiPriority w:val="0"/>
    <w:pPr>
      <w:adjustRightInd w:val="0"/>
      <w:snapToGrid w:val="0"/>
      <w:spacing w:beforeLines="10" w:afterLines="10" w:line="259" w:lineRule="auto"/>
      <w:jc w:val="center"/>
    </w:pPr>
    <w:rPr>
      <w:rFonts w:ascii="宋体"/>
      <w:kern w:val="0"/>
      <w:szCs w:val="20"/>
    </w:rPr>
  </w:style>
  <w:style w:type="character" w:customStyle="1" w:styleId="82">
    <w:name w:val="日期 字符"/>
    <w:qFormat/>
    <w:uiPriority w:val="0"/>
    <w:rPr>
      <w:rFonts w:ascii="Times New Roman" w:hAnsi="Times New Roman" w:eastAsia="宋体"/>
      <w:sz w:val="24"/>
    </w:rPr>
  </w:style>
  <w:style w:type="character" w:customStyle="1" w:styleId="83">
    <w:name w:val="批注文字 字符1"/>
    <w:qFormat/>
    <w:uiPriority w:val="0"/>
    <w:rPr>
      <w:rFonts w:ascii="Times New Roman" w:hAnsi="Times New Roman" w:eastAsia="宋体"/>
      <w:sz w:val="24"/>
    </w:rPr>
  </w:style>
  <w:style w:type="paragraph" w:customStyle="1" w:styleId="84">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86">
    <w:name w:val="纯文本 Char"/>
    <w:qFormat/>
    <w:uiPriority w:val="0"/>
    <w:rPr>
      <w:rFonts w:ascii="宋体" w:hAnsi="Courier New" w:eastAsia="宋体" w:cs="Courier New"/>
      <w:szCs w:val="21"/>
    </w:rPr>
  </w:style>
  <w:style w:type="character" w:customStyle="1" w:styleId="87">
    <w:name w:val="正文文本缩进 2 Char"/>
    <w:qFormat/>
    <w:uiPriority w:val="0"/>
    <w:rPr>
      <w:rFonts w:ascii="Times New Roman" w:hAnsi="Times New Roman" w:eastAsia="宋体" w:cs="Times New Roman"/>
      <w:szCs w:val="24"/>
    </w:rPr>
  </w:style>
  <w:style w:type="character" w:customStyle="1" w:styleId="88">
    <w:name w:val="font31"/>
    <w:qFormat/>
    <w:uiPriority w:val="0"/>
    <w:rPr>
      <w:rFonts w:hint="eastAsia" w:ascii="宋体" w:hAnsi="宋体" w:eastAsia="宋体" w:cs="宋体"/>
      <w:color w:val="1807F7"/>
      <w:sz w:val="21"/>
      <w:szCs w:val="21"/>
      <w:u w:val="none"/>
      <w:vertAlign w:val="subscript"/>
    </w:rPr>
  </w:style>
  <w:style w:type="character" w:customStyle="1" w:styleId="89">
    <w:name w:val="fontstyle21"/>
    <w:qFormat/>
    <w:uiPriority w:val="0"/>
    <w:rPr>
      <w:rFonts w:hint="eastAsia" w:ascii="华文新魏" w:hAnsi="Times New Roman" w:eastAsia="华文新魏" w:cs="Times New Roman"/>
      <w:color w:val="000000"/>
      <w:sz w:val="22"/>
      <w:szCs w:val="22"/>
    </w:rPr>
  </w:style>
  <w:style w:type="character" w:customStyle="1" w:styleId="90">
    <w:name w:val="font01"/>
    <w:qFormat/>
    <w:uiPriority w:val="0"/>
    <w:rPr>
      <w:rFonts w:hint="eastAsia" w:ascii="宋体" w:hAnsi="宋体" w:eastAsia="宋体" w:cs="宋体"/>
      <w:color w:val="FF0000"/>
      <w:sz w:val="21"/>
      <w:szCs w:val="21"/>
      <w:u w:val="none"/>
    </w:rPr>
  </w:style>
  <w:style w:type="character" w:customStyle="1" w:styleId="91">
    <w:name w:val="批注文字 Char"/>
    <w:qFormat/>
    <w:uiPriority w:val="0"/>
    <w:rPr>
      <w:rFonts w:ascii="Times New Roman" w:hAnsi="Times New Roman" w:eastAsia="宋体" w:cs="Times New Roman"/>
      <w:szCs w:val="24"/>
    </w:rPr>
  </w:style>
  <w:style w:type="character" w:customStyle="1" w:styleId="92">
    <w:name w:val="文档结构图 Char"/>
    <w:qFormat/>
    <w:uiPriority w:val="0"/>
    <w:rPr>
      <w:rFonts w:ascii="宋体" w:hAnsi="Times New Roman" w:eastAsia="宋体" w:cs="Times New Roman"/>
      <w:sz w:val="18"/>
      <w:szCs w:val="18"/>
    </w:rPr>
  </w:style>
  <w:style w:type="character" w:customStyle="1" w:styleId="93">
    <w:name w:val="表格内文字 Char"/>
    <w:link w:val="94"/>
    <w:qFormat/>
    <w:uiPriority w:val="0"/>
    <w:rPr>
      <w:kern w:val="2"/>
      <w:sz w:val="21"/>
      <w:szCs w:val="21"/>
    </w:rPr>
  </w:style>
  <w:style w:type="paragraph" w:customStyle="1" w:styleId="94">
    <w:name w:val="表格内文字"/>
    <w:basedOn w:val="1"/>
    <w:link w:val="93"/>
    <w:qFormat/>
    <w:uiPriority w:val="0"/>
    <w:pPr>
      <w:widowControl/>
      <w:jc w:val="center"/>
    </w:pPr>
    <w:rPr>
      <w:szCs w:val="21"/>
    </w:rPr>
  </w:style>
  <w:style w:type="character" w:customStyle="1" w:styleId="95">
    <w:name w:val="样式5 Char"/>
    <w:link w:val="96"/>
    <w:qFormat/>
    <w:uiPriority w:val="0"/>
    <w:rPr>
      <w:b/>
    </w:rPr>
  </w:style>
  <w:style w:type="paragraph" w:customStyle="1" w:styleId="96">
    <w:name w:val="样式5"/>
    <w:basedOn w:val="1"/>
    <w:link w:val="95"/>
    <w:qFormat/>
    <w:uiPriority w:val="0"/>
    <w:pPr>
      <w:jc w:val="center"/>
    </w:pPr>
    <w:rPr>
      <w:b/>
      <w:kern w:val="0"/>
      <w:sz w:val="20"/>
      <w:szCs w:val="20"/>
    </w:rPr>
  </w:style>
  <w:style w:type="character" w:customStyle="1" w:styleId="97">
    <w:name w:val="表内文字 Char Char Char"/>
    <w:link w:val="98"/>
    <w:qFormat/>
    <w:uiPriority w:val="0"/>
    <w:rPr>
      <w:kern w:val="2"/>
      <w:sz w:val="21"/>
      <w:szCs w:val="21"/>
    </w:rPr>
  </w:style>
  <w:style w:type="paragraph" w:customStyle="1" w:styleId="98">
    <w:name w:val="表内文字"/>
    <w:basedOn w:val="1"/>
    <w:link w:val="97"/>
    <w:qFormat/>
    <w:uiPriority w:val="0"/>
    <w:pPr>
      <w:widowControl/>
      <w:jc w:val="center"/>
    </w:pPr>
    <w:rPr>
      <w:szCs w:val="21"/>
    </w:rPr>
  </w:style>
  <w:style w:type="character" w:customStyle="1" w:styleId="99">
    <w:name w:val="正文缩进 Char1"/>
    <w:qFormat/>
    <w:uiPriority w:val="0"/>
    <w:rPr>
      <w:rFonts w:ascii="Times New Roman" w:hAnsi="Times New Roman" w:eastAsia="宋体" w:cs="Times New Roman"/>
      <w:kern w:val="2"/>
      <w:sz w:val="24"/>
      <w:szCs w:val="24"/>
      <w:lang w:val="en-US" w:eastAsia="zh-CN" w:bidi="ar-SA"/>
    </w:rPr>
  </w:style>
  <w:style w:type="character" w:customStyle="1" w:styleId="100">
    <w:name w:val="font21"/>
    <w:qFormat/>
    <w:uiPriority w:val="0"/>
    <w:rPr>
      <w:rFonts w:hint="eastAsia" w:ascii="宋体" w:hAnsi="宋体" w:eastAsia="宋体" w:cs="宋体"/>
      <w:color w:val="000000"/>
      <w:sz w:val="18"/>
      <w:szCs w:val="18"/>
      <w:u w:val="none"/>
    </w:rPr>
  </w:style>
  <w:style w:type="character" w:customStyle="1" w:styleId="101">
    <w:name w:val="font41"/>
    <w:qFormat/>
    <w:uiPriority w:val="0"/>
    <w:rPr>
      <w:rFonts w:hint="default" w:ascii="Times New Roman" w:hAnsi="Times New Roman" w:eastAsia="宋体" w:cs="Times New Roman"/>
      <w:color w:val="1807F7"/>
      <w:sz w:val="21"/>
      <w:szCs w:val="21"/>
      <w:u w:val="none"/>
      <w:vertAlign w:val="subscript"/>
    </w:rPr>
  </w:style>
  <w:style w:type="character" w:customStyle="1" w:styleId="102">
    <w:name w:val="正文文本缩进 Char"/>
    <w:qFormat/>
    <w:uiPriority w:val="0"/>
    <w:rPr>
      <w:rFonts w:ascii="Times New Roman" w:hAnsi="Times New Roman" w:eastAsia="宋体" w:cs="Times New Roman"/>
      <w:szCs w:val="24"/>
    </w:rPr>
  </w:style>
  <w:style w:type="character" w:customStyle="1" w:styleId="103">
    <w:name w:val="批注主题 Char"/>
    <w:qFormat/>
    <w:uiPriority w:val="0"/>
    <w:rPr>
      <w:rFonts w:ascii="Times New Roman" w:hAnsi="Times New Roman" w:eastAsia="宋体" w:cs="Times New Roman"/>
      <w:b/>
      <w:bCs/>
      <w:szCs w:val="24"/>
    </w:rPr>
  </w:style>
  <w:style w:type="character" w:customStyle="1" w:styleId="104">
    <w:name w:val="批注框文本 Char"/>
    <w:qFormat/>
    <w:uiPriority w:val="0"/>
    <w:rPr>
      <w:rFonts w:ascii="Times New Roman" w:hAnsi="Times New Roman" w:eastAsia="宋体" w:cs="Times New Roman"/>
      <w:sz w:val="18"/>
      <w:szCs w:val="18"/>
    </w:rPr>
  </w:style>
  <w:style w:type="character" w:customStyle="1" w:styleId="105">
    <w:name w:val="纯文本 Char1"/>
    <w:qFormat/>
    <w:uiPriority w:val="0"/>
    <w:rPr>
      <w:rFonts w:ascii="宋体" w:hAnsi="Courier New" w:eastAsia="宋体" w:cs="Courier New"/>
      <w:kern w:val="21"/>
      <w:szCs w:val="21"/>
    </w:rPr>
  </w:style>
  <w:style w:type="character" w:customStyle="1" w:styleId="106">
    <w:name w:val="fontstyle11"/>
    <w:qFormat/>
    <w:uiPriority w:val="0"/>
    <w:rPr>
      <w:rFonts w:hint="default" w:ascii="Arial" w:hAnsi="Arial" w:eastAsia="宋体" w:cs="Arial"/>
      <w:color w:val="000000"/>
      <w:sz w:val="24"/>
      <w:szCs w:val="24"/>
    </w:rPr>
  </w:style>
  <w:style w:type="character" w:customStyle="1" w:styleId="107">
    <w:name w:val="表头 Char"/>
    <w:link w:val="108"/>
    <w:qFormat/>
    <w:uiPriority w:val="0"/>
    <w:rPr>
      <w:rFonts w:eastAsia="黑体"/>
      <w:color w:val="000000"/>
      <w:kern w:val="2"/>
      <w:sz w:val="24"/>
      <w:szCs w:val="21"/>
    </w:rPr>
  </w:style>
  <w:style w:type="paragraph" w:customStyle="1" w:styleId="108">
    <w:name w:val="表头"/>
    <w:basedOn w:val="109"/>
    <w:link w:val="107"/>
    <w:qFormat/>
    <w:uiPriority w:val="0"/>
    <w:pPr>
      <w:ind w:firstLine="200" w:firstLineChars="200"/>
    </w:pPr>
    <w:rPr>
      <w:rFonts w:eastAsia="黑体"/>
      <w:color w:val="000000"/>
      <w:kern w:val="2"/>
      <w:sz w:val="24"/>
      <w:szCs w:val="21"/>
      <w:lang w:val="en-US" w:eastAsia="zh-CN" w:bidi="ar-SA"/>
    </w:rPr>
  </w:style>
  <w:style w:type="paragraph" w:customStyle="1" w:styleId="109">
    <w:name w:val="报告表格"/>
    <w:basedOn w:val="1"/>
    <w:qFormat/>
    <w:uiPriority w:val="0"/>
    <w:pPr>
      <w:autoSpaceDE w:val="0"/>
      <w:autoSpaceDN w:val="0"/>
      <w:adjustRightInd w:val="0"/>
      <w:spacing w:line="240" w:lineRule="auto"/>
      <w:ind w:firstLine="0" w:firstLineChars="0"/>
      <w:jc w:val="center"/>
      <w:textAlignment w:val="baseline"/>
    </w:pPr>
    <w:rPr>
      <w:kern w:val="0"/>
      <w:sz w:val="21"/>
      <w:szCs w:val="20"/>
    </w:rPr>
  </w:style>
  <w:style w:type="character" w:customStyle="1" w:styleId="110">
    <w:name w:val="日期 Char"/>
    <w:qFormat/>
    <w:uiPriority w:val="0"/>
    <w:rPr>
      <w:rFonts w:ascii="Times New Roman" w:hAnsi="Times New Roman" w:eastAsia="宋体" w:cs="Times New Roman"/>
      <w:szCs w:val="20"/>
    </w:rPr>
  </w:style>
  <w:style w:type="character" w:customStyle="1" w:styleId="111">
    <w:name w:val="正文LLLLLLL Char"/>
    <w:link w:val="112"/>
    <w:qFormat/>
    <w:uiPriority w:val="0"/>
    <w:rPr>
      <w:sz w:val="28"/>
    </w:rPr>
  </w:style>
  <w:style w:type="paragraph" w:customStyle="1" w:styleId="112">
    <w:name w:val="正文LLLLLLL"/>
    <w:basedOn w:val="1"/>
    <w:link w:val="111"/>
    <w:qFormat/>
    <w:uiPriority w:val="0"/>
    <w:pPr>
      <w:spacing w:line="520" w:lineRule="exact"/>
      <w:ind w:firstLine="578" w:firstLineChars="200"/>
    </w:pPr>
    <w:rPr>
      <w:kern w:val="0"/>
      <w:sz w:val="28"/>
      <w:szCs w:val="20"/>
    </w:rPr>
  </w:style>
  <w:style w:type="character" w:customStyle="1" w:styleId="113">
    <w:name w:val="标题 2 Char"/>
    <w:qFormat/>
    <w:uiPriority w:val="0"/>
    <w:rPr>
      <w:rFonts w:ascii="Cambria" w:hAnsi="Cambria" w:eastAsia="宋体" w:cs="Times New Roman"/>
      <w:b/>
      <w:bCs/>
      <w:sz w:val="32"/>
      <w:szCs w:val="32"/>
    </w:rPr>
  </w:style>
  <w:style w:type="character" w:customStyle="1" w:styleId="114">
    <w:name w:val="Char"/>
    <w:qFormat/>
    <w:uiPriority w:val="0"/>
    <w:rPr>
      <w:rFonts w:ascii="Times New Roman" w:hAnsi="Times New Roman" w:eastAsia="宋体" w:cs="Times New Roman"/>
      <w:b/>
      <w:bCs/>
      <w:kern w:val="44"/>
      <w:sz w:val="28"/>
      <w:szCs w:val="44"/>
      <w:lang w:val="en-US" w:eastAsia="zh-CN" w:bidi="ar-SA"/>
    </w:rPr>
  </w:style>
  <w:style w:type="character" w:customStyle="1" w:styleId="115">
    <w:name w:val="fontstyle01"/>
    <w:qFormat/>
    <w:uiPriority w:val="0"/>
    <w:rPr>
      <w:rFonts w:hint="eastAsia" w:ascii="宋体" w:hAnsi="宋体" w:eastAsia="宋体" w:cs="Times New Roman"/>
      <w:color w:val="000000"/>
      <w:sz w:val="24"/>
      <w:szCs w:val="24"/>
    </w:rPr>
  </w:style>
  <w:style w:type="character" w:customStyle="1" w:styleId="116">
    <w:name w:val="表格文字小五"/>
    <w:qFormat/>
    <w:uiPriority w:val="0"/>
    <w:rPr>
      <w:rFonts w:ascii="Times New Roman" w:hAnsi="Times New Roman" w:eastAsia="宋体" w:cs="Times New Roman"/>
      <w:kern w:val="2"/>
      <w:sz w:val="18"/>
      <w:szCs w:val="24"/>
      <w:lang w:val="en-US" w:eastAsia="zh-CN" w:bidi="ar-SA"/>
    </w:rPr>
  </w:style>
  <w:style w:type="character" w:customStyle="1" w:styleId="117">
    <w:name w:val="font11"/>
    <w:qFormat/>
    <w:uiPriority w:val="0"/>
    <w:rPr>
      <w:rFonts w:hint="default" w:ascii="Times New Roman" w:hAnsi="Times New Roman" w:eastAsia="宋体" w:cs="Times New Roman"/>
      <w:color w:val="000000"/>
      <w:sz w:val="20"/>
      <w:szCs w:val="20"/>
      <w:u w:val="none"/>
    </w:rPr>
  </w:style>
  <w:style w:type="character" w:customStyle="1" w:styleId="118">
    <w:name w:val="纯文本 字符1"/>
    <w:qFormat/>
    <w:uiPriority w:val="0"/>
    <w:rPr>
      <w:rFonts w:ascii="宋体" w:hAnsi="Courier New" w:cs="Courier New"/>
      <w:kern w:val="2"/>
      <w:sz w:val="21"/>
      <w:szCs w:val="21"/>
    </w:rPr>
  </w:style>
  <w:style w:type="character" w:customStyle="1" w:styleId="119">
    <w:name w:val="文档结构图 字符1"/>
    <w:qFormat/>
    <w:uiPriority w:val="0"/>
    <w:rPr>
      <w:rFonts w:ascii="Microsoft YaHei UI" w:eastAsia="Microsoft YaHei UI"/>
      <w:kern w:val="2"/>
      <w:sz w:val="18"/>
      <w:szCs w:val="18"/>
    </w:rPr>
  </w:style>
  <w:style w:type="character" w:customStyle="1" w:styleId="120">
    <w:name w:val="脚注文本 字符1"/>
    <w:qFormat/>
    <w:uiPriority w:val="0"/>
    <w:rPr>
      <w:kern w:val="2"/>
      <w:sz w:val="18"/>
      <w:szCs w:val="18"/>
    </w:rPr>
  </w:style>
  <w:style w:type="paragraph" w:customStyle="1" w:styleId="121">
    <w:name w:val="表格2"/>
    <w:basedOn w:val="1"/>
    <w:qFormat/>
    <w:uiPriority w:val="0"/>
    <w:pPr>
      <w:spacing w:line="320" w:lineRule="exact"/>
      <w:jc w:val="center"/>
    </w:pPr>
    <w:rPr>
      <w:sz w:val="24"/>
      <w:szCs w:val="28"/>
    </w:rPr>
  </w:style>
  <w:style w:type="paragraph" w:customStyle="1" w:styleId="122">
    <w:name w:val="Table Paragraph"/>
    <w:basedOn w:val="1"/>
    <w:qFormat/>
    <w:uiPriority w:val="1"/>
    <w:pPr>
      <w:jc w:val="left"/>
    </w:pPr>
    <w:rPr>
      <w:rFonts w:ascii="Calibri" w:hAnsi="Calibri"/>
      <w:kern w:val="0"/>
      <w:sz w:val="22"/>
      <w:szCs w:val="22"/>
      <w:lang w:eastAsia="en-US"/>
    </w:rPr>
  </w:style>
  <w:style w:type="paragraph" w:customStyle="1" w:styleId="123">
    <w:name w:val="列出段落1"/>
    <w:basedOn w:val="1"/>
    <w:qFormat/>
    <w:uiPriority w:val="0"/>
    <w:pPr>
      <w:ind w:firstLine="420" w:firstLineChars="200"/>
    </w:pPr>
  </w:style>
  <w:style w:type="paragraph" w:customStyle="1" w:styleId="124">
    <w:name w:val="默认段落字体 Para Char Char Char Char"/>
    <w:basedOn w:val="1"/>
    <w:qFormat/>
    <w:uiPriority w:val="0"/>
    <w:pPr>
      <w:spacing w:beforeLines="100" w:afterLines="50" w:line="600" w:lineRule="exact"/>
      <w:ind w:firstLine="200" w:firstLineChars="200"/>
    </w:pPr>
    <w:rPr>
      <w:rFonts w:eastAsia="黑体"/>
      <w:sz w:val="28"/>
    </w:rPr>
  </w:style>
  <w:style w:type="paragraph" w:customStyle="1" w:styleId="125">
    <w:name w:val="Plain Text"/>
    <w:basedOn w:val="1"/>
    <w:qFormat/>
    <w:uiPriority w:val="0"/>
    <w:rPr>
      <w:rFonts w:hint="eastAsia" w:ascii="宋体" w:hAnsi="Courier New" w:cs="Courier New"/>
      <w:kern w:val="0"/>
      <w:sz w:val="20"/>
      <w:szCs w:val="21"/>
    </w:rPr>
  </w:style>
  <w:style w:type="paragraph" w:customStyle="1" w:styleId="126">
    <w:name w:val=" Char Char Char Char Char Char Char Char Char"/>
    <w:basedOn w:val="1"/>
    <w:qFormat/>
    <w:uiPriority w:val="0"/>
  </w:style>
  <w:style w:type="paragraph" w:customStyle="1" w:styleId="127">
    <w:name w:val="unnamed1"/>
    <w:basedOn w:val="1"/>
    <w:qFormat/>
    <w:uiPriority w:val="0"/>
    <w:pPr>
      <w:widowControl/>
      <w:spacing w:before="100" w:beforeAutospacing="1" w:after="100" w:afterAutospacing="1" w:line="450" w:lineRule="atLeast"/>
      <w:ind w:firstLine="480"/>
      <w:jc w:val="left"/>
    </w:pPr>
    <w:rPr>
      <w:rFonts w:ascii="宋体" w:hAnsi="宋体" w:cs="宋体"/>
      <w:kern w:val="0"/>
      <w:sz w:val="24"/>
    </w:rPr>
  </w:style>
  <w:style w:type="character" w:customStyle="1" w:styleId="128">
    <w:name w:val="正文文本首行缩进 字符1"/>
    <w:qFormat/>
    <w:uiPriority w:val="0"/>
    <w:rPr>
      <w:kern w:val="2"/>
      <w:sz w:val="21"/>
      <w:szCs w:val="24"/>
    </w:rPr>
  </w:style>
  <w:style w:type="paragraph" w:customStyle="1" w:styleId="129">
    <w:name w:val="标准"/>
    <w:basedOn w:val="1"/>
    <w:qFormat/>
    <w:uiPriority w:val="0"/>
    <w:pPr>
      <w:adjustRightInd w:val="0"/>
      <w:spacing w:line="312" w:lineRule="atLeast"/>
      <w:jc w:val="center"/>
      <w:textAlignment w:val="baseline"/>
    </w:pPr>
    <w:rPr>
      <w:kern w:val="0"/>
      <w:szCs w:val="21"/>
    </w:rPr>
  </w:style>
  <w:style w:type="paragraph" w:customStyle="1" w:styleId="130">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131">
    <w:name w:val="图表文字"/>
    <w:basedOn w:val="1"/>
    <w:qFormat/>
    <w:uiPriority w:val="0"/>
    <w:pPr>
      <w:jc w:val="center"/>
    </w:pPr>
  </w:style>
  <w:style w:type="paragraph" w:customStyle="1" w:styleId="132">
    <w:name w:val="Char Char Char Char Char Char Char Char Char"/>
    <w:basedOn w:val="1"/>
    <w:qFormat/>
    <w:uiPriority w:val="0"/>
  </w:style>
  <w:style w:type="paragraph" w:customStyle="1" w:styleId="133">
    <w:name w:val="Normal (Web)"/>
    <w:basedOn w:val="1"/>
    <w:qFormat/>
    <w:uiPriority w:val="0"/>
    <w:pPr>
      <w:widowControl/>
      <w:spacing w:before="100" w:beforeAutospacing="1" w:after="100" w:afterAutospacing="1"/>
      <w:jc w:val="left"/>
    </w:pPr>
    <w:rPr>
      <w:rFonts w:hint="eastAsia" w:ascii="宋体" w:hAnsi="宋体"/>
      <w:sz w:val="24"/>
    </w:rPr>
  </w:style>
  <w:style w:type="paragraph" w:customStyle="1" w:styleId="134">
    <w:name w:val="p0"/>
    <w:basedOn w:val="1"/>
    <w:qFormat/>
    <w:uiPriority w:val="0"/>
    <w:pPr>
      <w:widowControl/>
    </w:pPr>
    <w:rPr>
      <w:kern w:val="0"/>
      <w:szCs w:val="21"/>
    </w:rPr>
  </w:style>
  <w:style w:type="paragraph" w:customStyle="1" w:styleId="135">
    <w:name w:val="_Style 130"/>
    <w:qFormat/>
    <w:uiPriority w:val="0"/>
    <w:rPr>
      <w:rFonts w:ascii="Times New Roman" w:hAnsi="Times New Roman" w:eastAsia="宋体" w:cs="Times New Roman"/>
      <w:kern w:val="2"/>
      <w:sz w:val="21"/>
      <w:szCs w:val="24"/>
      <w:lang w:val="en-US" w:eastAsia="zh-CN" w:bidi="ar-SA"/>
    </w:rPr>
  </w:style>
  <w:style w:type="paragraph" w:customStyle="1" w:styleId="136">
    <w:name w:val=" Char Char Char Char"/>
    <w:basedOn w:val="1"/>
    <w:qFormat/>
    <w:uiPriority w:val="0"/>
    <w:pPr>
      <w:snapToGrid w:val="0"/>
      <w:spacing w:line="360" w:lineRule="auto"/>
      <w:ind w:firstLine="200" w:firstLineChars="200"/>
    </w:pPr>
    <w:rPr>
      <w:rFonts w:eastAsia="仿宋_GB2312"/>
      <w:sz w:val="24"/>
    </w:rPr>
  </w:style>
  <w:style w:type="table" w:customStyle="1" w:styleId="137">
    <w:name w:val="Table Normal"/>
    <w:unhideWhenUsed/>
    <w:qFormat/>
    <w:uiPriority w:val="2"/>
    <w:pPr>
      <w:widowControl w:val="0"/>
    </w:pPr>
    <w:rPr>
      <w:rFonts w:ascii="Calibri" w:hAnsi="Calibri"/>
      <w:sz w:val="22"/>
      <w:szCs w:val="22"/>
      <w:lang w:val="en-US" w:eastAsia="en-US" w:bidi="ar-SA"/>
    </w:rPr>
    <w:tblPr>
      <w:tblCellMar>
        <w:top w:w="0" w:type="dxa"/>
        <w:left w:w="0" w:type="dxa"/>
        <w:bottom w:w="0" w:type="dxa"/>
        <w:right w:w="0" w:type="dxa"/>
      </w:tblCellMar>
    </w:tblPr>
  </w:style>
  <w:style w:type="character" w:customStyle="1" w:styleId="138">
    <w:name w:val="_Style 133"/>
    <w:unhideWhenUsed/>
    <w:qFormat/>
    <w:uiPriority w:val="99"/>
    <w:rPr>
      <w:rFonts w:ascii="Times New Roman" w:hAnsi="Times New Roman" w:eastAsia="宋体" w:cs="Times New Roman"/>
      <w:color w:val="605E5C"/>
      <w:shd w:val="clear" w:color="auto" w:fill="E1DFDD"/>
    </w:rPr>
  </w:style>
  <w:style w:type="paragraph" w:customStyle="1" w:styleId="139">
    <w:name w:val="表格文字小五号"/>
    <w:basedOn w:val="1"/>
    <w:qFormat/>
    <w:uiPriority w:val="0"/>
    <w:pPr>
      <w:overflowPunct w:val="0"/>
      <w:adjustRightInd w:val="0"/>
      <w:spacing w:line="240" w:lineRule="atLeast"/>
      <w:ind w:left="210" w:hanging="210" w:firstLineChars="200"/>
      <w:jc w:val="center"/>
    </w:pPr>
    <w:rPr>
      <w:rFonts w:ascii="宋体"/>
      <w:color w:val="000000"/>
      <w:kern w:val="0"/>
      <w:sz w:val="18"/>
      <w:szCs w:val="20"/>
    </w:rPr>
  </w:style>
  <w:style w:type="paragraph" w:customStyle="1" w:styleId="140">
    <w:name w:val="表样式2"/>
    <w:basedOn w:val="1"/>
    <w:qFormat/>
    <w:uiPriority w:val="0"/>
    <w:pPr>
      <w:adjustRightInd w:val="0"/>
      <w:snapToGrid w:val="0"/>
      <w:spacing w:line="420" w:lineRule="exact"/>
    </w:pPr>
    <w:rPr>
      <w:rFonts w:ascii="宋体" w:hAnsi="宋体"/>
      <w:sz w:val="24"/>
    </w:rPr>
  </w:style>
  <w:style w:type="paragraph" w:customStyle="1" w:styleId="141">
    <w:name w:val="正文*"/>
    <w:basedOn w:val="1"/>
    <w:qFormat/>
    <w:uiPriority w:val="0"/>
    <w:rPr>
      <w:sz w:val="28"/>
      <w:szCs w:val="20"/>
    </w:rPr>
  </w:style>
  <w:style w:type="paragraph" w:customStyle="1" w:styleId="142">
    <w:name w:val="表格内容"/>
    <w:basedOn w:val="1"/>
    <w:next w:val="1"/>
    <w:qFormat/>
    <w:uiPriority w:val="0"/>
    <w:pPr>
      <w:jc w:val="center"/>
    </w:pPr>
    <w:rPr>
      <w:szCs w:val="28"/>
    </w:rPr>
  </w:style>
  <w:style w:type="character" w:customStyle="1" w:styleId="143">
    <w:name w:val="表中文字 Char1"/>
    <w:link w:val="144"/>
    <w:qFormat/>
    <w:locked/>
    <w:uiPriority w:val="0"/>
    <w:rPr>
      <w:bCs/>
      <w:color w:val="000000"/>
      <w:sz w:val="21"/>
      <w:szCs w:val="18"/>
    </w:rPr>
  </w:style>
  <w:style w:type="paragraph" w:customStyle="1" w:styleId="144">
    <w:name w:val="表中文字"/>
    <w:basedOn w:val="1"/>
    <w:link w:val="143"/>
    <w:qFormat/>
    <w:uiPriority w:val="0"/>
    <w:pPr>
      <w:snapToGrid w:val="0"/>
      <w:spacing w:line="360" w:lineRule="exact"/>
      <w:jc w:val="center"/>
      <w:textAlignment w:val="center"/>
    </w:pPr>
    <w:rPr>
      <w:bCs/>
      <w:color w:val="000000"/>
      <w:kern w:val="0"/>
      <w:szCs w:val="18"/>
    </w:rPr>
  </w:style>
  <w:style w:type="character" w:customStyle="1" w:styleId="145">
    <w:name w:val="邓表格文字 Char"/>
    <w:link w:val="146"/>
    <w:qFormat/>
    <w:uiPriority w:val="0"/>
    <w:rPr>
      <w:rFonts w:ascii="宋体" w:hAnsi="宋体"/>
      <w:kern w:val="2"/>
      <w:sz w:val="21"/>
      <w:szCs w:val="21"/>
    </w:rPr>
  </w:style>
  <w:style w:type="paragraph" w:customStyle="1" w:styleId="146">
    <w:name w:val="邓表格文字"/>
    <w:basedOn w:val="1"/>
    <w:link w:val="145"/>
    <w:qFormat/>
    <w:uiPriority w:val="0"/>
    <w:pPr>
      <w:widowControl/>
      <w:jc w:val="center"/>
    </w:pPr>
    <w:rPr>
      <w:rFonts w:ascii="宋体" w:hAnsi="宋体"/>
      <w:szCs w:val="21"/>
    </w:rPr>
  </w:style>
  <w:style w:type="character" w:customStyle="1" w:styleId="147">
    <w:name w:val="表格内字体 Char"/>
    <w:link w:val="148"/>
    <w:qFormat/>
    <w:uiPriority w:val="0"/>
    <w:rPr>
      <w:rFonts w:ascii="宋体"/>
      <w:kern w:val="2"/>
      <w:sz w:val="21"/>
      <w:szCs w:val="21"/>
    </w:rPr>
  </w:style>
  <w:style w:type="paragraph" w:customStyle="1" w:styleId="148">
    <w:name w:val="表格内字体"/>
    <w:basedOn w:val="1"/>
    <w:link w:val="147"/>
    <w:qFormat/>
    <w:uiPriority w:val="0"/>
    <w:pPr>
      <w:widowControl/>
      <w:spacing w:line="360" w:lineRule="exact"/>
      <w:jc w:val="center"/>
    </w:pPr>
    <w:rPr>
      <w:rFonts w:ascii="宋体"/>
      <w:szCs w:val="21"/>
    </w:rPr>
  </w:style>
  <w:style w:type="character" w:customStyle="1" w:styleId="149">
    <w:name w:val="表格内容A Char"/>
    <w:link w:val="150"/>
    <w:qFormat/>
    <w:uiPriority w:val="0"/>
    <w:rPr>
      <w:kern w:val="2"/>
      <w:sz w:val="21"/>
      <w:szCs w:val="21"/>
    </w:rPr>
  </w:style>
  <w:style w:type="paragraph" w:customStyle="1" w:styleId="150">
    <w:name w:val="表格内容A"/>
    <w:basedOn w:val="1"/>
    <w:link w:val="149"/>
    <w:qFormat/>
    <w:uiPriority w:val="0"/>
    <w:pPr>
      <w:jc w:val="center"/>
    </w:pPr>
    <w:rPr>
      <w:szCs w:val="21"/>
    </w:rPr>
  </w:style>
  <w:style w:type="character" w:customStyle="1" w:styleId="151">
    <w:name w:val="表格文字 Char Char"/>
    <w:link w:val="152"/>
    <w:qFormat/>
    <w:uiPriority w:val="0"/>
    <w:rPr>
      <w:kern w:val="2"/>
      <w:sz w:val="21"/>
    </w:rPr>
  </w:style>
  <w:style w:type="paragraph" w:customStyle="1" w:styleId="152">
    <w:name w:val="表格文字"/>
    <w:basedOn w:val="1"/>
    <w:link w:val="151"/>
    <w:qFormat/>
    <w:uiPriority w:val="0"/>
    <w:pPr>
      <w:spacing w:line="400" w:lineRule="exact"/>
      <w:jc w:val="center"/>
    </w:pPr>
    <w:rPr>
      <w:szCs w:val="20"/>
    </w:rPr>
  </w:style>
  <w:style w:type="character" w:customStyle="1" w:styleId="153">
    <w:name w:val="正文格式 Char"/>
    <w:link w:val="154"/>
    <w:qFormat/>
    <w:uiPriority w:val="0"/>
    <w:rPr>
      <w:rFonts w:ascii="宋体" w:hAnsi="宋体" w:cs="宋体"/>
      <w:kern w:val="2"/>
      <w:sz w:val="24"/>
      <w:szCs w:val="24"/>
    </w:rPr>
  </w:style>
  <w:style w:type="paragraph" w:customStyle="1" w:styleId="154">
    <w:name w:val="正文格式"/>
    <w:basedOn w:val="9"/>
    <w:link w:val="153"/>
    <w:qFormat/>
    <w:uiPriority w:val="0"/>
    <w:pPr>
      <w:widowControl/>
      <w:spacing w:after="0" w:line="360" w:lineRule="auto"/>
      <w:ind w:firstLine="200" w:firstLineChars="200"/>
      <w:jc w:val="left"/>
    </w:pPr>
    <w:rPr>
      <w:rFonts w:ascii="宋体" w:hAnsi="宋体" w:cs="宋体"/>
      <w:sz w:val="24"/>
    </w:rPr>
  </w:style>
  <w:style w:type="paragraph" w:customStyle="1" w:styleId="155">
    <w:name w:val="三级标题"/>
    <w:basedOn w:val="1"/>
    <w:next w:val="32"/>
    <w:qFormat/>
    <w:uiPriority w:val="0"/>
    <w:pPr>
      <w:adjustRightInd w:val="0"/>
      <w:snapToGrid w:val="0"/>
      <w:spacing w:line="360" w:lineRule="exact"/>
      <w:jc w:val="center"/>
    </w:pPr>
    <w:rPr>
      <w:bCs/>
      <w:sz w:val="24"/>
      <w:szCs w:val="20"/>
    </w:rPr>
  </w:style>
  <w:style w:type="paragraph" w:styleId="156">
    <w:name w:val="No Spacing"/>
    <w:basedOn w:val="25"/>
    <w:next w:val="1"/>
    <w:qFormat/>
    <w:uiPriority w:val="1"/>
    <w:pPr>
      <w:widowControl w:val="0"/>
      <w:jc w:val="both"/>
    </w:pPr>
    <w:rPr>
      <w:rFonts w:eastAsia="仿宋_GB2312"/>
      <w:kern w:val="2"/>
      <w:sz w:val="30"/>
      <w:szCs w:val="22"/>
      <w:lang w:val="en-US" w:eastAsia="zh-CN" w:bidi="ar-SA"/>
    </w:rPr>
  </w:style>
  <w:style w:type="paragraph" w:customStyle="1" w:styleId="157">
    <w:name w:val="B表内字"/>
    <w:basedOn w:val="1"/>
    <w:qFormat/>
    <w:uiPriority w:val="0"/>
    <w:pPr>
      <w:widowControl/>
      <w:jc w:val="center"/>
    </w:pPr>
    <w:rPr>
      <w:rFonts w:ascii="Calibri" w:hAnsi="Calibri" w:cs="宋体"/>
      <w:kern w:val="0"/>
      <w:szCs w:val="21"/>
    </w:rPr>
  </w:style>
  <w:style w:type="character" w:customStyle="1" w:styleId="158">
    <w:name w:val="img_bg_cover"/>
    <w:qFormat/>
    <w:uiPriority w:val="0"/>
  </w:style>
  <w:style w:type="paragraph" w:customStyle="1" w:styleId="159">
    <w:name w:val="正文丽娜"/>
    <w:basedOn w:val="1"/>
    <w:qFormat/>
    <w:uiPriority w:val="0"/>
    <w:pPr>
      <w:spacing w:line="520" w:lineRule="exact"/>
      <w:ind w:firstLine="578" w:firstLineChars="200"/>
    </w:pPr>
    <w:rPr>
      <w:rFonts w:ascii="Times New Roman" w:hAnsi="Times New Roman" w:eastAsia="宋体"/>
      <w:kern w:val="0"/>
      <w:sz w:val="28"/>
      <w:szCs w:val="20"/>
    </w:rPr>
  </w:style>
  <w:style w:type="paragraph" w:customStyle="1" w:styleId="160">
    <w:name w:val="标题 3Char标题 3 Char Char标题 3 Char Char Char标题 3 Char Char C...1"/>
    <w:basedOn w:val="5"/>
    <w:qFormat/>
    <w:uiPriority w:val="0"/>
    <w:pPr>
      <w:spacing w:before="0" w:beforeLines="0" w:after="0" w:afterLines="0" w:line="360" w:lineRule="auto"/>
    </w:pPr>
    <w:rPr>
      <w:rFonts w:cs="宋体"/>
      <w:sz w:val="28"/>
      <w:szCs w:val="20"/>
    </w:rPr>
  </w:style>
  <w:style w:type="character" w:customStyle="1" w:styleId="161">
    <w:name w:val="current"/>
    <w:basedOn w:val="35"/>
    <w:qFormat/>
    <w:uiPriority w:val="0"/>
    <w:rPr>
      <w:b/>
      <w:bCs/>
      <w:color w:val="FFFFFF"/>
      <w:bdr w:val="single" w:color="0056A2" w:sz="6" w:space="0"/>
      <w:shd w:val="clear" w:color="auto" w:fill="0056A2"/>
    </w:rPr>
  </w:style>
  <w:style w:type="character" w:customStyle="1" w:styleId="162">
    <w:name w:val="disabled"/>
    <w:basedOn w:val="35"/>
    <w:qFormat/>
    <w:uiPriority w:val="0"/>
    <w:rPr>
      <w:color w:val="999999"/>
      <w:bdr w:val="single" w:color="C5C5C5" w:sz="6" w:space="0"/>
    </w:rPr>
  </w:style>
  <w:style w:type="paragraph" w:customStyle="1" w:styleId="163">
    <w:name w:val="环评正文"/>
    <w:basedOn w:val="1"/>
    <w:qFormat/>
    <w:uiPriority w:val="0"/>
    <w:pPr>
      <w:autoSpaceDE w:val="0"/>
      <w:autoSpaceDN w:val="0"/>
      <w:adjustRightInd w:val="0"/>
      <w:snapToGrid w:val="0"/>
      <w:spacing w:line="360" w:lineRule="auto"/>
      <w:ind w:firstLine="200" w:firstLineChars="200"/>
    </w:pPr>
    <w:rPr>
      <w:rFonts w:cs="宋体"/>
      <w:kern w:val="0"/>
      <w:sz w:val="24"/>
      <w:szCs w:val="21"/>
    </w:rPr>
  </w:style>
  <w:style w:type="paragraph" w:customStyle="1" w:styleId="164">
    <w:name w:val="标1"/>
    <w:basedOn w:val="1"/>
    <w:qFormat/>
    <w:uiPriority w:val="0"/>
    <w:pPr>
      <w:spacing w:beforeLines="0" w:beforeAutospacing="0" w:line="520" w:lineRule="exact"/>
      <w:outlineLvl w:val="0"/>
    </w:pPr>
    <w:rPr>
      <w:rFonts w:ascii="Times New Roman" w:hAnsi="Times New Roman" w:eastAsia="宋体"/>
      <w:b/>
      <w:sz w:val="24"/>
    </w:rPr>
  </w:style>
  <w:style w:type="paragraph" w:customStyle="1" w:styleId="165">
    <w:name w:val="。正文格式"/>
    <w:autoRedefine/>
    <w:qFormat/>
    <w:uiPriority w:val="0"/>
    <w:pPr>
      <w:widowControl w:val="0"/>
      <w:spacing w:line="360" w:lineRule="auto"/>
      <w:ind w:firstLine="200" w:firstLineChars="200"/>
    </w:pPr>
    <w:rPr>
      <w:rFonts w:ascii="Times New Roman" w:hAnsi="Times New Roman" w:eastAsia="宋体" w:cs="Times New Roman"/>
      <w:sz w:val="24"/>
      <w:lang w:val="en-US" w:eastAsia="zh-CN" w:bidi="ar-SA"/>
    </w:rPr>
  </w:style>
  <w:style w:type="paragraph" w:customStyle="1" w:styleId="166">
    <w:name w:val="小标题呗"/>
    <w:basedOn w:val="1"/>
    <w:autoRedefine/>
    <w:qFormat/>
    <w:uiPriority w:val="0"/>
    <w:pPr>
      <w:widowControl/>
      <w:wordWrap w:val="0"/>
      <w:snapToGrid w:val="0"/>
      <w:spacing w:line="520" w:lineRule="exact"/>
      <w:jc w:val="left"/>
    </w:pPr>
    <w:rPr>
      <w:rFonts w:hint="eastAsia" w:ascii="Times New Roman" w:hAnsi="Times New Roman" w:eastAsia="宋体"/>
      <w:b/>
      <w:kern w:val="0"/>
      <w:sz w:val="24"/>
      <w:szCs w:val="24"/>
    </w:rPr>
  </w:style>
  <w:style w:type="paragraph" w:customStyle="1" w:styleId="167">
    <w:name w:val="正文啊啊啊"/>
    <w:qFormat/>
    <w:uiPriority w:val="0"/>
    <w:pPr>
      <w:widowControl w:val="0"/>
      <w:wordWrap w:val="0"/>
      <w:adjustRightInd w:val="0"/>
      <w:snapToGrid w:val="0"/>
      <w:spacing w:line="520" w:lineRule="exact"/>
      <w:ind w:firstLine="720" w:firstLineChars="200"/>
      <w:jc w:val="left"/>
    </w:pPr>
    <w:rPr>
      <w:rFonts w:hint="eastAsia" w:ascii="Times New Roman" w:hAnsi="Times New Roman" w:eastAsia="宋体" w:cs="宋体"/>
      <w:bCs/>
      <w:kern w:val="2"/>
      <w:sz w:val="24"/>
      <w:szCs w:val="24"/>
      <w:lang w:val="en-US" w:eastAsia="zh-CN" w:bidi="ar-SA"/>
    </w:rPr>
  </w:style>
  <w:style w:type="paragraph" w:customStyle="1" w:styleId="168">
    <w:name w:val="正文啊啊"/>
    <w:basedOn w:val="1"/>
    <w:autoRedefine/>
    <w:qFormat/>
    <w:uiPriority w:val="0"/>
    <w:pPr>
      <w:spacing w:line="520" w:lineRule="exact"/>
      <w:ind w:firstLine="720" w:firstLineChars="200"/>
    </w:pPr>
    <w:rPr>
      <w:rFonts w:ascii="Times New Roman" w:hAnsi="Times New Roman" w:eastAsia="宋体" w:cs="宋体"/>
      <w:sz w:val="24"/>
      <w:szCs w:val="24"/>
    </w:rPr>
  </w:style>
  <w:style w:type="character" w:customStyle="1" w:styleId="169">
    <w:name w:val="列表项目符号 5 Char"/>
    <w:link w:val="18"/>
    <w:qFormat/>
    <w:uiPriority w:val="0"/>
  </w:style>
  <w:style w:type="paragraph" w:customStyle="1" w:styleId="170">
    <w:name w:val="表内文字啊啊啊"/>
    <w:qFormat/>
    <w:uiPriority w:val="0"/>
    <w:pPr>
      <w:widowControl w:val="0"/>
      <w:adjustRightInd w:val="0"/>
      <w:snapToGrid w:val="0"/>
      <w:spacing w:line="240" w:lineRule="auto"/>
      <w:jc w:val="center"/>
    </w:pPr>
    <w:rPr>
      <w:rFonts w:hint="eastAsia" w:ascii="Times New Roman" w:hAnsi="Times New Roman" w:eastAsia="宋体" w:cs="宋体"/>
      <w:color w:val="auto"/>
      <w:kern w:val="2"/>
      <w:sz w:val="21"/>
      <w:szCs w:val="21"/>
      <w:lang w:val="en-US" w:eastAsia="zh-CN" w:bidi="ar-SA"/>
    </w:rPr>
  </w:style>
  <w:style w:type="paragraph" w:customStyle="1" w:styleId="171">
    <w:name w:val="表头啊啊啊啊"/>
    <w:autoRedefine/>
    <w:qFormat/>
    <w:uiPriority w:val="0"/>
    <w:pPr>
      <w:widowControl w:val="0"/>
      <w:adjustRightInd w:val="0"/>
      <w:snapToGrid w:val="0"/>
      <w:spacing w:line="240" w:lineRule="auto"/>
      <w:jc w:val="center"/>
    </w:pPr>
    <w:rPr>
      <w:rFonts w:hint="eastAsia" w:ascii="Times New Roman" w:hAnsi="Times New Roman" w:eastAsiaTheme="minorEastAsia" w:cstheme="minorEastAsia"/>
      <w:b/>
      <w:bCs/>
      <w:color w:val="auto"/>
      <w:kern w:val="2"/>
      <w:sz w:val="21"/>
      <w:szCs w:val="21"/>
      <w:lang w:val="en-US" w:eastAsia="zh-CN" w:bidi="ar-SA"/>
    </w:rPr>
  </w:style>
  <w:style w:type="paragraph" w:customStyle="1" w:styleId="172">
    <w:name w:val="B正文"/>
    <w:basedOn w:val="1"/>
    <w:qFormat/>
    <w:uiPriority w:val="0"/>
    <w:pPr>
      <w:widowControl/>
      <w:spacing w:line="360" w:lineRule="auto"/>
      <w:ind w:firstLine="200" w:firstLineChars="200"/>
      <w:jc w:val="left"/>
    </w:pPr>
    <w:rPr>
      <w:rFonts w:cs="宋体"/>
      <w:kern w:val="0"/>
      <w:sz w:val="24"/>
    </w:rPr>
  </w:style>
  <w:style w:type="character" w:customStyle="1" w:styleId="173">
    <w:name w:val="15"/>
    <w:basedOn w:val="35"/>
    <w:qFormat/>
    <w:uiPriority w:val="0"/>
    <w:rPr>
      <w:rFonts w:hint="default" w:ascii="Times New Roman" w:hAnsi="Times New Roman" w:cs="Times New Roman"/>
    </w:rPr>
  </w:style>
  <w:style w:type="character" w:customStyle="1" w:styleId="174">
    <w:name w:val="10"/>
    <w:basedOn w:val="3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extobjs>
    <extobj name="ECB019B1-382A-4266-B25C-5B523AA43C14-1">
      <extobjdata type="ECB019B1-382A-4266-B25C-5B523AA43C14" data="ewoJIkZpbGVJZCIgOiAiNDk4MjM1NTc4NzEyIiwKCSJHcm91cElkIiA6ICIxNjY1MjM3NTAzIiwKCSJJbWFnZSIgOiAiaVZCT1J3MEtHZ29BQUFBTlNVaEVVZ0FBQXRrQUFBSENDQVlBQUFBNnROVmJBQUFBQVhOU1IwSUFyczRjNlFBQUlBQkpSRUZVZUp6czNYZHpHMmUyNE9GZko0Ukd6aUJJa0dKVThOalcySGZtenRSVzdmMTYrNlUyMWU2dHViNDc0N0V0bTVaa1NaUVlRZVNNQmpydEgwRDNVRTRqMndxVWRKNnFDUUlSbW8xdTlubFBuL2U4SU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T2IvQXh5OSt0MGlxeC9UQUFBQUFFbEZUa1N1UW1DQyIsCgkiVGhlbWUiIDogIiIsCgkiVHlwZSIgOiAiZmxvdyIsCgkiVXNlcklkIiA6ICIxMzAzNzMwMTgxIiwKCSJWZXJzaW9uIiA6ICIyOSIKfQo="/>
    </extobj>
    <extobj name="ECB019B1-382A-4266-B25C-5B523AA43C14-2">
      <extobjdata type="ECB019B1-382A-4266-B25C-5B523AA43C14" data="ewoJIkZpbGVJZCIgOiAiNDk3MzQ5ODg2ODcxIiwKCSJHcm91cElkIiA6ICIxNjY1MjM3NTAzIiwKCSJJbWFnZSIgOiAiaVZCT1J3MEtHZ29BQUFBTlNVaEVVZ0FBQlVFQUFBSllDQVlBQUFCTTVpZDlBQUFBQVhOU1IwSUFyczRjNlFBQUlBQkpSRUZVZUp6czNYbDhUT2YrQi9EUGMrWk1Nb2xJaU5pVlZHT3RMQk8xdGJWcnl5MjNhRjJxdlVwYlY2dVdsaTdYcjdVdlJWc3VwUzF0cWVxbWF1bXFWVmUxRkxWa2tpQzJJQWhDTENHUlJHYm1QTDgvekp3N2s0VVp3bVQ1dkY4dkwzT2U4enpuZkUva09mam1XUUF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vRnI5SC9ZcEliS3kxVjNQQUFBQUFFbEZUa1N1UW1DQyIsCgkiVGhlbWUiIDogIiIsCgkiVHlwZSIgOiAiZmxvdyIsCgkiVXNlcklkIiA6ICIxMzAzNzMwMTgxIiwKCSJWZXJzaW9uIiA6ICIxMCIKfQo="/>
    </extobj>
  </extobjs>
</s:customData>
</file>

<file path=customXml/item2.xml><?xml version="1.0" encoding="utf-8"?>
<contractReview xmlns="http://schemas.wps.cn/vas-ai-hub/contract-review">
  <reviewItems>
    <reviewItem>
      <errorID>8aa65c05-5ff8-4527-ac1b-ca3b296930ee</errorID>
      <errorWord>2月31日</errorWord>
      <group>L1_Other</group>
      <groupName>其他问题</groupName>
      <ability>L2_UserTypo</ability>
      <abilityName>自定义错误</abilityName>
      <candidateList>
        <item>建议核实</item>
      </candidateList>
      <explain>来自自定义错词库。</explain>
      <paraID>4EC61409</paraID>
      <start>45</start>
      <end>50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8d3a32-7309-4c19-98a1-9ec437e6226c}">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51</Pages>
  <Words>9958</Words>
  <Characters>10798</Characters>
  <Lines>1</Lines>
  <Paragraphs>1</Paragraphs>
  <TotalTime>9</TotalTime>
  <ScaleCrop>false</ScaleCrop>
  <LinksUpToDate>false</LinksUpToDate>
  <CharactersWithSpaces>10841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WPS_1562320662</cp:lastModifiedBy>
  <cp:lastPrinted>2022-02-15T09:47:00Z</cp:lastPrinted>
  <dcterms:modified xsi:type="dcterms:W3CDTF">2026-04-30T04:59:02Z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5C9EC9FB472A4A70AD856DB98EEC0E97_13</vt:lpwstr>
  </property>
  <property fmtid="{D5CDD505-2E9C-101B-9397-08002B2CF9AE}" pid="4" name="KSOTemplateDocerSaveRecord">
    <vt:lpwstr>eyJoZGlkIjoiNGRhODgyNjQ5YTE5ZjFmYjE2NDEwOTU4OTE2MjU0N2MiLCJ1c2VySWQiOiI2MDE2NTE5NzkifQ==</vt:lpwstr>
  </property>
</Properties>
</file>