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2F6BF1">
      <w:pPr>
        <w:adjustRightInd w:val="0"/>
        <w:snapToGrid w:val="0"/>
        <w:spacing w:line="240" w:lineRule="auto"/>
        <w:ind w:firstLine="0" w:firstLineChars="0"/>
        <w:jc w:val="center"/>
        <w:textAlignment w:val="auto"/>
        <w:outlineLvl w:val="0"/>
        <w:rPr>
          <w:rFonts w:ascii="方正小标宋_GBK" w:eastAsia="方正小标宋_GBK" w:cs="Times New Roman"/>
          <w:bCs/>
          <w:color w:val="000000" w:themeColor="text1"/>
          <w:sz w:val="72"/>
          <w:szCs w:val="72"/>
          <w14:textFill>
            <w14:solidFill>
              <w14:schemeClr w14:val="tx1"/>
            </w14:solidFill>
          </w14:textFill>
        </w:rPr>
      </w:pPr>
      <w:bookmarkStart w:id="0" w:name="_Hlk215836209"/>
    </w:p>
    <w:p w14:paraId="2C4D01C6">
      <w:pPr>
        <w:adjustRightInd w:val="0"/>
        <w:snapToGrid w:val="0"/>
        <w:spacing w:line="240" w:lineRule="auto"/>
        <w:ind w:firstLine="0" w:firstLineChars="0"/>
        <w:jc w:val="center"/>
        <w:textAlignment w:val="auto"/>
        <w:outlineLvl w:val="0"/>
        <w:rPr>
          <w:rFonts w:ascii="宋体" w:hAnsi="宋体" w:cs="Times New Roman"/>
          <w:bCs/>
          <w:color w:val="000000" w:themeColor="text1"/>
          <w:sz w:val="72"/>
          <w:szCs w:val="72"/>
          <w14:textFill>
            <w14:solidFill>
              <w14:schemeClr w14:val="tx1"/>
            </w14:solidFill>
          </w14:textFill>
        </w:rPr>
      </w:pPr>
      <w:r>
        <w:rPr>
          <w:rFonts w:hint="eastAsia" w:ascii="宋体" w:hAnsi="宋体" w:cs="Times New Roman"/>
          <w:bCs/>
          <w:color w:val="000000" w:themeColor="text1"/>
          <w:sz w:val="72"/>
          <w:szCs w:val="72"/>
          <w14:textFill>
            <w14:solidFill>
              <w14:schemeClr w14:val="tx1"/>
            </w14:solidFill>
          </w14:textFill>
        </w:rPr>
        <w:t>建设项目环境影响报告表</w:t>
      </w:r>
    </w:p>
    <w:p w14:paraId="2149E146">
      <w:pPr>
        <w:adjustRightInd w:val="0"/>
        <w:snapToGrid w:val="0"/>
        <w:spacing w:before="260" w:beforeLines="80" w:line="240" w:lineRule="auto"/>
        <w:ind w:firstLine="0" w:firstLineChars="0"/>
        <w:jc w:val="center"/>
        <w:textAlignment w:val="auto"/>
        <w:rPr>
          <w:rFonts w:ascii="宋体" w:hAnsi="宋体" w:cs="Times New Roman"/>
          <w:bCs/>
          <w:color w:val="000000" w:themeColor="text1"/>
          <w:sz w:val="48"/>
          <w:szCs w:val="48"/>
          <w14:textFill>
            <w14:solidFill>
              <w14:schemeClr w14:val="tx1"/>
            </w14:solidFill>
          </w14:textFill>
        </w:rPr>
      </w:pPr>
      <w:r>
        <w:rPr>
          <w:rFonts w:hint="eastAsia" w:ascii="宋体" w:hAnsi="宋体" w:cs="Times New Roman"/>
          <w:bCs/>
          <w:color w:val="000000" w:themeColor="text1"/>
          <w:sz w:val="48"/>
          <w:szCs w:val="48"/>
          <w14:textFill>
            <w14:solidFill>
              <w14:schemeClr w14:val="tx1"/>
            </w14:solidFill>
          </w14:textFill>
        </w:rPr>
        <w:t>（污染影响类）</w:t>
      </w:r>
    </w:p>
    <w:p w14:paraId="2A53F3D4">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71BDC4BC">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18314D65">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3672E127">
      <w:pPr>
        <w:adjustRightInd w:val="0"/>
        <w:snapToGrid w:val="0"/>
        <w:spacing w:line="288" w:lineRule="auto"/>
        <w:ind w:firstLine="1040" w:firstLineChars="0"/>
        <w:textAlignment w:val="auto"/>
        <w:rPr>
          <w:rFonts w:ascii="宋体" w:hAnsi="宋体" w:cs="Times New Roman"/>
          <w:color w:val="000000" w:themeColor="text1"/>
          <w:sz w:val="36"/>
          <w:szCs w:val="36"/>
          <w14:textFill>
            <w14:solidFill>
              <w14:schemeClr w14:val="tx1"/>
            </w14:solidFill>
          </w14:textFill>
        </w:rPr>
      </w:pPr>
    </w:p>
    <w:p w14:paraId="70345741">
      <w:pPr>
        <w:adjustRightInd w:val="0"/>
        <w:spacing w:after="240"/>
        <w:ind w:left="1800" w:hanging="1800" w:hangingChars="500"/>
        <w:jc w:val="left"/>
        <w:textAlignment w:val="auto"/>
        <w:rPr>
          <w:rFonts w:cs="Times New Roman"/>
          <w:color w:val="000000" w:themeColor="text1"/>
          <w:sz w:val="36"/>
          <w:szCs w:val="36"/>
          <w:u w:val="single"/>
          <w14:textFill>
            <w14:solidFill>
              <w14:schemeClr w14:val="tx1"/>
            </w14:solidFill>
          </w14:textFill>
        </w:rPr>
      </w:pPr>
      <w:bookmarkStart w:id="1" w:name="_Hlk215836157"/>
      <w:r>
        <w:rPr>
          <w:rFonts w:cs="Times New Roman"/>
          <w:color w:val="000000" w:themeColor="text1"/>
          <w:sz w:val="36"/>
          <w:szCs w:val="36"/>
          <w14:textFill>
            <w14:solidFill>
              <w14:schemeClr w14:val="tx1"/>
            </w14:solidFill>
          </w14:textFill>
        </w:rPr>
        <w:t>项目名称：</w:t>
      </w:r>
      <w:r>
        <w:rPr>
          <w:rFonts w:hint="eastAsia" w:cs="Times New Roman"/>
          <w:color w:val="000000" w:themeColor="text1"/>
          <w:sz w:val="36"/>
          <w:szCs w:val="36"/>
          <w:u w:val="single"/>
          <w14:textFill>
            <w14:solidFill>
              <w14:schemeClr w14:val="tx1"/>
            </w14:solidFill>
          </w14:textFill>
        </w:rPr>
        <w:t xml:space="preserve">新疆飞在远方再生资源有限公司废旧塑料回收加工处置建设项目 </w:t>
      </w:r>
      <w:r>
        <w:rPr>
          <w:rFonts w:cs="Times New Roman"/>
          <w:color w:val="000000" w:themeColor="text1"/>
          <w:sz w:val="36"/>
          <w:szCs w:val="36"/>
          <w:u w:val="single"/>
          <w14:textFill>
            <w14:solidFill>
              <w14:schemeClr w14:val="tx1"/>
            </w14:solidFill>
          </w14:textFill>
        </w:rPr>
        <w:t xml:space="preserve">              </w:t>
      </w:r>
      <w:r>
        <w:rPr>
          <w:rFonts w:hint="eastAsia" w:cs="Times New Roman"/>
          <w:color w:val="000000" w:themeColor="text1"/>
          <w:sz w:val="36"/>
          <w:szCs w:val="36"/>
          <w:u w:val="single"/>
          <w14:textFill>
            <w14:solidFill>
              <w14:schemeClr w14:val="tx1"/>
            </w14:solidFill>
          </w14:textFill>
        </w:rPr>
        <w:t xml:space="preserve">         </w:t>
      </w:r>
    </w:p>
    <w:p w14:paraId="23043A66">
      <w:pPr>
        <w:adjustRightInd w:val="0"/>
        <w:snapToGrid w:val="0"/>
        <w:ind w:firstLine="0" w:firstLineChars="0"/>
        <w:textAlignment w:val="auto"/>
        <w:rPr>
          <w:rFonts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建设单位（盖章）：</w:t>
      </w:r>
      <w:r>
        <w:rPr>
          <w:rFonts w:hint="eastAsia" w:cs="Times New Roman"/>
          <w:color w:val="000000" w:themeColor="text1"/>
          <w:sz w:val="36"/>
          <w:szCs w:val="36"/>
          <w:u w:val="single"/>
          <w14:textFill>
            <w14:solidFill>
              <w14:schemeClr w14:val="tx1"/>
            </w14:solidFill>
          </w14:textFill>
        </w:rPr>
        <w:t>新疆飞在远方再生资源有限公司</w:t>
      </w:r>
      <w:r>
        <w:rPr>
          <w:rFonts w:cs="Times New Roman"/>
          <w:color w:val="000000" w:themeColor="text1"/>
          <w:sz w:val="36"/>
          <w:szCs w:val="36"/>
          <w:u w:val="single"/>
          <w14:textFill>
            <w14:solidFill>
              <w14:schemeClr w14:val="tx1"/>
            </w14:solidFill>
          </w14:textFill>
        </w:rPr>
        <w:t xml:space="preserve">  </w:t>
      </w:r>
    </w:p>
    <w:p w14:paraId="7441102D">
      <w:pPr>
        <w:adjustRightInd w:val="0"/>
        <w:snapToGrid w:val="0"/>
        <w:ind w:firstLine="0" w:firstLineChars="0"/>
        <w:textAlignment w:val="auto"/>
        <w:rPr>
          <w:rFonts w:ascii="宋体" w:hAnsi="宋体" w:cs="Times New Roman"/>
          <w:color w:val="000000" w:themeColor="text1"/>
          <w:sz w:val="36"/>
          <w:szCs w:val="36"/>
          <w:u w:val="single"/>
          <w14:textFill>
            <w14:solidFill>
              <w14:schemeClr w14:val="tx1"/>
            </w14:solidFill>
          </w14:textFill>
        </w:rPr>
      </w:pPr>
      <w:r>
        <w:rPr>
          <w:rFonts w:cs="Times New Roman"/>
          <w:color w:val="000000" w:themeColor="text1"/>
          <w:sz w:val="36"/>
          <w:szCs w:val="36"/>
          <w14:textFill>
            <w14:solidFill>
              <w14:schemeClr w14:val="tx1"/>
            </w14:solidFill>
          </w14:textFill>
        </w:rPr>
        <w:t>编制日期：</w:t>
      </w:r>
      <w:r>
        <w:rPr>
          <w:rFonts w:cs="Times New Roman"/>
          <w:color w:val="000000" w:themeColor="text1"/>
          <w:sz w:val="36"/>
          <w:szCs w:val="36"/>
          <w:u w:val="single"/>
          <w14:textFill>
            <w14:solidFill>
              <w14:schemeClr w14:val="tx1"/>
            </w14:solidFill>
          </w14:textFill>
        </w:rPr>
        <w:t xml:space="preserve">2026年4月  </w:t>
      </w:r>
      <w:r>
        <w:rPr>
          <w:rFonts w:ascii="宋体" w:hAnsi="宋体" w:cs="Times New Roman"/>
          <w:color w:val="000000" w:themeColor="text1"/>
          <w:sz w:val="36"/>
          <w:szCs w:val="36"/>
          <w:u w:val="single"/>
          <w14:textFill>
            <w14:solidFill>
              <w14:schemeClr w14:val="tx1"/>
            </w14:solidFill>
          </w14:textFill>
        </w:rPr>
        <w:t xml:space="preserve">                           </w:t>
      </w:r>
    </w:p>
    <w:bookmarkEnd w:id="1"/>
    <w:p w14:paraId="7F16863B">
      <w:pPr>
        <w:adjustRightInd w:val="0"/>
        <w:snapToGrid w:val="0"/>
        <w:spacing w:line="288" w:lineRule="auto"/>
        <w:ind w:firstLine="1040" w:firstLineChars="0"/>
        <w:textAlignment w:val="auto"/>
        <w:rPr>
          <w:rFonts w:ascii="仿宋_GB2312" w:eastAsia="仿宋_GB2312" w:cs="Times New Roman"/>
          <w:color w:val="000000" w:themeColor="text1"/>
          <w:sz w:val="36"/>
          <w:szCs w:val="36"/>
          <w:u w:val="single"/>
          <w14:textFill>
            <w14:solidFill>
              <w14:schemeClr w14:val="tx1"/>
            </w14:solidFill>
          </w14:textFill>
        </w:rPr>
      </w:pPr>
      <w:bookmarkStart w:id="2" w:name="_Hlk57884087"/>
    </w:p>
    <w:p w14:paraId="1E287741">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1173A8CC">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1D1F45B8">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p w14:paraId="53C272BE">
      <w:pPr>
        <w:adjustRightInd w:val="0"/>
        <w:snapToGrid w:val="0"/>
        <w:spacing w:line="288" w:lineRule="auto"/>
        <w:ind w:firstLine="1040" w:firstLineChars="0"/>
        <w:textAlignment w:val="auto"/>
        <w:rPr>
          <w:rFonts w:ascii="仿宋_GB2312" w:eastAsia="仿宋_GB2312" w:cs="Times New Roman"/>
          <w:color w:val="000000" w:themeColor="text1"/>
          <w:sz w:val="36"/>
          <w:szCs w:val="36"/>
          <w14:textFill>
            <w14:solidFill>
              <w14:schemeClr w14:val="tx1"/>
            </w14:solidFill>
          </w14:textFill>
        </w:rPr>
      </w:pPr>
    </w:p>
    <w:bookmarkEnd w:id="2"/>
    <w:p w14:paraId="65B8C720">
      <w:pPr>
        <w:adjustRightInd w:val="0"/>
        <w:snapToGrid w:val="0"/>
        <w:spacing w:line="288" w:lineRule="auto"/>
        <w:ind w:firstLine="0" w:firstLineChars="0"/>
        <w:jc w:val="center"/>
        <w:textAlignment w:val="auto"/>
        <w:rPr>
          <w:rFonts w:ascii="楷体_GB2312" w:eastAsia="楷体_GB2312" w:cs="Times New Roman"/>
          <w:color w:val="000000" w:themeColor="text1"/>
          <w:sz w:val="36"/>
          <w:szCs w:val="36"/>
          <w14:textFill>
            <w14:solidFill>
              <w14:schemeClr w14:val="tx1"/>
            </w14:solidFill>
          </w14:textFill>
        </w:rPr>
      </w:pPr>
      <w:r>
        <w:rPr>
          <w:rFonts w:hint="eastAsia" w:ascii="楷体_GB2312" w:eastAsia="楷体_GB2312" w:cs="Times New Roman"/>
          <w:color w:val="000000" w:themeColor="text1"/>
          <w:sz w:val="36"/>
          <w:szCs w:val="36"/>
          <w14:textFill>
            <w14:solidFill>
              <w14:schemeClr w14:val="tx1"/>
            </w14:solidFill>
          </w14:textFill>
        </w:rPr>
        <w:t>中华人民共和国生态环境部制</w:t>
      </w:r>
    </w:p>
    <w:p w14:paraId="7CBC0A3C">
      <w:pPr>
        <w:ind w:firstLine="480"/>
      </w:pPr>
    </w:p>
    <w:bookmarkEnd w:id="0"/>
    <w:p w14:paraId="54E1AA6A">
      <w:pPr>
        <w:ind w:firstLine="480"/>
      </w:pPr>
    </w:p>
    <w:p w14:paraId="70537FD8">
      <w:pPr>
        <w:ind w:firstLine="480"/>
      </w:pPr>
    </w:p>
    <w:p w14:paraId="4E5C6B6B">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一、建设项目基本情况</w:t>
      </w:r>
    </w:p>
    <w:tbl>
      <w:tblPr>
        <w:tblStyle w:val="24"/>
        <w:tblW w:w="498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83"/>
        <w:gridCol w:w="1703"/>
        <w:gridCol w:w="2040"/>
        <w:gridCol w:w="1856"/>
        <w:gridCol w:w="2998"/>
      </w:tblGrid>
      <w:tr w14:paraId="1D11E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55" w:hRule="atLeast"/>
        </w:trPr>
        <w:tc>
          <w:tcPr>
            <w:tcW w:w="1203" w:type="pct"/>
            <w:gridSpan w:val="2"/>
            <w:tcMar>
              <w:top w:w="16" w:type="dxa"/>
              <w:left w:w="16" w:type="dxa"/>
              <w:right w:w="16" w:type="dxa"/>
            </w:tcMar>
            <w:vAlign w:val="center"/>
          </w:tcPr>
          <w:p w14:paraId="4A91BBB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建设项目名称</w:t>
            </w:r>
          </w:p>
        </w:tc>
        <w:tc>
          <w:tcPr>
            <w:tcW w:w="3796" w:type="pct"/>
            <w:gridSpan w:val="3"/>
            <w:vAlign w:val="center"/>
          </w:tcPr>
          <w:p w14:paraId="53DB3F22">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新疆飞在远方再生资源有限公司废旧塑料回收加工处置建设项目</w:t>
            </w:r>
          </w:p>
        </w:tc>
      </w:tr>
      <w:tr w14:paraId="304D09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2" w:hRule="atLeast"/>
        </w:trPr>
        <w:tc>
          <w:tcPr>
            <w:tcW w:w="1203" w:type="pct"/>
            <w:gridSpan w:val="2"/>
            <w:tcMar>
              <w:top w:w="16" w:type="dxa"/>
              <w:left w:w="16" w:type="dxa"/>
              <w:right w:w="16" w:type="dxa"/>
            </w:tcMar>
            <w:vAlign w:val="center"/>
          </w:tcPr>
          <w:p w14:paraId="538523E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项目代码</w:t>
            </w:r>
          </w:p>
        </w:tc>
        <w:tc>
          <w:tcPr>
            <w:tcW w:w="3796" w:type="pct"/>
            <w:gridSpan w:val="3"/>
            <w:vAlign w:val="center"/>
          </w:tcPr>
          <w:p w14:paraId="35C060C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2B528F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0" w:hRule="atLeast"/>
        </w:trPr>
        <w:tc>
          <w:tcPr>
            <w:tcW w:w="1203" w:type="pct"/>
            <w:gridSpan w:val="2"/>
            <w:tcMar>
              <w:top w:w="16" w:type="dxa"/>
              <w:left w:w="16" w:type="dxa"/>
              <w:right w:w="16" w:type="dxa"/>
            </w:tcMar>
            <w:vAlign w:val="center"/>
          </w:tcPr>
          <w:p w14:paraId="1684C6AA">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建设单位联系人</w:t>
            </w:r>
          </w:p>
        </w:tc>
        <w:tc>
          <w:tcPr>
            <w:tcW w:w="1123" w:type="pct"/>
            <w:vAlign w:val="center"/>
          </w:tcPr>
          <w:p w14:paraId="7EC6317C">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022" w:type="pct"/>
            <w:vAlign w:val="center"/>
          </w:tcPr>
          <w:p w14:paraId="14655810">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c>
          <w:tcPr>
            <w:tcW w:w="1650" w:type="pct"/>
            <w:vAlign w:val="center"/>
          </w:tcPr>
          <w:p w14:paraId="0EF0149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4B2C3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0" w:hRule="atLeast"/>
        </w:trPr>
        <w:tc>
          <w:tcPr>
            <w:tcW w:w="1203" w:type="pct"/>
            <w:gridSpan w:val="2"/>
            <w:tcMar>
              <w:top w:w="16" w:type="dxa"/>
              <w:left w:w="16" w:type="dxa"/>
              <w:right w:w="16" w:type="dxa"/>
            </w:tcMar>
            <w:vAlign w:val="center"/>
          </w:tcPr>
          <w:p w14:paraId="1965F52B">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建设地点</w:t>
            </w:r>
          </w:p>
        </w:tc>
        <w:tc>
          <w:tcPr>
            <w:tcW w:w="3796" w:type="pct"/>
            <w:gridSpan w:val="3"/>
            <w:vAlign w:val="center"/>
          </w:tcPr>
          <w:p w14:paraId="777B2AF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7CEF91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0" w:hRule="atLeast"/>
        </w:trPr>
        <w:tc>
          <w:tcPr>
            <w:tcW w:w="1203" w:type="pct"/>
            <w:gridSpan w:val="2"/>
            <w:tcMar>
              <w:top w:w="16" w:type="dxa"/>
              <w:left w:w="16" w:type="dxa"/>
              <w:right w:w="16" w:type="dxa"/>
            </w:tcMar>
            <w:vAlign w:val="center"/>
          </w:tcPr>
          <w:p w14:paraId="7A2DCE78">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地理坐标</w:t>
            </w:r>
          </w:p>
        </w:tc>
        <w:tc>
          <w:tcPr>
            <w:tcW w:w="3796" w:type="pct"/>
            <w:gridSpan w:val="3"/>
            <w:vAlign w:val="center"/>
          </w:tcPr>
          <w:p w14:paraId="4A56BF23">
            <w:pPr>
              <w:spacing w:line="240" w:lineRule="auto"/>
              <w:ind w:firstLine="0" w:firstLineChars="0"/>
              <w:jc w:val="center"/>
              <w:textAlignment w:val="auto"/>
              <w:rPr>
                <w:rFonts w:cs="Times New Roman"/>
                <w:color w:val="000000" w:themeColor="text1"/>
                <w:szCs w:val="24"/>
                <w14:textFill>
                  <w14:solidFill>
                    <w14:schemeClr w14:val="tx1"/>
                  </w14:solidFill>
                </w14:textFill>
              </w:rPr>
            </w:pPr>
          </w:p>
        </w:tc>
      </w:tr>
      <w:tr w14:paraId="082531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46" w:hRule="atLeast"/>
        </w:trPr>
        <w:tc>
          <w:tcPr>
            <w:tcW w:w="1203" w:type="pct"/>
            <w:gridSpan w:val="2"/>
            <w:tcMar>
              <w:top w:w="16" w:type="dxa"/>
              <w:left w:w="16" w:type="dxa"/>
              <w:right w:w="16" w:type="dxa"/>
            </w:tcMar>
            <w:vAlign w:val="center"/>
          </w:tcPr>
          <w:p w14:paraId="0D9FA30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国民经济</w:t>
            </w:r>
          </w:p>
          <w:p w14:paraId="403D860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p>
        </w:tc>
        <w:tc>
          <w:tcPr>
            <w:tcW w:w="1123" w:type="pct"/>
            <w:vAlign w:val="center"/>
          </w:tcPr>
          <w:p w14:paraId="134B8F8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t>C</w:t>
            </w:r>
            <w:r>
              <w:rPr>
                <w:rFonts w:hint="eastAsia"/>
              </w:rPr>
              <w:t>42</w:t>
            </w:r>
            <w:r>
              <w:t>1</w:t>
            </w:r>
            <w:r>
              <w:rPr>
                <w:rFonts w:hint="eastAsia"/>
              </w:rPr>
              <w:t>0金属废料和碎屑加工处理；</w:t>
            </w:r>
            <w:r>
              <w:t>C</w:t>
            </w:r>
            <w:r>
              <w:rPr>
                <w:rFonts w:hint="eastAsia"/>
              </w:rPr>
              <w:t>4220非金属废料和碎屑加工处理</w:t>
            </w:r>
          </w:p>
        </w:tc>
        <w:tc>
          <w:tcPr>
            <w:tcW w:w="1022" w:type="pct"/>
            <w:vAlign w:val="center"/>
          </w:tcPr>
          <w:p w14:paraId="54CD6DAE">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bookmarkStart w:id="3" w:name="_Hlk49843745"/>
            <w:r>
              <w:rPr>
                <w:rFonts w:cs="Times New Roman"/>
                <w:color w:val="000000" w:themeColor="text1"/>
                <w:szCs w:val="24"/>
                <w14:textFill>
                  <w14:solidFill>
                    <w14:schemeClr w14:val="tx1"/>
                  </w14:solidFill>
                </w14:textFill>
              </w:rPr>
              <w:t>建设项目</w:t>
            </w:r>
          </w:p>
          <w:p w14:paraId="67F584ED">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行业类别</w:t>
            </w:r>
            <w:bookmarkEnd w:id="3"/>
          </w:p>
        </w:tc>
        <w:tc>
          <w:tcPr>
            <w:tcW w:w="1650" w:type="pct"/>
            <w:vAlign w:val="center"/>
          </w:tcPr>
          <w:p w14:paraId="50F95455">
            <w:pPr>
              <w:adjustRightInd w:val="0"/>
              <w:snapToGrid w:val="0"/>
              <w:spacing w:line="240" w:lineRule="auto"/>
              <w:ind w:firstLine="0" w:firstLineChars="0"/>
              <w:textAlignment w:val="auto"/>
            </w:pPr>
            <w:r>
              <w:rPr>
                <w:rFonts w:cs="Times New Roman"/>
                <w:szCs w:val="24"/>
              </w:rPr>
              <w:t>三十九、废弃资源综合利用业</w:t>
            </w:r>
            <w:r>
              <w:rPr>
                <w:rFonts w:hint="eastAsia" w:cs="Times New Roman"/>
                <w:szCs w:val="24"/>
              </w:rPr>
              <w:t>42；</w:t>
            </w:r>
            <w:r>
              <w:rPr>
                <w:rFonts w:cs="Times New Roman"/>
                <w:szCs w:val="24"/>
              </w:rPr>
              <w:t>85、金属废料和碎屑加工处理421</w:t>
            </w:r>
            <w:r>
              <w:rPr>
                <w:rFonts w:hint="eastAsia" w:cs="Times New Roman"/>
                <w:szCs w:val="24"/>
              </w:rPr>
              <w:t>；非金属废料和碎屑加工处理</w:t>
            </w:r>
            <w:r>
              <w:rPr>
                <w:rFonts w:cs="Times New Roman"/>
                <w:szCs w:val="24"/>
              </w:rPr>
              <w:t>（</w:t>
            </w:r>
            <w:r>
              <w:rPr>
                <w:rFonts w:hint="eastAsia" w:cs="Times New Roman"/>
                <w:szCs w:val="24"/>
              </w:rPr>
              <w:t>均</w:t>
            </w:r>
            <w:r>
              <w:rPr>
                <w:rFonts w:cs="Times New Roman"/>
                <w:szCs w:val="24"/>
              </w:rPr>
              <w:t>不含原料为危险废物的，不含仅分拣、破碎的）</w:t>
            </w:r>
          </w:p>
        </w:tc>
      </w:tr>
      <w:tr w14:paraId="20C54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203" w:type="pct"/>
            <w:gridSpan w:val="2"/>
            <w:tcMar>
              <w:top w:w="16" w:type="dxa"/>
              <w:left w:w="16" w:type="dxa"/>
              <w:right w:w="16" w:type="dxa"/>
            </w:tcMar>
            <w:vAlign w:val="center"/>
          </w:tcPr>
          <w:p w14:paraId="15F14ED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建设性质</w:t>
            </w:r>
          </w:p>
        </w:tc>
        <w:tc>
          <w:tcPr>
            <w:tcW w:w="1123" w:type="pct"/>
            <w:vAlign w:val="center"/>
          </w:tcPr>
          <w:p w14:paraId="65695BC6">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新建（迁建）</w:t>
            </w:r>
          </w:p>
          <w:p w14:paraId="15F2AF72">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改建</w:t>
            </w:r>
          </w:p>
          <w:p w14:paraId="1A416D33">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扩建</w:t>
            </w:r>
          </w:p>
          <w:p w14:paraId="5B070DA0">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技术改造</w:t>
            </w:r>
          </w:p>
        </w:tc>
        <w:tc>
          <w:tcPr>
            <w:tcW w:w="1022" w:type="pct"/>
            <w:vAlign w:val="center"/>
          </w:tcPr>
          <w:p w14:paraId="38A293A2">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建设项目</w:t>
            </w:r>
          </w:p>
          <w:p w14:paraId="500685E4">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申报情形</w:t>
            </w:r>
          </w:p>
        </w:tc>
        <w:tc>
          <w:tcPr>
            <w:tcW w:w="1650" w:type="pct"/>
            <w:vAlign w:val="center"/>
          </w:tcPr>
          <w:p w14:paraId="254B6614">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首次申报项目</w:t>
            </w:r>
          </w:p>
          <w:p w14:paraId="5897D678">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不予批准后再次申报项目</w:t>
            </w:r>
          </w:p>
          <w:p w14:paraId="540BA531">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超五年重新审核项目</w:t>
            </w:r>
          </w:p>
          <w:p w14:paraId="5DCD1C58">
            <w:pPr>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A3"/>
            </w:r>
            <w:r>
              <w:rPr>
                <w:rFonts w:cs="Times New Roman"/>
                <w:color w:val="000000" w:themeColor="text1"/>
                <w:szCs w:val="24"/>
                <w14:textFill>
                  <w14:solidFill>
                    <w14:schemeClr w14:val="tx1"/>
                  </w14:solidFill>
                </w14:textFill>
              </w:rPr>
              <w:t>重大变动重新报批项目</w:t>
            </w:r>
          </w:p>
        </w:tc>
      </w:tr>
      <w:tr w14:paraId="69D08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264" w:hRule="atLeast"/>
        </w:trPr>
        <w:tc>
          <w:tcPr>
            <w:tcW w:w="1203" w:type="pct"/>
            <w:gridSpan w:val="2"/>
            <w:tcMar>
              <w:top w:w="16" w:type="dxa"/>
              <w:left w:w="16" w:type="dxa"/>
              <w:right w:w="16" w:type="dxa"/>
            </w:tcMar>
            <w:vAlign w:val="center"/>
          </w:tcPr>
          <w:p w14:paraId="4BB914D3">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14:paraId="1660B7C6">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备案）部门（选填）</w:t>
            </w:r>
          </w:p>
        </w:tc>
        <w:tc>
          <w:tcPr>
            <w:tcW w:w="1123" w:type="pct"/>
            <w:vAlign w:val="center"/>
          </w:tcPr>
          <w:p w14:paraId="1776E798">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hint="eastAsia" w:cs="Times New Roman"/>
                <w:color w:val="000000" w:themeColor="text1"/>
                <w:szCs w:val="24"/>
                <w14:textFill>
                  <w14:solidFill>
                    <w14:schemeClr w14:val="tx1"/>
                  </w14:solidFill>
                </w14:textFill>
              </w:rPr>
              <w:t>库尔勒市发展和改革委员会</w:t>
            </w:r>
          </w:p>
        </w:tc>
        <w:tc>
          <w:tcPr>
            <w:tcW w:w="1022" w:type="pct"/>
            <w:vAlign w:val="center"/>
          </w:tcPr>
          <w:p w14:paraId="479F82B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项目审批（核准/</w:t>
            </w:r>
          </w:p>
          <w:p w14:paraId="4D659D49">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备案）文号（选填）</w:t>
            </w:r>
          </w:p>
        </w:tc>
        <w:tc>
          <w:tcPr>
            <w:tcW w:w="1650" w:type="pct"/>
            <w:vAlign w:val="center"/>
          </w:tcPr>
          <w:p w14:paraId="4E4FE35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2025208</w:t>
            </w:r>
          </w:p>
        </w:tc>
      </w:tr>
      <w:tr w14:paraId="22B29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c>
          <w:tcPr>
            <w:tcW w:w="1203" w:type="pct"/>
            <w:gridSpan w:val="2"/>
            <w:tcMar>
              <w:top w:w="16" w:type="dxa"/>
              <w:left w:w="16" w:type="dxa"/>
              <w:right w:w="16" w:type="dxa"/>
            </w:tcMar>
            <w:vAlign w:val="center"/>
          </w:tcPr>
          <w:p w14:paraId="7FC686D1">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总投资（万元）</w:t>
            </w:r>
          </w:p>
        </w:tc>
        <w:tc>
          <w:tcPr>
            <w:tcW w:w="1123" w:type="pct"/>
            <w:vAlign w:val="center"/>
          </w:tcPr>
          <w:p w14:paraId="7E2EF795">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color w:val="000000" w:themeColor="text1"/>
                <w14:textFill>
                  <w14:solidFill>
                    <w14:schemeClr w14:val="tx1"/>
                  </w14:solidFill>
                </w14:textFill>
              </w:rPr>
              <w:t>120.5</w:t>
            </w:r>
          </w:p>
        </w:tc>
        <w:tc>
          <w:tcPr>
            <w:tcW w:w="1022" w:type="pct"/>
            <w:tcMar>
              <w:top w:w="16" w:type="dxa"/>
              <w:left w:w="16" w:type="dxa"/>
              <w:right w:w="16" w:type="dxa"/>
            </w:tcMar>
            <w:vAlign w:val="center"/>
          </w:tcPr>
          <w:p w14:paraId="6ADD127A">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环保投资（万元）</w:t>
            </w:r>
          </w:p>
        </w:tc>
        <w:tc>
          <w:tcPr>
            <w:tcW w:w="1650" w:type="pct"/>
            <w:vAlign w:val="center"/>
          </w:tcPr>
          <w:p w14:paraId="3E1ABC32">
            <w:pPr>
              <w:adjustRightInd w:val="0"/>
              <w:snapToGrid w:val="0"/>
              <w:spacing w:line="240" w:lineRule="auto"/>
              <w:ind w:firstLine="0" w:firstLineChars="0"/>
              <w:jc w:val="center"/>
              <w:textAlignment w:val="auto"/>
              <w:rPr>
                <w:rFonts w:cs="Times New Roman"/>
                <w:color w:val="000000" w:themeColor="text1"/>
                <w:szCs w:val="24"/>
                <w:highlight w:val="yellow"/>
                <w14:textFill>
                  <w14:solidFill>
                    <w14:schemeClr w14:val="tx1"/>
                  </w14:solidFill>
                </w14:textFill>
              </w:rPr>
            </w:pPr>
            <w:r>
              <w:rPr>
                <w:rFonts w:cs="Times New Roman"/>
                <w:color w:val="000000" w:themeColor="text1"/>
                <w:szCs w:val="24"/>
                <w14:textFill>
                  <w14:solidFill>
                    <w14:schemeClr w14:val="tx1"/>
                  </w14:solidFill>
                </w14:textFill>
              </w:rPr>
              <w:t>29</w:t>
            </w:r>
          </w:p>
        </w:tc>
      </w:tr>
      <w:tr w14:paraId="315B0C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5" w:hRule="atLeast"/>
        </w:trPr>
        <w:tc>
          <w:tcPr>
            <w:tcW w:w="1203" w:type="pct"/>
            <w:gridSpan w:val="2"/>
            <w:tcMar>
              <w:top w:w="16" w:type="dxa"/>
              <w:left w:w="16" w:type="dxa"/>
              <w:right w:w="16" w:type="dxa"/>
            </w:tcMar>
            <w:vAlign w:val="center"/>
          </w:tcPr>
          <w:p w14:paraId="3856628A">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环保投资占比（%）</w:t>
            </w:r>
          </w:p>
        </w:tc>
        <w:tc>
          <w:tcPr>
            <w:tcW w:w="1123" w:type="pct"/>
            <w:vAlign w:val="center"/>
          </w:tcPr>
          <w:p w14:paraId="650F15A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24.07</w:t>
            </w:r>
          </w:p>
        </w:tc>
        <w:tc>
          <w:tcPr>
            <w:tcW w:w="1022" w:type="pct"/>
            <w:tcMar>
              <w:top w:w="16" w:type="dxa"/>
              <w:left w:w="16" w:type="dxa"/>
              <w:right w:w="16" w:type="dxa"/>
            </w:tcMar>
            <w:vAlign w:val="center"/>
          </w:tcPr>
          <w:p w14:paraId="0EBFB457">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施工工期</w:t>
            </w:r>
          </w:p>
        </w:tc>
        <w:tc>
          <w:tcPr>
            <w:tcW w:w="1650" w:type="pct"/>
            <w:vAlign w:val="center"/>
          </w:tcPr>
          <w:p w14:paraId="6B76384F">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5</w:t>
            </w:r>
            <w:r>
              <w:rPr>
                <w:rFonts w:hint="eastAsia" w:cs="Times New Roman"/>
                <w:color w:val="000000" w:themeColor="text1"/>
                <w:szCs w:val="24"/>
                <w14:textFill>
                  <w14:solidFill>
                    <w14:schemeClr w14:val="tx1"/>
                  </w14:solidFill>
                </w14:textFill>
              </w:rPr>
              <w:t>个月</w:t>
            </w:r>
          </w:p>
        </w:tc>
      </w:tr>
      <w:tr w14:paraId="3E56E0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53" w:hRule="atLeast"/>
        </w:trPr>
        <w:tc>
          <w:tcPr>
            <w:tcW w:w="1203" w:type="pct"/>
            <w:gridSpan w:val="2"/>
            <w:tcMar>
              <w:top w:w="16" w:type="dxa"/>
              <w:left w:w="16" w:type="dxa"/>
              <w:right w:w="16" w:type="dxa"/>
            </w:tcMar>
            <w:vAlign w:val="center"/>
          </w:tcPr>
          <w:p w14:paraId="0CF04179">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是否开工建设</w:t>
            </w:r>
          </w:p>
        </w:tc>
        <w:tc>
          <w:tcPr>
            <w:tcW w:w="1123" w:type="pct"/>
            <w:vAlign w:val="center"/>
          </w:tcPr>
          <w:p w14:paraId="780C67DD">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F052"/>
            </w:r>
            <w:r>
              <w:rPr>
                <w:rFonts w:cs="Times New Roman"/>
                <w:color w:val="000000" w:themeColor="text1"/>
                <w:szCs w:val="24"/>
                <w14:textFill>
                  <w14:solidFill>
                    <w14:schemeClr w14:val="tx1"/>
                  </w14:solidFill>
                </w14:textFill>
              </w:rPr>
              <w:t>否</w:t>
            </w:r>
          </w:p>
          <w:p w14:paraId="0EF9903C">
            <w:pPr>
              <w:adjustRightInd w:val="0"/>
              <w:snapToGrid w:val="0"/>
              <w:spacing w:line="240" w:lineRule="auto"/>
              <w:ind w:firstLine="0" w:firstLineChars="0"/>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sym w:font="Wingdings 2" w:char="00A3"/>
            </w:r>
            <w:r>
              <w:rPr>
                <w:rFonts w:cs="Times New Roman"/>
                <w:color w:val="000000" w:themeColor="text1"/>
                <w:szCs w:val="24"/>
                <w14:textFill>
                  <w14:solidFill>
                    <w14:schemeClr w14:val="tx1"/>
                  </w14:solidFill>
                </w14:textFill>
              </w:rPr>
              <w:t>是</w:t>
            </w:r>
          </w:p>
        </w:tc>
        <w:tc>
          <w:tcPr>
            <w:tcW w:w="1022" w:type="pct"/>
            <w:tcMar>
              <w:top w:w="16" w:type="dxa"/>
              <w:left w:w="16" w:type="dxa"/>
              <w:right w:w="16" w:type="dxa"/>
            </w:tcMar>
            <w:vAlign w:val="center"/>
          </w:tcPr>
          <w:p w14:paraId="171F0685">
            <w:pPr>
              <w:adjustRightInd w:val="0"/>
              <w:snapToGrid w:val="0"/>
              <w:spacing w:line="240" w:lineRule="auto"/>
              <w:ind w:firstLine="0" w:firstLineChars="0"/>
              <w:jc w:val="center"/>
              <w:textAlignment w:val="auto"/>
              <w:rPr>
                <w:rFonts w:cs="Times New Roman"/>
                <w:color w:val="000000" w:themeColor="text1"/>
                <w:spacing w:val="-6"/>
                <w:szCs w:val="24"/>
                <w14:textFill>
                  <w14:solidFill>
                    <w14:schemeClr w14:val="tx1"/>
                  </w14:solidFill>
                </w14:textFill>
              </w:rPr>
            </w:pPr>
            <w:r>
              <w:rPr>
                <w:rFonts w:cs="Times New Roman"/>
                <w:color w:val="000000" w:themeColor="text1"/>
                <w:spacing w:val="-6"/>
                <w:szCs w:val="24"/>
                <w14:textFill>
                  <w14:solidFill>
                    <w14:schemeClr w14:val="tx1"/>
                  </w14:solidFill>
                </w14:textFill>
              </w:rPr>
              <w:t>用地（用海）</w:t>
            </w:r>
          </w:p>
          <w:p w14:paraId="1C49E30D">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pacing w:val="-6"/>
                <w:szCs w:val="24"/>
                <w14:textFill>
                  <w14:solidFill>
                    <w14:schemeClr w14:val="tx1"/>
                  </w14:solidFill>
                </w14:textFill>
              </w:rPr>
              <w:t>面积（m</w:t>
            </w:r>
            <w:r>
              <w:rPr>
                <w:rFonts w:cs="Times New Roman"/>
                <w:color w:val="000000" w:themeColor="text1"/>
                <w:spacing w:val="-6"/>
                <w:szCs w:val="24"/>
                <w:vertAlign w:val="superscript"/>
                <w14:textFill>
                  <w14:solidFill>
                    <w14:schemeClr w14:val="tx1"/>
                  </w14:solidFill>
                </w14:textFill>
              </w:rPr>
              <w:t>2</w:t>
            </w:r>
            <w:r>
              <w:rPr>
                <w:rFonts w:cs="Times New Roman"/>
                <w:color w:val="000000" w:themeColor="text1"/>
                <w:spacing w:val="-6"/>
                <w:szCs w:val="24"/>
                <w14:textFill>
                  <w14:solidFill>
                    <w14:schemeClr w14:val="tx1"/>
                  </w14:solidFill>
                </w14:textFill>
              </w:rPr>
              <w:t>）</w:t>
            </w:r>
          </w:p>
        </w:tc>
        <w:tc>
          <w:tcPr>
            <w:tcW w:w="1650" w:type="pct"/>
            <w:vAlign w:val="center"/>
          </w:tcPr>
          <w:p w14:paraId="59982F2E">
            <w:pPr>
              <w:adjustRightInd w:val="0"/>
              <w:snapToGrid w:val="0"/>
              <w:spacing w:line="240" w:lineRule="auto"/>
              <w:ind w:firstLine="0" w:firstLineChars="0"/>
              <w:jc w:val="center"/>
              <w:textAlignment w:val="auto"/>
              <w:rPr>
                <w:rFonts w:cs="Times New Roman"/>
                <w:color w:val="000000" w:themeColor="text1"/>
                <w:szCs w:val="24"/>
                <w14:textFill>
                  <w14:solidFill>
                    <w14:schemeClr w14:val="tx1"/>
                  </w14:solidFill>
                </w14:textFill>
              </w:rPr>
            </w:pPr>
            <w:r>
              <w:rPr>
                <w:rFonts w:cs="Times New Roman"/>
                <w:color w:val="000000" w:themeColor="text1"/>
                <w:szCs w:val="24"/>
                <w14:textFill>
                  <w14:solidFill>
                    <w14:schemeClr w14:val="tx1"/>
                  </w14:solidFill>
                </w14:textFill>
              </w:rPr>
              <w:t>6767</w:t>
            </w:r>
          </w:p>
        </w:tc>
      </w:tr>
      <w:tr w14:paraId="37ED9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7" w:hRule="atLeast"/>
        </w:trPr>
        <w:tc>
          <w:tcPr>
            <w:tcW w:w="1203" w:type="pct"/>
            <w:gridSpan w:val="2"/>
            <w:vAlign w:val="center"/>
          </w:tcPr>
          <w:p w14:paraId="25E266AE">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专项评价设置情况</w:t>
            </w:r>
          </w:p>
        </w:tc>
        <w:tc>
          <w:tcPr>
            <w:tcW w:w="3796" w:type="pct"/>
            <w:gridSpan w:val="3"/>
            <w:vAlign w:val="center"/>
          </w:tcPr>
          <w:p w14:paraId="7989D642">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35E5D7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8" w:hRule="atLeast"/>
        </w:trPr>
        <w:tc>
          <w:tcPr>
            <w:tcW w:w="1203" w:type="pct"/>
            <w:gridSpan w:val="2"/>
            <w:vAlign w:val="center"/>
          </w:tcPr>
          <w:p w14:paraId="30292AD7">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规划情况</w:t>
            </w:r>
          </w:p>
        </w:tc>
        <w:tc>
          <w:tcPr>
            <w:tcW w:w="3796" w:type="pct"/>
            <w:gridSpan w:val="3"/>
            <w:vAlign w:val="center"/>
          </w:tcPr>
          <w:p w14:paraId="365D572B">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539062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1" w:hRule="atLeast"/>
        </w:trPr>
        <w:tc>
          <w:tcPr>
            <w:tcW w:w="1203" w:type="pct"/>
            <w:gridSpan w:val="2"/>
            <w:vAlign w:val="center"/>
          </w:tcPr>
          <w:p w14:paraId="4D76E92E">
            <w:pPr>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szCs w:val="24"/>
                <w14:textFill>
                  <w14:solidFill>
                    <w14:schemeClr w14:val="tx1"/>
                  </w14:solidFill>
                </w14:textFill>
              </w:rPr>
              <w:t>规划环境影响评价情况</w:t>
            </w:r>
          </w:p>
        </w:tc>
        <w:tc>
          <w:tcPr>
            <w:tcW w:w="3796" w:type="pct"/>
            <w:gridSpan w:val="3"/>
            <w:vAlign w:val="center"/>
          </w:tcPr>
          <w:p w14:paraId="65DC680B">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7321C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203" w:type="pct"/>
            <w:gridSpan w:val="2"/>
            <w:vAlign w:val="center"/>
          </w:tcPr>
          <w:p w14:paraId="6511A105">
            <w:pPr>
              <w:autoSpaceDE w:val="0"/>
              <w:autoSpaceDN w:val="0"/>
              <w:adjustRightInd w:val="0"/>
              <w:snapToGrid w:val="0"/>
              <w:spacing w:line="240" w:lineRule="auto"/>
              <w:ind w:firstLine="0" w:firstLineChars="0"/>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规划及规划环境影响评价符合性分析</w:t>
            </w:r>
          </w:p>
        </w:tc>
        <w:tc>
          <w:tcPr>
            <w:tcW w:w="3796" w:type="pct"/>
            <w:gridSpan w:val="3"/>
            <w:vAlign w:val="center"/>
          </w:tcPr>
          <w:p w14:paraId="705B2184">
            <w:pPr>
              <w:spacing w:line="240" w:lineRule="auto"/>
              <w:ind w:firstLine="0" w:firstLineChars="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14:paraId="4D2FE3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42" w:hRule="atLeast"/>
        </w:trPr>
        <w:tc>
          <w:tcPr>
            <w:tcW w:w="267" w:type="pct"/>
            <w:vAlign w:val="center"/>
          </w:tcPr>
          <w:p w14:paraId="724D5900">
            <w:pPr>
              <w:autoSpaceDE w:val="0"/>
              <w:autoSpaceDN w:val="0"/>
              <w:adjustRightInd w:val="0"/>
              <w:snapToGrid w:val="0"/>
              <w:spacing w:line="240" w:lineRule="auto"/>
              <w:ind w:firstLine="0" w:firstLineChars="0"/>
              <w:jc w:val="center"/>
              <w:textAlignment w:val="auto"/>
              <w:rPr>
                <w:rFonts w:cs="Times New Roman"/>
                <w:color w:val="000000" w:themeColor="text1"/>
                <w:kern w:val="0"/>
                <w:szCs w:val="24"/>
                <w14:textFill>
                  <w14:solidFill>
                    <w14:schemeClr w14:val="tx1"/>
                  </w14:solidFill>
                </w14:textFill>
              </w:rPr>
            </w:pPr>
            <w:r>
              <w:rPr>
                <w:rFonts w:cs="Times New Roman"/>
                <w:color w:val="000000" w:themeColor="text1"/>
                <w:kern w:val="0"/>
                <w:szCs w:val="24"/>
                <w14:textFill>
                  <w14:solidFill>
                    <w14:schemeClr w14:val="tx1"/>
                  </w14:solidFill>
                </w14:textFill>
              </w:rPr>
              <w:t>其他符合性分析</w:t>
            </w:r>
          </w:p>
        </w:tc>
        <w:tc>
          <w:tcPr>
            <w:tcW w:w="4732" w:type="pct"/>
            <w:gridSpan w:val="4"/>
            <w:vAlign w:val="center"/>
          </w:tcPr>
          <w:p w14:paraId="1C5C3A3B">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1.项目产业政策符合性分析</w:t>
            </w:r>
          </w:p>
          <w:p w14:paraId="1932AC33">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根据国家发展和改革委员会《产业结构调整指导目录（</w:t>
            </w:r>
            <w:r>
              <w:rPr>
                <w:color w:val="000000" w:themeColor="text1"/>
                <w14:textFill>
                  <w14:solidFill>
                    <w14:schemeClr w14:val="tx1"/>
                  </w14:solidFill>
                </w14:textFill>
              </w:rPr>
              <w:t>2024</w:t>
            </w:r>
            <w:r>
              <w:rPr>
                <w:rFonts w:hint="eastAsia"/>
                <w:color w:val="000000" w:themeColor="text1"/>
                <w14:textFill>
                  <w14:solidFill>
                    <w14:schemeClr w14:val="tx1"/>
                  </w14:solidFill>
                </w14:textFill>
              </w:rPr>
              <w:t>年本）》的要求，</w:t>
            </w:r>
            <w:r>
              <w:rPr>
                <w:rFonts w:hint="eastAsia"/>
              </w:rPr>
              <w:t>本项目属于鼓励类中的“</w:t>
            </w:r>
            <w:r>
              <w:rPr>
                <w:rFonts w:hint="eastAsia"/>
                <w:b/>
                <w:bCs/>
              </w:rPr>
              <w:t>四十二、环境保护与资源节约综合利用</w:t>
            </w:r>
            <w:r>
              <w:rPr>
                <w:rFonts w:hint="eastAsia"/>
              </w:rPr>
              <w:t>——</w:t>
            </w:r>
            <w:r>
              <w:t>8</w:t>
            </w:r>
            <w:r>
              <w:rPr>
                <w:rFonts w:hint="eastAsia"/>
              </w:rPr>
              <w:t>、废弃物循环利用：</w:t>
            </w:r>
            <w:r>
              <w:rPr>
                <w:rFonts w:hint="eastAsia" w:cs="Times New Roman"/>
              </w:rPr>
              <w:t>废钢铁、废有色金属、废纸、废橡胶、废玻璃、</w:t>
            </w:r>
            <w:r>
              <w:rPr>
                <w:rFonts w:hint="eastAsia" w:cs="Times New Roman"/>
                <w:b/>
                <w:bCs/>
              </w:rPr>
              <w:t>废塑料</w:t>
            </w:r>
            <w:r>
              <w:rPr>
                <w:rFonts w:hint="eastAsia" w:cs="Times New Roman"/>
              </w:rPr>
              <w:t>等城市典型废弃物循环利用、技术设备开发及应用”，故</w:t>
            </w:r>
            <w:r>
              <w:rPr>
                <w:rFonts w:hint="eastAsia"/>
                <w:color w:val="000000" w:themeColor="text1"/>
                <w14:textFill>
                  <w14:solidFill>
                    <w14:schemeClr w14:val="tx1"/>
                  </w14:solidFill>
                </w14:textFill>
              </w:rPr>
              <w:t>符合国家产业政策。</w:t>
            </w:r>
            <w:bookmarkStart w:id="4" w:name="_Hlk97287319"/>
          </w:p>
          <w:p w14:paraId="4804CDEF">
            <w:pPr>
              <w:ind w:firstLine="0" w:firstLineChars="0"/>
              <w:rPr>
                <w:rFonts w:cs="Times New Roman"/>
                <w:b/>
                <w:bCs/>
              </w:rPr>
            </w:pPr>
            <w:r>
              <w:rPr>
                <w:rFonts w:hint="eastAsia"/>
                <w:b/>
                <w:bCs/>
                <w:color w:val="000000" w:themeColor="text1"/>
                <w14:textFill>
                  <w14:solidFill>
                    <w14:schemeClr w14:val="tx1"/>
                  </w14:solidFill>
                </w14:textFill>
              </w:rPr>
              <w:t>2.选址合理性分析</w:t>
            </w:r>
          </w:p>
          <w:p w14:paraId="7B5D268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本项目位于库尔勒市哈拉玉宫乡废旧物资回收加工产业园内的废旧塑料回收加工区。项目所在地水、电、道路等基础设施配套齐全，具备良好的建设条件。</w:t>
            </w:r>
          </w:p>
          <w:p w14:paraId="3F9B3D8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项目用地为工业用地，不涉及农业、林业用地，无土地权属纠纷；用地范围内未占用饮用水水源保护区、自然保护区、风景名胜区、生态功能保护区及其他生态敏感区与脆弱区，符合生态保护红线管控要求。</w:t>
            </w:r>
          </w:p>
          <w:p w14:paraId="4193C73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从行业属性看，本项目属于资源综合利用类环保产业项目，是推动废弃物资源化利用、促进循环经济发展的重要组成部分。</w:t>
            </w:r>
          </w:p>
          <w:p w14:paraId="5D4DA5A0">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在建设与运营过程中，项目严格落实环境保护主体责任，依据环境影响评价文件要求，配套建设完善且技术可行的污染物治理设施，确保各类污染物稳定达标排放。项目选址不涉及生态环境准入负面清单中禁止或限制建设的区域，符合国家及地方关于建设项目审批的相关政策规定，具备实施的合法性和可行性。</w:t>
            </w:r>
          </w:p>
          <w:p w14:paraId="06D7CA83">
            <w:pPr>
              <w:ind w:firstLine="480"/>
              <w:rPr>
                <w:rFonts w:cs="Times New Roman"/>
              </w:rPr>
            </w:pPr>
            <w:r>
              <w:rPr>
                <w:rFonts w:hint="eastAsia"/>
                <w:color w:val="000000" w:themeColor="text1"/>
                <w14:textFill>
                  <w14:solidFill>
                    <w14:schemeClr w14:val="tx1"/>
                  </w14:solidFill>
                </w14:textFill>
              </w:rPr>
              <w:t>综上所述，本项目选址合理，符合相关规划与环保要求</w:t>
            </w:r>
            <w:r>
              <w:rPr>
                <w:color w:val="000000" w:themeColor="text1"/>
                <w14:textFill>
                  <w14:solidFill>
                    <w14:schemeClr w14:val="tx1"/>
                  </w14:solidFill>
                </w14:textFill>
              </w:rPr>
              <w:t>。</w:t>
            </w:r>
          </w:p>
          <w:p w14:paraId="15A7FA88">
            <w:pPr>
              <w:ind w:firstLine="0" w:firstLineChars="0"/>
              <w:rPr>
                <w:b/>
                <w:bCs/>
                <w:color w:val="000000" w:themeColor="text1"/>
                <w14:textFill>
                  <w14:solidFill>
                    <w14:schemeClr w14:val="tx1"/>
                  </w14:solidFill>
                </w14:textFill>
              </w:rPr>
            </w:pPr>
            <w:r>
              <w:rPr>
                <w:b/>
                <w:bCs/>
                <w:color w:val="000000" w:themeColor="text1"/>
                <w14:textFill>
                  <w14:solidFill>
                    <w14:schemeClr w14:val="tx1"/>
                  </w14:solidFill>
                </w14:textFill>
              </w:rPr>
              <w:t>3</w:t>
            </w:r>
            <w:r>
              <w:rPr>
                <w:rFonts w:hint="eastAsia"/>
                <w:b/>
                <w:bCs/>
                <w:color w:val="000000" w:themeColor="text1"/>
                <w14:textFill>
                  <w14:solidFill>
                    <w14:schemeClr w14:val="tx1"/>
                  </w14:solidFill>
                </w14:textFill>
              </w:rPr>
              <w:t>.本项目与新疆维吾尔自治区“生态环境分区管控”符合性分析</w:t>
            </w:r>
          </w:p>
          <w:p w14:paraId="2797125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本项目与《新疆维吾尔自治区生态环境分区管控动态更新成果》（新环环评发〔2024〕157号）相符性分析详见表1-1。</w:t>
            </w:r>
          </w:p>
          <w:p w14:paraId="294C29B8">
            <w:pPr>
              <w:adjustRightInd w:val="0"/>
              <w:spacing w:before="163" w:beforeLines="50" w:line="240" w:lineRule="auto"/>
              <w:ind w:firstLine="0" w:firstLineChars="0"/>
              <w:jc w:val="center"/>
              <w:textAlignment w:val="baseline"/>
              <w:rPr>
                <w:b/>
                <w:kern w:val="0"/>
                <w:sz w:val="21"/>
                <w:szCs w:val="20"/>
              </w:rPr>
            </w:pPr>
            <w:r>
              <w:rPr>
                <w:rFonts w:hint="eastAsia"/>
                <w:b/>
                <w:kern w:val="0"/>
                <w:sz w:val="21"/>
                <w:szCs w:val="20"/>
              </w:rPr>
              <w:t>表</w:t>
            </w:r>
            <w:r>
              <w:rPr>
                <w:b/>
                <w:kern w:val="0"/>
                <w:sz w:val="21"/>
                <w:szCs w:val="20"/>
              </w:rPr>
              <w:t xml:space="preserve">1-1  </w:t>
            </w:r>
            <w:r>
              <w:rPr>
                <w:rFonts w:hint="eastAsia"/>
                <w:b/>
                <w:kern w:val="0"/>
                <w:sz w:val="21"/>
                <w:szCs w:val="20"/>
              </w:rPr>
              <w:t>与新疆维吾尔自治区“生态环境分区管控”符合性分析</w:t>
            </w:r>
            <w:r>
              <w:rPr>
                <w:rFonts w:hint="eastAsia" w:cs="Times New Roman"/>
                <w:b/>
                <w:kern w:val="0"/>
                <w:sz w:val="21"/>
                <w:szCs w:val="20"/>
              </w:rPr>
              <w:t>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00"/>
              <w:gridCol w:w="566"/>
              <w:gridCol w:w="4087"/>
              <w:gridCol w:w="2165"/>
              <w:gridCol w:w="632"/>
            </w:tblGrid>
            <w:tr w14:paraId="3C738A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Align w:val="center"/>
                </w:tcPr>
                <w:p w14:paraId="69E93B6D">
                  <w:pPr>
                    <w:spacing w:line="240" w:lineRule="auto"/>
                    <w:ind w:firstLine="0" w:firstLineChars="0"/>
                    <w:contextualSpacing/>
                    <w:jc w:val="center"/>
                    <w:rPr>
                      <w:rFonts w:cs="Times New Roman"/>
                      <w:sz w:val="21"/>
                      <w:szCs w:val="21"/>
                    </w:rPr>
                  </w:pPr>
                  <w:r>
                    <w:rPr>
                      <w:rFonts w:hint="eastAsia" w:cs="Times New Roman"/>
                      <w:sz w:val="21"/>
                      <w:szCs w:val="21"/>
                    </w:rPr>
                    <w:t>名称</w:t>
                  </w:r>
                </w:p>
              </w:tc>
              <w:tc>
                <w:tcPr>
                  <w:tcW w:w="2786" w:type="pct"/>
                  <w:gridSpan w:val="2"/>
                  <w:vAlign w:val="center"/>
                </w:tcPr>
                <w:p w14:paraId="3399BEA8">
                  <w:pPr>
                    <w:spacing w:line="240" w:lineRule="auto"/>
                    <w:ind w:firstLine="0" w:firstLineChars="0"/>
                    <w:contextualSpacing/>
                    <w:jc w:val="center"/>
                    <w:rPr>
                      <w:rFonts w:cs="Times New Roman"/>
                      <w:sz w:val="21"/>
                      <w:szCs w:val="21"/>
                    </w:rPr>
                  </w:pPr>
                  <w:r>
                    <w:rPr>
                      <w:rFonts w:hint="eastAsia" w:cs="Times New Roman"/>
                      <w:sz w:val="21"/>
                      <w:szCs w:val="21"/>
                    </w:rPr>
                    <w:t>文件要求</w:t>
                  </w:r>
                </w:p>
              </w:tc>
              <w:tc>
                <w:tcPr>
                  <w:tcW w:w="1296" w:type="pct"/>
                  <w:vAlign w:val="center"/>
                </w:tcPr>
                <w:p w14:paraId="2C3408C0">
                  <w:pPr>
                    <w:spacing w:line="240" w:lineRule="auto"/>
                    <w:ind w:firstLine="0" w:firstLineChars="0"/>
                    <w:contextualSpacing/>
                    <w:jc w:val="center"/>
                    <w:rPr>
                      <w:rFonts w:cs="Times New Roman"/>
                      <w:sz w:val="21"/>
                      <w:szCs w:val="21"/>
                    </w:rPr>
                  </w:pPr>
                  <w:r>
                    <w:rPr>
                      <w:rFonts w:hint="eastAsia" w:cs="Times New Roman"/>
                      <w:sz w:val="21"/>
                      <w:szCs w:val="21"/>
                    </w:rPr>
                    <w:t>本项目</w:t>
                  </w:r>
                </w:p>
              </w:tc>
              <w:tc>
                <w:tcPr>
                  <w:tcW w:w="380" w:type="pct"/>
                  <w:vAlign w:val="center"/>
                </w:tcPr>
                <w:p w14:paraId="63407FCB">
                  <w:pPr>
                    <w:spacing w:line="240" w:lineRule="auto"/>
                    <w:ind w:firstLine="0" w:firstLineChars="0"/>
                    <w:contextualSpacing/>
                    <w:jc w:val="center"/>
                    <w:rPr>
                      <w:rFonts w:cs="Times New Roman"/>
                      <w:sz w:val="21"/>
                      <w:szCs w:val="21"/>
                    </w:rPr>
                  </w:pPr>
                  <w:r>
                    <w:rPr>
                      <w:rFonts w:hint="eastAsia" w:cs="Times New Roman"/>
                      <w:sz w:val="21"/>
                      <w:szCs w:val="21"/>
                    </w:rPr>
                    <w:t>符合性</w:t>
                  </w:r>
                </w:p>
              </w:tc>
            </w:tr>
            <w:tr w14:paraId="52C917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restart"/>
                  <w:vAlign w:val="center"/>
                </w:tcPr>
                <w:p w14:paraId="2ED24477">
                  <w:pPr>
                    <w:spacing w:line="240" w:lineRule="auto"/>
                    <w:ind w:firstLine="0" w:firstLineChars="0"/>
                    <w:contextualSpacing/>
                    <w:jc w:val="center"/>
                    <w:rPr>
                      <w:rFonts w:cs="Times New Roman"/>
                      <w:sz w:val="21"/>
                      <w:szCs w:val="21"/>
                    </w:rPr>
                  </w:pPr>
                  <w:r>
                    <w:rPr>
                      <w:rFonts w:hint="eastAsia"/>
                      <w:sz w:val="21"/>
                      <w:szCs w:val="21"/>
                    </w:rPr>
                    <w:t>《新疆维吾尔自治区“生态环境分区管控”生态环境分区管控方案》）</w:t>
                  </w:r>
                </w:p>
              </w:tc>
              <w:tc>
                <w:tcPr>
                  <w:tcW w:w="339" w:type="pct"/>
                  <w:vAlign w:val="center"/>
                </w:tcPr>
                <w:p w14:paraId="53994399">
                  <w:pPr>
                    <w:spacing w:line="240" w:lineRule="auto"/>
                    <w:ind w:firstLine="0" w:firstLineChars="0"/>
                    <w:contextualSpacing/>
                    <w:jc w:val="center"/>
                    <w:rPr>
                      <w:rFonts w:cs="Times New Roman"/>
                      <w:sz w:val="21"/>
                      <w:szCs w:val="21"/>
                    </w:rPr>
                  </w:pPr>
                  <w:r>
                    <w:rPr>
                      <w:rFonts w:hint="eastAsia" w:cs="Times New Roman"/>
                      <w:sz w:val="21"/>
                      <w:szCs w:val="21"/>
                    </w:rPr>
                    <w:t>生态保护红线</w:t>
                  </w:r>
                </w:p>
              </w:tc>
              <w:tc>
                <w:tcPr>
                  <w:tcW w:w="2446" w:type="pct"/>
                  <w:vAlign w:val="center"/>
                </w:tcPr>
                <w:p w14:paraId="39C33187">
                  <w:pPr>
                    <w:spacing w:line="240" w:lineRule="auto"/>
                    <w:ind w:firstLine="0" w:firstLineChars="0"/>
                    <w:contextualSpacing/>
                    <w:jc w:val="center"/>
                    <w:rPr>
                      <w:rFonts w:cs="Times New Roman"/>
                      <w:sz w:val="21"/>
                      <w:szCs w:val="21"/>
                    </w:rPr>
                  </w:pPr>
                  <w:r>
                    <w:rPr>
                      <w:rFonts w:hint="eastAsia" w:cs="Times New Roman"/>
                      <w:sz w:val="21"/>
                      <w:szCs w:val="21"/>
                    </w:rPr>
                    <w:t>按照“生态功能不降低、面积不减少、性质不改变”的基本要求，对划定的生态保护红线实施严格管控，保障和维护国家生态安全的底线和生命线</w:t>
                  </w:r>
                </w:p>
              </w:tc>
              <w:tc>
                <w:tcPr>
                  <w:tcW w:w="1296" w:type="pct"/>
                  <w:vAlign w:val="center"/>
                </w:tcPr>
                <w:p w14:paraId="104FE5EE">
                  <w:pPr>
                    <w:spacing w:line="240" w:lineRule="auto"/>
                    <w:ind w:firstLine="0" w:firstLineChars="0"/>
                    <w:contextualSpacing/>
                    <w:jc w:val="center"/>
                    <w:rPr>
                      <w:rFonts w:cs="Times New Roman"/>
                      <w:sz w:val="21"/>
                      <w:szCs w:val="21"/>
                    </w:rPr>
                  </w:pPr>
                  <w:r>
                    <w:rPr>
                      <w:rFonts w:hint="eastAsia" w:cs="Times New Roman"/>
                      <w:sz w:val="21"/>
                      <w:szCs w:val="21"/>
                    </w:rPr>
                    <w:t>本项目不在生态保护红线范围内</w:t>
                  </w:r>
                </w:p>
              </w:tc>
              <w:tc>
                <w:tcPr>
                  <w:tcW w:w="380" w:type="pct"/>
                  <w:vAlign w:val="center"/>
                </w:tcPr>
                <w:p w14:paraId="6434A5CA">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2008F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07941FF8">
                  <w:pPr>
                    <w:spacing w:line="240" w:lineRule="auto"/>
                    <w:ind w:firstLine="0" w:firstLineChars="0"/>
                    <w:contextualSpacing/>
                    <w:jc w:val="center"/>
                    <w:rPr>
                      <w:rFonts w:cs="Times New Roman"/>
                      <w:sz w:val="21"/>
                      <w:szCs w:val="21"/>
                    </w:rPr>
                  </w:pPr>
                </w:p>
              </w:tc>
              <w:tc>
                <w:tcPr>
                  <w:tcW w:w="339" w:type="pct"/>
                  <w:vAlign w:val="center"/>
                </w:tcPr>
                <w:p w14:paraId="589B1421">
                  <w:pPr>
                    <w:spacing w:line="240" w:lineRule="auto"/>
                    <w:ind w:firstLine="0" w:firstLineChars="0"/>
                    <w:contextualSpacing/>
                    <w:jc w:val="center"/>
                    <w:rPr>
                      <w:rFonts w:cs="Times New Roman"/>
                      <w:sz w:val="21"/>
                      <w:szCs w:val="21"/>
                    </w:rPr>
                  </w:pPr>
                  <w:r>
                    <w:rPr>
                      <w:rFonts w:hint="eastAsia" w:cs="Times New Roman"/>
                      <w:sz w:val="21"/>
                      <w:szCs w:val="21"/>
                    </w:rPr>
                    <w:t>环境质量底线</w:t>
                  </w:r>
                </w:p>
              </w:tc>
              <w:tc>
                <w:tcPr>
                  <w:tcW w:w="2446" w:type="pct"/>
                  <w:vAlign w:val="center"/>
                </w:tcPr>
                <w:p w14:paraId="5060282E">
                  <w:pPr>
                    <w:spacing w:line="240" w:lineRule="auto"/>
                    <w:ind w:firstLine="0" w:firstLineChars="0"/>
                    <w:contextualSpacing/>
                    <w:jc w:val="center"/>
                    <w:rPr>
                      <w:rFonts w:cs="Times New Roman"/>
                      <w:sz w:val="21"/>
                      <w:szCs w:val="21"/>
                    </w:rPr>
                  </w:pPr>
                  <w:r>
                    <w:rPr>
                      <w:rFonts w:hint="eastAsia" w:cs="Times New Roman"/>
                      <w:sz w:val="21"/>
                      <w:szCs w:val="21"/>
                    </w:rPr>
                    <w:t>全区水环境质量持续改善，受污染地表水体得到优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296" w:type="pct"/>
                  <w:vAlign w:val="center"/>
                </w:tcPr>
                <w:p w14:paraId="13F23FA9">
                  <w:pPr>
                    <w:spacing w:line="240" w:lineRule="auto"/>
                    <w:ind w:firstLine="0" w:firstLineChars="0"/>
                    <w:contextualSpacing/>
                    <w:rPr>
                      <w:rFonts w:cs="Times New Roman"/>
                      <w:sz w:val="21"/>
                      <w:szCs w:val="21"/>
                    </w:rPr>
                  </w:pPr>
                  <w:r>
                    <w:rPr>
                      <w:rFonts w:hint="eastAsia" w:cs="Times New Roman"/>
                      <w:sz w:val="21"/>
                      <w:szCs w:val="21"/>
                    </w:rPr>
                    <w:t>本项目营运期产生的废水主要包括生产废水和生活污水。生产废水经沉淀池处理后，回用于生产，不外排；生活污水经化粪池预处理后，定期由吸污车抽运至库尔勒市南市区污水处理厂进一步处理；本项目破碎、粉碎及筛分工序采用湿式作业，产生的粉尘经集气罩+布袋除尘器+15m高排气筒排放，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380" w:type="pct"/>
                  <w:vAlign w:val="center"/>
                </w:tcPr>
                <w:p w14:paraId="4F80ECCB">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3D956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13D0F1B4">
                  <w:pPr>
                    <w:spacing w:line="240" w:lineRule="auto"/>
                    <w:ind w:firstLine="0" w:firstLineChars="0"/>
                    <w:contextualSpacing/>
                    <w:jc w:val="center"/>
                    <w:rPr>
                      <w:rFonts w:cs="Times New Roman"/>
                      <w:sz w:val="21"/>
                      <w:szCs w:val="21"/>
                    </w:rPr>
                  </w:pPr>
                </w:p>
              </w:tc>
              <w:tc>
                <w:tcPr>
                  <w:tcW w:w="339" w:type="pct"/>
                  <w:vAlign w:val="center"/>
                </w:tcPr>
                <w:p w14:paraId="51D53CDD">
                  <w:pPr>
                    <w:spacing w:line="240" w:lineRule="auto"/>
                    <w:ind w:firstLine="0" w:firstLineChars="0"/>
                    <w:contextualSpacing/>
                    <w:jc w:val="center"/>
                    <w:rPr>
                      <w:rFonts w:cs="Times New Roman"/>
                      <w:sz w:val="21"/>
                      <w:szCs w:val="21"/>
                    </w:rPr>
                  </w:pPr>
                  <w:r>
                    <w:rPr>
                      <w:rFonts w:hint="eastAsia" w:cs="Times New Roman"/>
                      <w:sz w:val="21"/>
                      <w:szCs w:val="21"/>
                    </w:rPr>
                    <w:t>资源利用上线</w:t>
                  </w:r>
                </w:p>
              </w:tc>
              <w:tc>
                <w:tcPr>
                  <w:tcW w:w="2446" w:type="pct"/>
                  <w:vAlign w:val="center"/>
                </w:tcPr>
                <w:p w14:paraId="7C8CC625">
                  <w:pPr>
                    <w:spacing w:line="240" w:lineRule="auto"/>
                    <w:ind w:firstLine="0" w:firstLineChars="0"/>
                    <w:contextualSpacing/>
                    <w:jc w:val="center"/>
                    <w:rPr>
                      <w:rFonts w:cs="Times New Roman"/>
                      <w:sz w:val="21"/>
                      <w:szCs w:val="21"/>
                    </w:rPr>
                  </w:pPr>
                  <w:r>
                    <w:rPr>
                      <w:rFonts w:hint="eastAsia" w:cs="Times New Roman"/>
                      <w:sz w:val="21"/>
                      <w:szCs w:val="21"/>
                    </w:rPr>
                    <w:t>强化节约集约利用，持续提升资源能源利用效率，水资源、土地资源、能源消耗等达到国家、自治区下达的总量和强度控制目标</w:t>
                  </w:r>
                </w:p>
              </w:tc>
              <w:tc>
                <w:tcPr>
                  <w:tcW w:w="1296" w:type="pct"/>
                  <w:vAlign w:val="center"/>
                </w:tcPr>
                <w:p w14:paraId="3F9A6DCE">
                  <w:pPr>
                    <w:spacing w:line="240" w:lineRule="auto"/>
                    <w:ind w:firstLine="0" w:firstLineChars="0"/>
                    <w:contextualSpacing/>
                    <w:rPr>
                      <w:rFonts w:cs="Times New Roman"/>
                      <w:sz w:val="21"/>
                      <w:szCs w:val="21"/>
                    </w:rPr>
                  </w:pPr>
                  <w:r>
                    <w:rPr>
                      <w:rFonts w:hint="eastAsia" w:cs="Times New Roman"/>
                      <w:sz w:val="21"/>
                      <w:szCs w:val="21"/>
                    </w:rPr>
                    <w:t>本项目用水由库尔勒市哈拉玉宫乡废旧物资回收加工产业园供水系统供给，占地规模小。用水量、建设用地规模及综合能耗均符合国家及自治区规定的总量和强度控制要求</w:t>
                  </w:r>
                </w:p>
              </w:tc>
              <w:tc>
                <w:tcPr>
                  <w:tcW w:w="380" w:type="pct"/>
                  <w:vAlign w:val="center"/>
                </w:tcPr>
                <w:p w14:paraId="22735520">
                  <w:pPr>
                    <w:spacing w:line="240" w:lineRule="auto"/>
                    <w:ind w:firstLine="0" w:firstLineChars="0"/>
                    <w:contextualSpacing/>
                    <w:jc w:val="center"/>
                    <w:rPr>
                      <w:rFonts w:cs="Times New Roman"/>
                      <w:sz w:val="21"/>
                      <w:szCs w:val="21"/>
                    </w:rPr>
                  </w:pPr>
                  <w:r>
                    <w:rPr>
                      <w:rFonts w:hint="eastAsia" w:cs="Times New Roman"/>
                      <w:sz w:val="21"/>
                      <w:szCs w:val="21"/>
                    </w:rPr>
                    <w:t>符合</w:t>
                  </w:r>
                </w:p>
              </w:tc>
            </w:tr>
            <w:tr w14:paraId="296900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7" w:hRule="atLeast"/>
                <w:jc w:val="center"/>
              </w:trPr>
              <w:tc>
                <w:tcPr>
                  <w:tcW w:w="539" w:type="pct"/>
                  <w:vMerge w:val="continue"/>
                  <w:vAlign w:val="center"/>
                </w:tcPr>
                <w:p w14:paraId="27666DAE">
                  <w:pPr>
                    <w:spacing w:line="240" w:lineRule="auto"/>
                    <w:ind w:firstLine="0" w:firstLineChars="0"/>
                    <w:contextualSpacing/>
                    <w:jc w:val="center"/>
                    <w:rPr>
                      <w:rFonts w:cs="Times New Roman"/>
                      <w:sz w:val="21"/>
                      <w:szCs w:val="21"/>
                    </w:rPr>
                  </w:pPr>
                </w:p>
              </w:tc>
              <w:tc>
                <w:tcPr>
                  <w:tcW w:w="339" w:type="pct"/>
                  <w:vAlign w:val="center"/>
                </w:tcPr>
                <w:p w14:paraId="1F8A654F">
                  <w:pPr>
                    <w:spacing w:line="240" w:lineRule="auto"/>
                    <w:ind w:firstLine="0" w:firstLineChars="0"/>
                    <w:contextualSpacing/>
                    <w:jc w:val="center"/>
                    <w:rPr>
                      <w:rFonts w:cs="Times New Roman"/>
                      <w:sz w:val="21"/>
                      <w:szCs w:val="21"/>
                    </w:rPr>
                  </w:pPr>
                  <w:r>
                    <w:rPr>
                      <w:rFonts w:hint="eastAsia" w:cs="Times New Roman"/>
                      <w:sz w:val="21"/>
                      <w:szCs w:val="21"/>
                    </w:rPr>
                    <w:t>环境管控单元</w:t>
                  </w:r>
                </w:p>
              </w:tc>
              <w:tc>
                <w:tcPr>
                  <w:tcW w:w="2446" w:type="pct"/>
                  <w:vAlign w:val="center"/>
                </w:tcPr>
                <w:p w14:paraId="1B5D4AEA">
                  <w:pPr>
                    <w:adjustRightInd w:val="0"/>
                    <w:spacing w:line="240" w:lineRule="auto"/>
                    <w:ind w:firstLine="420"/>
                    <w:rPr>
                      <w:rFonts w:cs="Times New Roman"/>
                      <w:sz w:val="21"/>
                      <w:szCs w:val="21"/>
                    </w:rPr>
                  </w:pPr>
                  <w:r>
                    <w:rPr>
                      <w:rFonts w:hint="eastAsia" w:cs="Times New Roman"/>
                      <w:sz w:val="21"/>
                      <w:szCs w:val="21"/>
                    </w:rPr>
                    <w:t>自治区共划定1777个环境管控单元，分为优先保护单元、重点管控单元和一般管控单元三类，实施分类管控。</w:t>
                  </w:r>
                </w:p>
                <w:p w14:paraId="650FA3DC">
                  <w:pPr>
                    <w:adjustRightInd w:val="0"/>
                    <w:spacing w:line="240" w:lineRule="auto"/>
                    <w:ind w:firstLine="420"/>
                    <w:rPr>
                      <w:rFonts w:cs="Times New Roman"/>
                      <w:sz w:val="21"/>
                      <w:szCs w:val="21"/>
                    </w:rPr>
                  </w:pPr>
                  <w:r>
                    <w:rPr>
                      <w:rFonts w:hint="eastAsia" w:cs="Times New Roman"/>
                      <w:sz w:val="21"/>
                      <w:szCs w:val="21"/>
                    </w:rPr>
                    <w:t>优先保护单元925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14:paraId="240E193F">
                  <w:pPr>
                    <w:adjustRightInd w:val="0"/>
                    <w:spacing w:line="240" w:lineRule="auto"/>
                    <w:ind w:firstLine="420"/>
                    <w:rPr>
                      <w:rFonts w:cs="Times New Roman"/>
                      <w:sz w:val="21"/>
                      <w:szCs w:val="21"/>
                    </w:rPr>
                  </w:pPr>
                  <w:r>
                    <w:rPr>
                      <w:rFonts w:hint="eastAsia" w:cs="Times New Roman"/>
                      <w:sz w:val="21"/>
                      <w:szCs w:val="21"/>
                    </w:rPr>
                    <w:t>重点管控单元713个，主要包括城镇建成区、工业园区和开发强度大、污染物排放强度高的工业聚集区等。重点管控单元要着力优化空间布局，不断提升资源利用效率，有针对性地加强污染物排放管控和环境风险管控，解决生态环境质量不达标、生态环境风险高等问题。</w:t>
                  </w:r>
                </w:p>
                <w:p w14:paraId="4BEB560F">
                  <w:pPr>
                    <w:spacing w:line="240" w:lineRule="auto"/>
                    <w:ind w:firstLine="420"/>
                    <w:contextualSpacing/>
                    <w:rPr>
                      <w:rFonts w:cs="Times New Roman"/>
                      <w:sz w:val="21"/>
                      <w:szCs w:val="21"/>
                    </w:rPr>
                  </w:pPr>
                  <w:r>
                    <w:rPr>
                      <w:rFonts w:hint="eastAsia" w:cs="Times New Roman"/>
                      <w:sz w:val="21"/>
                      <w:szCs w:val="21"/>
                    </w:rPr>
                    <w:t>一般管控单元139个，主要包括优先保护单元和重点管控单元之外的其它区域。一般管控单元主要落实生态环境保护基本要求，推动区域环境质量持续改善。</w:t>
                  </w:r>
                </w:p>
              </w:tc>
              <w:tc>
                <w:tcPr>
                  <w:tcW w:w="1296" w:type="pct"/>
                  <w:vAlign w:val="center"/>
                </w:tcPr>
                <w:p w14:paraId="1E5164ED">
                  <w:pPr>
                    <w:spacing w:line="240" w:lineRule="auto"/>
                    <w:ind w:firstLine="0" w:firstLineChars="0"/>
                    <w:contextualSpacing/>
                    <w:rPr>
                      <w:rFonts w:cs="Times New Roman"/>
                      <w:sz w:val="21"/>
                      <w:szCs w:val="21"/>
                    </w:rPr>
                  </w:pPr>
                  <w:r>
                    <w:rPr>
                      <w:rFonts w:hint="eastAsia" w:cs="Times New Roman"/>
                      <w:sz w:val="21"/>
                      <w:szCs w:val="21"/>
                    </w:rPr>
                    <w:t>本项目位于库尔勒市一般管控单元（ZH65280130001），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380" w:type="pct"/>
                  <w:vAlign w:val="center"/>
                </w:tcPr>
                <w:p w14:paraId="3399AC05">
                  <w:pPr>
                    <w:spacing w:line="240" w:lineRule="auto"/>
                    <w:ind w:firstLine="0" w:firstLineChars="0"/>
                    <w:contextualSpacing/>
                    <w:jc w:val="center"/>
                    <w:rPr>
                      <w:rFonts w:cs="Times New Roman"/>
                      <w:sz w:val="21"/>
                      <w:szCs w:val="21"/>
                    </w:rPr>
                  </w:pPr>
                  <w:r>
                    <w:rPr>
                      <w:rFonts w:hint="eastAsia" w:cs="Times New Roman"/>
                      <w:sz w:val="21"/>
                      <w:szCs w:val="21"/>
                    </w:rPr>
                    <w:t>符合</w:t>
                  </w:r>
                </w:p>
              </w:tc>
            </w:tr>
          </w:tbl>
          <w:p w14:paraId="7747E8B6">
            <w:pPr>
              <w:autoSpaceDE w:val="0"/>
              <w:autoSpaceDN w:val="0"/>
              <w:adjustRightInd w:val="0"/>
              <w:ind w:firstLine="0" w:firstLineChars="0"/>
              <w:rPr>
                <w:b/>
                <w:bCs/>
              </w:rPr>
            </w:pPr>
            <w:r>
              <w:rPr>
                <w:rFonts w:hint="eastAsia"/>
                <w:b/>
                <w:bCs/>
              </w:rPr>
              <w:t>4.本项目与《关于印发〈新疆维吾尔自治区七大片区生态环境分区管控要求〉（2021年版）的通知》（新环环评发〔2021〕162号）符合性分析</w:t>
            </w:r>
          </w:p>
          <w:p w14:paraId="1CB78DA6">
            <w:pPr>
              <w:autoSpaceDE w:val="0"/>
              <w:autoSpaceDN w:val="0"/>
              <w:adjustRightInd w:val="0"/>
              <w:ind w:firstLine="480"/>
              <w:rPr>
                <w:b/>
                <w:bCs/>
              </w:rPr>
            </w:pPr>
            <w:r>
              <w:rPr>
                <w:rFonts w:hint="eastAsia"/>
              </w:rPr>
              <w:t>本项目位于巴音郭楞蒙古自治州库尔勒市，属于天山南坡片区，本项目与“天山南坡片区总体管控要求”符合性分析见表1-</w:t>
            </w:r>
            <w:r>
              <w:t>2</w:t>
            </w:r>
            <w:r>
              <w:rPr>
                <w:rFonts w:hint="eastAsia"/>
              </w:rPr>
              <w:t>。</w:t>
            </w:r>
          </w:p>
          <w:p w14:paraId="48C1D2C6">
            <w:pPr>
              <w:adjustRightInd w:val="0"/>
              <w:spacing w:before="163" w:beforeLines="50" w:line="240" w:lineRule="auto"/>
              <w:ind w:firstLine="0" w:firstLineChars="0"/>
              <w:jc w:val="center"/>
              <w:textAlignment w:val="baseline"/>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1-2  </w:t>
            </w:r>
            <w:r>
              <w:rPr>
                <w:rFonts w:hint="eastAsia" w:cs="Times New Roman"/>
                <w:b/>
                <w:kern w:val="0"/>
                <w:sz w:val="21"/>
                <w:szCs w:val="20"/>
              </w:rPr>
              <w:t>本项目与七大片天山南坡片区总体管控要求符合性分析一览表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27"/>
              <w:gridCol w:w="4367"/>
              <w:gridCol w:w="2827"/>
              <w:gridCol w:w="730"/>
            </w:tblGrid>
            <w:tr w14:paraId="230E5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6" w:type="pct"/>
                  <w:vMerge w:val="restart"/>
                  <w:vAlign w:val="center"/>
                </w:tcPr>
                <w:p w14:paraId="4EBFDBFB">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天山南坡片区总体管控要求</w:t>
                  </w:r>
                </w:p>
              </w:tc>
              <w:tc>
                <w:tcPr>
                  <w:tcW w:w="2614" w:type="pct"/>
                  <w:vAlign w:val="center"/>
                </w:tcPr>
                <w:p w14:paraId="31671529">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管控要求</w:t>
                  </w:r>
                </w:p>
              </w:tc>
              <w:tc>
                <w:tcPr>
                  <w:tcW w:w="1693" w:type="pct"/>
                  <w:vAlign w:val="center"/>
                </w:tcPr>
                <w:p w14:paraId="5AA38BBA">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w:t>
                  </w:r>
                </w:p>
              </w:tc>
              <w:tc>
                <w:tcPr>
                  <w:tcW w:w="437" w:type="pct"/>
                  <w:vAlign w:val="center"/>
                </w:tcPr>
                <w:p w14:paraId="4F344380">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符合性</w:t>
                  </w:r>
                </w:p>
              </w:tc>
            </w:tr>
            <w:tr w14:paraId="784DFC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6" w:type="pct"/>
                  <w:vMerge w:val="continue"/>
                  <w:vAlign w:val="center"/>
                </w:tcPr>
                <w:p w14:paraId="77869421">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14:paraId="00EDBBAA">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切实保护托木尔峰和天山南坡中段冰雪水源及生物多样性保护生态功能区内的托木尔峰自然景观、高山冰川、野生动物、森林和草原，合理利用天然草地，稳步推进草原减牧，加强保护区管理，维护自然景观和生物多样性。</w:t>
                  </w:r>
                </w:p>
              </w:tc>
              <w:tc>
                <w:tcPr>
                  <w:tcW w:w="1693" w:type="pct"/>
                  <w:vAlign w:val="center"/>
                </w:tcPr>
                <w:p w14:paraId="3B451E08">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本项目不在托木尔峰和天山南坡中段冰雪水源及生物多样性保护生态功能区</w:t>
                  </w:r>
                </w:p>
              </w:tc>
              <w:tc>
                <w:tcPr>
                  <w:tcW w:w="437" w:type="pct"/>
                  <w:vAlign w:val="center"/>
                </w:tcPr>
                <w:p w14:paraId="659DF85D">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16348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6" w:type="pct"/>
                  <w:vMerge w:val="continue"/>
                  <w:vAlign w:val="center"/>
                </w:tcPr>
                <w:p w14:paraId="62E8F9DA">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14:paraId="1EC5F9E3">
                  <w:pPr>
                    <w:spacing w:line="240" w:lineRule="auto"/>
                    <w:ind w:firstLine="0" w:firstLineChars="0"/>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重点做好塔里木盆地北缘荒漠化防治。加强荒漠植被及河岸荒漠林保护，规范油气勘探开发作业，建立油田和公路扰动区域工程与生物相结合的防风固沙体系，逐步形成生态屏障。</w:t>
                  </w:r>
                </w:p>
              </w:tc>
              <w:tc>
                <w:tcPr>
                  <w:tcW w:w="1693" w:type="pct"/>
                  <w:vAlign w:val="center"/>
                </w:tcPr>
                <w:p w14:paraId="2C103D34">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snapToGrid w:val="0"/>
                      <w:color w:val="000000"/>
                      <w:kern w:val="0"/>
                      <w:sz w:val="21"/>
                      <w:szCs w:val="21"/>
                    </w:rPr>
                    <w:t>本项目不涉及油气勘探开发</w:t>
                  </w:r>
                </w:p>
              </w:tc>
              <w:tc>
                <w:tcPr>
                  <w:tcW w:w="437" w:type="pct"/>
                  <w:vAlign w:val="center"/>
                </w:tcPr>
                <w:p w14:paraId="0608AF2A">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26EBD0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6" w:type="pct"/>
                  <w:vMerge w:val="continue"/>
                  <w:vAlign w:val="center"/>
                </w:tcPr>
                <w:p w14:paraId="77ED604E">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14:paraId="68948586">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推进塔里木河流域用水结构调整，维护塔里木河、博斯腾湖基本生态用水</w:t>
                  </w:r>
                </w:p>
              </w:tc>
              <w:tc>
                <w:tcPr>
                  <w:tcW w:w="1693" w:type="pct"/>
                  <w:vAlign w:val="center"/>
                </w:tcPr>
                <w:p w14:paraId="24D342D1">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本项目不涉及塔里木河、博斯腾湖生态用水</w:t>
                  </w:r>
                </w:p>
              </w:tc>
              <w:tc>
                <w:tcPr>
                  <w:tcW w:w="437" w:type="pct"/>
                  <w:vAlign w:val="center"/>
                </w:tcPr>
                <w:p w14:paraId="57B71D4C">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0615E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56" w:type="pct"/>
                  <w:vMerge w:val="continue"/>
                  <w:vAlign w:val="center"/>
                </w:tcPr>
                <w:p w14:paraId="3FAA2A1F">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14:paraId="7E1EB183">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加强塔里木河流域水环境风险管控。加大博斯腾湖污染源头达标排放治理和监督力度，实施博斯腾湖综合治理。</w:t>
                  </w:r>
                </w:p>
              </w:tc>
              <w:tc>
                <w:tcPr>
                  <w:tcW w:w="1693" w:type="pct"/>
                  <w:vAlign w:val="center"/>
                </w:tcPr>
                <w:p w14:paraId="7A8CEF04">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w:t>
                  </w:r>
                </w:p>
              </w:tc>
              <w:tc>
                <w:tcPr>
                  <w:tcW w:w="437" w:type="pct"/>
                  <w:vAlign w:val="center"/>
                </w:tcPr>
                <w:p w14:paraId="0BBA532F">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r w14:paraId="6D6F33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256" w:type="pct"/>
                  <w:vMerge w:val="continue"/>
                  <w:vAlign w:val="center"/>
                </w:tcPr>
                <w:p w14:paraId="114221D4">
                  <w:pPr>
                    <w:widowControl/>
                    <w:spacing w:line="240" w:lineRule="auto"/>
                    <w:ind w:firstLine="0" w:firstLineChars="0"/>
                    <w:jc w:val="center"/>
                    <w:textAlignment w:val="auto"/>
                    <w:rPr>
                      <w:rFonts w:ascii="宋体" w:hAnsi="宋体" w:cs="Times New Roman"/>
                      <w:color w:val="000000"/>
                      <w:kern w:val="0"/>
                      <w:sz w:val="21"/>
                      <w:szCs w:val="21"/>
                    </w:rPr>
                  </w:pPr>
                </w:p>
              </w:tc>
              <w:tc>
                <w:tcPr>
                  <w:tcW w:w="2614" w:type="pct"/>
                  <w:vAlign w:val="center"/>
                </w:tcPr>
                <w:p w14:paraId="31187FD5">
                  <w:pPr>
                    <w:spacing w:line="240" w:lineRule="auto"/>
                    <w:ind w:firstLine="0" w:firstLineChars="0"/>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加强油（气）资源开发区土壤环境污染综合整治。强化涉重金属行业污染防控与工业废物处理处置。</w:t>
                  </w:r>
                </w:p>
              </w:tc>
              <w:tc>
                <w:tcPr>
                  <w:tcW w:w="1693" w:type="pct"/>
                  <w:vAlign w:val="center"/>
                </w:tcPr>
                <w:p w14:paraId="13ECE29A">
                  <w:pPr>
                    <w:spacing w:line="240" w:lineRule="auto"/>
                    <w:ind w:firstLine="0" w:firstLineChars="0"/>
                    <w:jc w:val="center"/>
                    <w:textAlignment w:val="auto"/>
                    <w:rPr>
                      <w:rFonts w:ascii="宋体" w:hAnsi="宋体" w:cs="Times New Roman"/>
                      <w:snapToGrid w:val="0"/>
                      <w:color w:val="000000"/>
                      <w:kern w:val="0"/>
                      <w:sz w:val="21"/>
                      <w:szCs w:val="21"/>
                    </w:rPr>
                  </w:pPr>
                  <w:r>
                    <w:rPr>
                      <w:rFonts w:hint="eastAsia" w:ascii="宋体" w:hAnsi="宋体" w:cs="Times New Roman"/>
                      <w:snapToGrid w:val="0"/>
                      <w:color w:val="000000"/>
                      <w:kern w:val="0"/>
                      <w:sz w:val="21"/>
                      <w:szCs w:val="21"/>
                    </w:rPr>
                    <w:t>本项目不涉及油气开发，不涉及重金属排放</w:t>
                  </w:r>
                </w:p>
              </w:tc>
              <w:tc>
                <w:tcPr>
                  <w:tcW w:w="437" w:type="pct"/>
                  <w:vAlign w:val="center"/>
                </w:tcPr>
                <w:p w14:paraId="01BDE7B8">
                  <w:pPr>
                    <w:spacing w:line="240" w:lineRule="auto"/>
                    <w:ind w:firstLine="0" w:firstLineChars="0"/>
                    <w:jc w:val="center"/>
                    <w:textAlignment w:val="auto"/>
                    <w:rPr>
                      <w:rFonts w:ascii="宋体" w:hAnsi="宋体" w:cs="Times New Roman"/>
                      <w:color w:val="000000"/>
                      <w:kern w:val="0"/>
                      <w:sz w:val="21"/>
                      <w:szCs w:val="21"/>
                    </w:rPr>
                  </w:pPr>
                  <w:r>
                    <w:rPr>
                      <w:rFonts w:hint="eastAsia" w:ascii="宋体" w:hAnsi="宋体" w:cs="Times New Roman"/>
                      <w:color w:val="000000"/>
                      <w:kern w:val="0"/>
                      <w:sz w:val="21"/>
                      <w:szCs w:val="21"/>
                    </w:rPr>
                    <w:t>符合</w:t>
                  </w:r>
                </w:p>
              </w:tc>
            </w:tr>
          </w:tbl>
          <w:p w14:paraId="5E06057D">
            <w:pPr>
              <w:autoSpaceDE w:val="0"/>
              <w:autoSpaceDN w:val="0"/>
              <w:adjustRightInd w:val="0"/>
              <w:spacing w:line="384" w:lineRule="auto"/>
              <w:ind w:firstLine="480"/>
              <w:rPr>
                <w:rFonts w:hAnsi="宋体" w:cs="宋体"/>
                <w:kern w:val="0"/>
              </w:rPr>
            </w:pPr>
            <w:r>
              <w:rPr>
                <w:rFonts w:hint="eastAsia" w:hAnsi="宋体" w:cs="宋体"/>
                <w:kern w:val="0"/>
              </w:rPr>
              <w:t>综上，本项目符合《新疆维吾尔自治区七大片区生态环境分区管控要求》中天山南坡片区总体管控要求。</w:t>
            </w:r>
          </w:p>
          <w:p w14:paraId="5441D1EE">
            <w:pPr>
              <w:pStyle w:val="21"/>
              <w:ind w:firstLine="0" w:firstLineChars="0"/>
            </w:pPr>
            <w:r>
              <w:rPr>
                <w:rFonts w:hint="eastAsia" w:hAnsi="宋体" w:cs="宋体"/>
                <w:kern w:val="0"/>
              </w:rPr>
              <w:t>5.</w:t>
            </w:r>
            <w:r>
              <w:t>与巴州</w:t>
            </w:r>
            <w:r>
              <w:rPr>
                <w:rFonts w:hint="eastAsia"/>
              </w:rPr>
              <w:t>“生态环境分区管控”</w:t>
            </w:r>
            <w:r>
              <w:t>符合性分析</w:t>
            </w:r>
          </w:p>
          <w:p w14:paraId="280D6ABF">
            <w:pPr>
              <w:autoSpaceDE w:val="0"/>
              <w:autoSpaceDN w:val="0"/>
              <w:adjustRightInd w:val="0"/>
              <w:spacing w:line="384" w:lineRule="auto"/>
              <w:ind w:firstLine="480"/>
              <w:rPr>
                <w:rFonts w:hAnsi="宋体" w:cs="宋体"/>
                <w:b/>
                <w:bCs/>
                <w:kern w:val="0"/>
              </w:rPr>
            </w:pPr>
            <w:r>
              <w:t>根据2024年12月9日发布的《关于印发巴音郭楞蒙古自治州</w:t>
            </w:r>
            <w:r>
              <w:rPr>
                <w:rFonts w:hint="eastAsia"/>
              </w:rPr>
              <w:t>“</w:t>
            </w:r>
            <w:r>
              <w:t>三线一单</w:t>
            </w:r>
            <w:r>
              <w:rPr>
                <w:rFonts w:hint="eastAsia"/>
              </w:rPr>
              <w:t>”</w:t>
            </w:r>
            <w:r>
              <w:t>生态环境分区管控动态更新成果（2023年）的通知》（巴政办发〔2024〕32号</w:t>
            </w:r>
            <w:r>
              <w:rPr>
                <w:rFonts w:hint="eastAsia"/>
              </w:rPr>
              <w:t>），分析本项目与巴州生态环境分区管控符</w:t>
            </w:r>
            <w:r>
              <w:t>合性分析见表</w:t>
            </w:r>
            <w:r>
              <w:rPr>
                <w:rFonts w:hint="eastAsia"/>
              </w:rPr>
              <w:t>1-3。</w:t>
            </w:r>
          </w:p>
          <w:p w14:paraId="25C4EF2A">
            <w:pPr>
              <w:adjustRightInd w:val="0"/>
              <w:spacing w:before="163" w:beforeLines="50" w:line="240" w:lineRule="auto"/>
              <w:ind w:firstLine="0" w:firstLineChars="0"/>
              <w:jc w:val="center"/>
              <w:textAlignment w:val="auto"/>
              <w:rPr>
                <w:rFonts w:cs="Times New Roman"/>
                <w:b/>
                <w:kern w:val="0"/>
                <w:sz w:val="21"/>
                <w:szCs w:val="20"/>
              </w:rPr>
            </w:pPr>
            <w:r>
              <w:rPr>
                <w:rFonts w:hint="eastAsia" w:cs="Times New Roman"/>
                <w:b/>
                <w:kern w:val="0"/>
                <w:sz w:val="21"/>
                <w:szCs w:val="20"/>
              </w:rPr>
              <w:t>表</w:t>
            </w:r>
            <w:r>
              <w:rPr>
                <w:rFonts w:cs="Times New Roman"/>
                <w:b/>
                <w:kern w:val="0"/>
                <w:sz w:val="21"/>
                <w:szCs w:val="20"/>
              </w:rPr>
              <w:t xml:space="preserve">1-3  </w:t>
            </w:r>
            <w:r>
              <w:rPr>
                <w:rFonts w:hint="eastAsia"/>
                <w:b/>
                <w:bCs/>
                <w:spacing w:val="-20"/>
                <w:kern w:val="21"/>
                <w:sz w:val="21"/>
              </w:rPr>
              <w:t>本项目与巴音郭楞蒙古自治州生态环境分区管控方案符合性分析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3941"/>
              <w:gridCol w:w="2644"/>
              <w:gridCol w:w="901"/>
            </w:tblGrid>
            <w:tr w14:paraId="70530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6" w:hRule="atLeast"/>
                <w:jc w:val="center"/>
              </w:trPr>
              <w:tc>
                <w:tcPr>
                  <w:tcW w:w="517" w:type="pct"/>
                  <w:vAlign w:val="center"/>
                </w:tcPr>
                <w:p w14:paraId="0F17E691">
                  <w:pPr>
                    <w:spacing w:line="240" w:lineRule="auto"/>
                    <w:ind w:firstLine="0" w:firstLineChars="0"/>
                    <w:contextualSpacing/>
                    <w:jc w:val="center"/>
                    <w:rPr>
                      <w:rFonts w:cs="Times New Roman"/>
                      <w:sz w:val="21"/>
                      <w:szCs w:val="21"/>
                    </w:rPr>
                  </w:pPr>
                  <w:r>
                    <w:rPr>
                      <w:rFonts w:cs="Times New Roman"/>
                      <w:sz w:val="21"/>
                      <w:szCs w:val="21"/>
                    </w:rPr>
                    <w:t>名称</w:t>
                  </w:r>
                </w:p>
              </w:tc>
              <w:tc>
                <w:tcPr>
                  <w:tcW w:w="2360" w:type="pct"/>
                  <w:vAlign w:val="center"/>
                </w:tcPr>
                <w:p w14:paraId="22F50705">
                  <w:pPr>
                    <w:spacing w:line="240" w:lineRule="auto"/>
                    <w:ind w:firstLine="0" w:firstLineChars="0"/>
                    <w:contextualSpacing/>
                    <w:jc w:val="center"/>
                    <w:rPr>
                      <w:rFonts w:cs="Times New Roman"/>
                      <w:sz w:val="21"/>
                      <w:szCs w:val="21"/>
                    </w:rPr>
                  </w:pPr>
                  <w:r>
                    <w:rPr>
                      <w:rFonts w:cs="Times New Roman"/>
                      <w:sz w:val="21"/>
                      <w:szCs w:val="21"/>
                    </w:rPr>
                    <w:t>符合性分析</w:t>
                  </w:r>
                </w:p>
              </w:tc>
              <w:tc>
                <w:tcPr>
                  <w:tcW w:w="1583" w:type="pct"/>
                  <w:vAlign w:val="center"/>
                </w:tcPr>
                <w:p w14:paraId="2D1B0317">
                  <w:pPr>
                    <w:spacing w:line="240" w:lineRule="auto"/>
                    <w:ind w:firstLine="0" w:firstLineChars="0"/>
                    <w:contextualSpacing/>
                    <w:jc w:val="center"/>
                    <w:rPr>
                      <w:rFonts w:cs="Times New Roman"/>
                      <w:sz w:val="21"/>
                      <w:szCs w:val="21"/>
                    </w:rPr>
                  </w:pPr>
                  <w:r>
                    <w:rPr>
                      <w:rFonts w:cs="Times New Roman"/>
                      <w:sz w:val="21"/>
                      <w:szCs w:val="21"/>
                    </w:rPr>
                    <w:t>本项目</w:t>
                  </w:r>
                </w:p>
              </w:tc>
              <w:tc>
                <w:tcPr>
                  <w:tcW w:w="540" w:type="pct"/>
                  <w:vAlign w:val="center"/>
                </w:tcPr>
                <w:p w14:paraId="00524CA5">
                  <w:pPr>
                    <w:spacing w:line="240" w:lineRule="auto"/>
                    <w:ind w:firstLine="0" w:firstLineChars="0"/>
                    <w:contextualSpacing/>
                    <w:jc w:val="center"/>
                    <w:rPr>
                      <w:rFonts w:cs="Times New Roman"/>
                      <w:sz w:val="21"/>
                      <w:szCs w:val="21"/>
                    </w:rPr>
                  </w:pPr>
                  <w:r>
                    <w:rPr>
                      <w:rFonts w:cs="Times New Roman"/>
                      <w:sz w:val="21"/>
                      <w:szCs w:val="21"/>
                    </w:rPr>
                    <w:t>符合性</w:t>
                  </w:r>
                </w:p>
              </w:tc>
            </w:tr>
            <w:tr w14:paraId="474D5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Align w:val="center"/>
                </w:tcPr>
                <w:p w14:paraId="3D43D80B">
                  <w:pPr>
                    <w:spacing w:line="240" w:lineRule="auto"/>
                    <w:ind w:firstLine="0" w:firstLineChars="0"/>
                    <w:contextualSpacing/>
                    <w:jc w:val="center"/>
                    <w:rPr>
                      <w:rFonts w:cs="Times New Roman"/>
                      <w:sz w:val="21"/>
                      <w:szCs w:val="21"/>
                    </w:rPr>
                  </w:pPr>
                  <w:r>
                    <w:rPr>
                      <w:rFonts w:cs="Times New Roman"/>
                      <w:sz w:val="21"/>
                      <w:szCs w:val="21"/>
                    </w:rPr>
                    <w:t>生态保护红线</w:t>
                  </w:r>
                </w:p>
              </w:tc>
              <w:tc>
                <w:tcPr>
                  <w:tcW w:w="2360" w:type="pct"/>
                  <w:vAlign w:val="center"/>
                </w:tcPr>
                <w:p w14:paraId="6EC3FCED">
                  <w:pPr>
                    <w:spacing w:line="240" w:lineRule="auto"/>
                    <w:ind w:firstLine="0" w:firstLineChars="0"/>
                    <w:contextualSpacing/>
                    <w:jc w:val="center"/>
                    <w:rPr>
                      <w:rFonts w:cs="Times New Roman"/>
                      <w:sz w:val="21"/>
                      <w:szCs w:val="21"/>
                    </w:rPr>
                  </w:pPr>
                  <w:r>
                    <w:rPr>
                      <w:rFonts w:cs="Times New Roman"/>
                      <w:sz w:val="21"/>
                      <w:szCs w:val="21"/>
                    </w:rPr>
                    <w:t>按照“生态功能不降低、面积不减少、性质不改变”的基本要求，对划定的生态保护红线实施严格管控，保障和维护国家生态安全的底线和生命线</w:t>
                  </w:r>
                </w:p>
              </w:tc>
              <w:tc>
                <w:tcPr>
                  <w:tcW w:w="1583" w:type="pct"/>
                  <w:vAlign w:val="center"/>
                </w:tcPr>
                <w:p w14:paraId="6FCB159E">
                  <w:pPr>
                    <w:spacing w:line="240" w:lineRule="auto"/>
                    <w:ind w:firstLine="0" w:firstLineChars="0"/>
                    <w:contextualSpacing/>
                    <w:jc w:val="center"/>
                    <w:rPr>
                      <w:rFonts w:cs="Times New Roman"/>
                      <w:sz w:val="21"/>
                      <w:szCs w:val="21"/>
                    </w:rPr>
                  </w:pPr>
                  <w:r>
                    <w:rPr>
                      <w:rFonts w:cs="Times New Roman"/>
                      <w:sz w:val="21"/>
                      <w:szCs w:val="21"/>
                    </w:rPr>
                    <w:t>本项目不在生态保护红线范围内</w:t>
                  </w:r>
                </w:p>
              </w:tc>
              <w:tc>
                <w:tcPr>
                  <w:tcW w:w="540" w:type="pct"/>
                  <w:vAlign w:val="center"/>
                </w:tcPr>
                <w:p w14:paraId="5D09429C">
                  <w:pPr>
                    <w:spacing w:line="240" w:lineRule="auto"/>
                    <w:ind w:firstLine="0" w:firstLineChars="0"/>
                    <w:contextualSpacing/>
                    <w:jc w:val="center"/>
                    <w:rPr>
                      <w:rFonts w:cs="Times New Roman"/>
                      <w:sz w:val="21"/>
                      <w:szCs w:val="21"/>
                    </w:rPr>
                  </w:pPr>
                  <w:r>
                    <w:rPr>
                      <w:rFonts w:cs="Times New Roman"/>
                      <w:sz w:val="21"/>
                      <w:szCs w:val="21"/>
                    </w:rPr>
                    <w:t>符合</w:t>
                  </w:r>
                </w:p>
              </w:tc>
            </w:tr>
            <w:tr w14:paraId="294F69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517" w:type="pct"/>
                  <w:vAlign w:val="center"/>
                </w:tcPr>
                <w:p w14:paraId="7C11A726">
                  <w:pPr>
                    <w:spacing w:line="240" w:lineRule="auto"/>
                    <w:ind w:firstLine="0" w:firstLineChars="0"/>
                    <w:contextualSpacing/>
                    <w:jc w:val="center"/>
                    <w:rPr>
                      <w:rFonts w:cs="Times New Roman"/>
                      <w:sz w:val="21"/>
                      <w:szCs w:val="21"/>
                    </w:rPr>
                  </w:pPr>
                  <w:r>
                    <w:rPr>
                      <w:rFonts w:cs="Times New Roman"/>
                      <w:sz w:val="21"/>
                      <w:szCs w:val="21"/>
                    </w:rPr>
                    <w:t>环境质量底线</w:t>
                  </w:r>
                </w:p>
              </w:tc>
              <w:tc>
                <w:tcPr>
                  <w:tcW w:w="2360" w:type="pct"/>
                  <w:vAlign w:val="center"/>
                </w:tcPr>
                <w:p w14:paraId="4C465E0E">
                  <w:pPr>
                    <w:spacing w:line="240" w:lineRule="auto"/>
                    <w:ind w:firstLine="0" w:firstLineChars="0"/>
                    <w:contextualSpacing/>
                    <w:rPr>
                      <w:rFonts w:cs="Times New Roman"/>
                      <w:color w:val="000000"/>
                      <w:sz w:val="21"/>
                      <w:szCs w:val="21"/>
                    </w:rPr>
                  </w:pPr>
                  <w:r>
                    <w:rPr>
                      <w:rFonts w:cs="Times New Roman"/>
                      <w:color w:val="000000"/>
                      <w:sz w:val="21"/>
                      <w:szCs w:val="21"/>
                    </w:rPr>
                    <w:t>全州水环境质量持续改善，开都河、塔里木河、迪那河、车尔臣河、黄水沟5条河流13个监测断面稳定达到Ⅱ类水（塔里木河氟化物不参与考核，其他指标均为Ⅱ类），孔雀河4个监测断面达到</w:t>
                  </w:r>
                  <w:r>
                    <w:rPr>
                      <w:rFonts w:hint="eastAsia" w:cs="Times New Roman"/>
                      <w:color w:val="000000"/>
                      <w:sz w:val="21"/>
                      <w:szCs w:val="21"/>
                    </w:rPr>
                    <w:t>Ⅱ类</w:t>
                  </w:r>
                  <w:r>
                    <w:rPr>
                      <w:rFonts w:cs="Times New Roman"/>
                      <w:color w:val="000000"/>
                      <w:sz w:val="21"/>
                      <w:szCs w:val="21"/>
                    </w:rPr>
                    <w:t>水，博斯腾湖17个重点点位中1、7、14监测点均值Ⅲ类，其余监测点均值Ⅳ类；受污染地表水体得到有效治理，饮用水安全保障水平持续提升，地下水超采得到严格控制，地下水水质保持稳定。全州环境空气质量有所提升，SO</w:t>
                  </w:r>
                  <w:r>
                    <w:rPr>
                      <w:rFonts w:cs="Times New Roman"/>
                      <w:color w:val="000000"/>
                      <w:sz w:val="21"/>
                      <w:szCs w:val="21"/>
                      <w:vertAlign w:val="subscript"/>
                    </w:rPr>
                    <w:t>2</w:t>
                  </w:r>
                  <w:r>
                    <w:rPr>
                      <w:rFonts w:cs="Times New Roman"/>
                      <w:color w:val="000000"/>
                      <w:sz w:val="21"/>
                      <w:szCs w:val="21"/>
                    </w:rPr>
                    <w:t>、NO</w:t>
                  </w:r>
                  <w:r>
                    <w:rPr>
                      <w:rFonts w:cs="Times New Roman"/>
                      <w:color w:val="000000"/>
                      <w:sz w:val="21"/>
                      <w:szCs w:val="21"/>
                      <w:vertAlign w:val="subscript"/>
                    </w:rPr>
                    <w:t>2</w:t>
                  </w:r>
                  <w:r>
                    <w:rPr>
                      <w:rFonts w:cs="Times New Roman"/>
                      <w:color w:val="000000"/>
                      <w:sz w:val="21"/>
                      <w:szCs w:val="21"/>
                    </w:rPr>
                    <w:t>浓度长期维持在较低水平，达到环境空气质量一级标准；逐步减少颗粒物排放，PM</w:t>
                  </w:r>
                  <w:r>
                    <w:rPr>
                      <w:rFonts w:cs="Times New Roman"/>
                      <w:color w:val="000000"/>
                      <w:sz w:val="21"/>
                      <w:szCs w:val="21"/>
                      <w:vertAlign w:val="subscript"/>
                    </w:rPr>
                    <w:t>10</w:t>
                  </w:r>
                  <w:r>
                    <w:rPr>
                      <w:rFonts w:cs="Times New Roman"/>
                      <w:color w:val="000000"/>
                      <w:sz w:val="21"/>
                      <w:szCs w:val="21"/>
                    </w:rPr>
                    <w:t>、PM</w:t>
                  </w:r>
                  <w:r>
                    <w:rPr>
                      <w:rFonts w:cs="Times New Roman"/>
                      <w:color w:val="000000"/>
                      <w:sz w:val="21"/>
                      <w:szCs w:val="21"/>
                      <w:vertAlign w:val="subscript"/>
                    </w:rPr>
                    <w:t>2.5</w:t>
                  </w:r>
                  <w:r>
                    <w:rPr>
                      <w:rFonts w:cs="Times New Roman"/>
                      <w:color w:val="000000"/>
                      <w:sz w:val="21"/>
                      <w:szCs w:val="21"/>
                    </w:rPr>
                    <w:t>平均浓度分别低于81μg/m</w:t>
                  </w:r>
                  <w:r>
                    <w:rPr>
                      <w:rFonts w:cs="Times New Roman"/>
                      <w:color w:val="000000"/>
                      <w:sz w:val="21"/>
                      <w:szCs w:val="21"/>
                      <w:vertAlign w:val="superscript"/>
                    </w:rPr>
                    <w:t>3</w:t>
                  </w:r>
                  <w:r>
                    <w:rPr>
                      <w:rFonts w:cs="Times New Roman"/>
                      <w:color w:val="000000"/>
                      <w:sz w:val="21"/>
                      <w:szCs w:val="21"/>
                    </w:rPr>
                    <w:t>、31.5μg/m</w:t>
                  </w:r>
                  <w:r>
                    <w:rPr>
                      <w:rFonts w:cs="Times New Roman"/>
                      <w:color w:val="000000"/>
                      <w:sz w:val="21"/>
                      <w:szCs w:val="21"/>
                      <w:vertAlign w:val="superscript"/>
                    </w:rPr>
                    <w:t>3</w:t>
                  </w:r>
                  <w:r>
                    <w:rPr>
                      <w:rFonts w:hint="eastAsia" w:cs="Times New Roman"/>
                      <w:color w:val="000000"/>
                      <w:sz w:val="21"/>
                      <w:szCs w:val="21"/>
                    </w:rPr>
                    <w:t>（</w:t>
                  </w:r>
                  <w:r>
                    <w:rPr>
                      <w:rFonts w:cs="Times New Roman"/>
                      <w:color w:val="000000"/>
                      <w:sz w:val="21"/>
                      <w:szCs w:val="21"/>
                    </w:rPr>
                    <w:t>库尔勒市，扣除沙尘天气影响</w:t>
                  </w:r>
                  <w:r>
                    <w:rPr>
                      <w:rFonts w:hint="eastAsia" w:cs="Times New Roman"/>
                      <w:color w:val="000000"/>
                      <w:sz w:val="21"/>
                      <w:szCs w:val="21"/>
                    </w:rPr>
                    <w:t>）</w:t>
                  </w:r>
                  <w:r>
                    <w:rPr>
                      <w:rFonts w:cs="Times New Roman"/>
                      <w:color w:val="000000"/>
                      <w:sz w:val="21"/>
                      <w:szCs w:val="21"/>
                    </w:rPr>
                    <w:t>，空气优良天数比例大于75.2%</w:t>
                  </w:r>
                  <w:r>
                    <w:rPr>
                      <w:rFonts w:hint="eastAsia" w:cs="Times New Roman"/>
                      <w:color w:val="000000"/>
                      <w:sz w:val="21"/>
                      <w:szCs w:val="21"/>
                    </w:rPr>
                    <w:t>（</w:t>
                  </w:r>
                  <w:r>
                    <w:rPr>
                      <w:rFonts w:cs="Times New Roman"/>
                      <w:color w:val="000000"/>
                      <w:sz w:val="21"/>
                      <w:szCs w:val="21"/>
                    </w:rPr>
                    <w:t>库尔勒市</w:t>
                  </w:r>
                  <w:r>
                    <w:rPr>
                      <w:rFonts w:hint="eastAsia" w:cs="Times New Roman"/>
                      <w:color w:val="000000"/>
                      <w:sz w:val="21"/>
                      <w:szCs w:val="21"/>
                    </w:rPr>
                    <w:t>）</w:t>
                  </w:r>
                  <w:r>
                    <w:rPr>
                      <w:rFonts w:cs="Times New Roman"/>
                      <w:color w:val="000000"/>
                      <w:sz w:val="21"/>
                      <w:szCs w:val="21"/>
                    </w:rPr>
                    <w:t>，重污染天数持续减少，沙尘影响严重地区做好防风固沙、生态环境保护修复等工作；全州土壤环境质量保持稳定，受污染耕地安全利用率达到98%以上，污染地块安全利用率不低于93%，土壤环境风险得到进一步管控</w:t>
                  </w:r>
                </w:p>
              </w:tc>
              <w:tc>
                <w:tcPr>
                  <w:tcW w:w="1583" w:type="pct"/>
                  <w:vAlign w:val="center"/>
                </w:tcPr>
                <w:p w14:paraId="429325AA">
                  <w:pPr>
                    <w:spacing w:line="240" w:lineRule="auto"/>
                    <w:ind w:firstLine="0" w:firstLineChars="0"/>
                    <w:contextualSpacing/>
                    <w:rPr>
                      <w:rFonts w:cs="Times New Roman"/>
                      <w:color w:val="000000"/>
                      <w:sz w:val="21"/>
                      <w:szCs w:val="21"/>
                    </w:rPr>
                  </w:pPr>
                  <w:r>
                    <w:rPr>
                      <w:rFonts w:hint="eastAsia" w:cs="Times New Roman"/>
                      <w:sz w:val="21"/>
                      <w:szCs w:val="21"/>
                    </w:rPr>
                    <w:t>本项目营运期产生的废水主要包括生产废水和生活污水。生产废水经沉淀池处理后，回用于生产，不外排；生活污水经化粪池预处理后，定期由吸污车抽运至库尔勒市南市区污水处理厂进一步处理；本项目废塑料采用湿法破碎，产生少量粉尘，经集气罩+布袋除尘器+15m高排气筒排放，有效抑制粉尘的产生与逸散；综上，</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540" w:type="pct"/>
                  <w:vAlign w:val="center"/>
                </w:tcPr>
                <w:p w14:paraId="2218B7C9">
                  <w:pPr>
                    <w:spacing w:line="240" w:lineRule="auto"/>
                    <w:ind w:firstLine="0" w:firstLineChars="0"/>
                    <w:contextualSpacing/>
                    <w:jc w:val="center"/>
                    <w:rPr>
                      <w:rFonts w:cs="Times New Roman"/>
                      <w:sz w:val="21"/>
                      <w:szCs w:val="21"/>
                    </w:rPr>
                  </w:pPr>
                  <w:r>
                    <w:rPr>
                      <w:rFonts w:cs="Times New Roman"/>
                      <w:sz w:val="21"/>
                      <w:szCs w:val="21"/>
                    </w:rPr>
                    <w:t>符合</w:t>
                  </w:r>
                </w:p>
              </w:tc>
            </w:tr>
            <w:tr w14:paraId="789B30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17" w:type="pct"/>
                  <w:vAlign w:val="center"/>
                </w:tcPr>
                <w:p w14:paraId="668A22B3">
                  <w:pPr>
                    <w:spacing w:line="240" w:lineRule="auto"/>
                    <w:ind w:firstLine="0" w:firstLineChars="0"/>
                    <w:contextualSpacing/>
                    <w:jc w:val="center"/>
                    <w:rPr>
                      <w:rFonts w:cs="Times New Roman"/>
                      <w:sz w:val="21"/>
                      <w:szCs w:val="21"/>
                    </w:rPr>
                  </w:pPr>
                  <w:r>
                    <w:rPr>
                      <w:rFonts w:cs="Times New Roman"/>
                      <w:sz w:val="21"/>
                      <w:szCs w:val="21"/>
                    </w:rPr>
                    <w:t>资源利用上线</w:t>
                  </w:r>
                </w:p>
              </w:tc>
              <w:tc>
                <w:tcPr>
                  <w:tcW w:w="2360" w:type="pct"/>
                  <w:vAlign w:val="center"/>
                </w:tcPr>
                <w:p w14:paraId="5C6207EA">
                  <w:pPr>
                    <w:spacing w:line="240" w:lineRule="auto"/>
                    <w:ind w:firstLine="0" w:firstLineChars="0"/>
                    <w:contextualSpacing/>
                    <w:rPr>
                      <w:rFonts w:cs="Times New Roman"/>
                      <w:sz w:val="21"/>
                      <w:szCs w:val="21"/>
                    </w:rPr>
                  </w:pPr>
                  <w:r>
                    <w:rPr>
                      <w:rFonts w:cs="Times New Roman"/>
                      <w:sz w:val="21"/>
                      <w:szCs w:val="21"/>
                    </w:rPr>
                    <w:t>强化节约集约利用，持续提升资源能源利用效率，水资源、土地资源、能源消耗等达到国家、自治区下达的总量和强度控制目标，加快低碳发展，提升碳汇能力，做好碳达峰和碳中和工作</w:t>
                  </w:r>
                </w:p>
              </w:tc>
              <w:tc>
                <w:tcPr>
                  <w:tcW w:w="1583" w:type="pct"/>
                  <w:vAlign w:val="center"/>
                </w:tcPr>
                <w:p w14:paraId="37D68283">
                  <w:pPr>
                    <w:spacing w:line="240" w:lineRule="auto"/>
                    <w:ind w:firstLine="0" w:firstLineChars="0"/>
                    <w:contextualSpacing/>
                    <w:rPr>
                      <w:rFonts w:cs="Times New Roman"/>
                      <w:sz w:val="21"/>
                      <w:szCs w:val="21"/>
                    </w:rPr>
                  </w:pPr>
                  <w:r>
                    <w:rPr>
                      <w:rFonts w:hint="eastAsia" w:cs="Times New Roman"/>
                      <w:sz w:val="21"/>
                      <w:szCs w:val="21"/>
                    </w:rPr>
                    <w:t>本项目用水由库尔勒市哈拉玉宫乡废旧物资回收加工产业园供水系统供给</w:t>
                  </w:r>
                  <w:r>
                    <w:rPr>
                      <w:rFonts w:cs="Times New Roman"/>
                      <w:color w:val="000000"/>
                      <w:sz w:val="21"/>
                      <w:szCs w:val="21"/>
                    </w:rPr>
                    <w:t>，占地面积小，项目用水量、土地资源、能源消耗未超过国家、自治区下达的总量和强度控制目标</w:t>
                  </w:r>
                </w:p>
              </w:tc>
              <w:tc>
                <w:tcPr>
                  <w:tcW w:w="540" w:type="pct"/>
                  <w:vAlign w:val="center"/>
                </w:tcPr>
                <w:p w14:paraId="3B59A1A6">
                  <w:pPr>
                    <w:spacing w:line="240" w:lineRule="auto"/>
                    <w:ind w:firstLine="0" w:firstLineChars="0"/>
                    <w:contextualSpacing/>
                    <w:jc w:val="center"/>
                    <w:rPr>
                      <w:rFonts w:cs="Times New Roman"/>
                      <w:sz w:val="21"/>
                      <w:szCs w:val="21"/>
                    </w:rPr>
                  </w:pPr>
                  <w:r>
                    <w:rPr>
                      <w:rFonts w:cs="Times New Roman"/>
                      <w:sz w:val="21"/>
                      <w:szCs w:val="21"/>
                    </w:rPr>
                    <w:t>符合</w:t>
                  </w:r>
                </w:p>
              </w:tc>
            </w:tr>
            <w:tr w14:paraId="11AF60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jc w:val="center"/>
              </w:trPr>
              <w:tc>
                <w:tcPr>
                  <w:tcW w:w="517" w:type="pct"/>
                  <w:vAlign w:val="center"/>
                </w:tcPr>
                <w:p w14:paraId="74AB031A">
                  <w:pPr>
                    <w:spacing w:line="240" w:lineRule="auto"/>
                    <w:ind w:firstLine="0" w:firstLineChars="0"/>
                    <w:contextualSpacing/>
                    <w:jc w:val="center"/>
                    <w:rPr>
                      <w:rFonts w:cs="Times New Roman"/>
                      <w:sz w:val="21"/>
                      <w:szCs w:val="21"/>
                    </w:rPr>
                  </w:pPr>
                  <w:r>
                    <w:rPr>
                      <w:rFonts w:cs="Times New Roman"/>
                      <w:spacing w:val="-10"/>
                      <w:kern w:val="0"/>
                      <w:sz w:val="21"/>
                      <w:szCs w:val="21"/>
                    </w:rPr>
                    <w:t>环境管控单元</w:t>
                  </w:r>
                </w:p>
              </w:tc>
              <w:tc>
                <w:tcPr>
                  <w:tcW w:w="2360" w:type="pct"/>
                  <w:vAlign w:val="center"/>
                </w:tcPr>
                <w:p w14:paraId="5FA3014B">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自治州划定154个环境管控单元，分为优先保护单元、重点管控单元和一般管控单元等三个管控类别。</w:t>
                  </w:r>
                </w:p>
                <w:p w14:paraId="0B757609">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优先保护类单元66个。主要包括生态保护红线区和生态保护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14:paraId="343DFE4D">
                  <w:pPr>
                    <w:autoSpaceDE w:val="0"/>
                    <w:autoSpaceDN w:val="0"/>
                    <w:adjustRightInd w:val="0"/>
                    <w:spacing w:line="240" w:lineRule="auto"/>
                    <w:ind w:firstLine="420"/>
                    <w:rPr>
                      <w:rFonts w:cs="Times New Roman"/>
                      <w:color w:val="000000"/>
                      <w:sz w:val="21"/>
                      <w:szCs w:val="21"/>
                    </w:rPr>
                  </w:pPr>
                  <w:r>
                    <w:rPr>
                      <w:rFonts w:cs="Times New Roman"/>
                      <w:color w:val="000000"/>
                      <w:sz w:val="21"/>
                      <w:szCs w:val="21"/>
                    </w:rPr>
                    <w:t>重点管控单元79个。主要包括城镇建成区、工业园区和开发强度大、污染物排放强度高的工业聚集区等。要着力优化空间布局，不断提升资源利用效率，有针对性地加强污染物排放管控和环境风险防控，解决生态环境质量不达标、生态环境风险高等问题。</w:t>
                  </w:r>
                </w:p>
                <w:p w14:paraId="4951B14E">
                  <w:pPr>
                    <w:spacing w:line="240" w:lineRule="auto"/>
                    <w:ind w:firstLine="420"/>
                    <w:contextualSpacing/>
                    <w:rPr>
                      <w:rFonts w:cs="Times New Roman"/>
                      <w:sz w:val="21"/>
                      <w:szCs w:val="21"/>
                    </w:rPr>
                  </w:pPr>
                  <w:r>
                    <w:rPr>
                      <w:rFonts w:cs="Times New Roman"/>
                      <w:color w:val="000000"/>
                      <w:sz w:val="21"/>
                      <w:szCs w:val="21"/>
                    </w:rPr>
                    <w:t>一般管控单元共9个。主要包括优先保护单元和重点管控单元之外的其它区域。一般管控单元以沙漠、荒漠、戈壁、一般农业生产等为主的管控单元，主要落实生态环境保护基本要求，推动区域环境质量持续改善。</w:t>
                  </w:r>
                </w:p>
              </w:tc>
              <w:tc>
                <w:tcPr>
                  <w:tcW w:w="1583" w:type="pct"/>
                  <w:vAlign w:val="center"/>
                </w:tcPr>
                <w:p w14:paraId="5E0BD54D">
                  <w:pPr>
                    <w:spacing w:line="240" w:lineRule="auto"/>
                    <w:ind w:firstLine="0" w:firstLineChars="0"/>
                    <w:contextualSpacing/>
                    <w:rPr>
                      <w:rFonts w:cs="Times New Roman"/>
                      <w:color w:val="000000"/>
                      <w:sz w:val="21"/>
                      <w:szCs w:val="21"/>
                    </w:rPr>
                  </w:pPr>
                  <w:r>
                    <w:rPr>
                      <w:rFonts w:cs="Times New Roman"/>
                      <w:color w:val="000000"/>
                      <w:sz w:val="21"/>
                      <w:szCs w:val="21"/>
                    </w:rPr>
                    <w:t>本项目位于库尔勒市一般管控单元（ZH65280130001），</w:t>
                  </w:r>
                  <w:r>
                    <w:rPr>
                      <w:rFonts w:hint="eastAsia" w:cs="Times New Roman"/>
                      <w:color w:val="000000"/>
                      <w:sz w:val="21"/>
                      <w:szCs w:val="21"/>
                    </w:rPr>
                    <w:t>项目建设坚持生态优先原则，在建设过程中严格执行国家及地方相关法律法规，严守生态环境质量底线，确保区域生态功能不降低；通过落实完善的污染防治和环境风险防控措施，各类污染物可实现达标排放，项目实施后的环境风险处于可控范围</w:t>
                  </w:r>
                </w:p>
              </w:tc>
              <w:tc>
                <w:tcPr>
                  <w:tcW w:w="540" w:type="pct"/>
                  <w:vAlign w:val="center"/>
                </w:tcPr>
                <w:p w14:paraId="0702CE42">
                  <w:pPr>
                    <w:spacing w:line="240" w:lineRule="auto"/>
                    <w:ind w:firstLine="0" w:firstLineChars="0"/>
                    <w:contextualSpacing/>
                    <w:jc w:val="center"/>
                    <w:rPr>
                      <w:rFonts w:cs="Times New Roman"/>
                      <w:sz w:val="21"/>
                      <w:szCs w:val="21"/>
                    </w:rPr>
                  </w:pPr>
                  <w:r>
                    <w:rPr>
                      <w:rFonts w:cs="Times New Roman"/>
                      <w:sz w:val="21"/>
                      <w:szCs w:val="21"/>
                    </w:rPr>
                    <w:t>符合</w:t>
                  </w:r>
                </w:p>
              </w:tc>
            </w:tr>
            <w:bookmarkEnd w:id="4"/>
          </w:tbl>
          <w:p w14:paraId="22CA5D6E">
            <w:pPr>
              <w:autoSpaceDE w:val="0"/>
              <w:autoSpaceDN w:val="0"/>
              <w:adjustRightInd w:val="0"/>
              <w:spacing w:line="240" w:lineRule="auto"/>
              <w:ind w:firstLine="422"/>
              <w:jc w:val="center"/>
              <w:textAlignment w:val="auto"/>
              <w:rPr>
                <w:rFonts w:cs="Times New Roman"/>
                <w:b/>
                <w:bCs/>
                <w:kern w:val="0"/>
                <w:sz w:val="21"/>
                <w:szCs w:val="24"/>
              </w:rPr>
            </w:pPr>
            <w:bookmarkStart w:id="5" w:name="_Hlk97287333"/>
            <w:r>
              <w:rPr>
                <w:rFonts w:cs="Times New Roman"/>
                <w:b/>
                <w:bCs/>
                <w:kern w:val="0"/>
                <w:sz w:val="21"/>
                <w:szCs w:val="24"/>
              </w:rPr>
              <w:t>表1-4  本项目与所在管控单元“库尔勒市一般管控单元”符合性分析一览表</w:t>
            </w:r>
          </w:p>
          <w:tbl>
            <w:tblPr>
              <w:tblStyle w:val="24"/>
              <w:tblW w:w="498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07"/>
              <w:gridCol w:w="484"/>
              <w:gridCol w:w="4298"/>
              <w:gridCol w:w="2419"/>
              <w:gridCol w:w="515"/>
            </w:tblGrid>
            <w:tr w14:paraId="74FDCD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607" w:type="dxa"/>
                  <w:vAlign w:val="center"/>
                </w:tcPr>
                <w:p w14:paraId="486F0925">
                  <w:pPr>
                    <w:adjustRightInd w:val="0"/>
                    <w:spacing w:line="240" w:lineRule="auto"/>
                    <w:ind w:firstLine="0" w:firstLineChars="0"/>
                    <w:jc w:val="center"/>
                    <w:textAlignment w:val="auto"/>
                    <w:rPr>
                      <w:rFonts w:cs="Times New Roman"/>
                      <w:sz w:val="21"/>
                    </w:rPr>
                  </w:pPr>
                  <w:r>
                    <w:rPr>
                      <w:rFonts w:cs="Times New Roman"/>
                      <w:sz w:val="21"/>
                    </w:rPr>
                    <w:t>名称</w:t>
                  </w:r>
                </w:p>
              </w:tc>
              <w:tc>
                <w:tcPr>
                  <w:tcW w:w="4783" w:type="dxa"/>
                  <w:gridSpan w:val="2"/>
                  <w:vAlign w:val="center"/>
                </w:tcPr>
                <w:p w14:paraId="66BEB585">
                  <w:pPr>
                    <w:adjustRightInd w:val="0"/>
                    <w:spacing w:line="240" w:lineRule="auto"/>
                    <w:ind w:firstLine="0" w:firstLineChars="0"/>
                    <w:jc w:val="center"/>
                    <w:textAlignment w:val="auto"/>
                    <w:rPr>
                      <w:rFonts w:cs="Times New Roman"/>
                      <w:sz w:val="21"/>
                    </w:rPr>
                  </w:pPr>
                  <w:r>
                    <w:rPr>
                      <w:rFonts w:cs="Times New Roman"/>
                      <w:sz w:val="21"/>
                    </w:rPr>
                    <w:t>文件要求</w:t>
                  </w:r>
                </w:p>
              </w:tc>
              <w:tc>
                <w:tcPr>
                  <w:tcW w:w="2419" w:type="dxa"/>
                  <w:vAlign w:val="center"/>
                </w:tcPr>
                <w:p w14:paraId="3D468A6E">
                  <w:pPr>
                    <w:adjustRightInd w:val="0"/>
                    <w:spacing w:line="240" w:lineRule="auto"/>
                    <w:ind w:firstLine="0" w:firstLineChars="0"/>
                    <w:jc w:val="center"/>
                    <w:textAlignment w:val="auto"/>
                    <w:rPr>
                      <w:rFonts w:cs="Times New Roman"/>
                      <w:sz w:val="21"/>
                    </w:rPr>
                  </w:pPr>
                  <w:r>
                    <w:rPr>
                      <w:rFonts w:cs="Times New Roman"/>
                      <w:sz w:val="21"/>
                    </w:rPr>
                    <w:t>本项目</w:t>
                  </w:r>
                </w:p>
              </w:tc>
              <w:tc>
                <w:tcPr>
                  <w:tcW w:w="514" w:type="dxa"/>
                  <w:vAlign w:val="center"/>
                </w:tcPr>
                <w:p w14:paraId="56397301">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符合性</w:t>
                  </w:r>
                </w:p>
              </w:tc>
            </w:tr>
            <w:tr w14:paraId="26D4E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140" w:hRule="atLeast"/>
                <w:jc w:val="center"/>
              </w:trPr>
              <w:tc>
                <w:tcPr>
                  <w:tcW w:w="607" w:type="dxa"/>
                  <w:vMerge w:val="restart"/>
                  <w:vAlign w:val="center"/>
                </w:tcPr>
                <w:p w14:paraId="47BE7CD4">
                  <w:pPr>
                    <w:adjustRightInd w:val="0"/>
                    <w:spacing w:line="240" w:lineRule="auto"/>
                    <w:ind w:firstLine="0" w:firstLineChars="0"/>
                    <w:jc w:val="center"/>
                    <w:textAlignment w:val="auto"/>
                    <w:rPr>
                      <w:rFonts w:cs="Times New Roman"/>
                      <w:sz w:val="21"/>
                    </w:rPr>
                  </w:pPr>
                  <w:r>
                    <w:rPr>
                      <w:rFonts w:cs="Times New Roman"/>
                      <w:sz w:val="21"/>
                    </w:rPr>
                    <w:t>ZH65280130001库尔勒市一般管控</w:t>
                  </w:r>
                  <w:r>
                    <w:rPr>
                      <w:rFonts w:hint="eastAsia" w:cs="Times New Roman"/>
                      <w:sz w:val="21"/>
                    </w:rPr>
                    <w:t>区</w:t>
                  </w:r>
                </w:p>
              </w:tc>
              <w:tc>
                <w:tcPr>
                  <w:tcW w:w="484" w:type="dxa"/>
                  <w:vMerge w:val="restart"/>
                  <w:vAlign w:val="center"/>
                </w:tcPr>
                <w:p w14:paraId="71C7ADB3">
                  <w:pPr>
                    <w:adjustRightInd w:val="0"/>
                    <w:spacing w:line="240" w:lineRule="auto"/>
                    <w:ind w:firstLine="0" w:firstLineChars="0"/>
                    <w:jc w:val="center"/>
                    <w:textAlignment w:val="auto"/>
                    <w:rPr>
                      <w:rFonts w:cs="Times New Roman"/>
                      <w:sz w:val="21"/>
                    </w:rPr>
                  </w:pPr>
                  <w:r>
                    <w:rPr>
                      <w:rFonts w:cs="Times New Roman"/>
                      <w:sz w:val="21"/>
                    </w:rPr>
                    <w:t>空间布局约束</w:t>
                  </w:r>
                </w:p>
              </w:tc>
              <w:tc>
                <w:tcPr>
                  <w:tcW w:w="4299" w:type="dxa"/>
                  <w:vAlign w:val="center"/>
                </w:tcPr>
                <w:p w14:paraId="145FA052">
                  <w:pPr>
                    <w:adjustRightInd w:val="0"/>
                    <w:spacing w:line="240" w:lineRule="auto"/>
                    <w:ind w:firstLine="0" w:firstLineChars="0"/>
                    <w:textAlignment w:val="auto"/>
                    <w:rPr>
                      <w:rFonts w:cs="Times New Roman"/>
                      <w:sz w:val="21"/>
                    </w:rPr>
                  </w:pPr>
                  <w:r>
                    <w:rPr>
                      <w:rFonts w:cs="Times New Roman"/>
                      <w:sz w:val="21"/>
                    </w:rPr>
                    <w:t>1.建设项目用地原则上不得占用基本农田，确需占用基本农田的建设项目须符合《中华人民共和国基本农田保护条例》中相关要求，占用耕地、林地或草地的建设项目须按照国家、自治区相关补偿要求进行补偿。</w:t>
                  </w:r>
                </w:p>
              </w:tc>
              <w:tc>
                <w:tcPr>
                  <w:tcW w:w="2419" w:type="dxa"/>
                  <w:vAlign w:val="center"/>
                </w:tcPr>
                <w:p w14:paraId="339619AB">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14:paraId="20639196">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5F6055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98" w:hRule="atLeast"/>
                <w:jc w:val="center"/>
              </w:trPr>
              <w:tc>
                <w:tcPr>
                  <w:tcW w:w="607" w:type="dxa"/>
                  <w:vMerge w:val="continue"/>
                  <w:vAlign w:val="center"/>
                </w:tcPr>
                <w:p w14:paraId="4FB5E432">
                  <w:pPr>
                    <w:adjustRightInd w:val="0"/>
                    <w:spacing w:line="240" w:lineRule="auto"/>
                    <w:ind w:firstLine="420"/>
                    <w:jc w:val="center"/>
                    <w:rPr>
                      <w:rFonts w:cs="Times New Roman"/>
                      <w:sz w:val="21"/>
                    </w:rPr>
                  </w:pPr>
                </w:p>
              </w:tc>
              <w:tc>
                <w:tcPr>
                  <w:tcW w:w="484" w:type="dxa"/>
                  <w:vMerge w:val="continue"/>
                  <w:vAlign w:val="center"/>
                </w:tcPr>
                <w:p w14:paraId="10002D81">
                  <w:pPr>
                    <w:adjustRightInd w:val="0"/>
                    <w:spacing w:line="240" w:lineRule="auto"/>
                    <w:ind w:firstLine="0" w:firstLineChars="0"/>
                    <w:jc w:val="center"/>
                    <w:textAlignment w:val="auto"/>
                    <w:rPr>
                      <w:rFonts w:cs="Times New Roman"/>
                      <w:sz w:val="21"/>
                    </w:rPr>
                  </w:pPr>
                </w:p>
              </w:tc>
              <w:tc>
                <w:tcPr>
                  <w:tcW w:w="4299" w:type="dxa"/>
                  <w:vAlign w:val="center"/>
                </w:tcPr>
                <w:p w14:paraId="71DE7172">
                  <w:pPr>
                    <w:adjustRightInd w:val="0"/>
                    <w:spacing w:line="240" w:lineRule="auto"/>
                    <w:ind w:firstLine="0" w:firstLineChars="0"/>
                    <w:textAlignment w:val="auto"/>
                    <w:rPr>
                      <w:rFonts w:cs="Times New Roman"/>
                      <w:sz w:val="21"/>
                    </w:rPr>
                  </w:pPr>
                  <w:r>
                    <w:rPr>
                      <w:rFonts w:cs="Times New Roman"/>
                      <w:sz w:val="21"/>
                    </w:rPr>
                    <w:t>2.对违反资源环境法律法规、规划，污染环境、破坏生态、乱采滥挖的露天矿山，依法整治；对污染治理不规范的露天矿山，依法责令停产整治，对拒不停产或擅自恢复生产的依法强制关闭；对责任主体灭失的露天矿山，要加强修复绿化、减尘抑尘。</w:t>
                  </w:r>
                </w:p>
              </w:tc>
              <w:tc>
                <w:tcPr>
                  <w:tcW w:w="2419" w:type="dxa"/>
                  <w:vAlign w:val="center"/>
                </w:tcPr>
                <w:p w14:paraId="7DB31C78">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5B5823C0">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4439A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73" w:hRule="atLeast"/>
                <w:jc w:val="center"/>
              </w:trPr>
              <w:tc>
                <w:tcPr>
                  <w:tcW w:w="607" w:type="dxa"/>
                  <w:vMerge w:val="continue"/>
                  <w:vAlign w:val="center"/>
                </w:tcPr>
                <w:p w14:paraId="0DC9F1D3">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174EE187">
                  <w:pPr>
                    <w:adjustRightInd w:val="0"/>
                    <w:spacing w:line="240" w:lineRule="auto"/>
                    <w:ind w:firstLine="0" w:firstLineChars="0"/>
                    <w:jc w:val="center"/>
                    <w:textAlignment w:val="auto"/>
                    <w:rPr>
                      <w:rFonts w:cs="Times New Roman"/>
                      <w:sz w:val="21"/>
                    </w:rPr>
                  </w:pPr>
                </w:p>
              </w:tc>
              <w:tc>
                <w:tcPr>
                  <w:tcW w:w="4299" w:type="dxa"/>
                  <w:vAlign w:val="center"/>
                </w:tcPr>
                <w:p w14:paraId="482EC286">
                  <w:pPr>
                    <w:adjustRightInd w:val="0"/>
                    <w:spacing w:line="240" w:lineRule="auto"/>
                    <w:ind w:firstLine="0" w:firstLineChars="0"/>
                    <w:textAlignment w:val="auto"/>
                    <w:rPr>
                      <w:rFonts w:cs="Times New Roman"/>
                      <w:sz w:val="21"/>
                    </w:rPr>
                  </w:pPr>
                  <w:r>
                    <w:rPr>
                      <w:rFonts w:cs="Times New Roman"/>
                      <w:sz w:val="21"/>
                    </w:rPr>
                    <w:t>3.永久基本农田集中区域禁止规划新建可能造成土壤污染的建设项目。涉及有毒有害物质可能造成土壤污染的新（改、扩）建项目，提出并落实土壤和地下水污染防治要求。</w:t>
                  </w:r>
                </w:p>
              </w:tc>
              <w:tc>
                <w:tcPr>
                  <w:tcW w:w="2419" w:type="dxa"/>
                  <w:vAlign w:val="center"/>
                </w:tcPr>
                <w:p w14:paraId="44E95749">
                  <w:pPr>
                    <w:adjustRightInd w:val="0"/>
                    <w:spacing w:line="240" w:lineRule="auto"/>
                    <w:ind w:firstLine="0" w:firstLineChars="0"/>
                    <w:jc w:val="center"/>
                    <w:textAlignment w:val="auto"/>
                    <w:rPr>
                      <w:rFonts w:cs="Times New Roman"/>
                      <w:sz w:val="21"/>
                    </w:rPr>
                  </w:pPr>
                  <w:r>
                    <w:rPr>
                      <w:rFonts w:cs="Times New Roman"/>
                      <w:sz w:val="21"/>
                    </w:rPr>
                    <w:t>本项目不占用基本农田</w:t>
                  </w:r>
                </w:p>
              </w:tc>
              <w:tc>
                <w:tcPr>
                  <w:tcW w:w="514" w:type="dxa"/>
                  <w:vAlign w:val="center"/>
                </w:tcPr>
                <w:p w14:paraId="46C665BC">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46189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83" w:hRule="atLeast"/>
                <w:jc w:val="center"/>
              </w:trPr>
              <w:tc>
                <w:tcPr>
                  <w:tcW w:w="607" w:type="dxa"/>
                  <w:vMerge w:val="continue"/>
                  <w:vAlign w:val="center"/>
                </w:tcPr>
                <w:p w14:paraId="73731F8F">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228EA76A">
                  <w:pPr>
                    <w:adjustRightInd w:val="0"/>
                    <w:spacing w:line="240" w:lineRule="auto"/>
                    <w:ind w:firstLine="0" w:firstLineChars="0"/>
                    <w:jc w:val="center"/>
                    <w:textAlignment w:val="auto"/>
                    <w:rPr>
                      <w:rFonts w:cs="Times New Roman"/>
                      <w:sz w:val="21"/>
                    </w:rPr>
                  </w:pPr>
                </w:p>
              </w:tc>
              <w:tc>
                <w:tcPr>
                  <w:tcW w:w="4299" w:type="dxa"/>
                  <w:vAlign w:val="center"/>
                </w:tcPr>
                <w:p w14:paraId="55B947BA">
                  <w:pPr>
                    <w:adjustRightInd w:val="0"/>
                    <w:spacing w:line="240" w:lineRule="auto"/>
                    <w:ind w:firstLine="0" w:firstLineChars="0"/>
                    <w:textAlignment w:val="auto"/>
                    <w:rPr>
                      <w:rFonts w:cs="Times New Roman"/>
                      <w:sz w:val="21"/>
                    </w:rPr>
                  </w:pPr>
                  <w:r>
                    <w:rPr>
                      <w:rFonts w:cs="Times New Roman"/>
                      <w:sz w:val="21"/>
                    </w:rPr>
                    <w:t>4.严格执行畜禽养殖禁养区规定，根据区域用地和消纳水平，合理确定养殖规模。</w:t>
                  </w:r>
                </w:p>
              </w:tc>
              <w:tc>
                <w:tcPr>
                  <w:tcW w:w="2419" w:type="dxa"/>
                  <w:vAlign w:val="center"/>
                </w:tcPr>
                <w:p w14:paraId="40018994">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1607D8E5">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474292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54" w:hRule="atLeast"/>
                <w:jc w:val="center"/>
              </w:trPr>
              <w:tc>
                <w:tcPr>
                  <w:tcW w:w="607" w:type="dxa"/>
                  <w:vMerge w:val="continue"/>
                  <w:vAlign w:val="center"/>
                </w:tcPr>
                <w:p w14:paraId="37C377A5">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60D1B3E1">
                  <w:pPr>
                    <w:adjustRightInd w:val="0"/>
                    <w:spacing w:line="240" w:lineRule="auto"/>
                    <w:ind w:firstLine="0" w:firstLineChars="0"/>
                    <w:jc w:val="center"/>
                    <w:textAlignment w:val="auto"/>
                    <w:rPr>
                      <w:rFonts w:cs="Times New Roman"/>
                      <w:sz w:val="21"/>
                    </w:rPr>
                  </w:pPr>
                </w:p>
              </w:tc>
              <w:tc>
                <w:tcPr>
                  <w:tcW w:w="4299" w:type="dxa"/>
                  <w:vAlign w:val="center"/>
                </w:tcPr>
                <w:p w14:paraId="67EEAEC1">
                  <w:pPr>
                    <w:adjustRightInd w:val="0"/>
                    <w:spacing w:line="240" w:lineRule="auto"/>
                    <w:ind w:firstLine="0" w:firstLineChars="0"/>
                    <w:textAlignment w:val="auto"/>
                    <w:rPr>
                      <w:rFonts w:cs="Times New Roman"/>
                      <w:sz w:val="21"/>
                    </w:rPr>
                  </w:pPr>
                  <w:r>
                    <w:rPr>
                      <w:rFonts w:cs="Times New Roman"/>
                      <w:sz w:val="21"/>
                    </w:rPr>
                    <w:t>5.禁止向沙漠、滩涂、盐碱地、沼泽地等非法排污、倾倒有毒有害物质。</w:t>
                  </w:r>
                </w:p>
              </w:tc>
              <w:tc>
                <w:tcPr>
                  <w:tcW w:w="2419" w:type="dxa"/>
                  <w:vAlign w:val="center"/>
                </w:tcPr>
                <w:p w14:paraId="4AB31128">
                  <w:pPr>
                    <w:adjustRightInd w:val="0"/>
                    <w:spacing w:line="240" w:lineRule="auto"/>
                    <w:ind w:firstLine="0" w:firstLineChars="0"/>
                    <w:textAlignment w:val="auto"/>
                    <w:rPr>
                      <w:rFonts w:cs="Times New Roman"/>
                      <w:sz w:val="21"/>
                    </w:rPr>
                  </w:pPr>
                  <w:r>
                    <w:rPr>
                      <w:rFonts w:hint="eastAsia" w:cs="Times New Roman"/>
                      <w:sz w:val="21"/>
                    </w:rPr>
                    <w:t>营运期间固体废物全部综合利用或妥善处置</w:t>
                  </w:r>
                </w:p>
              </w:tc>
              <w:tc>
                <w:tcPr>
                  <w:tcW w:w="514" w:type="dxa"/>
                  <w:vAlign w:val="center"/>
                </w:tcPr>
                <w:p w14:paraId="52A60CB6">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7FB721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57" w:hRule="atLeast"/>
                <w:jc w:val="center"/>
              </w:trPr>
              <w:tc>
                <w:tcPr>
                  <w:tcW w:w="607" w:type="dxa"/>
                  <w:vMerge w:val="continue"/>
                  <w:vAlign w:val="center"/>
                </w:tcPr>
                <w:p w14:paraId="5FFB70BF">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4C214254">
                  <w:pPr>
                    <w:adjustRightInd w:val="0"/>
                    <w:spacing w:line="240" w:lineRule="auto"/>
                    <w:ind w:firstLine="0" w:firstLineChars="0"/>
                    <w:jc w:val="center"/>
                    <w:textAlignment w:val="auto"/>
                    <w:rPr>
                      <w:rFonts w:cs="Times New Roman"/>
                      <w:sz w:val="21"/>
                    </w:rPr>
                  </w:pPr>
                </w:p>
              </w:tc>
              <w:tc>
                <w:tcPr>
                  <w:tcW w:w="4299" w:type="dxa"/>
                  <w:vAlign w:val="center"/>
                </w:tcPr>
                <w:p w14:paraId="32FA5C6B">
                  <w:pPr>
                    <w:adjustRightInd w:val="0"/>
                    <w:spacing w:line="240" w:lineRule="auto"/>
                    <w:ind w:firstLine="0" w:firstLineChars="0"/>
                    <w:textAlignment w:val="auto"/>
                    <w:rPr>
                      <w:rFonts w:cs="Times New Roman"/>
                      <w:sz w:val="21"/>
                    </w:rPr>
                  </w:pPr>
                  <w:r>
                    <w:rPr>
                      <w:rFonts w:cs="Times New Roman"/>
                      <w:sz w:val="21"/>
                    </w:rPr>
                    <w:t>6.禁止利用渗坑、裂隙、溶洞或者采用稀释等方法处置危险废物。</w:t>
                  </w:r>
                </w:p>
              </w:tc>
              <w:tc>
                <w:tcPr>
                  <w:tcW w:w="2419" w:type="dxa"/>
                  <w:vAlign w:val="center"/>
                </w:tcPr>
                <w:p w14:paraId="49B84EC9">
                  <w:pPr>
                    <w:adjustRightInd w:val="0"/>
                    <w:spacing w:line="240" w:lineRule="auto"/>
                    <w:ind w:firstLine="0" w:firstLineChars="0"/>
                    <w:textAlignment w:val="auto"/>
                    <w:rPr>
                      <w:rFonts w:cs="Times New Roman"/>
                      <w:sz w:val="21"/>
                    </w:rPr>
                  </w:pPr>
                  <w:r>
                    <w:rPr>
                      <w:rFonts w:cs="Times New Roman"/>
                      <w:sz w:val="21"/>
                    </w:rPr>
                    <w:t>本项目营运期危险废物主要为</w:t>
                  </w:r>
                  <w:r>
                    <w:rPr>
                      <w:rFonts w:hint="eastAsia" w:cs="Times New Roman"/>
                      <w:sz w:val="21"/>
                    </w:rPr>
                    <w:t>废机油、沾有废机油的废抹布和废手套、废机油桶。危险废物集中收集后，分区存放于危险废物贮存点，定期交由有危险废物处理资质的单位回收处理</w:t>
                  </w:r>
                </w:p>
              </w:tc>
              <w:tc>
                <w:tcPr>
                  <w:tcW w:w="514" w:type="dxa"/>
                  <w:vAlign w:val="center"/>
                </w:tcPr>
                <w:p w14:paraId="3EB34DA9">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53A47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25" w:hRule="atLeast"/>
                <w:jc w:val="center"/>
              </w:trPr>
              <w:tc>
                <w:tcPr>
                  <w:tcW w:w="607" w:type="dxa"/>
                  <w:vMerge w:val="continue"/>
                  <w:vAlign w:val="center"/>
                </w:tcPr>
                <w:p w14:paraId="2F93455C">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3FD8A2BA">
                  <w:pPr>
                    <w:adjustRightInd w:val="0"/>
                    <w:spacing w:line="240" w:lineRule="auto"/>
                    <w:ind w:firstLine="0" w:firstLineChars="0"/>
                    <w:jc w:val="center"/>
                    <w:textAlignment w:val="auto"/>
                    <w:rPr>
                      <w:rFonts w:cs="Times New Roman"/>
                      <w:sz w:val="21"/>
                    </w:rPr>
                  </w:pPr>
                </w:p>
              </w:tc>
              <w:tc>
                <w:tcPr>
                  <w:tcW w:w="4299" w:type="dxa"/>
                  <w:vAlign w:val="center"/>
                </w:tcPr>
                <w:p w14:paraId="74E79E45">
                  <w:pPr>
                    <w:adjustRightInd w:val="0"/>
                    <w:spacing w:line="240" w:lineRule="auto"/>
                    <w:ind w:firstLine="0" w:firstLineChars="0"/>
                    <w:textAlignment w:val="auto"/>
                    <w:rPr>
                      <w:rFonts w:cs="Times New Roman"/>
                      <w:sz w:val="21"/>
                    </w:rPr>
                  </w:pPr>
                  <w:r>
                    <w:rPr>
                      <w:rFonts w:cs="Times New Roman"/>
                      <w:sz w:val="21"/>
                    </w:rPr>
                    <w:t>7.自治区级重点开采区内新建矿山必须符合国家、自治区、巴州产业政策和规划，达到国家、自治区有关矿山企业准入条件；矿山采矿规模不低于矿产资源规划确定的矿山最低开采规模，矿山占有矿石资源储量与矿山开采规模及矿山服务年限相匹配，具备与矿山开采规模相配套的人才、资金、技术和管理资质条件。禁止核准新建120万吨/年/矿井（不含）及400万吨/年/露天（不含）以下规模的煤矿。</w:t>
                  </w:r>
                </w:p>
              </w:tc>
              <w:tc>
                <w:tcPr>
                  <w:tcW w:w="2419" w:type="dxa"/>
                  <w:vAlign w:val="center"/>
                </w:tcPr>
                <w:p w14:paraId="74AFC210">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15B4C98A">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1D9DE4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vMerge w:val="continue"/>
                  <w:vAlign w:val="center"/>
                </w:tcPr>
                <w:p w14:paraId="66B62CAF">
                  <w:pPr>
                    <w:adjustRightInd w:val="0"/>
                    <w:spacing w:line="240" w:lineRule="auto"/>
                    <w:ind w:firstLine="0" w:firstLineChars="0"/>
                    <w:jc w:val="center"/>
                    <w:textAlignment w:val="auto"/>
                    <w:rPr>
                      <w:rFonts w:cs="Times New Roman"/>
                      <w:sz w:val="21"/>
                    </w:rPr>
                  </w:pPr>
                </w:p>
              </w:tc>
              <w:tc>
                <w:tcPr>
                  <w:tcW w:w="484" w:type="dxa"/>
                  <w:vMerge w:val="restart"/>
                  <w:vAlign w:val="center"/>
                </w:tcPr>
                <w:p w14:paraId="75DD28BC">
                  <w:pPr>
                    <w:adjustRightInd w:val="0"/>
                    <w:spacing w:line="240" w:lineRule="auto"/>
                    <w:ind w:firstLine="0" w:firstLineChars="0"/>
                    <w:jc w:val="center"/>
                    <w:textAlignment w:val="auto"/>
                    <w:rPr>
                      <w:rFonts w:cs="Times New Roman"/>
                      <w:sz w:val="21"/>
                    </w:rPr>
                  </w:pPr>
                  <w:r>
                    <w:rPr>
                      <w:rFonts w:cs="Times New Roman"/>
                      <w:sz w:val="21"/>
                    </w:rPr>
                    <w:t>污染物排放管控</w:t>
                  </w:r>
                </w:p>
              </w:tc>
              <w:tc>
                <w:tcPr>
                  <w:tcW w:w="4299" w:type="dxa"/>
                  <w:vAlign w:val="center"/>
                </w:tcPr>
                <w:p w14:paraId="4070BB78">
                  <w:pPr>
                    <w:adjustRightInd w:val="0"/>
                    <w:spacing w:line="240" w:lineRule="auto"/>
                    <w:ind w:firstLine="0" w:firstLineChars="0"/>
                    <w:textAlignment w:val="auto"/>
                    <w:rPr>
                      <w:rFonts w:cs="Times New Roman"/>
                      <w:sz w:val="21"/>
                    </w:rPr>
                  </w:pPr>
                  <w:r>
                    <w:rPr>
                      <w:rFonts w:cs="Times New Roman"/>
                      <w:sz w:val="21"/>
                    </w:rPr>
                    <w:t>1.强化畜禽粪污资源化利用，改善养殖场通风环境，提高畜禽粪污综合利用率，减少氨挥发排放。鼓励和支持散养密集区实行畜禽粪污分户收集、集中处理。</w:t>
                  </w:r>
                </w:p>
              </w:tc>
              <w:tc>
                <w:tcPr>
                  <w:tcW w:w="2419" w:type="dxa"/>
                  <w:vAlign w:val="center"/>
                </w:tcPr>
                <w:p w14:paraId="3FD4B825">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5EA93D34">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38ABB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vMerge w:val="continue"/>
                  <w:vAlign w:val="center"/>
                </w:tcPr>
                <w:p w14:paraId="4D656884">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46675DCE">
                  <w:pPr>
                    <w:adjustRightInd w:val="0"/>
                    <w:spacing w:line="240" w:lineRule="auto"/>
                    <w:ind w:firstLine="0" w:firstLineChars="0"/>
                    <w:jc w:val="center"/>
                    <w:textAlignment w:val="auto"/>
                    <w:rPr>
                      <w:rFonts w:cs="Times New Roman"/>
                      <w:sz w:val="21"/>
                    </w:rPr>
                  </w:pPr>
                </w:p>
              </w:tc>
              <w:tc>
                <w:tcPr>
                  <w:tcW w:w="4299" w:type="dxa"/>
                  <w:vAlign w:val="center"/>
                </w:tcPr>
                <w:p w14:paraId="0686771D">
                  <w:pPr>
                    <w:adjustRightInd w:val="0"/>
                    <w:spacing w:line="240" w:lineRule="auto"/>
                    <w:ind w:firstLine="0" w:firstLineChars="0"/>
                    <w:textAlignment w:val="auto"/>
                    <w:rPr>
                      <w:rFonts w:cs="Times New Roman"/>
                      <w:sz w:val="21"/>
                    </w:rPr>
                  </w:pPr>
                  <w:r>
                    <w:rPr>
                      <w:rFonts w:cs="Times New Roman"/>
                      <w:sz w:val="21"/>
                    </w:rPr>
                    <w:t>2.严格控制林地、草地、园地农药使用量，禁止使用高毒、高残留农药。</w:t>
                  </w:r>
                </w:p>
              </w:tc>
              <w:tc>
                <w:tcPr>
                  <w:tcW w:w="2419" w:type="dxa"/>
                  <w:vAlign w:val="center"/>
                </w:tcPr>
                <w:p w14:paraId="6F944DC0">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2777C420">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53E9BF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21" w:hRule="atLeast"/>
                <w:jc w:val="center"/>
              </w:trPr>
              <w:tc>
                <w:tcPr>
                  <w:tcW w:w="607" w:type="dxa"/>
                  <w:vMerge w:val="continue"/>
                  <w:vAlign w:val="center"/>
                </w:tcPr>
                <w:p w14:paraId="2FDA28E9">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5F60345B">
                  <w:pPr>
                    <w:adjustRightInd w:val="0"/>
                    <w:spacing w:line="240" w:lineRule="auto"/>
                    <w:ind w:firstLine="0" w:firstLineChars="0"/>
                    <w:jc w:val="center"/>
                    <w:textAlignment w:val="auto"/>
                    <w:rPr>
                      <w:rFonts w:cs="Times New Roman"/>
                      <w:sz w:val="21"/>
                    </w:rPr>
                  </w:pPr>
                </w:p>
              </w:tc>
              <w:tc>
                <w:tcPr>
                  <w:tcW w:w="4299" w:type="dxa"/>
                  <w:vAlign w:val="center"/>
                </w:tcPr>
                <w:p w14:paraId="08C56C5E">
                  <w:pPr>
                    <w:adjustRightInd w:val="0"/>
                    <w:spacing w:line="240" w:lineRule="auto"/>
                    <w:ind w:firstLine="0" w:firstLineChars="0"/>
                    <w:textAlignment w:val="auto"/>
                    <w:rPr>
                      <w:rFonts w:cs="Times New Roman"/>
                      <w:sz w:val="21"/>
                    </w:rPr>
                  </w:pPr>
                  <w:r>
                    <w:rPr>
                      <w:rFonts w:cs="Times New Roman"/>
                      <w:sz w:val="21"/>
                    </w:rPr>
                    <w:t>3.加强种植业污染防治。深入推进化肥农药减量增效，全面推广测土配方施肥，引导推动有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tc>
              <w:tc>
                <w:tcPr>
                  <w:tcW w:w="2419" w:type="dxa"/>
                  <w:vAlign w:val="center"/>
                </w:tcPr>
                <w:p w14:paraId="18DAF571">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2306B8BC">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7F533D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05" w:hRule="atLeast"/>
                <w:jc w:val="center"/>
              </w:trPr>
              <w:tc>
                <w:tcPr>
                  <w:tcW w:w="607" w:type="dxa"/>
                  <w:vMerge w:val="continue"/>
                  <w:vAlign w:val="center"/>
                </w:tcPr>
                <w:p w14:paraId="4955ABED">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76B18E9E">
                  <w:pPr>
                    <w:adjustRightInd w:val="0"/>
                    <w:spacing w:line="240" w:lineRule="auto"/>
                    <w:ind w:firstLine="0" w:firstLineChars="0"/>
                    <w:jc w:val="center"/>
                    <w:textAlignment w:val="auto"/>
                    <w:rPr>
                      <w:rFonts w:cs="Times New Roman"/>
                      <w:sz w:val="21"/>
                    </w:rPr>
                  </w:pPr>
                </w:p>
              </w:tc>
              <w:tc>
                <w:tcPr>
                  <w:tcW w:w="4299" w:type="dxa"/>
                  <w:vAlign w:val="center"/>
                </w:tcPr>
                <w:p w14:paraId="14B93657">
                  <w:pPr>
                    <w:adjustRightInd w:val="0"/>
                    <w:spacing w:line="240" w:lineRule="auto"/>
                    <w:ind w:firstLine="0" w:firstLineChars="0"/>
                    <w:textAlignment w:val="auto"/>
                    <w:rPr>
                      <w:rFonts w:cs="Times New Roman"/>
                      <w:sz w:val="21"/>
                    </w:rPr>
                  </w:pPr>
                  <w:r>
                    <w:rPr>
                      <w:rFonts w:cs="Times New Roman"/>
                      <w:sz w:val="21"/>
                    </w:rPr>
                    <w:t>4.对化学品生产企业、工业集聚区、尾矿库、矿山开采区、危险废物处置场、垃圾填埋场等地下水污染源及周边区域，逐步开展地下水环境状况调查评估，加强风险管控。</w:t>
                  </w:r>
                </w:p>
              </w:tc>
              <w:tc>
                <w:tcPr>
                  <w:tcW w:w="2419" w:type="dxa"/>
                  <w:vAlign w:val="center"/>
                </w:tcPr>
                <w:p w14:paraId="206673A9">
                  <w:pPr>
                    <w:adjustRightInd w:val="0"/>
                    <w:spacing w:line="240" w:lineRule="auto"/>
                    <w:ind w:firstLine="0" w:firstLineChars="0"/>
                    <w:jc w:val="center"/>
                    <w:textAlignment w:val="auto"/>
                    <w:rPr>
                      <w:rFonts w:cs="Times New Roman"/>
                      <w:sz w:val="21"/>
                    </w:rPr>
                  </w:pPr>
                  <w:r>
                    <w:rPr>
                      <w:rFonts w:cs="Times New Roman"/>
                      <w:sz w:val="21"/>
                    </w:rPr>
                    <w:t>本评价要求项目加强营运期环境风险防控</w:t>
                  </w:r>
                </w:p>
              </w:tc>
              <w:tc>
                <w:tcPr>
                  <w:tcW w:w="514" w:type="dxa"/>
                  <w:vAlign w:val="center"/>
                </w:tcPr>
                <w:p w14:paraId="156FDBE3">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179732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607" w:type="dxa"/>
                  <w:vMerge w:val="continue"/>
                  <w:vAlign w:val="center"/>
                </w:tcPr>
                <w:p w14:paraId="376B2D85">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25BE0EE0">
                  <w:pPr>
                    <w:adjustRightInd w:val="0"/>
                    <w:spacing w:line="240" w:lineRule="auto"/>
                    <w:ind w:firstLine="0" w:firstLineChars="0"/>
                    <w:jc w:val="center"/>
                    <w:textAlignment w:val="auto"/>
                    <w:rPr>
                      <w:rFonts w:cs="Times New Roman"/>
                      <w:sz w:val="21"/>
                    </w:rPr>
                  </w:pPr>
                </w:p>
              </w:tc>
              <w:tc>
                <w:tcPr>
                  <w:tcW w:w="4299" w:type="dxa"/>
                  <w:vAlign w:val="center"/>
                </w:tcPr>
                <w:p w14:paraId="074D6CC3">
                  <w:pPr>
                    <w:adjustRightInd w:val="0"/>
                    <w:spacing w:line="240" w:lineRule="auto"/>
                    <w:ind w:firstLine="0" w:firstLineChars="0"/>
                    <w:textAlignment w:val="auto"/>
                    <w:rPr>
                      <w:rFonts w:cs="Times New Roman"/>
                      <w:sz w:val="21"/>
                    </w:rPr>
                  </w:pPr>
                  <w:r>
                    <w:rPr>
                      <w:rFonts w:cs="Times New Roman"/>
                      <w:sz w:val="21"/>
                    </w:rPr>
                    <w:t>5.严控土壤重金属污染，加强油（气）田开发土壤污染防治，以历史遗留工业企业污染场地为重点，开展土壤污染风险管控与修复工程。</w:t>
                  </w:r>
                </w:p>
              </w:tc>
              <w:tc>
                <w:tcPr>
                  <w:tcW w:w="2419" w:type="dxa"/>
                  <w:vAlign w:val="center"/>
                </w:tcPr>
                <w:p w14:paraId="40522FF5">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2C06AFE8">
                  <w:pPr>
                    <w:adjustRightInd w:val="0"/>
                    <w:spacing w:line="240" w:lineRule="auto"/>
                    <w:ind w:firstLine="0" w:firstLineChars="0"/>
                    <w:jc w:val="center"/>
                    <w:textAlignment w:val="auto"/>
                    <w:rPr>
                      <w:rFonts w:cs="Times New Roman"/>
                      <w:spacing w:val="-10"/>
                      <w:sz w:val="21"/>
                      <w:szCs w:val="21"/>
                    </w:rPr>
                  </w:pPr>
                  <w:r>
                    <w:rPr>
                      <w:rFonts w:cs="Times New Roman"/>
                      <w:sz w:val="21"/>
                    </w:rPr>
                    <w:t>符合</w:t>
                  </w:r>
                </w:p>
              </w:tc>
            </w:tr>
            <w:tr w14:paraId="3BE706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034" w:hRule="atLeast"/>
                <w:jc w:val="center"/>
              </w:trPr>
              <w:tc>
                <w:tcPr>
                  <w:tcW w:w="607" w:type="dxa"/>
                  <w:vMerge w:val="continue"/>
                  <w:vAlign w:val="center"/>
                </w:tcPr>
                <w:p w14:paraId="1E7241DE">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20559F77">
                  <w:pPr>
                    <w:adjustRightInd w:val="0"/>
                    <w:spacing w:line="240" w:lineRule="auto"/>
                    <w:ind w:firstLine="0" w:firstLineChars="0"/>
                    <w:jc w:val="center"/>
                    <w:textAlignment w:val="auto"/>
                    <w:rPr>
                      <w:rFonts w:cs="Times New Roman"/>
                      <w:sz w:val="21"/>
                    </w:rPr>
                  </w:pPr>
                </w:p>
              </w:tc>
              <w:tc>
                <w:tcPr>
                  <w:tcW w:w="4299" w:type="dxa"/>
                  <w:vAlign w:val="center"/>
                </w:tcPr>
                <w:p w14:paraId="0FD36C74">
                  <w:pPr>
                    <w:adjustRightInd w:val="0"/>
                    <w:spacing w:line="240" w:lineRule="auto"/>
                    <w:ind w:firstLine="0" w:firstLineChars="0"/>
                    <w:textAlignment w:val="auto"/>
                    <w:rPr>
                      <w:rFonts w:cs="Times New Roman"/>
                      <w:sz w:val="21"/>
                    </w:rPr>
                  </w:pPr>
                  <w:r>
                    <w:rPr>
                      <w:rFonts w:cs="Times New Roman"/>
                      <w:sz w:val="21"/>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2419" w:type="dxa"/>
                  <w:vAlign w:val="center"/>
                </w:tcPr>
                <w:p w14:paraId="3CF457E9">
                  <w:pPr>
                    <w:adjustRightInd w:val="0"/>
                    <w:spacing w:line="240" w:lineRule="auto"/>
                    <w:ind w:firstLine="0" w:firstLineChars="0"/>
                    <w:textAlignment w:val="auto"/>
                    <w:rPr>
                      <w:rFonts w:cs="Times New Roman"/>
                      <w:sz w:val="21"/>
                    </w:rPr>
                  </w:pPr>
                  <w:r>
                    <w:rPr>
                      <w:rFonts w:cs="Times New Roman"/>
                      <w:sz w:val="21"/>
                    </w:rPr>
                    <w:t>本项目生活污水经化粪池处理后，定期由吸污车抽运至库尔勒市南市区污水处理厂处理。生活垃圾由垃圾桶收集后，环卫部门定期收集处置</w:t>
                  </w:r>
                </w:p>
              </w:tc>
              <w:tc>
                <w:tcPr>
                  <w:tcW w:w="514" w:type="dxa"/>
                  <w:vAlign w:val="center"/>
                </w:tcPr>
                <w:p w14:paraId="04DD6136">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68F8CF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14" w:hRule="atLeast"/>
                <w:jc w:val="center"/>
              </w:trPr>
              <w:tc>
                <w:tcPr>
                  <w:tcW w:w="607" w:type="dxa"/>
                  <w:vMerge w:val="continue"/>
                  <w:vAlign w:val="center"/>
                </w:tcPr>
                <w:p w14:paraId="28FA94B8">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30282DB0">
                  <w:pPr>
                    <w:adjustRightInd w:val="0"/>
                    <w:spacing w:line="240" w:lineRule="auto"/>
                    <w:ind w:firstLine="0" w:firstLineChars="0"/>
                    <w:jc w:val="center"/>
                    <w:textAlignment w:val="auto"/>
                    <w:rPr>
                      <w:rFonts w:cs="Times New Roman"/>
                      <w:sz w:val="21"/>
                    </w:rPr>
                  </w:pPr>
                </w:p>
              </w:tc>
              <w:tc>
                <w:tcPr>
                  <w:tcW w:w="4299" w:type="dxa"/>
                  <w:vAlign w:val="center"/>
                </w:tcPr>
                <w:p w14:paraId="106D806C">
                  <w:pPr>
                    <w:adjustRightInd w:val="0"/>
                    <w:spacing w:line="240" w:lineRule="auto"/>
                    <w:ind w:firstLine="0" w:firstLineChars="0"/>
                    <w:textAlignment w:val="auto"/>
                    <w:rPr>
                      <w:rFonts w:cs="Times New Roman"/>
                      <w:sz w:val="21"/>
                    </w:rPr>
                  </w:pPr>
                  <w:r>
                    <w:rPr>
                      <w:rFonts w:cs="Times New Roman"/>
                      <w:sz w:val="21"/>
                    </w:rPr>
                    <w:t>7.矿山大气、水、水污染物排放应符合国家和自治区相关排放标准，对采矿伴生气、矿井水、选矿废水和尾矿水等应进行综合利用和无害化处理。严格实施“谁开发，谁保护”、“谁污染，谁治理”、“谁破坏，谁恢复”的原则，落实矿山环境保护和修复责任制。矿山在建设过程中，应严格执行“三同时”制度。新建矿山应对地质环境进行检测。矿山应编制矿山地质环境保护与土地复垦方案，落实矿山地质环境保护和恢复责任制。矿山企业应严格按照“节约减排”要求，采取有力措施，从源头上减少“三废”排放，并加强“三废”的综合利用回收。</w:t>
                  </w:r>
                </w:p>
              </w:tc>
              <w:tc>
                <w:tcPr>
                  <w:tcW w:w="2419" w:type="dxa"/>
                  <w:vAlign w:val="center"/>
                </w:tcPr>
                <w:p w14:paraId="53E46DA6">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7D4F5EE7">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6C9DBA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607" w:type="dxa"/>
                  <w:vMerge w:val="continue"/>
                  <w:vAlign w:val="center"/>
                </w:tcPr>
                <w:p w14:paraId="2C4916D6">
                  <w:pPr>
                    <w:adjustRightInd w:val="0"/>
                    <w:spacing w:line="240" w:lineRule="auto"/>
                    <w:ind w:firstLine="0" w:firstLineChars="0"/>
                    <w:jc w:val="center"/>
                    <w:textAlignment w:val="auto"/>
                    <w:rPr>
                      <w:rFonts w:cs="Times New Roman"/>
                      <w:sz w:val="21"/>
                    </w:rPr>
                  </w:pPr>
                </w:p>
              </w:tc>
              <w:tc>
                <w:tcPr>
                  <w:tcW w:w="484" w:type="dxa"/>
                  <w:vMerge w:val="restart"/>
                  <w:vAlign w:val="center"/>
                </w:tcPr>
                <w:p w14:paraId="0AFDD308">
                  <w:pPr>
                    <w:adjustRightInd w:val="0"/>
                    <w:spacing w:line="240" w:lineRule="auto"/>
                    <w:ind w:firstLine="0" w:firstLineChars="0"/>
                    <w:jc w:val="center"/>
                    <w:textAlignment w:val="auto"/>
                    <w:rPr>
                      <w:rFonts w:cs="Times New Roman"/>
                      <w:sz w:val="21"/>
                    </w:rPr>
                  </w:pPr>
                  <w:r>
                    <w:rPr>
                      <w:rFonts w:cs="Times New Roman"/>
                      <w:sz w:val="21"/>
                    </w:rPr>
                    <w:t>环境风险防控</w:t>
                  </w:r>
                </w:p>
              </w:tc>
              <w:tc>
                <w:tcPr>
                  <w:tcW w:w="4299" w:type="dxa"/>
                  <w:vAlign w:val="center"/>
                </w:tcPr>
                <w:p w14:paraId="469591BA">
                  <w:pPr>
                    <w:adjustRightInd w:val="0"/>
                    <w:spacing w:line="240" w:lineRule="auto"/>
                    <w:ind w:firstLine="0" w:firstLineChars="0"/>
                    <w:textAlignment w:val="auto"/>
                    <w:rPr>
                      <w:rFonts w:cs="Times New Roman"/>
                      <w:sz w:val="21"/>
                    </w:rPr>
                  </w:pPr>
                  <w:r>
                    <w:rPr>
                      <w:rFonts w:cs="Times New Roman"/>
                      <w:sz w:val="21"/>
                    </w:rPr>
                    <w:t>1.加强对矿山、油田等矿产资源开采影响区域内未利用地的环境监管，发现土壤污染问题的，要坚决查处，并及时督促有关单位采取有效防治措施消除或减轻污染。</w:t>
                  </w:r>
                </w:p>
              </w:tc>
              <w:tc>
                <w:tcPr>
                  <w:tcW w:w="2419" w:type="dxa"/>
                  <w:vAlign w:val="center"/>
                </w:tcPr>
                <w:p w14:paraId="730472C5">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0CB3E67B">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0B3BA0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9" w:hRule="atLeast"/>
                <w:jc w:val="center"/>
              </w:trPr>
              <w:tc>
                <w:tcPr>
                  <w:tcW w:w="607" w:type="dxa"/>
                  <w:vMerge w:val="continue"/>
                  <w:vAlign w:val="center"/>
                </w:tcPr>
                <w:p w14:paraId="7A02D4FA">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59B16358">
                  <w:pPr>
                    <w:adjustRightInd w:val="0"/>
                    <w:spacing w:line="240" w:lineRule="auto"/>
                    <w:ind w:firstLine="0" w:firstLineChars="0"/>
                    <w:jc w:val="center"/>
                    <w:textAlignment w:val="auto"/>
                    <w:rPr>
                      <w:rFonts w:cs="Times New Roman"/>
                      <w:sz w:val="21"/>
                    </w:rPr>
                  </w:pPr>
                </w:p>
              </w:tc>
              <w:tc>
                <w:tcPr>
                  <w:tcW w:w="4299" w:type="dxa"/>
                  <w:vAlign w:val="center"/>
                </w:tcPr>
                <w:p w14:paraId="053D0FCC">
                  <w:pPr>
                    <w:adjustRightInd w:val="0"/>
                    <w:spacing w:line="240" w:lineRule="auto"/>
                    <w:ind w:firstLine="0" w:firstLineChars="0"/>
                    <w:textAlignment w:val="auto"/>
                    <w:rPr>
                      <w:rFonts w:cs="Times New Roman"/>
                      <w:sz w:val="21"/>
                    </w:rPr>
                  </w:pPr>
                  <w:r>
                    <w:rPr>
                      <w:rFonts w:cs="Times New Roman"/>
                      <w:sz w:val="21"/>
                    </w:rPr>
                    <w:t>2.对排查出的危库和病库以及风险评估有严重环境安全隐患的尾矿库，要求企业完善污染治理设施、进行治理和修复。全面整治历史遗留尾矿库，完善覆膜、压土、排洪、堤坝加固等隐患治理和闭库措施。</w:t>
                  </w:r>
                </w:p>
              </w:tc>
              <w:tc>
                <w:tcPr>
                  <w:tcW w:w="2419" w:type="dxa"/>
                  <w:vAlign w:val="center"/>
                </w:tcPr>
                <w:p w14:paraId="1293BD02">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48C6BC89">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343F6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5" w:hRule="atLeast"/>
                <w:jc w:val="center"/>
              </w:trPr>
              <w:tc>
                <w:tcPr>
                  <w:tcW w:w="607" w:type="dxa"/>
                  <w:vMerge w:val="continue"/>
                  <w:vAlign w:val="center"/>
                </w:tcPr>
                <w:p w14:paraId="097D827F">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2F03FDEE">
                  <w:pPr>
                    <w:adjustRightInd w:val="0"/>
                    <w:spacing w:line="240" w:lineRule="auto"/>
                    <w:ind w:firstLine="0" w:firstLineChars="0"/>
                    <w:jc w:val="center"/>
                    <w:textAlignment w:val="auto"/>
                    <w:rPr>
                      <w:rFonts w:cs="Times New Roman"/>
                      <w:sz w:val="21"/>
                    </w:rPr>
                  </w:pPr>
                </w:p>
              </w:tc>
              <w:tc>
                <w:tcPr>
                  <w:tcW w:w="4299" w:type="dxa"/>
                  <w:vAlign w:val="center"/>
                </w:tcPr>
                <w:p w14:paraId="47316B5A">
                  <w:pPr>
                    <w:adjustRightInd w:val="0"/>
                    <w:spacing w:line="240" w:lineRule="auto"/>
                    <w:ind w:firstLine="0" w:firstLineChars="0"/>
                    <w:textAlignment w:val="auto"/>
                    <w:rPr>
                      <w:rFonts w:cs="Times New Roman"/>
                      <w:sz w:val="21"/>
                    </w:rPr>
                  </w:pPr>
                  <w:r>
                    <w:rPr>
                      <w:rFonts w:cs="Times New Roman"/>
                      <w:sz w:val="21"/>
                    </w:rPr>
                    <w:t>3.依法推行农用地分类管理制度，强化受污染耕地安全利用和风险管控。因地制宜制定实施安全利用方案，鼓励采取种植结构调整等措施，确保受污染耕地全部实现安全利用。</w:t>
                  </w:r>
                </w:p>
              </w:tc>
              <w:tc>
                <w:tcPr>
                  <w:tcW w:w="2419" w:type="dxa"/>
                  <w:vAlign w:val="center"/>
                </w:tcPr>
                <w:p w14:paraId="4DF03802">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13A1762D">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76E866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16" w:hRule="atLeast"/>
                <w:jc w:val="center"/>
              </w:trPr>
              <w:tc>
                <w:tcPr>
                  <w:tcW w:w="607" w:type="dxa"/>
                  <w:vMerge w:val="continue"/>
                  <w:vAlign w:val="center"/>
                </w:tcPr>
                <w:p w14:paraId="7E72A5F7">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0F55E5BA">
                  <w:pPr>
                    <w:adjustRightInd w:val="0"/>
                    <w:spacing w:line="240" w:lineRule="auto"/>
                    <w:ind w:firstLine="0" w:firstLineChars="0"/>
                    <w:jc w:val="center"/>
                    <w:textAlignment w:val="auto"/>
                    <w:rPr>
                      <w:rFonts w:cs="Times New Roman"/>
                      <w:sz w:val="21"/>
                    </w:rPr>
                  </w:pPr>
                </w:p>
              </w:tc>
              <w:tc>
                <w:tcPr>
                  <w:tcW w:w="4299" w:type="dxa"/>
                  <w:vAlign w:val="center"/>
                </w:tcPr>
                <w:p w14:paraId="6D5AC0BF">
                  <w:pPr>
                    <w:adjustRightInd w:val="0"/>
                    <w:spacing w:line="240" w:lineRule="auto"/>
                    <w:ind w:firstLine="0" w:firstLineChars="0"/>
                    <w:textAlignment w:val="auto"/>
                    <w:rPr>
                      <w:rFonts w:cs="Times New Roman"/>
                      <w:sz w:val="21"/>
                    </w:rPr>
                  </w:pPr>
                  <w:r>
                    <w:rPr>
                      <w:rFonts w:cs="Times New Roman"/>
                      <w:sz w:val="21"/>
                    </w:rPr>
                    <w:t>4.推进实施矿山企业尾矿库地质灾害评估和评价制度。防范矿产资源开发活动对矿区土壤环境造成的污染，矿产资源开发企业防治环境污染和生态破坏的设施必须经原审批环评报告的环保部门验收合格后方可投入生产和使用。严格落实规划环评及其批复文件制定的环境风险防范措施。</w:t>
                  </w:r>
                </w:p>
              </w:tc>
              <w:tc>
                <w:tcPr>
                  <w:tcW w:w="2419" w:type="dxa"/>
                  <w:vAlign w:val="center"/>
                </w:tcPr>
                <w:p w14:paraId="4DA157B9">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41AF2342">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0C543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607" w:type="dxa"/>
                  <w:vMerge w:val="continue"/>
                  <w:vAlign w:val="center"/>
                </w:tcPr>
                <w:p w14:paraId="4CB7000A">
                  <w:pPr>
                    <w:adjustRightInd w:val="0"/>
                    <w:spacing w:line="240" w:lineRule="auto"/>
                    <w:ind w:firstLine="0" w:firstLineChars="0"/>
                    <w:jc w:val="center"/>
                    <w:textAlignment w:val="auto"/>
                    <w:rPr>
                      <w:rFonts w:cs="Times New Roman"/>
                      <w:sz w:val="21"/>
                    </w:rPr>
                  </w:pPr>
                </w:p>
              </w:tc>
              <w:tc>
                <w:tcPr>
                  <w:tcW w:w="484" w:type="dxa"/>
                  <w:vMerge w:val="restart"/>
                  <w:vAlign w:val="center"/>
                </w:tcPr>
                <w:p w14:paraId="238964B7">
                  <w:pPr>
                    <w:adjustRightInd w:val="0"/>
                    <w:spacing w:line="240" w:lineRule="auto"/>
                    <w:ind w:firstLine="0" w:firstLineChars="0"/>
                    <w:jc w:val="center"/>
                    <w:textAlignment w:val="auto"/>
                    <w:rPr>
                      <w:rFonts w:cs="Times New Roman"/>
                      <w:sz w:val="21"/>
                    </w:rPr>
                  </w:pPr>
                  <w:r>
                    <w:rPr>
                      <w:rFonts w:cs="Times New Roman"/>
                      <w:sz w:val="21"/>
                    </w:rPr>
                    <w:t>资源利用效率</w:t>
                  </w:r>
                </w:p>
              </w:tc>
              <w:tc>
                <w:tcPr>
                  <w:tcW w:w="4299" w:type="dxa"/>
                  <w:vAlign w:val="center"/>
                </w:tcPr>
                <w:p w14:paraId="68E9753A">
                  <w:pPr>
                    <w:adjustRightInd w:val="0"/>
                    <w:spacing w:line="240" w:lineRule="auto"/>
                    <w:ind w:firstLine="0" w:firstLineChars="0"/>
                    <w:textAlignment w:val="auto"/>
                    <w:rPr>
                      <w:rFonts w:cs="Times New Roman"/>
                      <w:sz w:val="21"/>
                    </w:rPr>
                  </w:pPr>
                  <w:r>
                    <w:rPr>
                      <w:rFonts w:cs="Times New Roman"/>
                      <w:sz w:val="21"/>
                    </w:rPr>
                    <w:t>1.全面推进秸秆综合利用，鼓励秸秆资源化、饲料化、肥料化利用，推动秸秆还田与离田收集。</w:t>
                  </w:r>
                </w:p>
              </w:tc>
              <w:tc>
                <w:tcPr>
                  <w:tcW w:w="2419" w:type="dxa"/>
                  <w:vAlign w:val="center"/>
                </w:tcPr>
                <w:p w14:paraId="5F432D7A">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2F348161">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66D4FF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3" w:hRule="atLeast"/>
                <w:jc w:val="center"/>
              </w:trPr>
              <w:tc>
                <w:tcPr>
                  <w:tcW w:w="607" w:type="dxa"/>
                  <w:vMerge w:val="continue"/>
                  <w:vAlign w:val="center"/>
                </w:tcPr>
                <w:p w14:paraId="1661D9FE">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42F4AC3B">
                  <w:pPr>
                    <w:adjustRightInd w:val="0"/>
                    <w:spacing w:line="240" w:lineRule="auto"/>
                    <w:ind w:firstLine="0" w:firstLineChars="0"/>
                    <w:jc w:val="center"/>
                    <w:textAlignment w:val="auto"/>
                    <w:rPr>
                      <w:rFonts w:cs="Times New Roman"/>
                      <w:sz w:val="21"/>
                    </w:rPr>
                  </w:pPr>
                </w:p>
              </w:tc>
              <w:tc>
                <w:tcPr>
                  <w:tcW w:w="4299" w:type="dxa"/>
                  <w:vAlign w:val="center"/>
                </w:tcPr>
                <w:p w14:paraId="3F802DCC">
                  <w:pPr>
                    <w:adjustRightInd w:val="0"/>
                    <w:spacing w:line="240" w:lineRule="auto"/>
                    <w:ind w:firstLine="0" w:firstLineChars="0"/>
                    <w:textAlignment w:val="auto"/>
                    <w:rPr>
                      <w:rFonts w:cs="Times New Roman"/>
                      <w:sz w:val="21"/>
                    </w:rPr>
                  </w:pPr>
                  <w:r>
                    <w:rPr>
                      <w:rFonts w:cs="Times New Roman"/>
                      <w:sz w:val="21"/>
                    </w:rPr>
                    <w:t>2.减少化肥农药使用量，增加有机肥使用量，实现化肥农药使用量负增长。</w:t>
                  </w:r>
                </w:p>
              </w:tc>
              <w:tc>
                <w:tcPr>
                  <w:tcW w:w="2419" w:type="dxa"/>
                  <w:vAlign w:val="center"/>
                </w:tcPr>
                <w:p w14:paraId="3369C733">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7C0BAC11">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0A80D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271" w:hRule="atLeast"/>
                <w:jc w:val="center"/>
              </w:trPr>
              <w:tc>
                <w:tcPr>
                  <w:tcW w:w="607" w:type="dxa"/>
                  <w:vMerge w:val="continue"/>
                  <w:vAlign w:val="center"/>
                </w:tcPr>
                <w:p w14:paraId="14565282">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4EA7FB06">
                  <w:pPr>
                    <w:adjustRightInd w:val="0"/>
                    <w:spacing w:line="240" w:lineRule="auto"/>
                    <w:ind w:firstLine="0" w:firstLineChars="0"/>
                    <w:jc w:val="center"/>
                    <w:textAlignment w:val="auto"/>
                    <w:rPr>
                      <w:rFonts w:cs="Times New Roman"/>
                      <w:sz w:val="21"/>
                    </w:rPr>
                  </w:pPr>
                </w:p>
              </w:tc>
              <w:tc>
                <w:tcPr>
                  <w:tcW w:w="4299" w:type="dxa"/>
                  <w:vAlign w:val="center"/>
                </w:tcPr>
                <w:p w14:paraId="1D55FF0E">
                  <w:pPr>
                    <w:adjustRightInd w:val="0"/>
                    <w:spacing w:line="240" w:lineRule="auto"/>
                    <w:ind w:firstLine="0" w:firstLineChars="0"/>
                    <w:textAlignment w:val="auto"/>
                    <w:rPr>
                      <w:rFonts w:cs="Times New Roman"/>
                      <w:sz w:val="21"/>
                    </w:rPr>
                  </w:pPr>
                  <w:r>
                    <w:rPr>
                      <w:rFonts w:cs="Times New Roman"/>
                      <w:sz w:val="21"/>
                    </w:rPr>
                    <w:t>3.推广渠道防渗、管道输水、喷灌、微灌等节水灌溉技术，完善灌溉用水计量设施。推进规模化高效节水灌溉，推广农作物节水抗旱技术。建立灌区墒情测报网络，提高农业用水效率，降低农业用水比重。</w:t>
                  </w:r>
                </w:p>
              </w:tc>
              <w:tc>
                <w:tcPr>
                  <w:tcW w:w="2419" w:type="dxa"/>
                  <w:vAlign w:val="center"/>
                </w:tcPr>
                <w:p w14:paraId="072688D1">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6C5B6D66">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r w14:paraId="377F75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93" w:hRule="atLeast"/>
                <w:jc w:val="center"/>
              </w:trPr>
              <w:tc>
                <w:tcPr>
                  <w:tcW w:w="607" w:type="dxa"/>
                  <w:vMerge w:val="continue"/>
                  <w:vAlign w:val="center"/>
                </w:tcPr>
                <w:p w14:paraId="0C3B7DE6">
                  <w:pPr>
                    <w:adjustRightInd w:val="0"/>
                    <w:spacing w:line="240" w:lineRule="auto"/>
                    <w:ind w:firstLine="0" w:firstLineChars="0"/>
                    <w:jc w:val="center"/>
                    <w:textAlignment w:val="auto"/>
                    <w:rPr>
                      <w:rFonts w:cs="Times New Roman"/>
                      <w:sz w:val="21"/>
                    </w:rPr>
                  </w:pPr>
                </w:p>
              </w:tc>
              <w:tc>
                <w:tcPr>
                  <w:tcW w:w="484" w:type="dxa"/>
                  <w:vMerge w:val="continue"/>
                  <w:vAlign w:val="center"/>
                </w:tcPr>
                <w:p w14:paraId="6159965A">
                  <w:pPr>
                    <w:adjustRightInd w:val="0"/>
                    <w:spacing w:line="240" w:lineRule="auto"/>
                    <w:ind w:firstLine="0" w:firstLineChars="0"/>
                    <w:jc w:val="center"/>
                    <w:textAlignment w:val="auto"/>
                    <w:rPr>
                      <w:rFonts w:cs="Times New Roman"/>
                      <w:sz w:val="21"/>
                    </w:rPr>
                  </w:pPr>
                </w:p>
              </w:tc>
              <w:tc>
                <w:tcPr>
                  <w:tcW w:w="4299" w:type="dxa"/>
                  <w:vAlign w:val="center"/>
                </w:tcPr>
                <w:p w14:paraId="44E9E492">
                  <w:pPr>
                    <w:adjustRightInd w:val="0"/>
                    <w:spacing w:line="240" w:lineRule="auto"/>
                    <w:ind w:firstLine="0" w:firstLineChars="0"/>
                    <w:textAlignment w:val="auto"/>
                    <w:rPr>
                      <w:rFonts w:cs="Times New Roman"/>
                      <w:sz w:val="21"/>
                    </w:rPr>
                  </w:pPr>
                  <w:r>
                    <w:rPr>
                      <w:rFonts w:cs="Times New Roman"/>
                      <w:sz w:val="21"/>
                    </w:rPr>
                    <w:t>4.矿产开采回采率、选矿回收率和综合利用率须达到《矿产资源综合利用技术指标及计算方法（DZ/T0272-2015）》标准界定的</w:t>
                  </w:r>
                  <w:r>
                    <w:rPr>
                      <w:rFonts w:hint="eastAsia" w:cs="Times New Roman"/>
                      <w:sz w:val="21"/>
                    </w:rPr>
                    <w:t>“</w:t>
                  </w:r>
                  <w:r>
                    <w:rPr>
                      <w:rFonts w:cs="Times New Roman"/>
                      <w:sz w:val="21"/>
                    </w:rPr>
                    <w:t>三率</w:t>
                  </w:r>
                  <w:r>
                    <w:rPr>
                      <w:rFonts w:hint="eastAsia" w:cs="Times New Roman"/>
                      <w:sz w:val="21"/>
                    </w:rPr>
                    <w:t>”</w:t>
                  </w:r>
                  <w:r>
                    <w:rPr>
                      <w:rFonts w:cs="Times New Roman"/>
                      <w:sz w:val="21"/>
                    </w:rPr>
                    <w:t>指标要求。加强矿山固体废弃物综合利用，向减量化、资源化和无公害化方向发展。</w:t>
                  </w:r>
                </w:p>
              </w:tc>
              <w:tc>
                <w:tcPr>
                  <w:tcW w:w="2419" w:type="dxa"/>
                  <w:vAlign w:val="center"/>
                </w:tcPr>
                <w:p w14:paraId="5BF281C4">
                  <w:pPr>
                    <w:adjustRightInd w:val="0"/>
                    <w:spacing w:line="240" w:lineRule="auto"/>
                    <w:ind w:firstLine="0" w:firstLineChars="0"/>
                    <w:jc w:val="center"/>
                    <w:textAlignment w:val="auto"/>
                    <w:rPr>
                      <w:rFonts w:cs="Times New Roman"/>
                      <w:sz w:val="21"/>
                    </w:rPr>
                  </w:pPr>
                  <w:r>
                    <w:rPr>
                      <w:rFonts w:cs="Times New Roman"/>
                      <w:sz w:val="21"/>
                    </w:rPr>
                    <w:t>本项目不涉及相关内容</w:t>
                  </w:r>
                </w:p>
              </w:tc>
              <w:tc>
                <w:tcPr>
                  <w:tcW w:w="514" w:type="dxa"/>
                  <w:vAlign w:val="center"/>
                </w:tcPr>
                <w:p w14:paraId="0169160C">
                  <w:pPr>
                    <w:adjustRightInd w:val="0"/>
                    <w:spacing w:line="240" w:lineRule="auto"/>
                    <w:ind w:firstLine="0" w:firstLineChars="0"/>
                    <w:jc w:val="center"/>
                    <w:textAlignment w:val="auto"/>
                    <w:rPr>
                      <w:rFonts w:cs="Times New Roman"/>
                      <w:spacing w:val="-10"/>
                      <w:sz w:val="21"/>
                      <w:szCs w:val="21"/>
                    </w:rPr>
                  </w:pPr>
                  <w:r>
                    <w:rPr>
                      <w:rFonts w:cs="Times New Roman"/>
                      <w:spacing w:val="-10"/>
                      <w:sz w:val="21"/>
                      <w:szCs w:val="21"/>
                    </w:rPr>
                    <w:t>符合</w:t>
                  </w:r>
                </w:p>
              </w:tc>
            </w:tr>
          </w:tbl>
          <w:p w14:paraId="2FD1FA83">
            <w:pPr>
              <w:autoSpaceDE w:val="0"/>
              <w:autoSpaceDN w:val="0"/>
              <w:adjustRightInd w:val="0"/>
              <w:snapToGrid w:val="0"/>
              <w:ind w:firstLine="480"/>
              <w:rPr>
                <w:szCs w:val="21"/>
              </w:rPr>
            </w:pPr>
            <w:r>
              <w:rPr>
                <w:rFonts w:hint="eastAsia"/>
                <w:szCs w:val="21"/>
              </w:rPr>
              <w:t>综上所述，本项目符合《关于印发巴音郭楞蒙古自治州生态环境分区管控动态更新成果（2023年）的通知》（巴政办发〔2024〕32号）、所在管控单元“</w:t>
            </w:r>
            <w:r>
              <w:rPr>
                <w:rFonts w:hint="eastAsia" w:hAnsi="宋体" w:cs="宋体"/>
                <w:kern w:val="0"/>
              </w:rPr>
              <w:t>库尔勒市一般管控单元</w:t>
            </w:r>
            <w:r>
              <w:rPr>
                <w:rFonts w:hint="eastAsia"/>
                <w:szCs w:val="21"/>
              </w:rPr>
              <w:t>”管控要求。</w:t>
            </w:r>
          </w:p>
          <w:p w14:paraId="25844D48">
            <w:pPr>
              <w:spacing w:line="240" w:lineRule="auto"/>
              <w:ind w:firstLine="198" w:firstLineChars="82"/>
              <w:rPr>
                <w:b/>
                <w:color w:val="000000" w:themeColor="text1"/>
                <w:szCs w:val="21"/>
                <w14:textFill>
                  <w14:solidFill>
                    <w14:schemeClr w14:val="tx1"/>
                  </w14:solidFill>
                </w14:textFill>
              </w:rPr>
            </w:pPr>
            <w:r>
              <w:rPr>
                <w:b/>
                <w:color w:val="000000" w:themeColor="text1"/>
                <w:szCs w:val="21"/>
                <w14:textFill>
                  <w14:solidFill>
                    <w14:schemeClr w14:val="tx1"/>
                  </w14:solidFill>
                </w14:textFill>
              </w:rPr>
              <w:t>5</w:t>
            </w:r>
            <w:r>
              <w:rPr>
                <w:rFonts w:hint="eastAsia"/>
                <w:b/>
                <w:color w:val="000000" w:themeColor="text1"/>
                <w:szCs w:val="21"/>
                <w14:textFill>
                  <w14:solidFill>
                    <w14:schemeClr w14:val="tx1"/>
                  </w14:solidFill>
                </w14:textFill>
              </w:rPr>
              <w:t>、废旧塑料回收行业规范性文件符合性分析</w:t>
            </w:r>
          </w:p>
          <w:p w14:paraId="5F9586E4">
            <w:pPr>
              <w:adjustRightInd w:val="0"/>
              <w:snapToGrid w:val="0"/>
              <w:spacing w:before="240" w:line="240" w:lineRule="auto"/>
              <w:ind w:firstLine="0" w:firstLineChars="0"/>
              <w:jc w:val="center"/>
              <w:textAlignment w:val="auto"/>
              <w:rPr>
                <w:rFonts w:cs="Times New Roman"/>
                <w:b/>
                <w:sz w:val="21"/>
                <w:szCs w:val="21"/>
              </w:rPr>
            </w:pPr>
            <w:r>
              <w:rPr>
                <w:rFonts w:cs="Times New Roman"/>
                <w:b/>
                <w:sz w:val="21"/>
                <w:szCs w:val="21"/>
              </w:rPr>
              <w:t xml:space="preserve">表1-5  </w:t>
            </w:r>
            <w:r>
              <w:rPr>
                <w:rFonts w:hint="eastAsia" w:cs="Times New Roman"/>
                <w:b/>
                <w:sz w:val="21"/>
                <w:szCs w:val="21"/>
              </w:rPr>
              <w:t>废旧塑料回收行业</w:t>
            </w:r>
            <w:r>
              <w:rPr>
                <w:rFonts w:cs="Times New Roman"/>
                <w:b/>
                <w:sz w:val="21"/>
                <w:szCs w:val="21"/>
              </w:rPr>
              <w:t>规范性文件符合性分析</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28" w:type="dxa"/>
                <w:bottom w:w="28" w:type="dxa"/>
                <w:right w:w="28" w:type="dxa"/>
              </w:tblCellMar>
            </w:tblPr>
            <w:tblGrid>
              <w:gridCol w:w="514"/>
              <w:gridCol w:w="3861"/>
              <w:gridCol w:w="2915"/>
              <w:gridCol w:w="1060"/>
            </w:tblGrid>
            <w:tr w14:paraId="40A47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tblHeader/>
                <w:jc w:val="center"/>
              </w:trPr>
              <w:tc>
                <w:tcPr>
                  <w:tcW w:w="308" w:type="pct"/>
                  <w:vAlign w:val="center"/>
                </w:tcPr>
                <w:p w14:paraId="0664BA77">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w:t>
                  </w:r>
                </w:p>
              </w:tc>
              <w:tc>
                <w:tcPr>
                  <w:tcW w:w="2312" w:type="pct"/>
                  <w:vAlign w:val="center"/>
                </w:tcPr>
                <w:p w14:paraId="61520E57">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规范要求</w:t>
                  </w:r>
                </w:p>
              </w:tc>
              <w:tc>
                <w:tcPr>
                  <w:tcW w:w="1745" w:type="pct"/>
                  <w:vAlign w:val="center"/>
                </w:tcPr>
                <w:p w14:paraId="23FD18C4">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项目建设条件</w:t>
                  </w:r>
                </w:p>
              </w:tc>
              <w:tc>
                <w:tcPr>
                  <w:tcW w:w="633" w:type="pct"/>
                  <w:vAlign w:val="center"/>
                </w:tcPr>
                <w:p w14:paraId="3FABE607">
                  <w:pPr>
                    <w:adjustRightInd w:val="0"/>
                    <w:snapToGrid w:val="0"/>
                    <w:spacing w:line="240" w:lineRule="auto"/>
                    <w:ind w:firstLine="0" w:firstLineChars="0"/>
                    <w:jc w:val="center"/>
                    <w:textAlignment w:val="auto"/>
                    <w:rPr>
                      <w:rFonts w:cs="Times New Roman"/>
                      <w:sz w:val="21"/>
                      <w:szCs w:val="24"/>
                    </w:rPr>
                  </w:pPr>
                  <w:r>
                    <w:rPr>
                      <w:rFonts w:cs="Times New Roman"/>
                      <w:sz w:val="21"/>
                      <w:szCs w:val="24"/>
                    </w:rPr>
                    <w:t>符合性</w:t>
                  </w:r>
                </w:p>
              </w:tc>
            </w:tr>
            <w:tr w14:paraId="34187B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30" w:hRule="atLeast"/>
                <w:jc w:val="center"/>
              </w:trPr>
              <w:tc>
                <w:tcPr>
                  <w:tcW w:w="5000" w:type="pct"/>
                  <w:gridSpan w:val="4"/>
                  <w:vAlign w:val="center"/>
                </w:tcPr>
                <w:p w14:paraId="00901F96">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w:t>
                  </w:r>
                  <w:r>
                    <w:rPr>
                      <w:rFonts w:hint="eastAsia" w:cs="Times New Roman"/>
                      <w:b/>
                      <w:bCs/>
                      <w:sz w:val="21"/>
                      <w:szCs w:val="24"/>
                    </w:rPr>
                    <w:t>工业和信息化部公告2015年第81号《废塑料综合利用行业规范条件》及《废塑料综合利用行业规范条件公告管理暂行办法》</w:t>
                  </w:r>
                  <w:r>
                    <w:rPr>
                      <w:rFonts w:cs="Times New Roman"/>
                      <w:b/>
                      <w:bCs/>
                      <w:sz w:val="21"/>
                      <w:szCs w:val="24"/>
                    </w:rPr>
                    <w:t>符合性分析</w:t>
                  </w:r>
                </w:p>
              </w:tc>
            </w:tr>
            <w:tr w14:paraId="552998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55" w:hRule="atLeast"/>
                <w:jc w:val="center"/>
              </w:trPr>
              <w:tc>
                <w:tcPr>
                  <w:tcW w:w="308" w:type="pct"/>
                  <w:vMerge w:val="restart"/>
                  <w:vAlign w:val="center"/>
                </w:tcPr>
                <w:p w14:paraId="2A33DA70">
                  <w:pPr>
                    <w:pStyle w:val="32"/>
                    <w:rPr>
                      <w:rFonts w:cs="Times New Roman"/>
                      <w:szCs w:val="24"/>
                    </w:rPr>
                  </w:pPr>
                  <w:r>
                    <w:rPr>
                      <w:rFonts w:hint="eastAsia" w:cs="Times New Roman"/>
                      <w:szCs w:val="24"/>
                    </w:rPr>
                    <w:t>企业的设立和布局</w:t>
                  </w:r>
                </w:p>
              </w:tc>
              <w:tc>
                <w:tcPr>
                  <w:tcW w:w="2312" w:type="pct"/>
                  <w:vAlign w:val="center"/>
                </w:tcPr>
                <w:p w14:paraId="224FD072">
                  <w:pPr>
                    <w:pStyle w:val="32"/>
                    <w:rPr>
                      <w:rFonts w:cs="Times New Roman"/>
                      <w:szCs w:val="24"/>
                    </w:rPr>
                  </w:pPr>
                  <w:r>
                    <w:rPr>
                      <w:rFonts w:hint="eastAsia" w:cs="Times New Roman"/>
                      <w:szCs w:val="24"/>
                    </w:rPr>
                    <w:t>废塑料综合利用企业是指采用物理机械法对热塑性废塑料进行再生加工的企业，企业类型主要包括PET再生瓶片类企业、废塑料破碎清洗分选类企业以及塑料再生造粒类企业</w:t>
                  </w:r>
                </w:p>
              </w:tc>
              <w:tc>
                <w:tcPr>
                  <w:tcW w:w="1745" w:type="pct"/>
                  <w:vMerge w:val="restart"/>
                  <w:vAlign w:val="center"/>
                </w:tcPr>
                <w:p w14:paraId="5661045D">
                  <w:pPr>
                    <w:pStyle w:val="32"/>
                    <w:jc w:val="both"/>
                    <w:rPr>
                      <w:rFonts w:cs="Times New Roman"/>
                      <w:szCs w:val="24"/>
                    </w:rPr>
                  </w:pPr>
                  <w:r>
                    <w:rPr>
                      <w:rFonts w:hint="eastAsia" w:cs="Times New Roman"/>
                      <w:szCs w:val="24"/>
                    </w:rPr>
                    <w:t>1、本项目回收废旧塑料（含少量金属残留），对废旧塑料进行破碎、清洗，并对分离出的金属附着塑料进行二次破碎及分选，回收金属颗粒。项目不涉及危险化学品、农药等污染的废弃塑料包装物、废弃一次性医疗用塑料制品等塑料类危险废物，以及氟塑料等特种工程塑料</w:t>
                  </w:r>
                </w:p>
                <w:p w14:paraId="70258AD4">
                  <w:pPr>
                    <w:pStyle w:val="32"/>
                    <w:jc w:val="both"/>
                    <w:rPr>
                      <w:rFonts w:cs="Times New Roman"/>
                      <w:szCs w:val="24"/>
                    </w:rPr>
                  </w:pPr>
                  <w:r>
                    <w:rPr>
                      <w:rFonts w:hint="eastAsia" w:cs="Times New Roman"/>
                      <w:szCs w:val="24"/>
                    </w:rPr>
                    <w:t>2、本项目租赁现有厂区，未新增用地，不涉及大规模开发</w:t>
                  </w:r>
                </w:p>
              </w:tc>
              <w:tc>
                <w:tcPr>
                  <w:tcW w:w="633" w:type="pct"/>
                  <w:vAlign w:val="center"/>
                </w:tcPr>
                <w:p w14:paraId="6B4BC74C">
                  <w:pPr>
                    <w:pStyle w:val="32"/>
                    <w:rPr>
                      <w:rFonts w:cs="Times New Roman"/>
                      <w:szCs w:val="24"/>
                    </w:rPr>
                  </w:pPr>
                  <w:r>
                    <w:rPr>
                      <w:rFonts w:hint="eastAsia" w:cs="Times New Roman"/>
                      <w:szCs w:val="24"/>
                    </w:rPr>
                    <w:t>符合</w:t>
                  </w:r>
                </w:p>
              </w:tc>
            </w:tr>
            <w:tr w14:paraId="10B175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37C01A5E">
                  <w:pPr>
                    <w:pStyle w:val="32"/>
                    <w:rPr>
                      <w:rFonts w:cs="Times New Roman"/>
                      <w:szCs w:val="24"/>
                    </w:rPr>
                  </w:pPr>
                </w:p>
              </w:tc>
              <w:tc>
                <w:tcPr>
                  <w:tcW w:w="2312" w:type="pct"/>
                  <w:vAlign w:val="center"/>
                </w:tcPr>
                <w:p w14:paraId="5FC05313">
                  <w:pPr>
                    <w:pStyle w:val="32"/>
                    <w:rPr>
                      <w:rFonts w:cs="Times New Roman"/>
                      <w:szCs w:val="24"/>
                    </w:rPr>
                  </w:pPr>
                  <w:r>
                    <w:rPr>
                      <w:rFonts w:hint="eastAsia" w:cs="Times New Roman"/>
                      <w:szCs w:val="24"/>
                    </w:rPr>
                    <w:t>废塑料综合利用企业所涉及的热塑性废塑料原料，不包括受到危险化学品、农药等污染的废弃塑料包装物、废弃一次性医疗用塑料制品等塑料类危险废物，以及氟塑料等特种工程塑料</w:t>
                  </w:r>
                </w:p>
              </w:tc>
              <w:tc>
                <w:tcPr>
                  <w:tcW w:w="1745" w:type="pct"/>
                  <w:vMerge w:val="continue"/>
                  <w:vAlign w:val="center"/>
                </w:tcPr>
                <w:p w14:paraId="703FF251">
                  <w:pPr>
                    <w:pStyle w:val="32"/>
                    <w:rPr>
                      <w:rFonts w:cs="Times New Roman"/>
                      <w:szCs w:val="24"/>
                    </w:rPr>
                  </w:pPr>
                </w:p>
              </w:tc>
              <w:tc>
                <w:tcPr>
                  <w:tcW w:w="633" w:type="pct"/>
                  <w:vAlign w:val="center"/>
                </w:tcPr>
                <w:p w14:paraId="603FF546">
                  <w:pPr>
                    <w:pStyle w:val="32"/>
                    <w:rPr>
                      <w:rFonts w:cs="Times New Roman"/>
                      <w:szCs w:val="24"/>
                    </w:rPr>
                  </w:pPr>
                  <w:r>
                    <w:rPr>
                      <w:rFonts w:hint="eastAsia" w:cs="Times New Roman"/>
                      <w:szCs w:val="24"/>
                    </w:rPr>
                    <w:t>符合</w:t>
                  </w:r>
                </w:p>
              </w:tc>
            </w:tr>
            <w:tr w14:paraId="50B338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49" w:hRule="atLeast"/>
                <w:jc w:val="center"/>
              </w:trPr>
              <w:tc>
                <w:tcPr>
                  <w:tcW w:w="308" w:type="pct"/>
                  <w:vMerge w:val="continue"/>
                  <w:vAlign w:val="center"/>
                </w:tcPr>
                <w:p w14:paraId="02EF6E90">
                  <w:pPr>
                    <w:pStyle w:val="32"/>
                    <w:rPr>
                      <w:rFonts w:cs="Times New Roman"/>
                      <w:szCs w:val="24"/>
                    </w:rPr>
                  </w:pPr>
                </w:p>
              </w:tc>
              <w:tc>
                <w:tcPr>
                  <w:tcW w:w="2312" w:type="pct"/>
                  <w:vAlign w:val="center"/>
                </w:tcPr>
                <w:p w14:paraId="367149A1">
                  <w:pPr>
                    <w:pStyle w:val="32"/>
                    <w:rPr>
                      <w:rFonts w:cs="Times New Roman"/>
                      <w:szCs w:val="24"/>
                    </w:rPr>
                  </w:pPr>
                  <w:r>
                    <w:rPr>
                      <w:rFonts w:hint="eastAsia" w:cs="Times New Roman"/>
                      <w:szCs w:val="24"/>
                    </w:rPr>
                    <w:t>新建及改造、扩建废塑料加工企业应符合国家产业政策及所在地区土地利用总体规划、城乡建设规划、环境保护、污染防治规划。企业建设应有规范化设计要求，采用节能环保技术及生产装备</w:t>
                  </w:r>
                </w:p>
              </w:tc>
              <w:tc>
                <w:tcPr>
                  <w:tcW w:w="1745" w:type="pct"/>
                  <w:vMerge w:val="continue"/>
                  <w:vAlign w:val="center"/>
                </w:tcPr>
                <w:p w14:paraId="33226BA0">
                  <w:pPr>
                    <w:pStyle w:val="32"/>
                    <w:rPr>
                      <w:rFonts w:cs="Times New Roman"/>
                      <w:szCs w:val="24"/>
                    </w:rPr>
                  </w:pPr>
                </w:p>
              </w:tc>
              <w:tc>
                <w:tcPr>
                  <w:tcW w:w="633" w:type="pct"/>
                  <w:vAlign w:val="center"/>
                </w:tcPr>
                <w:p w14:paraId="4A87A434">
                  <w:pPr>
                    <w:pStyle w:val="32"/>
                    <w:rPr>
                      <w:rFonts w:cs="Times New Roman"/>
                      <w:szCs w:val="24"/>
                    </w:rPr>
                  </w:pPr>
                  <w:r>
                    <w:rPr>
                      <w:rFonts w:hint="eastAsia" w:cs="Times New Roman"/>
                      <w:szCs w:val="24"/>
                    </w:rPr>
                    <w:t>符合</w:t>
                  </w:r>
                </w:p>
              </w:tc>
            </w:tr>
            <w:tr w14:paraId="4BD754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0699EF5A">
                  <w:pPr>
                    <w:adjustRightInd w:val="0"/>
                    <w:snapToGrid w:val="0"/>
                    <w:spacing w:line="240" w:lineRule="auto"/>
                    <w:ind w:firstLine="0" w:firstLineChars="0"/>
                    <w:jc w:val="center"/>
                    <w:textAlignment w:val="auto"/>
                    <w:rPr>
                      <w:rFonts w:cs="Times New Roman"/>
                      <w:sz w:val="21"/>
                      <w:szCs w:val="24"/>
                    </w:rPr>
                  </w:pPr>
                </w:p>
              </w:tc>
              <w:tc>
                <w:tcPr>
                  <w:tcW w:w="2312" w:type="pct"/>
                  <w:vAlign w:val="center"/>
                </w:tcPr>
                <w:p w14:paraId="5A7FFA7A">
                  <w:pPr>
                    <w:pStyle w:val="32"/>
                    <w:rPr>
                      <w:rFonts w:cs="Times New Roman"/>
                      <w:szCs w:val="24"/>
                    </w:rPr>
                  </w:pPr>
                  <w:r>
                    <w:rPr>
                      <w:rFonts w:hint="eastAsia" w:cs="Times New Roman"/>
                      <w:szCs w:val="24"/>
                    </w:rPr>
                    <w:t>在国家法律、法规、规章和规划确定或县级及以上人民政府规定的自然保护区、风景名胜区、饮用水源保护区、基本农田保护区和其他需要特别保护的区域内，不得新建废塑料综合利用企业；已在上述区域投产运营的废塑料综合利用企业，要根据该区域规划要求，依法通过搬迁、转产等方式逐步退出</w:t>
                  </w:r>
                </w:p>
              </w:tc>
              <w:tc>
                <w:tcPr>
                  <w:tcW w:w="1745" w:type="pct"/>
                  <w:vMerge w:val="continue"/>
                  <w:vAlign w:val="center"/>
                </w:tcPr>
                <w:p w14:paraId="7AB90FA8">
                  <w:pPr>
                    <w:pStyle w:val="32"/>
                    <w:rPr>
                      <w:rFonts w:cs="Times New Roman"/>
                      <w:szCs w:val="24"/>
                    </w:rPr>
                  </w:pPr>
                </w:p>
              </w:tc>
              <w:tc>
                <w:tcPr>
                  <w:tcW w:w="633" w:type="pct"/>
                  <w:vAlign w:val="center"/>
                </w:tcPr>
                <w:p w14:paraId="289A8B1B">
                  <w:pPr>
                    <w:pStyle w:val="32"/>
                    <w:rPr>
                      <w:rFonts w:cs="Times New Roman"/>
                      <w:szCs w:val="24"/>
                    </w:rPr>
                  </w:pPr>
                  <w:r>
                    <w:rPr>
                      <w:rFonts w:hint="eastAsia" w:cs="Times New Roman"/>
                      <w:szCs w:val="24"/>
                    </w:rPr>
                    <w:t>符合</w:t>
                  </w:r>
                </w:p>
              </w:tc>
            </w:tr>
            <w:tr w14:paraId="07D405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091" w:hRule="atLeast"/>
                <w:jc w:val="center"/>
              </w:trPr>
              <w:tc>
                <w:tcPr>
                  <w:tcW w:w="308" w:type="pct"/>
                  <w:vAlign w:val="center"/>
                </w:tcPr>
                <w:p w14:paraId="1EBEE2B0">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生产经营规模</w:t>
                  </w:r>
                </w:p>
              </w:tc>
              <w:tc>
                <w:tcPr>
                  <w:tcW w:w="2312" w:type="pct"/>
                  <w:vAlign w:val="center"/>
                </w:tcPr>
                <w:p w14:paraId="1C0B4D7C">
                  <w:pPr>
                    <w:pStyle w:val="32"/>
                    <w:rPr>
                      <w:rFonts w:cs="Times New Roman"/>
                      <w:szCs w:val="24"/>
                    </w:rPr>
                  </w:pPr>
                  <w:r>
                    <w:rPr>
                      <w:rFonts w:hint="eastAsia" w:cs="Times New Roman"/>
                      <w:szCs w:val="24"/>
                    </w:rPr>
                    <w:t>废塑料破碎、清洗、分选类企业：新建企业年废塑料处理能力不低于30000吨；已建企业年废塑料处理能力不低于20000吨</w:t>
                  </w:r>
                </w:p>
              </w:tc>
              <w:tc>
                <w:tcPr>
                  <w:tcW w:w="1745" w:type="pct"/>
                  <w:vAlign w:val="center"/>
                </w:tcPr>
                <w:p w14:paraId="78A855D3">
                  <w:pPr>
                    <w:pStyle w:val="32"/>
                    <w:jc w:val="both"/>
                    <w:rPr>
                      <w:rFonts w:cs="Times New Roman"/>
                      <w:szCs w:val="24"/>
                    </w:rPr>
                  </w:pPr>
                  <w:r>
                    <w:rPr>
                      <w:rFonts w:ascii="Segoe UI" w:hAnsi="Segoe UI" w:cs="Segoe UI"/>
                      <w:color w:val="0F1115"/>
                      <w:shd w:val="clear" w:color="auto" w:fill="FFFFFF"/>
                    </w:rPr>
                    <w:t>本</w:t>
                  </w:r>
                  <w:r>
                    <w:rPr>
                      <w:rFonts w:cs="Times New Roman"/>
                      <w:color w:val="0F1115"/>
                      <w:shd w:val="clear" w:color="auto" w:fill="FFFFFF"/>
                    </w:rPr>
                    <w:t>项目年处理废塑料混合料30000吨，通过湿法破碎、清洗、分选等工序，实现塑料碎片与金属颗粒的资源化综合利用</w:t>
                  </w:r>
                </w:p>
              </w:tc>
              <w:tc>
                <w:tcPr>
                  <w:tcW w:w="633" w:type="pct"/>
                  <w:vAlign w:val="center"/>
                </w:tcPr>
                <w:p w14:paraId="6CF1804D">
                  <w:pPr>
                    <w:pStyle w:val="32"/>
                    <w:rPr>
                      <w:rFonts w:cs="Times New Roman"/>
                      <w:szCs w:val="24"/>
                    </w:rPr>
                  </w:pPr>
                  <w:r>
                    <w:rPr>
                      <w:rFonts w:hint="eastAsia" w:cs="Times New Roman"/>
                      <w:szCs w:val="24"/>
                    </w:rPr>
                    <w:t>符合</w:t>
                  </w:r>
                </w:p>
              </w:tc>
            </w:tr>
            <w:tr w14:paraId="568D4F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vAlign w:val="center"/>
                </w:tcPr>
                <w:p w14:paraId="6BE4FA1C">
                  <w:pPr>
                    <w:pStyle w:val="32"/>
                    <w:rPr>
                      <w:rFonts w:cs="Times New Roman"/>
                      <w:szCs w:val="24"/>
                    </w:rPr>
                  </w:pPr>
                  <w:r>
                    <w:rPr>
                      <w:rFonts w:hint="eastAsia" w:cs="Times New Roman"/>
                      <w:szCs w:val="24"/>
                    </w:rPr>
                    <w:t>资源综合利用及能耗</w:t>
                  </w:r>
                </w:p>
              </w:tc>
              <w:tc>
                <w:tcPr>
                  <w:tcW w:w="2312" w:type="pct"/>
                  <w:vAlign w:val="center"/>
                </w:tcPr>
                <w:p w14:paraId="4A5BFDDB">
                  <w:pPr>
                    <w:pStyle w:val="32"/>
                    <w:rPr>
                      <w:rFonts w:cs="Times New Roman"/>
                      <w:szCs w:val="24"/>
                    </w:rPr>
                  </w:pPr>
                  <w:r>
                    <w:rPr>
                      <w:rFonts w:cs="Times New Roman"/>
                      <w:szCs w:val="24"/>
                    </w:rPr>
                    <w:t>企业应对收集的废塑料进行充分利用，提高资源回收利用效率，不得倾倒、焚烧与填埋</w:t>
                  </w:r>
                </w:p>
              </w:tc>
              <w:tc>
                <w:tcPr>
                  <w:tcW w:w="1745" w:type="pct"/>
                  <w:vMerge w:val="restart"/>
                  <w:vAlign w:val="center"/>
                </w:tcPr>
                <w:p w14:paraId="462693CC">
                  <w:pPr>
                    <w:pStyle w:val="32"/>
                    <w:jc w:val="both"/>
                    <w:rPr>
                      <w:rFonts w:cs="Times New Roman"/>
                      <w:szCs w:val="24"/>
                    </w:rPr>
                  </w:pPr>
                  <w:r>
                    <w:rPr>
                      <w:rFonts w:cs="Times New Roman"/>
                      <w:szCs w:val="24"/>
                    </w:rPr>
                    <w:t>1、本项目不倾倒、焚烧与填埋废塑料</w:t>
                  </w:r>
                </w:p>
                <w:p w14:paraId="5100DFC3">
                  <w:pPr>
                    <w:pStyle w:val="32"/>
                    <w:jc w:val="both"/>
                    <w:rPr>
                      <w:rFonts w:cs="Times New Roman"/>
                      <w:szCs w:val="24"/>
                    </w:rPr>
                  </w:pPr>
                  <w:r>
                    <w:rPr>
                      <w:rFonts w:cs="Times New Roman"/>
                      <w:szCs w:val="24"/>
                    </w:rPr>
                    <w:t>2、</w:t>
                  </w:r>
                  <w:r>
                    <w:rPr>
                      <w:rFonts w:hint="eastAsia" w:cs="Times New Roman"/>
                      <w:szCs w:val="24"/>
                    </w:rPr>
                    <w:t>本项目主要从事废塑料混合料的破碎、清洗与分选，分别回收塑料碎片及金属颗粒，不涉及熔融造粒等高能耗工艺环节</w:t>
                  </w:r>
                  <w:r>
                    <w:rPr>
                      <w:rFonts w:cs="Times New Roman"/>
                      <w:szCs w:val="24"/>
                    </w:rPr>
                    <w:t>。项目年用电量为10万kWh，处理能力为3万吨/年，单位产品综合电耗为3.33kWh/吨废塑料，低于《废塑料综合利用行业规范条件》中</w:t>
                  </w:r>
                  <w:r>
                    <w:rPr>
                      <w:rFonts w:hint="eastAsia" w:cs="Times New Roman"/>
                      <w:szCs w:val="24"/>
                    </w:rPr>
                    <w:t>“</w:t>
                  </w:r>
                  <w:r>
                    <w:rPr>
                      <w:rFonts w:cs="Times New Roman"/>
                      <w:szCs w:val="24"/>
                    </w:rPr>
                    <w:t>综合电耗低于500kWh/吨</w:t>
                  </w:r>
                  <w:r>
                    <w:rPr>
                      <w:rFonts w:hint="eastAsia" w:cs="Times New Roman"/>
                      <w:szCs w:val="24"/>
                    </w:rPr>
                    <w:t>”</w:t>
                  </w:r>
                  <w:r>
                    <w:rPr>
                      <w:rFonts w:cs="Times New Roman"/>
                      <w:szCs w:val="24"/>
                    </w:rPr>
                    <w:t>的要求；年耗新鲜水</w:t>
                  </w:r>
                  <w:r>
                    <w:rPr>
                      <w:rFonts w:hint="eastAsia" w:cs="Times New Roman"/>
                      <w:szCs w:val="24"/>
                    </w:rPr>
                    <w:t>3358.56</w:t>
                  </w:r>
                  <w:r>
                    <w:rPr>
                      <w:rFonts w:cs="Times New Roman"/>
                      <w:szCs w:val="24"/>
                    </w:rPr>
                    <w:t>m³，处理规模为3万吨/年，单位产品新水消耗为0.11m³/吨废塑料，优于规范中“≤1.5m³/吨”的新水消耗限值要求。此外，通过强化分选清洗与废水回用措施，项目可实现较高的资源回收率和废水回用率，整体资源能源利用效率处于行业先进水平，符合绿色低碳与循环经济的发展导向</w:t>
                  </w:r>
                </w:p>
              </w:tc>
              <w:tc>
                <w:tcPr>
                  <w:tcW w:w="633" w:type="pct"/>
                  <w:vAlign w:val="center"/>
                </w:tcPr>
                <w:p w14:paraId="29950FD6">
                  <w:pPr>
                    <w:pStyle w:val="32"/>
                    <w:rPr>
                      <w:rFonts w:cs="Times New Roman"/>
                      <w:szCs w:val="24"/>
                    </w:rPr>
                  </w:pPr>
                  <w:r>
                    <w:rPr>
                      <w:rFonts w:hint="eastAsia" w:cs="Times New Roman"/>
                      <w:szCs w:val="24"/>
                    </w:rPr>
                    <w:t>符合</w:t>
                  </w:r>
                </w:p>
              </w:tc>
            </w:tr>
            <w:tr w14:paraId="4812FA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0641C506">
                  <w:pPr>
                    <w:pStyle w:val="32"/>
                    <w:rPr>
                      <w:rFonts w:cs="Times New Roman"/>
                      <w:szCs w:val="24"/>
                    </w:rPr>
                  </w:pPr>
                </w:p>
              </w:tc>
              <w:tc>
                <w:tcPr>
                  <w:tcW w:w="2312" w:type="pct"/>
                  <w:vAlign w:val="center"/>
                </w:tcPr>
                <w:p w14:paraId="2430282F">
                  <w:pPr>
                    <w:pStyle w:val="32"/>
                    <w:rPr>
                      <w:rFonts w:cs="Times New Roman"/>
                      <w:szCs w:val="24"/>
                    </w:rPr>
                  </w:pPr>
                  <w:r>
                    <w:rPr>
                      <w:rFonts w:hint="eastAsia" w:cs="Times New Roman"/>
                      <w:szCs w:val="24"/>
                    </w:rPr>
                    <w:t>塑料再生加工相关生产环节的综合电耗低于500千瓦时/吨废塑料</w:t>
                  </w:r>
                </w:p>
              </w:tc>
              <w:tc>
                <w:tcPr>
                  <w:tcW w:w="1745" w:type="pct"/>
                  <w:vMerge w:val="continue"/>
                  <w:vAlign w:val="center"/>
                </w:tcPr>
                <w:p w14:paraId="668264F8">
                  <w:pPr>
                    <w:pStyle w:val="32"/>
                    <w:rPr>
                      <w:rFonts w:cs="Times New Roman"/>
                      <w:szCs w:val="24"/>
                    </w:rPr>
                  </w:pPr>
                </w:p>
              </w:tc>
              <w:tc>
                <w:tcPr>
                  <w:tcW w:w="633" w:type="pct"/>
                  <w:vAlign w:val="center"/>
                </w:tcPr>
                <w:p w14:paraId="33686C64">
                  <w:pPr>
                    <w:pStyle w:val="32"/>
                    <w:rPr>
                      <w:rFonts w:cs="Times New Roman"/>
                      <w:szCs w:val="24"/>
                    </w:rPr>
                  </w:pPr>
                  <w:r>
                    <w:rPr>
                      <w:rFonts w:hint="eastAsia" w:cs="Times New Roman"/>
                      <w:szCs w:val="24"/>
                    </w:rPr>
                    <w:t>符合</w:t>
                  </w:r>
                </w:p>
              </w:tc>
            </w:tr>
            <w:tr w14:paraId="5CC1B8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1B14F6AE">
                  <w:pPr>
                    <w:pStyle w:val="32"/>
                    <w:rPr>
                      <w:rFonts w:cs="Times New Roman"/>
                      <w:szCs w:val="24"/>
                    </w:rPr>
                  </w:pPr>
                </w:p>
              </w:tc>
              <w:tc>
                <w:tcPr>
                  <w:tcW w:w="2312" w:type="pct"/>
                  <w:vAlign w:val="center"/>
                </w:tcPr>
                <w:p w14:paraId="0E4832A0">
                  <w:pPr>
                    <w:pStyle w:val="32"/>
                    <w:jc w:val="both"/>
                    <w:rPr>
                      <w:rFonts w:cs="Times New Roman"/>
                      <w:szCs w:val="24"/>
                    </w:rPr>
                  </w:pPr>
                  <w:r>
                    <w:rPr>
                      <w:rFonts w:hint="eastAsia" w:cs="Times New Roman"/>
                      <w:szCs w:val="24"/>
                    </w:rPr>
                    <w:t>PET再生瓶片类企业与废塑料破碎、清洗、分选企业的综合新水消耗低于1.5吨/吨废塑料；塑料再生造粒类企业的综合新水消耗低于0.2吨/吨废塑料</w:t>
                  </w:r>
                </w:p>
              </w:tc>
              <w:tc>
                <w:tcPr>
                  <w:tcW w:w="1745" w:type="pct"/>
                  <w:vMerge w:val="continue"/>
                  <w:vAlign w:val="center"/>
                </w:tcPr>
                <w:p w14:paraId="02CAED8F">
                  <w:pPr>
                    <w:pStyle w:val="32"/>
                    <w:rPr>
                      <w:rFonts w:cs="Times New Roman"/>
                      <w:szCs w:val="24"/>
                    </w:rPr>
                  </w:pPr>
                </w:p>
              </w:tc>
              <w:tc>
                <w:tcPr>
                  <w:tcW w:w="633" w:type="pct"/>
                  <w:vAlign w:val="center"/>
                </w:tcPr>
                <w:p w14:paraId="3E083ABA">
                  <w:pPr>
                    <w:pStyle w:val="32"/>
                    <w:rPr>
                      <w:rFonts w:cs="Times New Roman"/>
                      <w:szCs w:val="24"/>
                    </w:rPr>
                  </w:pPr>
                  <w:r>
                    <w:rPr>
                      <w:rFonts w:hint="eastAsia" w:cs="Times New Roman"/>
                      <w:szCs w:val="24"/>
                    </w:rPr>
                    <w:t>符合</w:t>
                  </w:r>
                </w:p>
              </w:tc>
            </w:tr>
            <w:tr w14:paraId="7FEF9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0ED9A406">
                  <w:pPr>
                    <w:pStyle w:val="32"/>
                    <w:rPr>
                      <w:rFonts w:cs="Times New Roman"/>
                      <w:szCs w:val="24"/>
                    </w:rPr>
                  </w:pPr>
                </w:p>
              </w:tc>
              <w:tc>
                <w:tcPr>
                  <w:tcW w:w="2312" w:type="pct"/>
                  <w:vAlign w:val="center"/>
                </w:tcPr>
                <w:p w14:paraId="4E7640D6">
                  <w:pPr>
                    <w:pStyle w:val="32"/>
                    <w:rPr>
                      <w:rFonts w:cs="Times New Roman"/>
                      <w:szCs w:val="24"/>
                    </w:rPr>
                  </w:pPr>
                  <w:r>
                    <w:rPr>
                      <w:rFonts w:hint="eastAsia" w:cs="Times New Roman"/>
                      <w:szCs w:val="24"/>
                    </w:rPr>
                    <w:t>其他生产单耗需满足国家相关标准</w:t>
                  </w:r>
                </w:p>
              </w:tc>
              <w:tc>
                <w:tcPr>
                  <w:tcW w:w="1745" w:type="pct"/>
                  <w:vMerge w:val="continue"/>
                  <w:vAlign w:val="center"/>
                </w:tcPr>
                <w:p w14:paraId="29A23699">
                  <w:pPr>
                    <w:pStyle w:val="32"/>
                    <w:rPr>
                      <w:rFonts w:cs="Times New Roman"/>
                      <w:szCs w:val="24"/>
                    </w:rPr>
                  </w:pPr>
                </w:p>
              </w:tc>
              <w:tc>
                <w:tcPr>
                  <w:tcW w:w="633" w:type="pct"/>
                  <w:vAlign w:val="center"/>
                </w:tcPr>
                <w:p w14:paraId="4F1551CA">
                  <w:pPr>
                    <w:pStyle w:val="32"/>
                    <w:rPr>
                      <w:rFonts w:cs="Times New Roman"/>
                      <w:szCs w:val="24"/>
                    </w:rPr>
                  </w:pPr>
                  <w:r>
                    <w:rPr>
                      <w:rFonts w:hint="eastAsia" w:cs="Times New Roman"/>
                      <w:szCs w:val="24"/>
                    </w:rPr>
                    <w:t>符合</w:t>
                  </w:r>
                </w:p>
              </w:tc>
            </w:tr>
            <w:tr w14:paraId="147D57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55" w:hRule="atLeast"/>
                <w:jc w:val="center"/>
              </w:trPr>
              <w:tc>
                <w:tcPr>
                  <w:tcW w:w="308" w:type="pct"/>
                  <w:vMerge w:val="restart"/>
                  <w:vAlign w:val="center"/>
                </w:tcPr>
                <w:p w14:paraId="25058B52">
                  <w:pPr>
                    <w:pStyle w:val="32"/>
                    <w:rPr>
                      <w:rFonts w:cs="Times New Roman"/>
                      <w:szCs w:val="24"/>
                    </w:rPr>
                  </w:pPr>
                  <w:r>
                    <w:rPr>
                      <w:rFonts w:hint="eastAsia" w:cs="Times New Roman"/>
                      <w:szCs w:val="24"/>
                    </w:rPr>
                    <w:t>工艺与装备</w:t>
                  </w:r>
                </w:p>
              </w:tc>
              <w:tc>
                <w:tcPr>
                  <w:tcW w:w="2312" w:type="pct"/>
                  <w:vAlign w:val="center"/>
                </w:tcPr>
                <w:p w14:paraId="60BE81A8">
                  <w:pPr>
                    <w:pStyle w:val="32"/>
                    <w:rPr>
                      <w:rFonts w:cs="Times New Roman"/>
                      <w:szCs w:val="24"/>
                    </w:rPr>
                  </w:pPr>
                  <w:r>
                    <w:rPr>
                      <w:rFonts w:hint="eastAsia" w:cs="Times New Roman"/>
                      <w:szCs w:val="24"/>
                    </w:rPr>
                    <w:t>新建及改造、扩建废塑料综合利用企业应采用先进技术、工艺和装备，提高废塑料再生加工过程的自动化水平</w:t>
                  </w:r>
                </w:p>
              </w:tc>
              <w:tc>
                <w:tcPr>
                  <w:tcW w:w="1745" w:type="pct"/>
                  <w:vMerge w:val="restart"/>
                  <w:vAlign w:val="center"/>
                </w:tcPr>
                <w:p w14:paraId="07810511">
                  <w:pPr>
                    <w:pStyle w:val="32"/>
                    <w:jc w:val="both"/>
                    <w:rPr>
                      <w:rFonts w:cs="Times New Roman"/>
                      <w:szCs w:val="24"/>
                    </w:rPr>
                  </w:pPr>
                  <w:r>
                    <w:rPr>
                      <w:rFonts w:ascii="Segoe UI" w:hAnsi="Segoe UI" w:cs="Segoe UI"/>
                      <w:color w:val="0F1115"/>
                      <w:shd w:val="clear" w:color="auto" w:fill="FFFFFF"/>
                    </w:rPr>
                    <w:t>本项目属于废塑料混合料回收加工类项目，主要工艺包括破碎、清洗、甩干及分选。通过采购</w:t>
                  </w:r>
                  <w:r>
                    <w:rPr>
                      <w:rFonts w:hint="eastAsia" w:ascii="Segoe UI" w:hAnsi="Segoe UI" w:cs="Segoe UI"/>
                      <w:color w:val="0F1115"/>
                      <w:shd w:val="clear" w:color="auto" w:fill="FFFFFF"/>
                    </w:rPr>
                    <w:t>粉</w:t>
                  </w:r>
                  <w:r>
                    <w:rPr>
                      <w:rFonts w:ascii="Segoe UI" w:hAnsi="Segoe UI" w:cs="Segoe UI"/>
                      <w:color w:val="0F1115"/>
                      <w:shd w:val="clear" w:color="auto" w:fill="FFFFFF"/>
                    </w:rPr>
                    <w:t>碎机、甩干机等主要生产设备，实现自动化生产。其中，破碎工序采用湿法作业，有效抑制粉尘产生；清洗废水经沉淀处理后循环使用，不外排，符合节水及污染防治要求</w:t>
                  </w:r>
                </w:p>
              </w:tc>
              <w:tc>
                <w:tcPr>
                  <w:tcW w:w="633" w:type="pct"/>
                  <w:vAlign w:val="center"/>
                </w:tcPr>
                <w:p w14:paraId="7BAC1A64">
                  <w:pPr>
                    <w:pStyle w:val="32"/>
                    <w:rPr>
                      <w:rFonts w:cs="Times New Roman"/>
                      <w:szCs w:val="24"/>
                    </w:rPr>
                  </w:pPr>
                  <w:r>
                    <w:rPr>
                      <w:rFonts w:hint="eastAsia" w:cs="Times New Roman"/>
                      <w:szCs w:val="24"/>
                    </w:rPr>
                    <w:t>符合</w:t>
                  </w:r>
                </w:p>
              </w:tc>
            </w:tr>
            <w:tr w14:paraId="4874EC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689" w:hRule="atLeast"/>
                <w:jc w:val="center"/>
              </w:trPr>
              <w:tc>
                <w:tcPr>
                  <w:tcW w:w="308" w:type="pct"/>
                  <w:vMerge w:val="continue"/>
                  <w:vAlign w:val="center"/>
                </w:tcPr>
                <w:p w14:paraId="2793B0C8">
                  <w:pPr>
                    <w:pStyle w:val="32"/>
                    <w:rPr>
                      <w:rFonts w:cs="Times New Roman"/>
                      <w:szCs w:val="24"/>
                    </w:rPr>
                  </w:pPr>
                </w:p>
              </w:tc>
              <w:tc>
                <w:tcPr>
                  <w:tcW w:w="2312" w:type="pct"/>
                  <w:vAlign w:val="center"/>
                </w:tcPr>
                <w:p w14:paraId="67F1C138">
                  <w:pPr>
                    <w:pStyle w:val="32"/>
                    <w:jc w:val="both"/>
                    <w:rPr>
                      <w:rFonts w:cs="Times New Roman"/>
                      <w:szCs w:val="24"/>
                    </w:rPr>
                  </w:pPr>
                  <w:r>
                    <w:rPr>
                      <w:rFonts w:hint="eastAsia" w:cs="Times New Roman"/>
                      <w:szCs w:val="24"/>
                    </w:rPr>
                    <w:t>废塑料破碎、清洗、分选类企业。应采用自动化处理设备和设施。其中，破碎工序应采用具有减振与降噪功能的密闭破碎设备；清洗工序应实现自动控制和清洗液循环利用，降低耗水量与耗药量；应使用低发泡、低残留、易处理的清洗药剂；分选工序鼓励采用自动化分选设备</w:t>
                  </w:r>
                </w:p>
              </w:tc>
              <w:tc>
                <w:tcPr>
                  <w:tcW w:w="1745" w:type="pct"/>
                  <w:vMerge w:val="continue"/>
                  <w:vAlign w:val="center"/>
                </w:tcPr>
                <w:p w14:paraId="408E7602">
                  <w:pPr>
                    <w:pStyle w:val="32"/>
                    <w:rPr>
                      <w:rFonts w:cs="Times New Roman"/>
                      <w:szCs w:val="24"/>
                    </w:rPr>
                  </w:pPr>
                </w:p>
              </w:tc>
              <w:tc>
                <w:tcPr>
                  <w:tcW w:w="633" w:type="pct"/>
                  <w:vAlign w:val="center"/>
                </w:tcPr>
                <w:p w14:paraId="3451FD73">
                  <w:pPr>
                    <w:pStyle w:val="32"/>
                    <w:rPr>
                      <w:rFonts w:cs="Times New Roman"/>
                      <w:szCs w:val="24"/>
                    </w:rPr>
                  </w:pPr>
                  <w:r>
                    <w:rPr>
                      <w:rFonts w:hint="eastAsia" w:cs="Times New Roman"/>
                      <w:szCs w:val="24"/>
                    </w:rPr>
                    <w:t>符合</w:t>
                  </w:r>
                </w:p>
              </w:tc>
            </w:tr>
            <w:tr w14:paraId="2A2CF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44" w:hRule="atLeast"/>
                <w:jc w:val="center"/>
              </w:trPr>
              <w:tc>
                <w:tcPr>
                  <w:tcW w:w="308" w:type="pct"/>
                  <w:vMerge w:val="continue"/>
                  <w:vAlign w:val="center"/>
                </w:tcPr>
                <w:p w14:paraId="48A6E41C">
                  <w:pPr>
                    <w:pStyle w:val="32"/>
                    <w:rPr>
                      <w:rFonts w:cs="Times New Roman"/>
                      <w:szCs w:val="24"/>
                    </w:rPr>
                  </w:pPr>
                </w:p>
              </w:tc>
              <w:tc>
                <w:tcPr>
                  <w:tcW w:w="2312" w:type="pct"/>
                  <w:vAlign w:val="center"/>
                </w:tcPr>
                <w:p w14:paraId="4589D72B">
                  <w:pPr>
                    <w:pStyle w:val="32"/>
                    <w:rPr>
                      <w:rFonts w:cs="Times New Roman"/>
                      <w:szCs w:val="24"/>
                    </w:rPr>
                  </w:pPr>
                  <w:r>
                    <w:rPr>
                      <w:rFonts w:hint="eastAsia" w:cs="Times New Roman"/>
                      <w:szCs w:val="24"/>
                    </w:rPr>
                    <w:t>鼓励废塑料综合利用企业研发和使用生产效率高、工艺技术先进、能耗物耗低的加工生产系统</w:t>
                  </w:r>
                </w:p>
              </w:tc>
              <w:tc>
                <w:tcPr>
                  <w:tcW w:w="1745" w:type="pct"/>
                  <w:vMerge w:val="continue"/>
                  <w:vAlign w:val="center"/>
                </w:tcPr>
                <w:p w14:paraId="54107405">
                  <w:pPr>
                    <w:pStyle w:val="32"/>
                    <w:rPr>
                      <w:rFonts w:cs="Times New Roman"/>
                      <w:szCs w:val="24"/>
                    </w:rPr>
                  </w:pPr>
                </w:p>
              </w:tc>
              <w:tc>
                <w:tcPr>
                  <w:tcW w:w="633" w:type="pct"/>
                  <w:vAlign w:val="center"/>
                </w:tcPr>
                <w:p w14:paraId="163FD722">
                  <w:pPr>
                    <w:pStyle w:val="32"/>
                    <w:rPr>
                      <w:rFonts w:cs="Times New Roman"/>
                      <w:szCs w:val="24"/>
                    </w:rPr>
                  </w:pPr>
                  <w:r>
                    <w:rPr>
                      <w:rFonts w:hint="eastAsia" w:cs="Times New Roman"/>
                      <w:szCs w:val="24"/>
                    </w:rPr>
                    <w:t>符合</w:t>
                  </w:r>
                </w:p>
              </w:tc>
            </w:tr>
            <w:tr w14:paraId="01FC42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748" w:hRule="atLeast"/>
                <w:jc w:val="center"/>
              </w:trPr>
              <w:tc>
                <w:tcPr>
                  <w:tcW w:w="308" w:type="pct"/>
                  <w:vMerge w:val="restart"/>
                  <w:vAlign w:val="center"/>
                </w:tcPr>
                <w:p w14:paraId="1AC2209C">
                  <w:pPr>
                    <w:pStyle w:val="32"/>
                    <w:rPr>
                      <w:rFonts w:cs="Times New Roman"/>
                      <w:szCs w:val="24"/>
                    </w:rPr>
                  </w:pPr>
                  <w:r>
                    <w:rPr>
                      <w:rFonts w:hint="eastAsia" w:cs="Times New Roman"/>
                      <w:szCs w:val="24"/>
                    </w:rPr>
                    <w:t>环境保护</w:t>
                  </w:r>
                </w:p>
              </w:tc>
              <w:tc>
                <w:tcPr>
                  <w:tcW w:w="2312" w:type="pct"/>
                  <w:vAlign w:val="center"/>
                </w:tcPr>
                <w:p w14:paraId="2469B4D3">
                  <w:pPr>
                    <w:pStyle w:val="32"/>
                    <w:rPr>
                      <w:rFonts w:cs="Times New Roman"/>
                      <w:szCs w:val="24"/>
                    </w:rPr>
                  </w:pPr>
                  <w:r>
                    <w:rPr>
                      <w:rFonts w:hint="eastAsia" w:cs="Times New Roman"/>
                      <w:szCs w:val="24"/>
                    </w:rPr>
                    <w:t>废塑料综合利用企业应严格执行《中华人民共和国环境影响评价法》，按照环境保护主管部门的相关规定报批环境影响评价文件。按照环境保护“三同时”的要求建设配套的环境保护设施，编制环境风险应急预案，并依法申请项目竣工环境保护验收</w:t>
                  </w:r>
                </w:p>
              </w:tc>
              <w:tc>
                <w:tcPr>
                  <w:tcW w:w="1745" w:type="pct"/>
                  <w:vAlign w:val="center"/>
                </w:tcPr>
                <w:p w14:paraId="064AC651">
                  <w:pPr>
                    <w:pStyle w:val="32"/>
                    <w:rPr>
                      <w:rFonts w:cs="Times New Roman"/>
                      <w:szCs w:val="24"/>
                    </w:rPr>
                  </w:pPr>
                  <w:r>
                    <w:rPr>
                      <w:rFonts w:hint="eastAsia" w:cs="Times New Roman"/>
                      <w:szCs w:val="24"/>
                    </w:rPr>
                    <w:t>本项目严格按照《中华人民共和国环境影响评价法》报批环评文件，执行三同时制度，项目后续及时编制环境风险应急预案</w:t>
                  </w:r>
                </w:p>
              </w:tc>
              <w:tc>
                <w:tcPr>
                  <w:tcW w:w="633" w:type="pct"/>
                  <w:vAlign w:val="center"/>
                </w:tcPr>
                <w:p w14:paraId="7DA6C5B9">
                  <w:pPr>
                    <w:pStyle w:val="32"/>
                    <w:rPr>
                      <w:rFonts w:cs="Times New Roman"/>
                      <w:szCs w:val="24"/>
                    </w:rPr>
                  </w:pPr>
                  <w:r>
                    <w:rPr>
                      <w:rFonts w:hint="eastAsia" w:cs="Times New Roman"/>
                      <w:szCs w:val="24"/>
                    </w:rPr>
                    <w:t>符合</w:t>
                  </w:r>
                </w:p>
              </w:tc>
            </w:tr>
            <w:tr w14:paraId="60110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45833E1E">
                  <w:pPr>
                    <w:pStyle w:val="32"/>
                    <w:rPr>
                      <w:rFonts w:cs="Times New Roman"/>
                      <w:szCs w:val="24"/>
                    </w:rPr>
                  </w:pPr>
                </w:p>
              </w:tc>
              <w:tc>
                <w:tcPr>
                  <w:tcW w:w="2312" w:type="pct"/>
                  <w:vAlign w:val="center"/>
                </w:tcPr>
                <w:p w14:paraId="56F2DE37">
                  <w:pPr>
                    <w:pStyle w:val="32"/>
                    <w:rPr>
                      <w:rFonts w:cs="Times New Roman"/>
                      <w:szCs w:val="24"/>
                    </w:rPr>
                  </w:pPr>
                  <w:r>
                    <w:rPr>
                      <w:rFonts w:hint="eastAsia" w:cs="Times New Roman"/>
                      <w:szCs w:val="24"/>
                    </w:rPr>
                    <w:t>企业加工存储场地应建有围墙，在园区内的企业可为单独厂房，地面全部硬化且无明显破损现象</w:t>
                  </w:r>
                </w:p>
              </w:tc>
              <w:tc>
                <w:tcPr>
                  <w:tcW w:w="1745" w:type="pct"/>
                  <w:vAlign w:val="center"/>
                </w:tcPr>
                <w:p w14:paraId="3E43C23E">
                  <w:pPr>
                    <w:pStyle w:val="32"/>
                    <w:rPr>
                      <w:rFonts w:cs="Times New Roman"/>
                      <w:szCs w:val="24"/>
                    </w:rPr>
                  </w:pPr>
                  <w:r>
                    <w:rPr>
                      <w:rFonts w:ascii="Segoe UI" w:hAnsi="Segoe UI" w:cs="Segoe UI"/>
                      <w:color w:val="0F1115"/>
                      <w:shd w:val="clear" w:color="auto" w:fill="FFFFFF"/>
                    </w:rPr>
                    <w:t>本项目生产厂房为全封闭结构，地面全部采取硬化措施</w:t>
                  </w:r>
                  <w:r>
                    <w:rPr>
                      <w:rFonts w:hint="eastAsia" w:cs="Times New Roman"/>
                      <w:szCs w:val="24"/>
                    </w:rPr>
                    <w:t>，确保无破损现象</w:t>
                  </w:r>
                </w:p>
              </w:tc>
              <w:tc>
                <w:tcPr>
                  <w:tcW w:w="633" w:type="pct"/>
                  <w:vAlign w:val="center"/>
                </w:tcPr>
                <w:p w14:paraId="487F8B55">
                  <w:pPr>
                    <w:pStyle w:val="32"/>
                    <w:rPr>
                      <w:rFonts w:cs="Times New Roman"/>
                      <w:szCs w:val="24"/>
                    </w:rPr>
                  </w:pPr>
                  <w:r>
                    <w:rPr>
                      <w:rFonts w:hint="eastAsia" w:cs="Times New Roman"/>
                      <w:szCs w:val="24"/>
                    </w:rPr>
                    <w:t>符合</w:t>
                  </w:r>
                </w:p>
              </w:tc>
            </w:tr>
            <w:tr w14:paraId="34AF6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08787CAB">
                  <w:pPr>
                    <w:pStyle w:val="32"/>
                    <w:rPr>
                      <w:rFonts w:cs="Times New Roman"/>
                      <w:szCs w:val="24"/>
                    </w:rPr>
                  </w:pPr>
                </w:p>
              </w:tc>
              <w:tc>
                <w:tcPr>
                  <w:tcW w:w="2312" w:type="pct"/>
                  <w:vAlign w:val="center"/>
                </w:tcPr>
                <w:p w14:paraId="115367EB">
                  <w:pPr>
                    <w:pStyle w:val="32"/>
                    <w:rPr>
                      <w:rFonts w:cs="Times New Roman"/>
                      <w:szCs w:val="24"/>
                    </w:rPr>
                  </w:pPr>
                  <w:r>
                    <w:rPr>
                      <w:rFonts w:hint="eastAsia" w:cs="Times New Roman"/>
                      <w:szCs w:val="24"/>
                    </w:rPr>
                    <w:t>企业必须配备废塑料分类存放场所。原料、产品、本企业不能利用废塑料及不可利用废物贮存在具有防雨、防风、防渗等功能的厂房或加盖雨棚的专门贮存场地内，无露天堆放现象。企业厂区管网建设应达到“雨污分流”要求</w:t>
                  </w:r>
                </w:p>
              </w:tc>
              <w:tc>
                <w:tcPr>
                  <w:tcW w:w="1745" w:type="pct"/>
                  <w:vAlign w:val="center"/>
                </w:tcPr>
                <w:p w14:paraId="47C653E6">
                  <w:pPr>
                    <w:pStyle w:val="32"/>
                    <w:jc w:val="both"/>
                    <w:rPr>
                      <w:rFonts w:cs="Times New Roman"/>
                      <w:szCs w:val="24"/>
                    </w:rPr>
                  </w:pPr>
                  <w:r>
                    <w:rPr>
                      <w:rFonts w:hint="eastAsia" w:cs="Times New Roman"/>
                      <w:szCs w:val="24"/>
                    </w:rPr>
                    <w:t>企业在厂区内设置了专用原料堆场、产品堆放区及固体废物暂存间，对原料、产成品、本企业无法利用的废塑料以及不可回用的固体废物实行分类分区存放，杜绝混堆现象，确保物料管理规范化。所有原料在堆场内采用篷布进行全覆盖，有效防风抑尘；产品使用集装袋包装，袋口封闭良好，整齐堆放于指定区域，防止二次污染。对于本企业无法资源化利用的废塑料及其他不可利用固体废物，均集中暂存在封闭暂存间内，做到防雨、防渗、防流失</w:t>
                  </w:r>
                </w:p>
              </w:tc>
              <w:tc>
                <w:tcPr>
                  <w:tcW w:w="633" w:type="pct"/>
                  <w:vAlign w:val="center"/>
                </w:tcPr>
                <w:p w14:paraId="1E8D7ADE">
                  <w:pPr>
                    <w:pStyle w:val="32"/>
                    <w:rPr>
                      <w:rFonts w:cs="Times New Roman"/>
                      <w:szCs w:val="24"/>
                    </w:rPr>
                  </w:pPr>
                  <w:r>
                    <w:rPr>
                      <w:rFonts w:hint="eastAsia" w:cs="Times New Roman"/>
                      <w:szCs w:val="24"/>
                    </w:rPr>
                    <w:t>符合</w:t>
                  </w:r>
                </w:p>
              </w:tc>
            </w:tr>
            <w:tr w14:paraId="7F9B9F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48394B91">
                  <w:pPr>
                    <w:pStyle w:val="32"/>
                    <w:rPr>
                      <w:rFonts w:cs="Times New Roman"/>
                      <w:szCs w:val="24"/>
                    </w:rPr>
                  </w:pPr>
                </w:p>
              </w:tc>
              <w:tc>
                <w:tcPr>
                  <w:tcW w:w="2312" w:type="pct"/>
                  <w:vAlign w:val="center"/>
                </w:tcPr>
                <w:p w14:paraId="5914D443">
                  <w:pPr>
                    <w:pStyle w:val="32"/>
                    <w:rPr>
                      <w:rFonts w:cs="Times New Roman"/>
                      <w:szCs w:val="24"/>
                    </w:rPr>
                  </w:pPr>
                  <w:r>
                    <w:rPr>
                      <w:rFonts w:hint="eastAsia" w:cs="Times New Roman"/>
                      <w:szCs w:val="24"/>
                    </w:rPr>
                    <w:t>企业对收集的废塑料中的金属、橡胶、纤维、渣土、油脂、添加物等夹杂物，应采取相应的处理措施。如企业不具备处理条件，应委托其他具有处理能力的企业处理，不得擅自丢弃、倾倒、焚烧与填埋</w:t>
                  </w:r>
                </w:p>
              </w:tc>
              <w:tc>
                <w:tcPr>
                  <w:tcW w:w="1745" w:type="pct"/>
                  <w:vAlign w:val="center"/>
                </w:tcPr>
                <w:p w14:paraId="0F1FFF56">
                  <w:pPr>
                    <w:pStyle w:val="32"/>
                    <w:rPr>
                      <w:rFonts w:cs="Times New Roman"/>
                      <w:szCs w:val="24"/>
                    </w:rPr>
                  </w:pPr>
                  <w:r>
                    <w:rPr>
                      <w:rFonts w:hint="eastAsia" w:cs="Times New Roman"/>
                      <w:szCs w:val="24"/>
                    </w:rPr>
                    <w:t>企业对产生的轻质杂质均进行妥善处理</w:t>
                  </w:r>
                </w:p>
              </w:tc>
              <w:tc>
                <w:tcPr>
                  <w:tcW w:w="633" w:type="pct"/>
                  <w:vAlign w:val="center"/>
                </w:tcPr>
                <w:p w14:paraId="5993366B">
                  <w:pPr>
                    <w:pStyle w:val="32"/>
                    <w:rPr>
                      <w:rFonts w:cs="Times New Roman"/>
                      <w:szCs w:val="24"/>
                    </w:rPr>
                  </w:pPr>
                  <w:r>
                    <w:rPr>
                      <w:rFonts w:hint="eastAsia" w:cs="Times New Roman"/>
                      <w:szCs w:val="24"/>
                    </w:rPr>
                    <w:t>符合</w:t>
                  </w:r>
                </w:p>
              </w:tc>
            </w:tr>
            <w:tr w14:paraId="026C7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10378328">
                  <w:pPr>
                    <w:pStyle w:val="32"/>
                    <w:rPr>
                      <w:rFonts w:cs="Times New Roman"/>
                      <w:szCs w:val="24"/>
                    </w:rPr>
                  </w:pPr>
                </w:p>
              </w:tc>
              <w:tc>
                <w:tcPr>
                  <w:tcW w:w="2312" w:type="pct"/>
                  <w:vAlign w:val="center"/>
                </w:tcPr>
                <w:p w14:paraId="3CAF5359">
                  <w:pPr>
                    <w:pStyle w:val="32"/>
                    <w:rPr>
                      <w:rFonts w:cs="Times New Roman"/>
                      <w:szCs w:val="24"/>
                    </w:rPr>
                  </w:pPr>
                  <w:r>
                    <w:rPr>
                      <w:rFonts w:hint="eastAsia" w:cs="Times New Roman"/>
                      <w:szCs w:val="24"/>
                    </w:rPr>
                    <w:t>企业应具有与加工利用能力相适应的废水处理设施，中水回用率必须符合环评文件的有关要求。废水处理后需要外排的废水，必须经处理后达标排放。企业应采用高效节能环保的污泥处理工艺,或交由具有处理资格的废物处理机构，实现污泥无害化处理。除具有获批建设、验收合格的专业盐卤废水处理设施，禁止使用盐卤分选工艺</w:t>
                  </w:r>
                </w:p>
              </w:tc>
              <w:tc>
                <w:tcPr>
                  <w:tcW w:w="1745" w:type="pct"/>
                  <w:vAlign w:val="center"/>
                </w:tcPr>
                <w:p w14:paraId="2D1D518E">
                  <w:pPr>
                    <w:pStyle w:val="32"/>
                    <w:rPr>
                      <w:rFonts w:cs="Times New Roman"/>
                      <w:szCs w:val="24"/>
                    </w:rPr>
                  </w:pPr>
                  <w:r>
                    <w:rPr>
                      <w:rFonts w:hint="eastAsia" w:cs="Times New Roman"/>
                      <w:szCs w:val="24"/>
                    </w:rPr>
                    <w:t>项目生产废水均处理后回用于生产，不外排</w:t>
                  </w:r>
                </w:p>
              </w:tc>
              <w:tc>
                <w:tcPr>
                  <w:tcW w:w="633" w:type="pct"/>
                  <w:vAlign w:val="center"/>
                </w:tcPr>
                <w:p w14:paraId="58CE6E5B">
                  <w:pPr>
                    <w:pStyle w:val="32"/>
                    <w:rPr>
                      <w:rFonts w:cs="Times New Roman"/>
                      <w:szCs w:val="24"/>
                    </w:rPr>
                  </w:pPr>
                  <w:r>
                    <w:rPr>
                      <w:rFonts w:hint="eastAsia" w:cs="Times New Roman"/>
                      <w:szCs w:val="24"/>
                    </w:rPr>
                    <w:t>符合</w:t>
                  </w:r>
                </w:p>
              </w:tc>
            </w:tr>
            <w:tr w14:paraId="7E1DFA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308" w:type="pct"/>
                  <w:vMerge w:val="continue"/>
                  <w:vAlign w:val="center"/>
                </w:tcPr>
                <w:p w14:paraId="15C2D041">
                  <w:pPr>
                    <w:pStyle w:val="32"/>
                    <w:rPr>
                      <w:rFonts w:cs="Times New Roman"/>
                      <w:szCs w:val="24"/>
                    </w:rPr>
                  </w:pPr>
                </w:p>
              </w:tc>
              <w:tc>
                <w:tcPr>
                  <w:tcW w:w="2312" w:type="pct"/>
                  <w:vAlign w:val="center"/>
                </w:tcPr>
                <w:p w14:paraId="6DBC14F2">
                  <w:pPr>
                    <w:pStyle w:val="32"/>
                    <w:rPr>
                      <w:rFonts w:cs="Times New Roman"/>
                      <w:szCs w:val="24"/>
                    </w:rPr>
                  </w:pPr>
                  <w:r>
                    <w:rPr>
                      <w:rFonts w:hint="eastAsia" w:cs="Times New Roman"/>
                      <w:szCs w:val="24"/>
                    </w:rPr>
                    <w:t>再生加工过程中产生废气、粉尘的加工车间应设置废气、粉尘收集处理设施，通过净化处理，达标后排放</w:t>
                  </w:r>
                </w:p>
              </w:tc>
              <w:tc>
                <w:tcPr>
                  <w:tcW w:w="1745" w:type="pct"/>
                  <w:vAlign w:val="center"/>
                </w:tcPr>
                <w:p w14:paraId="637C75C2">
                  <w:pPr>
                    <w:pStyle w:val="32"/>
                    <w:jc w:val="both"/>
                    <w:rPr>
                      <w:rFonts w:cs="Times New Roman"/>
                      <w:szCs w:val="24"/>
                    </w:rPr>
                  </w:pPr>
                  <w:r>
                    <w:rPr>
                      <w:rFonts w:hint="eastAsia" w:cs="Times New Roman"/>
                      <w:szCs w:val="24"/>
                    </w:rPr>
                    <w:t>本项目废塑料采用湿法破碎，产生少量粉尘，经集气罩+布袋除尘器+15m高排气筒排放，有效抑制粉尘的产生与逸散</w:t>
                  </w:r>
                </w:p>
              </w:tc>
              <w:tc>
                <w:tcPr>
                  <w:tcW w:w="633" w:type="pct"/>
                  <w:vAlign w:val="center"/>
                </w:tcPr>
                <w:p w14:paraId="38BE7868">
                  <w:pPr>
                    <w:pStyle w:val="32"/>
                    <w:rPr>
                      <w:rFonts w:cs="Times New Roman"/>
                      <w:szCs w:val="24"/>
                    </w:rPr>
                  </w:pPr>
                  <w:r>
                    <w:rPr>
                      <w:rFonts w:hint="eastAsia" w:cs="Times New Roman"/>
                      <w:szCs w:val="24"/>
                    </w:rPr>
                    <w:t>符合</w:t>
                  </w:r>
                </w:p>
              </w:tc>
            </w:tr>
            <w:tr w14:paraId="719DEC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5F31664A">
                  <w:pPr>
                    <w:pStyle w:val="32"/>
                    <w:rPr>
                      <w:rFonts w:cs="Times New Roman"/>
                      <w:szCs w:val="24"/>
                    </w:rPr>
                  </w:pPr>
                </w:p>
              </w:tc>
              <w:tc>
                <w:tcPr>
                  <w:tcW w:w="2312" w:type="pct"/>
                  <w:vAlign w:val="center"/>
                </w:tcPr>
                <w:p w14:paraId="052E0445">
                  <w:pPr>
                    <w:pStyle w:val="32"/>
                    <w:rPr>
                      <w:rFonts w:cs="Times New Roman"/>
                      <w:szCs w:val="24"/>
                    </w:rPr>
                  </w:pPr>
                  <w:r>
                    <w:rPr>
                      <w:rFonts w:hint="eastAsia" w:cs="Times New Roman"/>
                      <w:szCs w:val="24"/>
                    </w:rPr>
                    <w:t>对于加工过程中噪音污染大的设备，必须采取降噪和隔音措施，企业噪声应达到《工业企业厂界环境噪声排放标准》</w:t>
                  </w:r>
                </w:p>
              </w:tc>
              <w:tc>
                <w:tcPr>
                  <w:tcW w:w="1745" w:type="pct"/>
                  <w:vAlign w:val="center"/>
                </w:tcPr>
                <w:p w14:paraId="5166874F">
                  <w:pPr>
                    <w:pStyle w:val="32"/>
                    <w:rPr>
                      <w:rFonts w:cs="Times New Roman"/>
                      <w:szCs w:val="24"/>
                    </w:rPr>
                  </w:pPr>
                  <w:r>
                    <w:rPr>
                      <w:rFonts w:hint="eastAsia" w:cs="Times New Roman"/>
                      <w:szCs w:val="24"/>
                    </w:rPr>
                    <w:t>项目选用低噪声设备，建设后噪声满足《工业企业厂界环境噪声排放标准》</w:t>
                  </w:r>
                  <w:r>
                    <w:rPr>
                      <w:rFonts w:cs="Times New Roman"/>
                      <w:szCs w:val="24"/>
                    </w:rPr>
                    <w:t>2</w:t>
                  </w:r>
                  <w:r>
                    <w:rPr>
                      <w:rFonts w:hint="eastAsia" w:cs="Times New Roman"/>
                      <w:szCs w:val="24"/>
                    </w:rPr>
                    <w:t>类标准</w:t>
                  </w:r>
                </w:p>
              </w:tc>
              <w:tc>
                <w:tcPr>
                  <w:tcW w:w="633" w:type="pct"/>
                  <w:vAlign w:val="center"/>
                </w:tcPr>
                <w:p w14:paraId="6561BD09">
                  <w:pPr>
                    <w:pStyle w:val="32"/>
                    <w:rPr>
                      <w:rFonts w:cs="Times New Roman"/>
                      <w:szCs w:val="24"/>
                    </w:rPr>
                  </w:pPr>
                  <w:r>
                    <w:rPr>
                      <w:rFonts w:hint="eastAsia" w:cs="Times New Roman"/>
                      <w:szCs w:val="24"/>
                    </w:rPr>
                    <w:t>符合</w:t>
                  </w:r>
                </w:p>
              </w:tc>
            </w:tr>
            <w:tr w14:paraId="784DF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58" w:hRule="atLeast"/>
                <w:jc w:val="center"/>
              </w:trPr>
              <w:tc>
                <w:tcPr>
                  <w:tcW w:w="5000" w:type="pct"/>
                  <w:gridSpan w:val="4"/>
                  <w:vAlign w:val="center"/>
                </w:tcPr>
                <w:p w14:paraId="527BF40A">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与《废塑料加工利用污染防治管理规定》符合性分析</w:t>
                  </w:r>
                </w:p>
              </w:tc>
            </w:tr>
            <w:tr w14:paraId="3F605D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vAlign w:val="center"/>
                </w:tcPr>
                <w:p w14:paraId="6266A39C">
                  <w:pPr>
                    <w:pStyle w:val="32"/>
                    <w:rPr>
                      <w:rFonts w:cs="Times New Roman"/>
                      <w:szCs w:val="24"/>
                    </w:rPr>
                  </w:pPr>
                  <w:r>
                    <w:rPr>
                      <w:rFonts w:hint="eastAsia" w:cs="Times New Roman"/>
                      <w:szCs w:val="24"/>
                    </w:rPr>
                    <w:t>原料要求</w:t>
                  </w:r>
                </w:p>
              </w:tc>
              <w:tc>
                <w:tcPr>
                  <w:tcW w:w="2312" w:type="pct"/>
                  <w:vAlign w:val="center"/>
                </w:tcPr>
                <w:p w14:paraId="169F8FC9">
                  <w:pPr>
                    <w:pStyle w:val="32"/>
                    <w:rPr>
                      <w:rFonts w:cs="Times New Roman"/>
                      <w:szCs w:val="24"/>
                    </w:rPr>
                  </w:pPr>
                  <w:r>
                    <w:rPr>
                      <w:rFonts w:cs="Times New Roman"/>
                      <w:szCs w:val="24"/>
                    </w:rPr>
                    <w:t>禁止在居民区加工利用废塑料。禁止利用废塑料生产厚度小于0.025mm的超薄塑料购物袋和厚度小于0.015mm超薄塑料袋。禁止利用废塑料生产食品用塑料袋。禁止无危险废物经营许可证从事废塑料类危险废物的回收利用活动，包括被危险化学品、农药等污染的废弃塑料包装物，废弃的一次性医疗用塑料制品（如输液器、血袋）等</w:t>
                  </w:r>
                </w:p>
              </w:tc>
              <w:tc>
                <w:tcPr>
                  <w:tcW w:w="1745" w:type="pct"/>
                  <w:vAlign w:val="center"/>
                </w:tcPr>
                <w:p w14:paraId="025BCC05">
                  <w:pPr>
                    <w:pStyle w:val="32"/>
                    <w:rPr>
                      <w:rFonts w:cs="Times New Roman"/>
                      <w:szCs w:val="24"/>
                    </w:rPr>
                  </w:pPr>
                  <w:r>
                    <w:rPr>
                      <w:rFonts w:cs="Times New Roman"/>
                      <w:szCs w:val="24"/>
                    </w:rPr>
                    <w:t>本项目位于库尔勒市哈拉玉宫</w:t>
                  </w:r>
                  <w:r>
                    <w:rPr>
                      <w:rFonts w:hint="eastAsia" w:cs="Times New Roman"/>
                      <w:szCs w:val="24"/>
                    </w:rPr>
                    <w:t>乡</w:t>
                  </w:r>
                  <w:r>
                    <w:rPr>
                      <w:rFonts w:cs="Times New Roman"/>
                      <w:szCs w:val="24"/>
                    </w:rPr>
                    <w:t>废旧物资回收加工产业园，不包含被危险化学品、农药等污染的废弃塑料包装物，废弃的一次性医药用塑料制品（如输液器、血袋）等</w:t>
                  </w:r>
                </w:p>
              </w:tc>
              <w:tc>
                <w:tcPr>
                  <w:tcW w:w="633" w:type="pct"/>
                  <w:vAlign w:val="center"/>
                </w:tcPr>
                <w:p w14:paraId="16AE7F8F">
                  <w:pPr>
                    <w:pStyle w:val="32"/>
                    <w:rPr>
                      <w:rFonts w:cs="Times New Roman"/>
                      <w:szCs w:val="24"/>
                    </w:rPr>
                  </w:pPr>
                  <w:r>
                    <w:rPr>
                      <w:rFonts w:hint="eastAsia" w:cs="Times New Roman"/>
                      <w:szCs w:val="24"/>
                    </w:rPr>
                    <w:t>符合</w:t>
                  </w:r>
                </w:p>
              </w:tc>
            </w:tr>
            <w:tr w14:paraId="57660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6EDFA7B9">
                  <w:pPr>
                    <w:pStyle w:val="32"/>
                    <w:rPr>
                      <w:rFonts w:cs="Times New Roman"/>
                      <w:szCs w:val="24"/>
                    </w:rPr>
                  </w:pPr>
                </w:p>
              </w:tc>
              <w:tc>
                <w:tcPr>
                  <w:tcW w:w="2312" w:type="pct"/>
                  <w:vAlign w:val="center"/>
                </w:tcPr>
                <w:p w14:paraId="15324DC9">
                  <w:pPr>
                    <w:pStyle w:val="32"/>
                    <w:rPr>
                      <w:rFonts w:cs="Times New Roman"/>
                      <w:szCs w:val="24"/>
                    </w:rPr>
                  </w:pPr>
                  <w:r>
                    <w:rPr>
                      <w:rFonts w:cs="Times New Roman"/>
                      <w:szCs w:val="24"/>
                    </w:rPr>
                    <w:t>进口废塑料加工利用企业应当符合《固体废物进口管理办法》以及</w:t>
                  </w:r>
                  <w:r>
                    <w:rPr>
                      <w:rFonts w:ascii="Helvetica" w:hAnsi="Helvetica"/>
                      <w:color w:val="111111"/>
                      <w:shd w:val="clear" w:color="auto" w:fill="FFFFFF"/>
                    </w:rPr>
                    <w:t>生态环境部</w:t>
                  </w:r>
                  <w:r>
                    <w:rPr>
                      <w:rFonts w:cs="Times New Roman"/>
                      <w:szCs w:val="24"/>
                    </w:rPr>
                    <w:t>关于进口可用作原料的固体废物和废塑料环境保护管理相关规定</w:t>
                  </w:r>
                </w:p>
              </w:tc>
              <w:tc>
                <w:tcPr>
                  <w:tcW w:w="1745" w:type="pct"/>
                  <w:vAlign w:val="center"/>
                </w:tcPr>
                <w:p w14:paraId="45DEC8F3">
                  <w:pPr>
                    <w:pStyle w:val="32"/>
                    <w:jc w:val="both"/>
                    <w:rPr>
                      <w:rFonts w:cs="Times New Roman"/>
                      <w:szCs w:val="24"/>
                    </w:rPr>
                  </w:pPr>
                  <w:r>
                    <w:rPr>
                      <w:rFonts w:hint="eastAsia" w:cs="Times New Roman"/>
                      <w:szCs w:val="24"/>
                    </w:rPr>
                    <w:t>本项目原料来源于上游金属分选厂提供的废塑料混合料（含少量金属残留）</w:t>
                  </w:r>
                  <w:r>
                    <w:rPr>
                      <w:rFonts w:cs="Times New Roman"/>
                      <w:szCs w:val="24"/>
                    </w:rPr>
                    <w:t>，不含进口废塑料</w:t>
                  </w:r>
                </w:p>
              </w:tc>
              <w:tc>
                <w:tcPr>
                  <w:tcW w:w="633" w:type="pct"/>
                  <w:vAlign w:val="center"/>
                </w:tcPr>
                <w:p w14:paraId="0ECFDD35">
                  <w:pPr>
                    <w:pStyle w:val="32"/>
                    <w:rPr>
                      <w:rFonts w:cs="Times New Roman"/>
                      <w:szCs w:val="24"/>
                    </w:rPr>
                  </w:pPr>
                  <w:r>
                    <w:rPr>
                      <w:rFonts w:hint="eastAsia" w:cs="Times New Roman"/>
                      <w:szCs w:val="24"/>
                    </w:rPr>
                    <w:t>符合</w:t>
                  </w:r>
                </w:p>
              </w:tc>
            </w:tr>
            <w:tr w14:paraId="7679F8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2861" w:hRule="atLeast"/>
                <w:jc w:val="center"/>
              </w:trPr>
              <w:tc>
                <w:tcPr>
                  <w:tcW w:w="308" w:type="pct"/>
                  <w:vMerge w:val="restart"/>
                  <w:vAlign w:val="center"/>
                </w:tcPr>
                <w:p w14:paraId="000CC631">
                  <w:pPr>
                    <w:pStyle w:val="32"/>
                    <w:rPr>
                      <w:rFonts w:cs="Times New Roman"/>
                      <w:szCs w:val="24"/>
                    </w:rPr>
                  </w:pPr>
                  <w:r>
                    <w:rPr>
                      <w:rFonts w:hint="eastAsia" w:cs="Times New Roman"/>
                      <w:szCs w:val="24"/>
                    </w:rPr>
                    <w:t>环保要求</w:t>
                  </w:r>
                </w:p>
              </w:tc>
              <w:tc>
                <w:tcPr>
                  <w:tcW w:w="2312" w:type="pct"/>
                  <w:vAlign w:val="center"/>
                </w:tcPr>
                <w:p w14:paraId="051BEFD7">
                  <w:pPr>
                    <w:pStyle w:val="32"/>
                    <w:rPr>
                      <w:rFonts w:cs="Times New Roman"/>
                      <w:szCs w:val="24"/>
                    </w:rPr>
                  </w:pPr>
                  <w:r>
                    <w:rPr>
                      <w:rFonts w:hint="eastAsia" w:cs="Times New Roman"/>
                      <w:szCs w:val="24"/>
                    </w:rPr>
                    <w:t>无符合环保要求污水治理设施的，禁止从事废编织袋造粒、缸脚料淘洗、废塑料退镀（涂）、盐卤分拣等加工活动</w:t>
                  </w:r>
                </w:p>
              </w:tc>
              <w:tc>
                <w:tcPr>
                  <w:tcW w:w="1745" w:type="pct"/>
                  <w:vAlign w:val="center"/>
                </w:tcPr>
                <w:p w14:paraId="1BCCBAC4">
                  <w:pPr>
                    <w:pStyle w:val="32"/>
                    <w:jc w:val="both"/>
                    <w:rPr>
                      <w:rFonts w:cs="Times New Roman"/>
                      <w:szCs w:val="24"/>
                    </w:rPr>
                  </w:pPr>
                  <w:r>
                    <w:rPr>
                      <w:rFonts w:ascii="Segoe UI" w:hAnsi="Segoe UI" w:cs="Segoe UI"/>
                      <w:color w:val="0F1115"/>
                      <w:shd w:val="clear" w:color="auto" w:fill="FFFFFF"/>
                    </w:rPr>
                    <w:t>本项目属于废塑料混合料回收加工类项目，主要工艺包括破碎、清洗、甩干及分选。通过采购破碎机、空分机、甩干机等主要生产设备，实现自动化生产。其中，破碎工序采用湿法作业，有效抑制粉尘产生；清洗废水经沉淀处理后循环使用，不外排，符合节水及污染防治要求</w:t>
                  </w:r>
                </w:p>
              </w:tc>
              <w:tc>
                <w:tcPr>
                  <w:tcW w:w="633" w:type="pct"/>
                  <w:vAlign w:val="center"/>
                </w:tcPr>
                <w:p w14:paraId="1825A00E">
                  <w:pPr>
                    <w:pStyle w:val="32"/>
                    <w:rPr>
                      <w:rFonts w:cs="Times New Roman"/>
                      <w:szCs w:val="24"/>
                    </w:rPr>
                  </w:pPr>
                  <w:r>
                    <w:rPr>
                      <w:rFonts w:hint="eastAsia" w:cs="Times New Roman"/>
                      <w:szCs w:val="24"/>
                    </w:rPr>
                    <w:t>符合</w:t>
                  </w:r>
                </w:p>
              </w:tc>
            </w:tr>
            <w:tr w14:paraId="57F13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404C8CC6">
                  <w:pPr>
                    <w:pStyle w:val="32"/>
                    <w:rPr>
                      <w:rFonts w:cs="Times New Roman"/>
                      <w:szCs w:val="24"/>
                    </w:rPr>
                  </w:pPr>
                </w:p>
              </w:tc>
              <w:tc>
                <w:tcPr>
                  <w:tcW w:w="2312" w:type="pct"/>
                  <w:vAlign w:val="center"/>
                </w:tcPr>
                <w:p w14:paraId="53C17027">
                  <w:pPr>
                    <w:pStyle w:val="32"/>
                    <w:rPr>
                      <w:rFonts w:cs="Times New Roman"/>
                      <w:szCs w:val="24"/>
                    </w:rPr>
                  </w:pPr>
                  <w:r>
                    <w:rPr>
                      <w:rFonts w:hint="eastAsia" w:cs="Times New Roman"/>
                      <w:szCs w:val="24"/>
                    </w:rPr>
                    <w:t>废塑料加工利用单位应当以环境无害化方式处理废塑料加工利用过程产生的残余垃圾、滤网；禁止交不符合环保要求的单位或个人处置。禁止露天焚烧废塑料及加工利用过程产生的残余垃圾、滤网</w:t>
                  </w:r>
                </w:p>
              </w:tc>
              <w:tc>
                <w:tcPr>
                  <w:tcW w:w="1745" w:type="pct"/>
                  <w:vAlign w:val="center"/>
                </w:tcPr>
                <w:p w14:paraId="3EF87B68">
                  <w:pPr>
                    <w:pStyle w:val="32"/>
                    <w:rPr>
                      <w:rFonts w:cs="Times New Roman"/>
                      <w:szCs w:val="24"/>
                    </w:rPr>
                  </w:pPr>
                  <w:r>
                    <w:rPr>
                      <w:rFonts w:hint="eastAsia" w:cs="Times New Roman"/>
                      <w:szCs w:val="24"/>
                    </w:rPr>
                    <w:t>项目产生的固体废物均得到有效处置</w:t>
                  </w:r>
                </w:p>
              </w:tc>
              <w:tc>
                <w:tcPr>
                  <w:tcW w:w="633" w:type="pct"/>
                  <w:vAlign w:val="center"/>
                </w:tcPr>
                <w:p w14:paraId="5DA32C8E">
                  <w:pPr>
                    <w:pStyle w:val="32"/>
                    <w:rPr>
                      <w:rFonts w:cs="Times New Roman"/>
                      <w:szCs w:val="24"/>
                    </w:rPr>
                  </w:pPr>
                  <w:r>
                    <w:rPr>
                      <w:rFonts w:hint="eastAsia" w:cs="Times New Roman"/>
                      <w:szCs w:val="24"/>
                    </w:rPr>
                    <w:t>符合</w:t>
                  </w:r>
                </w:p>
              </w:tc>
            </w:tr>
            <w:tr w14:paraId="30C85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80" w:hRule="atLeast"/>
                <w:jc w:val="center"/>
              </w:trPr>
              <w:tc>
                <w:tcPr>
                  <w:tcW w:w="5000" w:type="pct"/>
                  <w:gridSpan w:val="4"/>
                  <w:vAlign w:val="center"/>
                </w:tcPr>
                <w:p w14:paraId="5B4CEA60">
                  <w:pPr>
                    <w:adjustRightInd w:val="0"/>
                    <w:snapToGrid w:val="0"/>
                    <w:spacing w:line="240" w:lineRule="auto"/>
                    <w:ind w:firstLine="0" w:firstLineChars="0"/>
                    <w:jc w:val="center"/>
                    <w:textAlignment w:val="auto"/>
                    <w:rPr>
                      <w:rFonts w:cs="Times New Roman"/>
                      <w:b/>
                      <w:bCs/>
                      <w:sz w:val="21"/>
                      <w:szCs w:val="24"/>
                    </w:rPr>
                  </w:pPr>
                  <w:r>
                    <w:rPr>
                      <w:rFonts w:cs="Times New Roman"/>
                      <w:b/>
                      <w:bCs/>
                      <w:sz w:val="21"/>
                      <w:szCs w:val="24"/>
                    </w:rPr>
                    <w:t>与《禁止进口固体废物目录》符合性分析</w:t>
                  </w:r>
                </w:p>
              </w:tc>
            </w:tr>
            <w:tr w14:paraId="0D3D24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Align w:val="center"/>
                </w:tcPr>
                <w:p w14:paraId="100EC225">
                  <w:pPr>
                    <w:pStyle w:val="32"/>
                    <w:rPr>
                      <w:rFonts w:cs="Times New Roman"/>
                      <w:szCs w:val="24"/>
                    </w:rPr>
                  </w:pPr>
                  <w:r>
                    <w:rPr>
                      <w:rFonts w:hint="eastAsia" w:cs="Times New Roman"/>
                      <w:szCs w:val="24"/>
                    </w:rPr>
                    <w:t>禁止进口固废种类</w:t>
                  </w:r>
                </w:p>
              </w:tc>
              <w:tc>
                <w:tcPr>
                  <w:tcW w:w="2312" w:type="pct"/>
                  <w:vAlign w:val="center"/>
                </w:tcPr>
                <w:p w14:paraId="213AAECE">
                  <w:pPr>
                    <w:pStyle w:val="32"/>
                    <w:rPr>
                      <w:rFonts w:cs="Times New Roman"/>
                      <w:szCs w:val="24"/>
                    </w:rPr>
                  </w:pPr>
                  <w:r>
                    <w:rPr>
                      <w:rFonts w:hint="eastAsia" w:cs="Times New Roman"/>
                      <w:szCs w:val="24"/>
                    </w:rPr>
                    <w:t>乙烯聚合物的废碎料及下脚料、苯乙烯聚合物的废碎料及下脚料、氯乙烯聚合物的废碎料及下脚料、聚对苯二甲酸乙二酯废碎料及下脚料、其他塑料的废碎料及下脚料（不包括废光盘破碎料下脚料、废PET饮料瓶砖下脚料、不包括铝塑复合膜下脚料）</w:t>
                  </w:r>
                </w:p>
              </w:tc>
              <w:tc>
                <w:tcPr>
                  <w:tcW w:w="1745" w:type="pct"/>
                  <w:vAlign w:val="center"/>
                </w:tcPr>
                <w:p w14:paraId="6350D280">
                  <w:pPr>
                    <w:pStyle w:val="32"/>
                    <w:rPr>
                      <w:rFonts w:cs="Times New Roman"/>
                      <w:szCs w:val="24"/>
                    </w:rPr>
                  </w:pPr>
                  <w:r>
                    <w:rPr>
                      <w:rFonts w:hint="eastAsia" w:cs="Times New Roman"/>
                      <w:szCs w:val="24"/>
                    </w:rPr>
                    <w:t>本项目原料来源于上游金属分选厂提供的废塑料混合料（含少量金属残留），不涉及进口废塑料</w:t>
                  </w:r>
                </w:p>
              </w:tc>
              <w:tc>
                <w:tcPr>
                  <w:tcW w:w="633" w:type="pct"/>
                  <w:vAlign w:val="center"/>
                </w:tcPr>
                <w:p w14:paraId="2EA86526">
                  <w:pPr>
                    <w:pStyle w:val="32"/>
                    <w:rPr>
                      <w:rFonts w:cs="Times New Roman"/>
                      <w:szCs w:val="24"/>
                    </w:rPr>
                  </w:pPr>
                  <w:r>
                    <w:rPr>
                      <w:rFonts w:hint="eastAsia" w:cs="Times New Roman"/>
                      <w:szCs w:val="24"/>
                    </w:rPr>
                    <w:t>符合</w:t>
                  </w:r>
                </w:p>
              </w:tc>
            </w:tr>
            <w:tr w14:paraId="6D5272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8" w:hRule="atLeast"/>
                <w:jc w:val="center"/>
              </w:trPr>
              <w:tc>
                <w:tcPr>
                  <w:tcW w:w="5000" w:type="pct"/>
                  <w:gridSpan w:val="4"/>
                  <w:vAlign w:val="center"/>
                </w:tcPr>
                <w:p w14:paraId="7DBA40BC">
                  <w:pPr>
                    <w:adjustRightInd w:val="0"/>
                    <w:snapToGrid w:val="0"/>
                    <w:spacing w:line="240" w:lineRule="auto"/>
                    <w:ind w:firstLine="0" w:firstLineChars="0"/>
                    <w:jc w:val="center"/>
                    <w:textAlignment w:val="auto"/>
                    <w:rPr>
                      <w:rFonts w:cs="Times New Roman"/>
                      <w:b/>
                      <w:bCs/>
                      <w:sz w:val="21"/>
                      <w:szCs w:val="24"/>
                    </w:rPr>
                  </w:pPr>
                  <w:r>
                    <w:rPr>
                      <w:rFonts w:hint="eastAsia" w:cs="Times New Roman"/>
                      <w:b/>
                      <w:bCs/>
                      <w:sz w:val="21"/>
                      <w:szCs w:val="24"/>
                    </w:rPr>
                    <w:t>与《废塑料污染控制技术规范》（HJ364-2022）相符性分析</w:t>
                  </w:r>
                </w:p>
              </w:tc>
            </w:tr>
            <w:tr w14:paraId="61A16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vAlign w:val="center"/>
                </w:tcPr>
                <w:p w14:paraId="0EF3B26C">
                  <w:pPr>
                    <w:pStyle w:val="32"/>
                    <w:rPr>
                      <w:rFonts w:cs="Times New Roman"/>
                      <w:szCs w:val="24"/>
                    </w:rPr>
                  </w:pPr>
                  <w:r>
                    <w:rPr>
                      <w:rFonts w:hint="eastAsia" w:cs="Times New Roman"/>
                      <w:szCs w:val="24"/>
                    </w:rPr>
                    <w:t>要求</w:t>
                  </w:r>
                </w:p>
              </w:tc>
              <w:tc>
                <w:tcPr>
                  <w:tcW w:w="2312" w:type="pct"/>
                </w:tcPr>
                <w:p w14:paraId="36108D03">
                  <w:pPr>
                    <w:pStyle w:val="32"/>
                    <w:jc w:val="both"/>
                    <w:rPr>
                      <w:rFonts w:cs="Times New Roman"/>
                      <w:szCs w:val="24"/>
                    </w:rPr>
                  </w:pPr>
                  <w:r>
                    <w:rPr>
                      <w:rFonts w:hint="eastAsia" w:cs="Times New Roman"/>
                      <w:szCs w:val="24"/>
                    </w:rPr>
                    <w:t>应根据废塑料的来源、特性、污染情况以及后续再生利用或处置的要求，选择合理的预处理方式</w:t>
                  </w:r>
                </w:p>
              </w:tc>
              <w:tc>
                <w:tcPr>
                  <w:tcW w:w="1745" w:type="pct"/>
                  <w:vAlign w:val="center"/>
                </w:tcPr>
                <w:p w14:paraId="33FE7346">
                  <w:pPr>
                    <w:pStyle w:val="32"/>
                    <w:jc w:val="both"/>
                    <w:rPr>
                      <w:rFonts w:cs="Times New Roman"/>
                      <w:szCs w:val="24"/>
                    </w:rPr>
                  </w:pPr>
                  <w:r>
                    <w:rPr>
                      <w:rFonts w:hint="eastAsia"/>
                      <w:color w:val="000000" w:themeColor="text1"/>
                      <w14:textFill>
                        <w14:solidFill>
                          <w14:schemeClr w14:val="tx1"/>
                        </w14:solidFill>
                      </w14:textFill>
                    </w:rPr>
                    <w:t>本项目原料来源于上游金属分选厂提供的废塑料混合料（含少量金属残留）</w:t>
                  </w:r>
                  <w:r>
                    <w:rPr>
                      <w:rFonts w:hint="eastAsia" w:cs="Times New Roman"/>
                      <w:szCs w:val="24"/>
                    </w:rPr>
                    <w:t>，主要通过清洗、破碎、脱水等工序进行预处理</w:t>
                  </w:r>
                </w:p>
              </w:tc>
              <w:tc>
                <w:tcPr>
                  <w:tcW w:w="633" w:type="pct"/>
                  <w:vAlign w:val="center"/>
                </w:tcPr>
                <w:p w14:paraId="43990D56">
                  <w:pPr>
                    <w:pStyle w:val="32"/>
                    <w:rPr>
                      <w:rFonts w:cs="Times New Roman"/>
                      <w:szCs w:val="24"/>
                    </w:rPr>
                  </w:pPr>
                  <w:r>
                    <w:rPr>
                      <w:rFonts w:hint="eastAsia" w:cs="Times New Roman"/>
                      <w:szCs w:val="24"/>
                    </w:rPr>
                    <w:t>符合</w:t>
                  </w:r>
                </w:p>
              </w:tc>
            </w:tr>
            <w:tr w14:paraId="3BE66A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74" w:hRule="atLeast"/>
                <w:jc w:val="center"/>
              </w:trPr>
              <w:tc>
                <w:tcPr>
                  <w:tcW w:w="308" w:type="pct"/>
                  <w:vMerge w:val="continue"/>
                  <w:vAlign w:val="center"/>
                </w:tcPr>
                <w:p w14:paraId="08B7C6C3">
                  <w:pPr>
                    <w:pStyle w:val="32"/>
                    <w:rPr>
                      <w:rFonts w:cs="Times New Roman"/>
                      <w:szCs w:val="24"/>
                    </w:rPr>
                  </w:pPr>
                </w:p>
              </w:tc>
              <w:tc>
                <w:tcPr>
                  <w:tcW w:w="2312" w:type="pct"/>
                </w:tcPr>
                <w:p w14:paraId="0D50ED20">
                  <w:pPr>
                    <w:pStyle w:val="32"/>
                    <w:jc w:val="both"/>
                    <w:rPr>
                      <w:rFonts w:cs="Times New Roman"/>
                      <w:szCs w:val="24"/>
                    </w:rPr>
                  </w:pPr>
                  <w:r>
                    <w:rPr>
                      <w:rFonts w:hint="eastAsia" w:cs="Times New Roman"/>
                      <w:szCs w:val="24"/>
                    </w:rPr>
                    <w:t>废塑料的预处理应控制二次污染。大气污染物排放应符合GB31572或GB16297、GB37822等标准的规定。恶臭污染物排放应符合GB14554的规定。废水控制应根据出水受纳水体的功能要求或纳管要求，执行国家和地方相关排放标准，重点控制的污染物指标包括悬浮物、pH值、色度、石油类和化学需氧量等。噪声排放应符合GB12348的规定</w:t>
                  </w:r>
                </w:p>
              </w:tc>
              <w:tc>
                <w:tcPr>
                  <w:tcW w:w="1745" w:type="pct"/>
                  <w:vAlign w:val="center"/>
                </w:tcPr>
                <w:p w14:paraId="74A5A6A2">
                  <w:pPr>
                    <w:pStyle w:val="32"/>
                    <w:jc w:val="both"/>
                    <w:rPr>
                      <w:rFonts w:cs="Times New Roman"/>
                      <w:szCs w:val="24"/>
                    </w:rPr>
                  </w:pPr>
                  <w:r>
                    <w:rPr>
                      <w:rFonts w:hint="eastAsia" w:cs="Times New Roman"/>
                      <w:szCs w:val="24"/>
                    </w:rPr>
                    <w:t>本项目废塑料混合料采用湿法破碎，产生少量粉尘，经集气罩+布袋除尘器+15m高排气筒排放，满足</w:t>
                  </w:r>
                  <w:r>
                    <w:rPr>
                      <w:rFonts w:hint="eastAsia"/>
                      <w:color w:val="000000" w:themeColor="text1"/>
                      <w14:textFill>
                        <w14:solidFill>
                          <w14:schemeClr w14:val="tx1"/>
                        </w14:solidFill>
                      </w14:textFill>
                    </w:rPr>
                    <w:t>《大气污染物综合排放标准》（GB16297-1996）表2中的</w:t>
                  </w:r>
                  <w:r>
                    <w:rPr>
                      <w:rFonts w:hint="eastAsia" w:ascii="SourceHanSansCN-Regular" w:hAnsi="SourceHanSansCN-Regular"/>
                      <w:color w:val="000000"/>
                    </w:rPr>
                    <w:t>排放</w:t>
                  </w:r>
                  <w:r>
                    <w:rPr>
                      <w:rFonts w:hint="eastAsia"/>
                      <w:color w:val="000000" w:themeColor="text1"/>
                      <w14:textFill>
                        <w14:solidFill>
                          <w14:schemeClr w14:val="tx1"/>
                        </w14:solidFill>
                      </w14:textFill>
                    </w:rPr>
                    <w:t>要求</w:t>
                  </w:r>
                  <w:r>
                    <w:rPr>
                      <w:rFonts w:hint="eastAsia" w:cs="Times New Roman"/>
                      <w:szCs w:val="24"/>
                    </w:rPr>
                    <w:t>。恶臭满足《恶臭污染物排放标准》（GB14554-93）表1恶臭污染物厂界标准值新扩改建项目二级标准。本项目生产废水经三级沉淀池处理后回用，不外排。产噪设备采取低噪声设备、基础减振、厂房隔声措施后，厂界噪声满足《工业企业厂界环境噪声排放标准》（GB12348-2008）标准要求</w:t>
                  </w:r>
                </w:p>
              </w:tc>
              <w:tc>
                <w:tcPr>
                  <w:tcW w:w="633" w:type="pct"/>
                  <w:vAlign w:val="center"/>
                </w:tcPr>
                <w:p w14:paraId="11F69608">
                  <w:pPr>
                    <w:pStyle w:val="32"/>
                    <w:rPr>
                      <w:rFonts w:cs="Times New Roman"/>
                      <w:szCs w:val="24"/>
                    </w:rPr>
                  </w:pPr>
                  <w:r>
                    <w:rPr>
                      <w:rFonts w:hint="eastAsia" w:cs="Times New Roman"/>
                      <w:szCs w:val="24"/>
                    </w:rPr>
                    <w:t>符合</w:t>
                  </w:r>
                </w:p>
              </w:tc>
            </w:tr>
            <w:tr w14:paraId="1E56CF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11804B73">
                  <w:pPr>
                    <w:pStyle w:val="32"/>
                    <w:rPr>
                      <w:rFonts w:cs="Times New Roman"/>
                      <w:szCs w:val="24"/>
                    </w:rPr>
                  </w:pPr>
                </w:p>
              </w:tc>
              <w:tc>
                <w:tcPr>
                  <w:tcW w:w="2312" w:type="pct"/>
                </w:tcPr>
                <w:p w14:paraId="01DB2783">
                  <w:pPr>
                    <w:pStyle w:val="32"/>
                    <w:jc w:val="both"/>
                    <w:rPr>
                      <w:rFonts w:cs="Times New Roman"/>
                      <w:szCs w:val="24"/>
                    </w:rPr>
                  </w:pPr>
                  <w:r>
                    <w:rPr>
                      <w:rFonts w:hint="eastAsia" w:cs="Times New Roman"/>
                      <w:szCs w:val="24"/>
                    </w:rPr>
                    <w:t>废塑料的产生、收集、贮存、预处理和再生利用企业内应单独划分贮存场地，不同种类的废塑料宜分开贮存，贮存场地应具有防雨、防扬散、防渗漏等措施。</w:t>
                  </w:r>
                </w:p>
              </w:tc>
              <w:tc>
                <w:tcPr>
                  <w:tcW w:w="1745" w:type="pct"/>
                  <w:vAlign w:val="center"/>
                </w:tcPr>
                <w:p w14:paraId="4F8790EC">
                  <w:pPr>
                    <w:pStyle w:val="32"/>
                    <w:jc w:val="both"/>
                    <w:rPr>
                      <w:rFonts w:cs="Times New Roman"/>
                      <w:szCs w:val="24"/>
                    </w:rPr>
                  </w:pPr>
                  <w:r>
                    <w:rPr>
                      <w:rFonts w:ascii="Segoe UI" w:hAnsi="Segoe UI" w:cs="Segoe UI"/>
                      <w:color w:val="0F1115"/>
                      <w:shd w:val="clear" w:color="auto" w:fill="FFFFFF"/>
                    </w:rPr>
                    <w:t>本项目原料在堆场内采用篷布全覆盖，以有效防风抑尘；产品采用集装袋包装，袋口密封，整齐堆放于指定区域，防止二次污染</w:t>
                  </w:r>
                  <w:r>
                    <w:rPr>
                      <w:rFonts w:hint="eastAsia"/>
                      <w:szCs w:val="24"/>
                    </w:rPr>
                    <w:t>。对于本企业无法资源化利用的废塑料及其他不可利用固体废物，均集中暂存在封闭暂存间内，做到防雨、防渗、防流失</w:t>
                  </w:r>
                </w:p>
              </w:tc>
              <w:tc>
                <w:tcPr>
                  <w:tcW w:w="633" w:type="pct"/>
                  <w:vAlign w:val="center"/>
                </w:tcPr>
                <w:p w14:paraId="1ECFA0C1">
                  <w:pPr>
                    <w:pStyle w:val="32"/>
                    <w:rPr>
                      <w:rFonts w:cs="Times New Roman"/>
                      <w:szCs w:val="24"/>
                    </w:rPr>
                  </w:pPr>
                  <w:r>
                    <w:rPr>
                      <w:rFonts w:hint="eastAsia" w:cs="Times New Roman"/>
                      <w:szCs w:val="24"/>
                    </w:rPr>
                    <w:t>符合</w:t>
                  </w:r>
                </w:p>
              </w:tc>
            </w:tr>
            <w:tr w14:paraId="3D7C2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0367F9DB">
                  <w:pPr>
                    <w:pStyle w:val="32"/>
                    <w:rPr>
                      <w:rFonts w:cs="Times New Roman"/>
                      <w:szCs w:val="24"/>
                    </w:rPr>
                  </w:pPr>
                </w:p>
              </w:tc>
              <w:tc>
                <w:tcPr>
                  <w:tcW w:w="2312" w:type="pct"/>
                </w:tcPr>
                <w:p w14:paraId="46E8FA09">
                  <w:pPr>
                    <w:pStyle w:val="32"/>
                    <w:rPr>
                      <w:rFonts w:cs="Times New Roman"/>
                      <w:szCs w:val="24"/>
                    </w:rPr>
                  </w:pPr>
                  <w:r>
                    <w:rPr>
                      <w:rFonts w:hint="eastAsia" w:cs="Times New Roman"/>
                      <w:szCs w:val="24"/>
                    </w:rPr>
                    <w:t>含卤素废塑料的预处理与再生利用，宜与其他塑料分开进行。</w:t>
                  </w:r>
                </w:p>
              </w:tc>
              <w:tc>
                <w:tcPr>
                  <w:tcW w:w="1745" w:type="pct"/>
                  <w:vAlign w:val="center"/>
                </w:tcPr>
                <w:p w14:paraId="72CCFCF0">
                  <w:pPr>
                    <w:pStyle w:val="32"/>
                    <w:rPr>
                      <w:rFonts w:cs="Times New Roman"/>
                      <w:szCs w:val="24"/>
                    </w:rPr>
                  </w:pPr>
                  <w:r>
                    <w:rPr>
                      <w:rFonts w:hint="eastAsia" w:cs="Times New Roman"/>
                      <w:szCs w:val="24"/>
                    </w:rPr>
                    <w:t>本项目不含卤素废塑料</w:t>
                  </w:r>
                </w:p>
              </w:tc>
              <w:tc>
                <w:tcPr>
                  <w:tcW w:w="633" w:type="pct"/>
                  <w:vAlign w:val="center"/>
                </w:tcPr>
                <w:p w14:paraId="3D1082F1">
                  <w:pPr>
                    <w:pStyle w:val="32"/>
                    <w:rPr>
                      <w:rFonts w:cs="Times New Roman"/>
                      <w:szCs w:val="24"/>
                    </w:rPr>
                  </w:pPr>
                  <w:r>
                    <w:rPr>
                      <w:rFonts w:hint="eastAsia" w:cs="Times New Roman"/>
                      <w:szCs w:val="24"/>
                    </w:rPr>
                    <w:t>符合</w:t>
                  </w:r>
                </w:p>
              </w:tc>
            </w:tr>
            <w:tr w14:paraId="660EDF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90" w:hRule="atLeast"/>
                <w:jc w:val="center"/>
              </w:trPr>
              <w:tc>
                <w:tcPr>
                  <w:tcW w:w="308" w:type="pct"/>
                  <w:vMerge w:val="continue"/>
                  <w:vAlign w:val="center"/>
                </w:tcPr>
                <w:p w14:paraId="5EC4EEEA">
                  <w:pPr>
                    <w:pStyle w:val="32"/>
                    <w:rPr>
                      <w:rFonts w:cs="Times New Roman"/>
                      <w:szCs w:val="24"/>
                    </w:rPr>
                  </w:pPr>
                </w:p>
              </w:tc>
              <w:tc>
                <w:tcPr>
                  <w:tcW w:w="2312" w:type="pct"/>
                </w:tcPr>
                <w:p w14:paraId="440E753A">
                  <w:pPr>
                    <w:pStyle w:val="32"/>
                    <w:rPr>
                      <w:rFonts w:cs="Times New Roman"/>
                      <w:szCs w:val="24"/>
                    </w:rPr>
                  </w:pPr>
                  <w:r>
                    <w:rPr>
                      <w:rFonts w:hint="eastAsia" w:cs="Times New Roman"/>
                      <w:szCs w:val="24"/>
                    </w:rPr>
                    <w:t>应采用预分选工艺，将废塑料与其他废物分开，提高下游自动化分选的效率。</w:t>
                  </w:r>
                </w:p>
              </w:tc>
              <w:tc>
                <w:tcPr>
                  <w:tcW w:w="1745" w:type="pct"/>
                  <w:vAlign w:val="center"/>
                </w:tcPr>
                <w:p w14:paraId="79B41353">
                  <w:pPr>
                    <w:pStyle w:val="32"/>
                    <w:jc w:val="both"/>
                    <w:rPr>
                      <w:rFonts w:cs="Times New Roman"/>
                      <w:szCs w:val="24"/>
                    </w:rPr>
                  </w:pPr>
                  <w:r>
                    <w:rPr>
                      <w:rFonts w:ascii="Segoe UI" w:hAnsi="Segoe UI" w:cs="Segoe UI"/>
                      <w:color w:val="0F1115"/>
                      <w:shd w:val="clear" w:color="auto" w:fill="FFFFFF"/>
                    </w:rPr>
                    <w:t>本项目以废旧塑料混合料（含少量金属）为原料，经破碎、清洗、分选等工序，分别回收塑料碎片及金属颗粒，实现资源化综合利用与外售</w:t>
                  </w:r>
                </w:p>
              </w:tc>
              <w:tc>
                <w:tcPr>
                  <w:tcW w:w="633" w:type="pct"/>
                  <w:vAlign w:val="center"/>
                </w:tcPr>
                <w:p w14:paraId="0C564E84">
                  <w:pPr>
                    <w:pStyle w:val="32"/>
                    <w:rPr>
                      <w:rFonts w:cs="Times New Roman"/>
                      <w:szCs w:val="24"/>
                    </w:rPr>
                  </w:pPr>
                  <w:r>
                    <w:rPr>
                      <w:rFonts w:hint="eastAsia" w:cs="Times New Roman"/>
                      <w:szCs w:val="24"/>
                    </w:rPr>
                    <w:t>符合</w:t>
                  </w:r>
                </w:p>
              </w:tc>
            </w:tr>
            <w:tr w14:paraId="7A5830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705" w:hRule="atLeast"/>
                <w:jc w:val="center"/>
              </w:trPr>
              <w:tc>
                <w:tcPr>
                  <w:tcW w:w="308" w:type="pct"/>
                  <w:vMerge w:val="continue"/>
                  <w:vAlign w:val="center"/>
                </w:tcPr>
                <w:p w14:paraId="63906318">
                  <w:pPr>
                    <w:pStyle w:val="32"/>
                    <w:rPr>
                      <w:rFonts w:cs="Times New Roman"/>
                      <w:szCs w:val="24"/>
                    </w:rPr>
                  </w:pPr>
                </w:p>
              </w:tc>
              <w:tc>
                <w:tcPr>
                  <w:tcW w:w="2312" w:type="pct"/>
                </w:tcPr>
                <w:p w14:paraId="35367A58">
                  <w:pPr>
                    <w:pStyle w:val="32"/>
                    <w:rPr>
                      <w:rFonts w:cs="Times New Roman"/>
                      <w:szCs w:val="24"/>
                    </w:rPr>
                  </w:pPr>
                  <w:r>
                    <w:rPr>
                      <w:rFonts w:hint="eastAsia" w:cs="Times New Roman"/>
                      <w:szCs w:val="24"/>
                    </w:rPr>
                    <w:t>废塑料的破碎方法可分为干法破碎和湿法破碎。使用干法破碎时，应配备相应的防尘、防噪声设备。使用湿法破碎时，应有配套的污水收集和处理设施。</w:t>
                  </w:r>
                </w:p>
              </w:tc>
              <w:tc>
                <w:tcPr>
                  <w:tcW w:w="1745" w:type="pct"/>
                  <w:vAlign w:val="center"/>
                </w:tcPr>
                <w:p w14:paraId="060047A8">
                  <w:pPr>
                    <w:pStyle w:val="32"/>
                    <w:jc w:val="both"/>
                    <w:rPr>
                      <w:rFonts w:cs="Times New Roman"/>
                      <w:szCs w:val="24"/>
                    </w:rPr>
                  </w:pPr>
                  <w:r>
                    <w:rPr>
                      <w:rFonts w:hint="eastAsia" w:cs="Times New Roman"/>
                      <w:szCs w:val="24"/>
                    </w:rPr>
                    <w:t>本项目采用湿法破碎，产生少量粉尘，经集气罩+布袋除尘器+15m高排气筒排放</w:t>
                  </w:r>
                  <w:r>
                    <w:rPr>
                      <w:rFonts w:cs="Times New Roman"/>
                      <w:szCs w:val="24"/>
                    </w:rPr>
                    <w:t>，并配套建设了</w:t>
                  </w:r>
                  <w:r>
                    <w:rPr>
                      <w:rFonts w:hint="eastAsia" w:cs="Times New Roman"/>
                      <w:szCs w:val="24"/>
                    </w:rPr>
                    <w:t>三级</w:t>
                  </w:r>
                  <w:r>
                    <w:rPr>
                      <w:rFonts w:cs="Times New Roman"/>
                      <w:szCs w:val="24"/>
                    </w:rPr>
                    <w:t>沉淀池，用于含泥废水的固液分离，实现水资源的循环利用和达标排放</w:t>
                  </w:r>
                </w:p>
              </w:tc>
              <w:tc>
                <w:tcPr>
                  <w:tcW w:w="633" w:type="pct"/>
                  <w:vAlign w:val="center"/>
                </w:tcPr>
                <w:p w14:paraId="53C9A8A9">
                  <w:pPr>
                    <w:pStyle w:val="32"/>
                    <w:rPr>
                      <w:rFonts w:cs="Times New Roman"/>
                      <w:szCs w:val="24"/>
                    </w:rPr>
                  </w:pPr>
                  <w:r>
                    <w:rPr>
                      <w:rFonts w:hint="eastAsia" w:cs="Times New Roman"/>
                      <w:szCs w:val="24"/>
                    </w:rPr>
                    <w:t>符合</w:t>
                  </w:r>
                </w:p>
              </w:tc>
            </w:tr>
            <w:tr w14:paraId="26A5F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2455781A">
                  <w:pPr>
                    <w:pStyle w:val="32"/>
                    <w:rPr>
                      <w:rFonts w:cs="Times New Roman"/>
                      <w:szCs w:val="24"/>
                    </w:rPr>
                  </w:pPr>
                </w:p>
              </w:tc>
              <w:tc>
                <w:tcPr>
                  <w:tcW w:w="2312" w:type="pct"/>
                </w:tcPr>
                <w:p w14:paraId="7DED3D81">
                  <w:pPr>
                    <w:pStyle w:val="32"/>
                    <w:rPr>
                      <w:rFonts w:cs="Times New Roman"/>
                      <w:szCs w:val="24"/>
                    </w:rPr>
                  </w:pPr>
                  <w:r>
                    <w:rPr>
                      <w:rFonts w:hint="eastAsia" w:cs="Times New Roman"/>
                      <w:szCs w:val="24"/>
                    </w:rPr>
                    <w:t>宜采用节水的自动化清洗技术，宜采用无磷清洗剂或其他绿色清洗剂，不得使用有毒有害的清洗剂。</w:t>
                  </w:r>
                </w:p>
              </w:tc>
              <w:tc>
                <w:tcPr>
                  <w:tcW w:w="1745" w:type="pct"/>
                  <w:vAlign w:val="center"/>
                </w:tcPr>
                <w:p w14:paraId="115D89AF">
                  <w:pPr>
                    <w:pStyle w:val="32"/>
                    <w:jc w:val="both"/>
                    <w:rPr>
                      <w:rFonts w:cs="Times New Roman"/>
                      <w:szCs w:val="24"/>
                    </w:rPr>
                  </w:pPr>
                  <w:r>
                    <w:rPr>
                      <w:rFonts w:ascii="Segoe UI" w:hAnsi="Segoe UI" w:cs="Segoe UI"/>
                      <w:color w:val="0F1115"/>
                      <w:shd w:val="clear" w:color="auto" w:fill="FFFFFF"/>
                    </w:rPr>
                    <w:t>本项目回收原料采用清水漂洗分离槽进行物理清洗，利用密度差异分离塑料与金属等杂质</w:t>
                  </w:r>
                </w:p>
              </w:tc>
              <w:tc>
                <w:tcPr>
                  <w:tcW w:w="633" w:type="pct"/>
                  <w:vAlign w:val="center"/>
                </w:tcPr>
                <w:p w14:paraId="4C77AFF4">
                  <w:pPr>
                    <w:pStyle w:val="32"/>
                    <w:rPr>
                      <w:rFonts w:cs="Times New Roman"/>
                      <w:szCs w:val="24"/>
                    </w:rPr>
                  </w:pPr>
                  <w:r>
                    <w:rPr>
                      <w:rFonts w:hint="eastAsia" w:cs="Times New Roman"/>
                      <w:szCs w:val="24"/>
                    </w:rPr>
                    <w:t>符合</w:t>
                  </w:r>
                </w:p>
              </w:tc>
            </w:tr>
            <w:tr w14:paraId="4AA9F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47425D24">
                  <w:pPr>
                    <w:pStyle w:val="32"/>
                    <w:rPr>
                      <w:rFonts w:cs="Times New Roman"/>
                      <w:szCs w:val="24"/>
                    </w:rPr>
                  </w:pPr>
                </w:p>
              </w:tc>
              <w:tc>
                <w:tcPr>
                  <w:tcW w:w="2312" w:type="pct"/>
                </w:tcPr>
                <w:p w14:paraId="57FC182D">
                  <w:pPr>
                    <w:pStyle w:val="32"/>
                    <w:rPr>
                      <w:rFonts w:cs="Times New Roman"/>
                      <w:szCs w:val="24"/>
                    </w:rPr>
                  </w:pPr>
                  <w:r>
                    <w:rPr>
                      <w:rFonts w:hint="eastAsia" w:cs="Times New Roman"/>
                      <w:szCs w:val="24"/>
                    </w:rPr>
                    <w:t>应根据清洗废水中污染物的种类和浓度，配备相应的废水收集和处理设施，清洗废水处理后宜循环使用。</w:t>
                  </w:r>
                </w:p>
              </w:tc>
              <w:tc>
                <w:tcPr>
                  <w:tcW w:w="1745" w:type="pct"/>
                  <w:vAlign w:val="center"/>
                </w:tcPr>
                <w:p w14:paraId="7D3857FA">
                  <w:pPr>
                    <w:pStyle w:val="32"/>
                    <w:rPr>
                      <w:rFonts w:cs="Times New Roman"/>
                      <w:szCs w:val="24"/>
                    </w:rPr>
                  </w:pPr>
                  <w:r>
                    <w:rPr>
                      <w:rFonts w:hint="eastAsia" w:cs="Times New Roman"/>
                      <w:szCs w:val="24"/>
                    </w:rPr>
                    <w:t>本项目产生的生产废水经沉淀处理后全部循环利用，不外排</w:t>
                  </w:r>
                </w:p>
              </w:tc>
              <w:tc>
                <w:tcPr>
                  <w:tcW w:w="633" w:type="pct"/>
                  <w:vAlign w:val="center"/>
                </w:tcPr>
                <w:p w14:paraId="759405A8">
                  <w:pPr>
                    <w:pStyle w:val="32"/>
                    <w:rPr>
                      <w:rFonts w:cs="Times New Roman"/>
                      <w:szCs w:val="24"/>
                    </w:rPr>
                  </w:pPr>
                  <w:r>
                    <w:rPr>
                      <w:rFonts w:hint="eastAsia" w:cs="Times New Roman"/>
                      <w:szCs w:val="24"/>
                    </w:rPr>
                    <w:t>符合</w:t>
                  </w:r>
                </w:p>
              </w:tc>
            </w:tr>
            <w:tr w14:paraId="2F784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80" w:hRule="atLeast"/>
                <w:jc w:val="center"/>
              </w:trPr>
              <w:tc>
                <w:tcPr>
                  <w:tcW w:w="5000" w:type="pct"/>
                  <w:gridSpan w:val="4"/>
                  <w:vAlign w:val="center"/>
                </w:tcPr>
                <w:p w14:paraId="7582A170">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sz w:val="21"/>
                      <w:szCs w:val="24"/>
                    </w:rPr>
                    <w:t>与《废塑料回收技术规范》（GB/T</w:t>
                  </w:r>
                  <w:r>
                    <w:rPr>
                      <w:rFonts w:hint="eastAsia" w:cs="Times New Roman"/>
                      <w:b/>
                      <w:bCs/>
                      <w:sz w:val="21"/>
                      <w:szCs w:val="24"/>
                    </w:rPr>
                    <w:t>3</w:t>
                  </w:r>
                  <w:r>
                    <w:rPr>
                      <w:rFonts w:cs="Times New Roman"/>
                      <w:b/>
                      <w:bCs/>
                      <w:sz w:val="21"/>
                      <w:szCs w:val="24"/>
                    </w:rPr>
                    <w:t>9171-2020）符合性分析</w:t>
                  </w:r>
                </w:p>
              </w:tc>
            </w:tr>
            <w:tr w14:paraId="380AD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Align w:val="center"/>
                </w:tcPr>
                <w:p w14:paraId="346BAA29">
                  <w:pPr>
                    <w:pStyle w:val="32"/>
                    <w:rPr>
                      <w:rFonts w:cs="Times New Roman"/>
                      <w:szCs w:val="24"/>
                    </w:rPr>
                  </w:pPr>
                  <w:r>
                    <w:rPr>
                      <w:rFonts w:hint="eastAsia" w:cs="Times New Roman"/>
                      <w:szCs w:val="24"/>
                    </w:rPr>
                    <w:t>要求</w:t>
                  </w:r>
                </w:p>
              </w:tc>
              <w:tc>
                <w:tcPr>
                  <w:tcW w:w="2312" w:type="pct"/>
                </w:tcPr>
                <w:p w14:paraId="216BABAE">
                  <w:pPr>
                    <w:pStyle w:val="32"/>
                    <w:rPr>
                      <w:rFonts w:cs="Times New Roman"/>
                      <w:szCs w:val="24"/>
                    </w:rPr>
                  </w:pPr>
                  <w:r>
                    <w:rPr>
                      <w:rFonts w:hint="eastAsia" w:cs="Times New Roman"/>
                      <w:szCs w:val="24"/>
                    </w:rPr>
                    <w:t>废塑料收集过程中不得就地清洗；废塑料的清洗场地应做防水、防渗漏处理，有特殊要求的地面应做防腐蚀处理。废塑料的清洗方法可分为物理清洗和化学清洗，应根据废塑料来源和污染情况选择清洗工艺；宜采用高效节水的机械清洗技术和无磷清洗剂，不得使用有毒有害的化学清洗剂</w:t>
                  </w:r>
                </w:p>
              </w:tc>
              <w:tc>
                <w:tcPr>
                  <w:tcW w:w="1745" w:type="pct"/>
                  <w:vAlign w:val="center"/>
                </w:tcPr>
                <w:p w14:paraId="3AA6024F">
                  <w:pPr>
                    <w:pStyle w:val="32"/>
                    <w:jc w:val="both"/>
                    <w:rPr>
                      <w:rFonts w:cs="Times New Roman"/>
                      <w:szCs w:val="24"/>
                    </w:rPr>
                  </w:pPr>
                  <w:r>
                    <w:rPr>
                      <w:rFonts w:ascii="Segoe UI" w:hAnsi="Segoe UI" w:cs="Segoe UI"/>
                      <w:color w:val="0F1115"/>
                      <w:shd w:val="clear" w:color="auto" w:fill="FFFFFF"/>
                    </w:rPr>
                    <w:t>本项目回收原料采用清水漂洗分离槽进行物理清洗，利用密度差异分离塑料与金属等杂质</w:t>
                  </w:r>
                  <w:r>
                    <w:rPr>
                      <w:rFonts w:hint="eastAsia" w:cs="Times New Roman"/>
                      <w:szCs w:val="24"/>
                    </w:rPr>
                    <w:t>，生产废水经沉淀处理后全部循环利用，不外排</w:t>
                  </w:r>
                </w:p>
              </w:tc>
              <w:tc>
                <w:tcPr>
                  <w:tcW w:w="633" w:type="pct"/>
                  <w:vAlign w:val="center"/>
                </w:tcPr>
                <w:p w14:paraId="0DB37136">
                  <w:pPr>
                    <w:pStyle w:val="32"/>
                    <w:rPr>
                      <w:rFonts w:cs="Times New Roman"/>
                      <w:szCs w:val="24"/>
                    </w:rPr>
                  </w:pPr>
                  <w:r>
                    <w:rPr>
                      <w:rFonts w:hint="eastAsia" w:cs="Times New Roman"/>
                      <w:szCs w:val="24"/>
                    </w:rPr>
                    <w:t>符合</w:t>
                  </w:r>
                </w:p>
              </w:tc>
            </w:tr>
            <w:tr w14:paraId="33300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96" w:hRule="atLeast"/>
                <w:jc w:val="center"/>
              </w:trPr>
              <w:tc>
                <w:tcPr>
                  <w:tcW w:w="5000" w:type="pct"/>
                  <w:gridSpan w:val="4"/>
                  <w:vAlign w:val="center"/>
                </w:tcPr>
                <w:p w14:paraId="12CBE57F">
                  <w:pPr>
                    <w:pStyle w:val="32"/>
                    <w:rPr>
                      <w:rFonts w:cs="Times New Roman"/>
                      <w:b/>
                      <w:bCs/>
                      <w:szCs w:val="24"/>
                    </w:rPr>
                  </w:pPr>
                  <w:r>
                    <w:rPr>
                      <w:rFonts w:cs="Times New Roman"/>
                      <w:b/>
                      <w:bCs/>
                      <w:szCs w:val="24"/>
                    </w:rPr>
                    <w:t>与</w:t>
                  </w:r>
                  <w:r>
                    <w:rPr>
                      <w:rFonts w:hint="eastAsia" w:cs="Times New Roman"/>
                      <w:b/>
                      <w:bCs/>
                      <w:szCs w:val="24"/>
                    </w:rPr>
                    <w:t>再生资源回收管理办法（2019修正）符合性分析</w:t>
                  </w:r>
                </w:p>
              </w:tc>
            </w:tr>
            <w:tr w14:paraId="2610D8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vAlign w:val="center"/>
                </w:tcPr>
                <w:p w14:paraId="53D6AF34">
                  <w:pPr>
                    <w:pStyle w:val="32"/>
                    <w:rPr>
                      <w:rFonts w:cs="Times New Roman"/>
                      <w:szCs w:val="24"/>
                    </w:rPr>
                  </w:pPr>
                  <w:r>
                    <w:rPr>
                      <w:rFonts w:hint="eastAsia" w:cs="Times New Roman"/>
                      <w:szCs w:val="24"/>
                    </w:rPr>
                    <w:t>要求</w:t>
                  </w:r>
                </w:p>
              </w:tc>
              <w:tc>
                <w:tcPr>
                  <w:tcW w:w="2312" w:type="pct"/>
                  <w:vAlign w:val="center"/>
                </w:tcPr>
                <w:p w14:paraId="6E0C316F">
                  <w:pPr>
                    <w:pStyle w:val="32"/>
                    <w:rPr>
                      <w:rFonts w:cs="Times New Roman"/>
                      <w:szCs w:val="24"/>
                    </w:rPr>
                  </w:pPr>
                  <w:r>
                    <w:rPr>
                      <w:rFonts w:hint="eastAsia" w:cs="Times New Roman"/>
                      <w:szCs w:val="24"/>
                    </w:rPr>
                    <w:t>再生资源包括废旧金属、报废电子产品、报废机电设备及其零部件、废造纸原料（如废纸、废棉等）、废轻化工原料（如橡胶、塑料、农药包装物、动物杂骨、毛发等）、废玻璃等</w:t>
                  </w:r>
                </w:p>
              </w:tc>
              <w:tc>
                <w:tcPr>
                  <w:tcW w:w="1745" w:type="pct"/>
                  <w:vAlign w:val="center"/>
                </w:tcPr>
                <w:p w14:paraId="64D15D78">
                  <w:pPr>
                    <w:pStyle w:val="32"/>
                    <w:jc w:val="both"/>
                    <w:rPr>
                      <w:rFonts w:cs="Times New Roman"/>
                      <w:szCs w:val="24"/>
                    </w:rPr>
                  </w:pPr>
                  <w:r>
                    <w:rPr>
                      <w:rFonts w:hint="eastAsia" w:cs="Times New Roman"/>
                      <w:szCs w:val="24"/>
                    </w:rPr>
                    <w:t>本项目以废旧塑料混合料（含少量金属）为原料，经清洗、湿法破碎、甩干、空分及金属分选等工序，分别回收塑料碎片和金属颗粒，属于再生资源综合利用，根据国家关于再生资源回收利用的相关规定，废旧塑料属于废轻化工原料（如橡胶、</w:t>
                  </w:r>
                  <w:r>
                    <w:rPr>
                      <w:rFonts w:hint="eastAsia" w:cs="Times New Roman"/>
                      <w:b/>
                      <w:bCs/>
                      <w:szCs w:val="24"/>
                    </w:rPr>
                    <w:t>塑料</w:t>
                  </w:r>
                  <w:r>
                    <w:rPr>
                      <w:rFonts w:hint="eastAsia" w:cs="Times New Roman"/>
                      <w:szCs w:val="24"/>
                    </w:rPr>
                    <w:t>、农药包装物等）的明确类别之一，是国家鼓励和支持回收利用的典型再生资源。本项目的原料来源、加工工艺及产品方向完全符合《再生资源回收管理办法》中对再生资源经营活动的定义和范围要求</w:t>
                  </w:r>
                </w:p>
              </w:tc>
              <w:tc>
                <w:tcPr>
                  <w:tcW w:w="633" w:type="pct"/>
                  <w:vAlign w:val="center"/>
                </w:tcPr>
                <w:p w14:paraId="4EFB9F08">
                  <w:pPr>
                    <w:pStyle w:val="32"/>
                    <w:rPr>
                      <w:rFonts w:cs="Times New Roman"/>
                      <w:szCs w:val="24"/>
                    </w:rPr>
                  </w:pPr>
                  <w:r>
                    <w:rPr>
                      <w:rFonts w:hint="eastAsia" w:cs="Times New Roman"/>
                      <w:szCs w:val="24"/>
                    </w:rPr>
                    <w:t>符合</w:t>
                  </w:r>
                </w:p>
              </w:tc>
            </w:tr>
            <w:tr w14:paraId="6F70B2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6F603426">
                  <w:pPr>
                    <w:pStyle w:val="32"/>
                    <w:rPr>
                      <w:rFonts w:cs="Times New Roman"/>
                      <w:szCs w:val="24"/>
                    </w:rPr>
                  </w:pPr>
                </w:p>
              </w:tc>
              <w:tc>
                <w:tcPr>
                  <w:tcW w:w="2312" w:type="pct"/>
                </w:tcPr>
                <w:p w14:paraId="58BD8D64">
                  <w:pPr>
                    <w:pStyle w:val="32"/>
                    <w:jc w:val="both"/>
                    <w:rPr>
                      <w:rFonts w:cs="Times New Roman"/>
                      <w:szCs w:val="24"/>
                    </w:rPr>
                  </w:pPr>
                  <w:r>
                    <w:rPr>
                      <w:rFonts w:hint="eastAsia" w:cs="Times New Roman"/>
                      <w:szCs w:val="24"/>
                    </w:rPr>
                    <w:t>再生资源回收经营者备案事项整合到营业执照上，市场监管部门核准工商注册登记后，通过省级共享平台将企业信息共享给各相关部门</w:t>
                  </w:r>
                </w:p>
              </w:tc>
              <w:tc>
                <w:tcPr>
                  <w:tcW w:w="1745" w:type="pct"/>
                  <w:vAlign w:val="center"/>
                </w:tcPr>
                <w:p w14:paraId="7AE60B45">
                  <w:pPr>
                    <w:pStyle w:val="32"/>
                    <w:jc w:val="both"/>
                    <w:rPr>
                      <w:rFonts w:cs="Times New Roman"/>
                      <w:szCs w:val="24"/>
                    </w:rPr>
                  </w:pPr>
                  <w:r>
                    <w:rPr>
                      <w:rFonts w:hint="eastAsia" w:cs="Times New Roman"/>
                      <w:szCs w:val="24"/>
                    </w:rPr>
                    <w:t>本项目已依法取得营业执照，经营范围明确涵盖“再生资源回收”业务，符合相关法律法规要求</w:t>
                  </w:r>
                </w:p>
              </w:tc>
              <w:tc>
                <w:tcPr>
                  <w:tcW w:w="633" w:type="pct"/>
                  <w:vAlign w:val="center"/>
                </w:tcPr>
                <w:p w14:paraId="664B3D04">
                  <w:pPr>
                    <w:pStyle w:val="32"/>
                    <w:rPr>
                      <w:rFonts w:cs="Times New Roman"/>
                      <w:szCs w:val="24"/>
                    </w:rPr>
                  </w:pPr>
                  <w:r>
                    <w:rPr>
                      <w:rFonts w:hint="eastAsia" w:cs="Times New Roman"/>
                      <w:szCs w:val="24"/>
                    </w:rPr>
                    <w:t>符合</w:t>
                  </w:r>
                </w:p>
              </w:tc>
            </w:tr>
            <w:tr w14:paraId="3E33B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517B94A3">
                  <w:pPr>
                    <w:pStyle w:val="32"/>
                    <w:rPr>
                      <w:rFonts w:cs="Times New Roman"/>
                      <w:szCs w:val="24"/>
                    </w:rPr>
                  </w:pPr>
                </w:p>
              </w:tc>
              <w:tc>
                <w:tcPr>
                  <w:tcW w:w="2312" w:type="pct"/>
                </w:tcPr>
                <w:p w14:paraId="0D02128D">
                  <w:pPr>
                    <w:pStyle w:val="32"/>
                    <w:jc w:val="both"/>
                    <w:rPr>
                      <w:rFonts w:cs="Times New Roman"/>
                      <w:szCs w:val="24"/>
                    </w:rPr>
                  </w:pPr>
                  <w:r>
                    <w:rPr>
                      <w:rFonts w:hint="eastAsia" w:cs="Times New Roman"/>
                      <w:szCs w:val="24"/>
                    </w:rPr>
                    <w:t>再生资源回收经营者在经营活动中发现有公安机关通报寻查的赃物或有赃物嫌疑的物品时，应当立即报告公安机关</w:t>
                  </w:r>
                </w:p>
              </w:tc>
              <w:tc>
                <w:tcPr>
                  <w:tcW w:w="1745" w:type="pct"/>
                  <w:vAlign w:val="center"/>
                </w:tcPr>
                <w:p w14:paraId="238E5CD4">
                  <w:pPr>
                    <w:pStyle w:val="32"/>
                    <w:jc w:val="both"/>
                    <w:rPr>
                      <w:rFonts w:cs="Times New Roman"/>
                      <w:szCs w:val="24"/>
                    </w:rPr>
                  </w:pPr>
                  <w:r>
                    <w:rPr>
                      <w:rFonts w:hint="eastAsia" w:cs="Times New Roman"/>
                      <w:szCs w:val="24"/>
                    </w:rPr>
                    <w:t>在经营过程中，如发现公安机关通报追查的赃物或疑似赃物，应立即向属地公安机关报告，并配合做好相关处置工作</w:t>
                  </w:r>
                </w:p>
              </w:tc>
              <w:tc>
                <w:tcPr>
                  <w:tcW w:w="633" w:type="pct"/>
                  <w:vAlign w:val="center"/>
                </w:tcPr>
                <w:p w14:paraId="278BEDEF">
                  <w:pPr>
                    <w:pStyle w:val="32"/>
                    <w:rPr>
                      <w:rFonts w:cs="Times New Roman"/>
                      <w:szCs w:val="24"/>
                    </w:rPr>
                  </w:pPr>
                  <w:r>
                    <w:rPr>
                      <w:rFonts w:hint="eastAsia" w:cs="Times New Roman"/>
                      <w:szCs w:val="24"/>
                    </w:rPr>
                    <w:t>符合</w:t>
                  </w:r>
                </w:p>
              </w:tc>
            </w:tr>
            <w:tr w14:paraId="63CF4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1186" w:hRule="atLeast"/>
                <w:jc w:val="center"/>
              </w:trPr>
              <w:tc>
                <w:tcPr>
                  <w:tcW w:w="308" w:type="pct"/>
                  <w:vMerge w:val="continue"/>
                  <w:vAlign w:val="center"/>
                </w:tcPr>
                <w:p w14:paraId="61061806">
                  <w:pPr>
                    <w:pStyle w:val="32"/>
                    <w:rPr>
                      <w:rFonts w:cs="Times New Roman"/>
                      <w:szCs w:val="24"/>
                    </w:rPr>
                  </w:pPr>
                </w:p>
              </w:tc>
              <w:tc>
                <w:tcPr>
                  <w:tcW w:w="2312" w:type="pct"/>
                </w:tcPr>
                <w:p w14:paraId="41D49B9C">
                  <w:pPr>
                    <w:pStyle w:val="32"/>
                    <w:jc w:val="both"/>
                    <w:rPr>
                      <w:rFonts w:cs="Times New Roman"/>
                      <w:szCs w:val="24"/>
                    </w:rPr>
                  </w:pPr>
                  <w:r>
                    <w:rPr>
                      <w:rFonts w:hint="eastAsia" w:cs="Times New Roman"/>
                      <w:szCs w:val="24"/>
                    </w:rPr>
                    <w:t>跨行政区域转移再生资源进行储存、处置的，应当依照《中华人民共和国固体废物污染环境防治法》第二十三条的规定办理行政许可</w:t>
                  </w:r>
                </w:p>
              </w:tc>
              <w:tc>
                <w:tcPr>
                  <w:tcW w:w="1745" w:type="pct"/>
                  <w:vAlign w:val="center"/>
                </w:tcPr>
                <w:p w14:paraId="14628C10">
                  <w:pPr>
                    <w:pStyle w:val="32"/>
                    <w:jc w:val="both"/>
                    <w:rPr>
                      <w:rFonts w:cs="Times New Roman"/>
                      <w:szCs w:val="24"/>
                    </w:rPr>
                  </w:pPr>
                  <w:r>
                    <w:rPr>
                      <w:rFonts w:hint="eastAsia" w:cs="Times New Roman"/>
                      <w:szCs w:val="24"/>
                    </w:rPr>
                    <w:t>本项目原料来源于上游金属分选厂提供的废塑料混合料（含少量金属残留），未涉及跨行政区域的转移或贮存</w:t>
                  </w:r>
                </w:p>
              </w:tc>
              <w:tc>
                <w:tcPr>
                  <w:tcW w:w="633" w:type="pct"/>
                  <w:vAlign w:val="center"/>
                </w:tcPr>
                <w:p w14:paraId="23A3F3DE">
                  <w:pPr>
                    <w:pStyle w:val="32"/>
                    <w:rPr>
                      <w:rFonts w:cs="Times New Roman"/>
                      <w:szCs w:val="24"/>
                    </w:rPr>
                  </w:pPr>
                  <w:r>
                    <w:rPr>
                      <w:rFonts w:hint="eastAsia" w:cs="Times New Roman"/>
                      <w:szCs w:val="24"/>
                    </w:rPr>
                    <w:t>符合</w:t>
                  </w:r>
                </w:p>
              </w:tc>
            </w:tr>
            <w:tr w14:paraId="2309D9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22A3EA0E">
                  <w:pPr>
                    <w:pStyle w:val="32"/>
                    <w:rPr>
                      <w:rFonts w:cs="Times New Roman"/>
                      <w:szCs w:val="24"/>
                    </w:rPr>
                  </w:pPr>
                </w:p>
              </w:tc>
              <w:tc>
                <w:tcPr>
                  <w:tcW w:w="2312" w:type="pct"/>
                </w:tcPr>
                <w:p w14:paraId="0556E232">
                  <w:pPr>
                    <w:pStyle w:val="32"/>
                    <w:jc w:val="both"/>
                    <w:rPr>
                      <w:rFonts w:cs="Times New Roman"/>
                      <w:szCs w:val="24"/>
                    </w:rPr>
                  </w:pPr>
                  <w:r>
                    <w:rPr>
                      <w:rFonts w:hint="eastAsia" w:cs="Times New Roman"/>
                      <w:szCs w:val="24"/>
                    </w:rPr>
                    <w:t>再生资源回收经营者可以通过电话、互联网等形式与居民、企业建立信息互动，实现便民、快捷的回收服务</w:t>
                  </w:r>
                </w:p>
              </w:tc>
              <w:tc>
                <w:tcPr>
                  <w:tcW w:w="1745" w:type="pct"/>
                  <w:vAlign w:val="center"/>
                </w:tcPr>
                <w:p w14:paraId="71305A19">
                  <w:pPr>
                    <w:pStyle w:val="32"/>
                    <w:rPr>
                      <w:rFonts w:cs="Times New Roman"/>
                      <w:szCs w:val="24"/>
                    </w:rPr>
                  </w:pPr>
                  <w:r>
                    <w:rPr>
                      <w:rFonts w:hint="eastAsia" w:cs="Times New Roman"/>
                      <w:szCs w:val="24"/>
                    </w:rPr>
                    <w:t>本项目支持通过电话、微信等方式与居民和企业建立直接联系，提供便捷、高效的回收服务，实现信息互动与快速响应</w:t>
                  </w:r>
                </w:p>
              </w:tc>
              <w:tc>
                <w:tcPr>
                  <w:tcW w:w="633" w:type="pct"/>
                  <w:vAlign w:val="center"/>
                </w:tcPr>
                <w:p w14:paraId="66FD6B4A">
                  <w:pPr>
                    <w:pStyle w:val="32"/>
                    <w:rPr>
                      <w:rFonts w:cs="Times New Roman"/>
                      <w:szCs w:val="24"/>
                    </w:rPr>
                  </w:pPr>
                  <w:r>
                    <w:rPr>
                      <w:rFonts w:hint="eastAsia" w:cs="Times New Roman"/>
                      <w:szCs w:val="24"/>
                    </w:rPr>
                    <w:t>符合</w:t>
                  </w:r>
                </w:p>
              </w:tc>
            </w:tr>
            <w:tr w14:paraId="0B39D3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5000" w:type="pct"/>
                  <w:gridSpan w:val="4"/>
                  <w:vAlign w:val="center"/>
                </w:tcPr>
                <w:p w14:paraId="4BEE2CCF">
                  <w:pPr>
                    <w:pStyle w:val="32"/>
                    <w:rPr>
                      <w:rFonts w:cs="Times New Roman"/>
                      <w:b/>
                      <w:bCs/>
                      <w:szCs w:val="24"/>
                    </w:rPr>
                  </w:pPr>
                  <w:r>
                    <w:rPr>
                      <w:rFonts w:hint="eastAsia" w:cs="Times New Roman"/>
                      <w:b/>
                      <w:bCs/>
                      <w:szCs w:val="24"/>
                    </w:rPr>
                    <w:t>与《关于加快推进再生资源产业发展的指导意见》符合性分析</w:t>
                  </w:r>
                </w:p>
              </w:tc>
            </w:tr>
            <w:tr w14:paraId="726D78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restart"/>
                  <w:vAlign w:val="center"/>
                </w:tcPr>
                <w:p w14:paraId="447B2CFB">
                  <w:pPr>
                    <w:pStyle w:val="32"/>
                    <w:rPr>
                      <w:rFonts w:cs="Times New Roman"/>
                      <w:szCs w:val="24"/>
                    </w:rPr>
                  </w:pPr>
                  <w:r>
                    <w:rPr>
                      <w:rFonts w:hint="eastAsia" w:cs="Times New Roman"/>
                      <w:szCs w:val="24"/>
                    </w:rPr>
                    <w:t>要求</w:t>
                  </w:r>
                </w:p>
              </w:tc>
              <w:tc>
                <w:tcPr>
                  <w:tcW w:w="2312" w:type="pct"/>
                </w:tcPr>
                <w:p w14:paraId="44796071">
                  <w:pPr>
                    <w:pStyle w:val="32"/>
                    <w:jc w:val="both"/>
                    <w:rPr>
                      <w:rFonts w:cs="Times New Roman"/>
                      <w:szCs w:val="24"/>
                    </w:rPr>
                  </w:pPr>
                  <w:r>
                    <w:rPr>
                      <w:rFonts w:hint="eastAsia" w:cs="Times New Roman"/>
                      <w:szCs w:val="24"/>
                    </w:rPr>
                    <w:t>集群化发展，实现产业集聚配套。鼓励再生资源综合利用企业集聚发展。鼓励通过兼并、重组、联营等方式，提高行业集中度。在废有色金属、废塑料、废弃电器电子产品资源化利用等重点领域，依靠技术创新驱动，实现规模化发展。促进再生资源回收体系、国家“城市矿产”示范基地、资源循环利用基地产业链有效衔接，建立产业良性发展环境，探索符合产业发展规律的商业模式，培育再生资源龙头企业</w:t>
                  </w:r>
                </w:p>
              </w:tc>
              <w:tc>
                <w:tcPr>
                  <w:tcW w:w="1745" w:type="pct"/>
                  <w:vMerge w:val="restart"/>
                  <w:vAlign w:val="center"/>
                </w:tcPr>
                <w:p w14:paraId="7F759EEC">
                  <w:pPr>
                    <w:pStyle w:val="32"/>
                    <w:jc w:val="both"/>
                    <w:rPr>
                      <w:rFonts w:cs="Times New Roman"/>
                      <w:szCs w:val="24"/>
                    </w:rPr>
                  </w:pPr>
                  <w:r>
                    <w:rPr>
                      <w:rFonts w:hint="eastAsia" w:cs="Times New Roman"/>
                      <w:szCs w:val="24"/>
                    </w:rPr>
                    <w:t>本项目以废旧塑料混合料（含少量金属）为原料，经清洗、湿法破碎、甩干、空分及金属分选等工序，分别回收塑料碎片和金属颗粒，本项目不对破碎清洗后的塑料进行热熔加工制造活动，产品外售至塑料制造企业用作原料，有利于向产业化方向发展。本项目在产业布局上符合《指导意见》中提出的“集约化发展，实现产业集聚配套”的要求。项目推动废弃物资源化利用，促进再生资源回收体系与可持续产业发展环境的有效衔接</w:t>
                  </w:r>
                </w:p>
              </w:tc>
              <w:tc>
                <w:tcPr>
                  <w:tcW w:w="633" w:type="pct"/>
                  <w:vAlign w:val="center"/>
                </w:tcPr>
                <w:p w14:paraId="5E5EB5B3">
                  <w:pPr>
                    <w:pStyle w:val="32"/>
                    <w:rPr>
                      <w:rFonts w:cs="Times New Roman"/>
                      <w:szCs w:val="24"/>
                    </w:rPr>
                  </w:pPr>
                  <w:r>
                    <w:rPr>
                      <w:rFonts w:hint="eastAsia" w:cs="Times New Roman"/>
                      <w:szCs w:val="24"/>
                    </w:rPr>
                    <w:t>符合</w:t>
                  </w:r>
                </w:p>
              </w:tc>
            </w:tr>
            <w:tr w14:paraId="4B401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28" w:type="dxa"/>
                  <w:bottom w:w="28" w:type="dxa"/>
                  <w:right w:w="28" w:type="dxa"/>
                </w:tblCellMar>
              </w:tblPrEx>
              <w:trPr>
                <w:trHeight w:val="369" w:hRule="atLeast"/>
                <w:jc w:val="center"/>
              </w:trPr>
              <w:tc>
                <w:tcPr>
                  <w:tcW w:w="308" w:type="pct"/>
                  <w:vMerge w:val="continue"/>
                  <w:vAlign w:val="center"/>
                </w:tcPr>
                <w:p w14:paraId="6CB4DCF4">
                  <w:pPr>
                    <w:pStyle w:val="32"/>
                    <w:rPr>
                      <w:rFonts w:cs="Times New Roman"/>
                      <w:szCs w:val="24"/>
                    </w:rPr>
                  </w:pPr>
                </w:p>
              </w:tc>
              <w:tc>
                <w:tcPr>
                  <w:tcW w:w="2312" w:type="pct"/>
                </w:tcPr>
                <w:p w14:paraId="718D72A6">
                  <w:pPr>
                    <w:pStyle w:val="32"/>
                    <w:jc w:val="both"/>
                    <w:rPr>
                      <w:rFonts w:cs="Times New Roman"/>
                      <w:szCs w:val="24"/>
                    </w:rPr>
                  </w:pPr>
                  <w:r>
                    <w:rPr>
                      <w:rFonts w:hint="eastAsia"/>
                      <w:color w:val="000000"/>
                    </w:rPr>
                    <w:t>废塑料。大力推进废塑料回收利用体系建设，支持不同品质废塑料的 多元化、高值化利用。以当前资源量大、再生利用率高的品种为重点，鼓励开展 废塑料重点品种再生利用示范，推广规模化的废塑料破碎-分选-改性-造粒先进高效生产线，培育一批龙头企业。积极推动低品质、易污染环境的废塑料资源化利用，鼓励对生活垃圾塑料进行无污染的能源化利用，逐步减少废塑料填埋</w:t>
                  </w:r>
                </w:p>
              </w:tc>
              <w:tc>
                <w:tcPr>
                  <w:tcW w:w="1745" w:type="pct"/>
                  <w:vMerge w:val="continue"/>
                  <w:vAlign w:val="center"/>
                </w:tcPr>
                <w:p w14:paraId="5A744DCD">
                  <w:pPr>
                    <w:pStyle w:val="32"/>
                    <w:jc w:val="both"/>
                    <w:rPr>
                      <w:rFonts w:cs="Times New Roman"/>
                      <w:szCs w:val="24"/>
                    </w:rPr>
                  </w:pPr>
                </w:p>
              </w:tc>
              <w:tc>
                <w:tcPr>
                  <w:tcW w:w="633" w:type="pct"/>
                  <w:vAlign w:val="center"/>
                </w:tcPr>
                <w:p w14:paraId="3AD9A949">
                  <w:pPr>
                    <w:pStyle w:val="32"/>
                    <w:rPr>
                      <w:rFonts w:cs="Times New Roman"/>
                      <w:szCs w:val="24"/>
                    </w:rPr>
                  </w:pPr>
                  <w:r>
                    <w:rPr>
                      <w:rFonts w:hint="eastAsia" w:cs="Times New Roman"/>
                      <w:szCs w:val="24"/>
                    </w:rPr>
                    <w:t>符合</w:t>
                  </w:r>
                </w:p>
              </w:tc>
            </w:tr>
          </w:tbl>
          <w:p w14:paraId="753272F3">
            <w:pPr>
              <w:spacing w:line="240" w:lineRule="auto"/>
              <w:ind w:firstLine="198" w:firstLineChars="82"/>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6、与其他符合性</w:t>
            </w:r>
            <w:r>
              <w:rPr>
                <w:b/>
                <w:color w:val="000000" w:themeColor="text1"/>
                <w:szCs w:val="21"/>
                <w14:textFill>
                  <w14:solidFill>
                    <w14:schemeClr w14:val="tx1"/>
                  </w14:solidFill>
                </w14:textFill>
              </w:rPr>
              <w:t>分析</w:t>
            </w:r>
          </w:p>
          <w:p w14:paraId="2B70C545">
            <w:pPr>
              <w:pStyle w:val="37"/>
              <w:spacing w:before="163"/>
              <w:rPr>
                <w:rFonts w:cs="Times New Roman"/>
                <w:color w:val="000000" w:themeColor="text1"/>
                <w:szCs w:val="24"/>
                <w14:textFill>
                  <w14:solidFill>
                    <w14:schemeClr w14:val="tx1"/>
                  </w14:solidFill>
                </w14:textFill>
              </w:rPr>
            </w:pPr>
            <w:r>
              <w:rPr>
                <w:rFonts w:hint="eastAsia"/>
                <w:color w:val="000000" w:themeColor="text1"/>
                <w14:textFill>
                  <w14:solidFill>
                    <w14:schemeClr w14:val="tx1"/>
                  </w14:solidFill>
                </w14:textFill>
              </w:rPr>
              <w:t>表1</w:t>
            </w:r>
            <w:r>
              <w:rPr>
                <w:color w:val="000000" w:themeColor="text1"/>
                <w14:textFill>
                  <w14:solidFill>
                    <w14:schemeClr w14:val="tx1"/>
                  </w14:solidFill>
                </w14:textFill>
              </w:rPr>
              <w:t xml:space="preserve">-6  </w:t>
            </w:r>
            <w:r>
              <w:rPr>
                <w:rFonts w:hint="eastAsia"/>
                <w:color w:val="000000" w:themeColor="text1"/>
                <w14:textFill>
                  <w14:solidFill>
                    <w14:schemeClr w14:val="tx1"/>
                  </w14:solidFill>
                </w14:textFill>
              </w:rPr>
              <w:t>其他符合性分析</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9"/>
              <w:gridCol w:w="3548"/>
              <w:gridCol w:w="2865"/>
              <w:gridCol w:w="695"/>
            </w:tblGrid>
            <w:tr w14:paraId="2E5DF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2" w:type="pct"/>
                  <w:vAlign w:val="center"/>
                </w:tcPr>
                <w:p w14:paraId="204CBE9C">
                  <w:pPr>
                    <w:adjustRightInd w:val="0"/>
                    <w:snapToGrid w:val="0"/>
                    <w:spacing w:line="240" w:lineRule="auto"/>
                    <w:ind w:firstLine="0" w:firstLineChars="0"/>
                    <w:jc w:val="center"/>
                    <w:textAlignment w:val="auto"/>
                    <w:rPr>
                      <w:rFonts w:cs="Times New Roman"/>
                      <w:sz w:val="21"/>
                      <w:szCs w:val="24"/>
                    </w:rPr>
                  </w:pPr>
                  <w:bookmarkStart w:id="6" w:name="_Hlk97245357"/>
                  <w:r>
                    <w:rPr>
                      <w:rFonts w:hint="eastAsia" w:cs="Times New Roman"/>
                      <w:sz w:val="21"/>
                      <w:szCs w:val="24"/>
                    </w:rPr>
                    <w:t>规划</w:t>
                  </w:r>
                </w:p>
              </w:tc>
              <w:tc>
                <w:tcPr>
                  <w:tcW w:w="2125" w:type="pct"/>
                  <w:vAlign w:val="center"/>
                </w:tcPr>
                <w:p w14:paraId="3B3938A5">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规划要求</w:t>
                  </w:r>
                </w:p>
              </w:tc>
              <w:tc>
                <w:tcPr>
                  <w:tcW w:w="1716" w:type="pct"/>
                  <w:vAlign w:val="center"/>
                </w:tcPr>
                <w:p w14:paraId="1D3EE0D8">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本项目情况</w:t>
                  </w:r>
                </w:p>
              </w:tc>
              <w:tc>
                <w:tcPr>
                  <w:tcW w:w="416" w:type="pct"/>
                  <w:vAlign w:val="center"/>
                </w:tcPr>
                <w:p w14:paraId="10447C37">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符合性</w:t>
                  </w:r>
                </w:p>
              </w:tc>
            </w:tr>
            <w:tr w14:paraId="47EB9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7" w:hRule="atLeast"/>
              </w:trPr>
              <w:tc>
                <w:tcPr>
                  <w:tcW w:w="742" w:type="pct"/>
                  <w:vMerge w:val="restart"/>
                  <w:vAlign w:val="center"/>
                </w:tcPr>
                <w:p w14:paraId="64EE58E7">
                  <w:pPr>
                    <w:adjustRightInd w:val="0"/>
                    <w:snapToGrid w:val="0"/>
                    <w:spacing w:line="240" w:lineRule="auto"/>
                    <w:ind w:firstLine="0" w:firstLineChars="0"/>
                    <w:textAlignment w:val="auto"/>
                    <w:rPr>
                      <w:rFonts w:cs="Times New Roman"/>
                      <w:sz w:val="21"/>
                      <w:szCs w:val="24"/>
                    </w:rPr>
                  </w:pPr>
                  <w:r>
                    <w:rPr>
                      <w:rFonts w:cs="Times New Roman"/>
                      <w:sz w:val="21"/>
                      <w:szCs w:val="24"/>
                    </w:rPr>
                    <w:t>新疆生态环境保护“十四五”规划</w:t>
                  </w:r>
                </w:p>
              </w:tc>
              <w:tc>
                <w:tcPr>
                  <w:tcW w:w="2125" w:type="pct"/>
                  <w:vAlign w:val="center"/>
                </w:tcPr>
                <w:p w14:paraId="26D5711C">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强化产业集聚发展。结合重点区域大气污染防治，能耗总量和强度“双控”目标，立足各地产业园区（开发区）自身优势和比较优势，结合“三线一单”和规划环评要求，进一步优化园区产业布局，明确产业定位，地制宜发展特色产业，培育打造制造业高质量发展示范园区。坚定不移推进企业入园，严格园区准入标准，完善和落实园区环境管理制度，加强环境风险防范。鼓励和支持社会资本参与园区发展，加快智慧园区建设，补齐环境保护基础设施短板，完善园区“三废”综合利用等配套设施建设。</w:t>
                  </w:r>
                </w:p>
              </w:tc>
              <w:tc>
                <w:tcPr>
                  <w:tcW w:w="1716" w:type="pct"/>
                  <w:vAlign w:val="center"/>
                </w:tcPr>
                <w:p w14:paraId="6560F4D2">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本项目位于库尔勒市哈拉玉宫乡废旧物资回收加工产业园废旧塑料回收加工区，开展废弃物资源化利用，落实环境管理和“三废”综合利用要求，有助于打造绿色循环低碳的发展示范</w:t>
                  </w:r>
                </w:p>
              </w:tc>
              <w:tc>
                <w:tcPr>
                  <w:tcW w:w="416" w:type="pct"/>
                  <w:vAlign w:val="center"/>
                </w:tcPr>
                <w:p w14:paraId="539CF83A">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7F8B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9" w:hRule="atLeast"/>
              </w:trPr>
              <w:tc>
                <w:tcPr>
                  <w:tcW w:w="742" w:type="pct"/>
                  <w:vMerge w:val="continue"/>
                  <w:vAlign w:val="center"/>
                </w:tcPr>
                <w:p w14:paraId="351ABEB9">
                  <w:pPr>
                    <w:adjustRightInd w:val="0"/>
                    <w:snapToGrid w:val="0"/>
                    <w:spacing w:line="240" w:lineRule="auto"/>
                    <w:ind w:firstLine="0" w:firstLineChars="0"/>
                    <w:textAlignment w:val="auto"/>
                    <w:rPr>
                      <w:rFonts w:cs="Times New Roman"/>
                      <w:sz w:val="21"/>
                      <w:szCs w:val="24"/>
                    </w:rPr>
                  </w:pPr>
                </w:p>
              </w:tc>
              <w:tc>
                <w:tcPr>
                  <w:tcW w:w="2125" w:type="pct"/>
                  <w:vAlign w:val="center"/>
                </w:tcPr>
                <w:p w14:paraId="5E1397EC">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加强环境噪声污染防控。加强噪声污染源监管，继续强化和深入推进交通运输噪声、建筑施工噪声、社会生活噪声、工业企业、机场周边噪声污染防治，推进工业企业噪声纳入排污许可管理。</w:t>
                  </w:r>
                </w:p>
              </w:tc>
              <w:tc>
                <w:tcPr>
                  <w:tcW w:w="1716" w:type="pct"/>
                  <w:vAlign w:val="center"/>
                </w:tcPr>
                <w:p w14:paraId="30B814F9">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本项目采用低噪声设备、基础减振、厂房隔声等措施，减轻噪声影响，厂界噪声达标排放</w:t>
                  </w:r>
                </w:p>
              </w:tc>
              <w:tc>
                <w:tcPr>
                  <w:tcW w:w="416" w:type="pct"/>
                  <w:vAlign w:val="center"/>
                </w:tcPr>
                <w:p w14:paraId="21095EF0">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5D3AA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742" w:type="pct"/>
                  <w:vMerge w:val="continue"/>
                  <w:vAlign w:val="center"/>
                </w:tcPr>
                <w:p w14:paraId="34FB76F6">
                  <w:pPr>
                    <w:pStyle w:val="32"/>
                    <w:rPr>
                      <w:color w:val="000000" w:themeColor="text1"/>
                      <w14:textFill>
                        <w14:solidFill>
                          <w14:schemeClr w14:val="tx1"/>
                        </w14:solidFill>
                      </w14:textFill>
                    </w:rPr>
                  </w:pPr>
                </w:p>
              </w:tc>
              <w:tc>
                <w:tcPr>
                  <w:tcW w:w="2125" w:type="pct"/>
                  <w:vAlign w:val="center"/>
                </w:tcPr>
                <w:p w14:paraId="2E0F8985">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坚持预防为主、保护优先、风险管控，持续推进土壤污染防治攻坚行动，强化土壤和地下水污染风险管控和修复，实施水土环境风险协同防控。</w:t>
                  </w:r>
                </w:p>
              </w:tc>
              <w:tc>
                <w:tcPr>
                  <w:tcW w:w="1716" w:type="pct"/>
                  <w:vAlign w:val="center"/>
                </w:tcPr>
                <w:p w14:paraId="251B781A">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本项目通过采取完善的污染防治措施和环境风险防范措施，污染物可达标排放，</w:t>
                  </w:r>
                  <w:r>
                    <w:rPr>
                      <w:rFonts w:cs="Times New Roman"/>
                      <w:color w:val="000000"/>
                      <w:sz w:val="21"/>
                      <w:szCs w:val="21"/>
                    </w:rPr>
                    <w:t>项目实施后</w:t>
                  </w:r>
                  <w:r>
                    <w:rPr>
                      <w:rFonts w:hint="eastAsia" w:cs="Times New Roman"/>
                      <w:color w:val="000000"/>
                      <w:sz w:val="21"/>
                      <w:szCs w:val="21"/>
                    </w:rPr>
                    <w:t>环境风险可控</w:t>
                  </w:r>
                  <w:r>
                    <w:rPr>
                      <w:rFonts w:hint="eastAsia" w:cs="Times New Roman"/>
                      <w:sz w:val="21"/>
                      <w:szCs w:val="21"/>
                    </w:rPr>
                    <w:t>，正常工况下不会增加土壤环境污染风险</w:t>
                  </w:r>
                </w:p>
              </w:tc>
              <w:tc>
                <w:tcPr>
                  <w:tcW w:w="416" w:type="pct"/>
                  <w:vAlign w:val="center"/>
                </w:tcPr>
                <w:p w14:paraId="29DB4D8C">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7D8D4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atLeast"/>
              </w:trPr>
              <w:tc>
                <w:tcPr>
                  <w:tcW w:w="742" w:type="pct"/>
                  <w:vMerge w:val="restart"/>
                  <w:vAlign w:val="center"/>
                </w:tcPr>
                <w:p w14:paraId="2F323468">
                  <w:pPr>
                    <w:adjustRightInd w:val="0"/>
                    <w:snapToGrid w:val="0"/>
                    <w:spacing w:line="240" w:lineRule="auto"/>
                    <w:ind w:firstLine="0" w:firstLineChars="0"/>
                    <w:textAlignment w:val="auto"/>
                    <w:rPr>
                      <w:color w:val="000000" w:themeColor="text1"/>
                      <w14:textFill>
                        <w14:solidFill>
                          <w14:schemeClr w14:val="tx1"/>
                        </w14:solidFill>
                      </w14:textFill>
                    </w:rPr>
                  </w:pPr>
                  <w:r>
                    <w:rPr>
                      <w:rFonts w:hint="eastAsia" w:cs="Times New Roman"/>
                      <w:sz w:val="21"/>
                      <w:szCs w:val="24"/>
                    </w:rPr>
                    <w:t>新疆维吾尔自治区环境保护条例</w:t>
                  </w:r>
                </w:p>
              </w:tc>
              <w:tc>
                <w:tcPr>
                  <w:tcW w:w="2125" w:type="pct"/>
                  <w:vAlign w:val="center"/>
                </w:tcPr>
                <w:p w14:paraId="34113DAB">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第十七条环境保护规划和生态功能区划应当与主体功能区规划、土地利用总体规划和城乡规划等相衔接。各类开发和建设活动应当符合环境保护规划和生态功能区划的要求，严格遵守生态保护红线的规定。</w:t>
                  </w:r>
                </w:p>
              </w:tc>
              <w:tc>
                <w:tcPr>
                  <w:tcW w:w="1716" w:type="pct"/>
                  <w:vAlign w:val="center"/>
                </w:tcPr>
                <w:p w14:paraId="14779254">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本项目不在生态保护红线范围内</w:t>
                  </w:r>
                </w:p>
              </w:tc>
              <w:tc>
                <w:tcPr>
                  <w:tcW w:w="416" w:type="pct"/>
                  <w:vAlign w:val="center"/>
                </w:tcPr>
                <w:p w14:paraId="4A3565C0">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430B21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42" w:type="pct"/>
                  <w:vMerge w:val="continue"/>
                  <w:vAlign w:val="center"/>
                </w:tcPr>
                <w:p w14:paraId="30680D64">
                  <w:pPr>
                    <w:pStyle w:val="32"/>
                    <w:rPr>
                      <w:color w:val="000000" w:themeColor="text1"/>
                      <w14:textFill>
                        <w14:solidFill>
                          <w14:schemeClr w14:val="tx1"/>
                        </w14:solidFill>
                      </w14:textFill>
                    </w:rPr>
                  </w:pPr>
                </w:p>
              </w:tc>
              <w:tc>
                <w:tcPr>
                  <w:tcW w:w="2125" w:type="pct"/>
                  <w:vAlign w:val="center"/>
                </w:tcPr>
                <w:p w14:paraId="22D68FC5">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第四十三条排放污染物的企业事业单位和其他生产经营者应当依法取得排污许可证。排放污染物应当符合国家或者自治区规定的污染物排放标准和重点污染物总量控制指标</w:t>
                  </w:r>
                </w:p>
              </w:tc>
              <w:tc>
                <w:tcPr>
                  <w:tcW w:w="1716" w:type="pct"/>
                  <w:vAlign w:val="center"/>
                </w:tcPr>
                <w:p w14:paraId="1C563543">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评价要求企业严格落实污染物总量控制和排污许可证制度，通过采取完善的污染治理措施，各项污染物均达标排放</w:t>
                  </w:r>
                </w:p>
              </w:tc>
              <w:tc>
                <w:tcPr>
                  <w:tcW w:w="416" w:type="pct"/>
                  <w:vAlign w:val="center"/>
                </w:tcPr>
                <w:p w14:paraId="324603C3">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1DA144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742" w:type="pct"/>
                  <w:vAlign w:val="center"/>
                </w:tcPr>
                <w:p w14:paraId="1D0038C2">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库尔勒市国民经济和社会发展第十四个五年规划和二〇三五年远景目标纲要</w:t>
                  </w:r>
                </w:p>
              </w:tc>
              <w:tc>
                <w:tcPr>
                  <w:tcW w:w="2125" w:type="pct"/>
                  <w:vAlign w:val="center"/>
                </w:tcPr>
                <w:p w14:paraId="2C8E2B11">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坚持以高质量发展为中心，以供给侧结构性改革为主线，紧紧围绕中巴经济走廊核心区承载中心建设，打造炼化纺一体、烯烃、化工高端新材料、石油化工、天然气化工、工业废弃物循环加工等六大产业集群，建成中巴经济走廊石油石化产业聚集核心区、丝绸之路经济带创新驱动发展试验区，国家级油煤气盐清洁高效利用技术创新示范基地、化纤纺织原料基地和新材料基地，推动现代产业体系建设，为高质量发展提供产业支撑。</w:t>
                  </w:r>
                </w:p>
              </w:tc>
              <w:tc>
                <w:tcPr>
                  <w:tcW w:w="1716" w:type="pct"/>
                  <w:vAlign w:val="center"/>
                </w:tcPr>
                <w:p w14:paraId="6516F4AE">
                  <w:pPr>
                    <w:adjustRightInd w:val="0"/>
                    <w:snapToGrid w:val="0"/>
                    <w:spacing w:line="240" w:lineRule="auto"/>
                    <w:ind w:firstLine="0" w:firstLineChars="0"/>
                    <w:textAlignment w:val="auto"/>
                    <w:rPr>
                      <w:rFonts w:cs="Times New Roman"/>
                      <w:sz w:val="21"/>
                      <w:szCs w:val="24"/>
                    </w:rPr>
                  </w:pPr>
                  <w:r>
                    <w:rPr>
                      <w:rFonts w:hint="eastAsia" w:cs="Times New Roman"/>
                      <w:sz w:val="21"/>
                      <w:szCs w:val="24"/>
                    </w:rPr>
                    <w:t>本项目以废旧塑料混合料（含少量金属）为原料，经清洗、湿法破碎、甩干、空分及金属分选等工序，分别回收塑料碎片和金属颗粒，本项目不对破碎清洗后的塑料进行热熔加工制造活动，项目产品外售至塑料制造企业用作原料，有利于向产业化方向发展</w:t>
                  </w:r>
                </w:p>
              </w:tc>
              <w:tc>
                <w:tcPr>
                  <w:tcW w:w="416" w:type="pct"/>
                  <w:vAlign w:val="center"/>
                </w:tcPr>
                <w:p w14:paraId="3CB59852">
                  <w:pPr>
                    <w:adjustRightInd w:val="0"/>
                    <w:snapToGrid w:val="0"/>
                    <w:spacing w:line="240" w:lineRule="auto"/>
                    <w:ind w:firstLine="0" w:firstLineChars="0"/>
                    <w:jc w:val="center"/>
                    <w:textAlignment w:val="auto"/>
                    <w:rPr>
                      <w:rFonts w:cs="Times New Roman"/>
                      <w:sz w:val="21"/>
                      <w:szCs w:val="24"/>
                    </w:rPr>
                  </w:pPr>
                  <w:r>
                    <w:rPr>
                      <w:rFonts w:hint="eastAsia" w:cs="Times New Roman"/>
                      <w:sz w:val="21"/>
                      <w:szCs w:val="24"/>
                    </w:rPr>
                    <w:t>符合</w:t>
                  </w:r>
                </w:p>
              </w:tc>
            </w:tr>
            <w:tr w14:paraId="7A069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25" w:hRule="atLeast"/>
              </w:trPr>
              <w:tc>
                <w:tcPr>
                  <w:tcW w:w="742" w:type="pct"/>
                  <w:vMerge w:val="restart"/>
                  <w:vAlign w:val="center"/>
                </w:tcPr>
                <w:p w14:paraId="4EDB2879">
                  <w:pPr>
                    <w:pStyle w:val="32"/>
                    <w:rPr>
                      <w:rFonts w:cs="Times New Roman"/>
                      <w:szCs w:val="24"/>
                    </w:rPr>
                  </w:pPr>
                  <w:r>
                    <w:rPr>
                      <w:rFonts w:hint="eastAsia" w:cs="Times New Roman"/>
                      <w:szCs w:val="24"/>
                    </w:rPr>
                    <w:t>《新疆维吾尔自治区大气污染防治条例》</w:t>
                  </w:r>
                </w:p>
              </w:tc>
              <w:tc>
                <w:tcPr>
                  <w:tcW w:w="2125" w:type="pct"/>
                  <w:vAlign w:val="center"/>
                </w:tcPr>
                <w:p w14:paraId="48AC9C86">
                  <w:pPr>
                    <w:pStyle w:val="32"/>
                    <w:jc w:val="both"/>
                    <w:rPr>
                      <w:rFonts w:cs="Times New Roman"/>
                      <w:szCs w:val="24"/>
                    </w:rPr>
                  </w:pPr>
                  <w:r>
                    <w:rPr>
                      <w:rFonts w:hint="eastAsia" w:cs="Times New Roman"/>
                      <w:szCs w:val="24"/>
                    </w:rPr>
                    <w:t>第二十七条禁止在自治区行政区域内引进能（水）耗不符合相关国家标准中准入值要求且污染物排放和环境风险防控不符合国家（地方）标准及有关产业准入条件的高污染（排放）、高能（水）耗、高环境风险的工业项目。</w:t>
                  </w:r>
                </w:p>
              </w:tc>
              <w:tc>
                <w:tcPr>
                  <w:tcW w:w="1716" w:type="pct"/>
                  <w:vAlign w:val="center"/>
                </w:tcPr>
                <w:p w14:paraId="20FD901B">
                  <w:pPr>
                    <w:pStyle w:val="32"/>
                    <w:jc w:val="both"/>
                    <w:rPr>
                      <w:rFonts w:cs="Times New Roman"/>
                      <w:szCs w:val="24"/>
                    </w:rPr>
                  </w:pPr>
                  <w:r>
                    <w:rPr>
                      <w:rFonts w:hint="eastAsia" w:cs="Times New Roman"/>
                      <w:szCs w:val="24"/>
                    </w:rPr>
                    <w:t>本项目不属于高污染（排放）、高能（水）耗、高环境风险的工业项目</w:t>
                  </w:r>
                </w:p>
              </w:tc>
              <w:tc>
                <w:tcPr>
                  <w:tcW w:w="416" w:type="pct"/>
                  <w:vAlign w:val="center"/>
                </w:tcPr>
                <w:p w14:paraId="3A8E23F7">
                  <w:pPr>
                    <w:pStyle w:val="32"/>
                    <w:rPr>
                      <w:rFonts w:cs="Times New Roman"/>
                      <w:szCs w:val="24"/>
                    </w:rPr>
                  </w:pPr>
                  <w:r>
                    <w:rPr>
                      <w:rFonts w:hint="eastAsia" w:cs="Times New Roman"/>
                      <w:szCs w:val="24"/>
                    </w:rPr>
                    <w:t>符合</w:t>
                  </w:r>
                </w:p>
              </w:tc>
            </w:tr>
            <w:tr w14:paraId="22B65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trPr>
              <w:tc>
                <w:tcPr>
                  <w:tcW w:w="742" w:type="pct"/>
                  <w:vMerge w:val="continue"/>
                  <w:vAlign w:val="center"/>
                </w:tcPr>
                <w:p w14:paraId="69089C03">
                  <w:pPr>
                    <w:pStyle w:val="32"/>
                    <w:rPr>
                      <w:rFonts w:hAnsi="宋体" w:cs="宋体"/>
                      <w:spacing w:val="-10"/>
                      <w:szCs w:val="21"/>
                    </w:rPr>
                  </w:pPr>
                </w:p>
              </w:tc>
              <w:tc>
                <w:tcPr>
                  <w:tcW w:w="2125" w:type="pct"/>
                  <w:vAlign w:val="center"/>
                </w:tcPr>
                <w:p w14:paraId="0A560811">
                  <w:pPr>
                    <w:pStyle w:val="32"/>
                    <w:jc w:val="both"/>
                    <w:rPr>
                      <w:rFonts w:cs="Times New Roman"/>
                      <w:szCs w:val="24"/>
                    </w:rPr>
                  </w:pPr>
                  <w:r>
                    <w:rPr>
                      <w:rFonts w:hint="eastAsia" w:cs="Times New Roman"/>
                      <w:szCs w:val="24"/>
                    </w:rPr>
                    <w:t>第二十八条自治区人民政府工业和信息化、发展和改革、生态环境等部门制定产业结构调整目录时，应当将严重污染大气的工艺、设备、产品列入淘汰目录。州、市（地）、县（市、区）人民政府（行政公署）应当组织制定现有高污染工业项目标准改造或者关停计划，并组织实施。禁止新建、改建、扩建列入淘汰类目录的高污染工业项目。禁止使用列入淘汰类目录的工艺、设备、产品。</w:t>
                  </w:r>
                </w:p>
              </w:tc>
              <w:tc>
                <w:tcPr>
                  <w:tcW w:w="1716" w:type="pct"/>
                  <w:vAlign w:val="center"/>
                </w:tcPr>
                <w:p w14:paraId="21803A03">
                  <w:pPr>
                    <w:pStyle w:val="32"/>
                    <w:rPr>
                      <w:rFonts w:cs="Times New Roman"/>
                      <w:szCs w:val="24"/>
                    </w:rPr>
                  </w:pPr>
                  <w:r>
                    <w:rPr>
                      <w:rFonts w:hint="eastAsia" w:cs="Times New Roman"/>
                      <w:szCs w:val="24"/>
                    </w:rPr>
                    <w:t>本项目不属于列入淘汰类目录的高污染工业项目</w:t>
                  </w:r>
                </w:p>
              </w:tc>
              <w:tc>
                <w:tcPr>
                  <w:tcW w:w="416" w:type="pct"/>
                  <w:vAlign w:val="center"/>
                </w:tcPr>
                <w:p w14:paraId="4F3E43A8">
                  <w:pPr>
                    <w:pStyle w:val="32"/>
                    <w:rPr>
                      <w:rFonts w:cs="Times New Roman"/>
                      <w:szCs w:val="24"/>
                    </w:rPr>
                  </w:pPr>
                  <w:r>
                    <w:rPr>
                      <w:rFonts w:hint="eastAsia" w:cs="Times New Roman"/>
                      <w:szCs w:val="24"/>
                    </w:rPr>
                    <w:t>符合</w:t>
                  </w:r>
                </w:p>
              </w:tc>
            </w:tr>
            <w:tr w14:paraId="0E3075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742" w:type="pct"/>
                  <w:vAlign w:val="center"/>
                </w:tcPr>
                <w:p w14:paraId="47563B8A">
                  <w:pPr>
                    <w:pStyle w:val="32"/>
                    <w:jc w:val="both"/>
                    <w:rPr>
                      <w:rFonts w:cs="Times New Roman"/>
                      <w:szCs w:val="24"/>
                    </w:rPr>
                  </w:pPr>
                  <w:r>
                    <w:rPr>
                      <w:rFonts w:hint="eastAsia" w:cs="Times New Roman"/>
                      <w:szCs w:val="24"/>
                    </w:rPr>
                    <w:t>《自治州大气污染防治三年攻坚行动方案（2023－2025年）》</w:t>
                  </w:r>
                </w:p>
              </w:tc>
              <w:tc>
                <w:tcPr>
                  <w:tcW w:w="2125" w:type="pct"/>
                  <w:vAlign w:val="center"/>
                </w:tcPr>
                <w:p w14:paraId="5236FC71">
                  <w:pPr>
                    <w:pStyle w:val="32"/>
                    <w:jc w:val="both"/>
                    <w:rPr>
                      <w:rFonts w:cs="Times New Roman"/>
                      <w:szCs w:val="24"/>
                    </w:rPr>
                  </w:pPr>
                  <w:r>
                    <w:rPr>
                      <w:rFonts w:hint="eastAsia" w:cs="Times New Roman"/>
                      <w:szCs w:val="24"/>
                    </w:rPr>
                    <w:t>严格落实施工工地扬尘管控责任，制定施工扬尘污染防治实施方案，在工地公示具体防治措施及负责人信息。全面推行绿色施工，严格执行“六个百分之百”，推进安装视频监控设施。重点区域道路、水务等线性工程实行分段施工。加强施工扬尘监管执法，对问题严重的依法依规实施联合惩戒</w:t>
                  </w:r>
                </w:p>
              </w:tc>
              <w:tc>
                <w:tcPr>
                  <w:tcW w:w="1716" w:type="pct"/>
                  <w:vAlign w:val="center"/>
                </w:tcPr>
                <w:p w14:paraId="227F56B1">
                  <w:pPr>
                    <w:pStyle w:val="32"/>
                    <w:jc w:val="both"/>
                    <w:rPr>
                      <w:rFonts w:cs="Times New Roman"/>
                      <w:szCs w:val="24"/>
                    </w:rPr>
                  </w:pPr>
                  <w:r>
                    <w:rPr>
                      <w:rFonts w:ascii="Segoe UI" w:hAnsi="Segoe UI" w:cs="Segoe UI"/>
                      <w:color w:val="0F1115"/>
                      <w:shd w:val="clear" w:color="auto" w:fill="FFFFFF"/>
                    </w:rPr>
                    <w:t>本项目租赁现有厂区，新建厂房及沉淀池等配套设施</w:t>
                  </w:r>
                  <w:r>
                    <w:rPr>
                      <w:rFonts w:hint="eastAsia" w:cs="Times New Roman"/>
                      <w:szCs w:val="24"/>
                    </w:rPr>
                    <w:t>。由于工程量较小、施工周期短、作业范围有限，在严格落实各项环保措施（如禁止夜间高噪声作业、加强洒水抑尘等）的前提下，施工期间产生的噪声、扬尘等污染物对周边环境的影响可控。因此，项目建设期的环境影响较小</w:t>
                  </w:r>
                </w:p>
              </w:tc>
              <w:tc>
                <w:tcPr>
                  <w:tcW w:w="416" w:type="pct"/>
                  <w:vAlign w:val="center"/>
                </w:tcPr>
                <w:p w14:paraId="0A2D7D66">
                  <w:pPr>
                    <w:pStyle w:val="32"/>
                    <w:rPr>
                      <w:rFonts w:cs="Times New Roman"/>
                      <w:szCs w:val="24"/>
                    </w:rPr>
                  </w:pPr>
                  <w:r>
                    <w:rPr>
                      <w:rFonts w:hint="eastAsia" w:cs="Times New Roman"/>
                      <w:szCs w:val="24"/>
                    </w:rPr>
                    <w:t>符合</w:t>
                  </w:r>
                </w:p>
              </w:tc>
            </w:tr>
            <w:tr w14:paraId="7B056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2" w:type="pct"/>
                  <w:vMerge w:val="restart"/>
                  <w:vAlign w:val="center"/>
                </w:tcPr>
                <w:p w14:paraId="740F88EB">
                  <w:pPr>
                    <w:pStyle w:val="32"/>
                    <w:jc w:val="both"/>
                    <w:rPr>
                      <w:rFonts w:cs="Times New Roman"/>
                      <w:szCs w:val="24"/>
                    </w:rPr>
                  </w:pPr>
                  <w:r>
                    <w:rPr>
                      <w:rFonts w:hint="eastAsia" w:cs="Times New Roman"/>
                      <w:szCs w:val="24"/>
                    </w:rPr>
                    <w:t>《新疆维吾尔自治区2025年空气质量持续改善行动实施方案》（新政办发〔2024〕58号）</w:t>
                  </w:r>
                </w:p>
              </w:tc>
              <w:tc>
                <w:tcPr>
                  <w:tcW w:w="2125" w:type="pct"/>
                  <w:vAlign w:val="center"/>
                </w:tcPr>
                <w:p w14:paraId="130489B3">
                  <w:pPr>
                    <w:pStyle w:val="32"/>
                    <w:rPr>
                      <w:rFonts w:cs="Times New Roman"/>
                      <w:szCs w:val="24"/>
                    </w:rPr>
                  </w:pPr>
                  <w:r>
                    <w:rPr>
                      <w:rFonts w:hint="eastAsia" w:cs="Times New Roman"/>
                      <w:szCs w:val="24"/>
                    </w:rPr>
                    <w:t>坚决遏制高耗能、高排放、低水平项目盲目上马。新改扩建项目严格落实国家和自治区产业规划、产业政策、生态环境分区管控方案、规划环评、项目环评、节能审查、产能置换、重点污染物总量控制、污染物排放区域削减、碳排放达峰目标等相关要求，原则上采用清洁运输方式，达到能效标杆水平、环保绩效A级水平；严格执行《产业结构调整指导目录》，依法依规淘汰落后产能。联防联控区进一步提高落后产能能耗、环保、质量、安全、技术等要求，逐步退出限制类涉气行业工艺和装备。</w:t>
                  </w:r>
                </w:p>
              </w:tc>
              <w:tc>
                <w:tcPr>
                  <w:tcW w:w="1716" w:type="pct"/>
                  <w:vAlign w:val="center"/>
                </w:tcPr>
                <w:p w14:paraId="302341EA">
                  <w:pPr>
                    <w:pStyle w:val="32"/>
                    <w:jc w:val="both"/>
                    <w:rPr>
                      <w:rFonts w:cs="Times New Roman"/>
                      <w:szCs w:val="24"/>
                    </w:rPr>
                  </w:pPr>
                  <w:r>
                    <w:rPr>
                      <w:rFonts w:hint="eastAsia" w:cs="Times New Roman"/>
                      <w:szCs w:val="24"/>
                    </w:rPr>
                    <w:t>1.本项目属于废塑料回收加工类项目，符合国家和自治区产业规划、产业政策、生态环境分区管控方案等相关要求，不属于高耗能、高排放、低水平项目。项目原辅材料、产品采用清洁运输方式</w:t>
                  </w:r>
                </w:p>
                <w:p w14:paraId="53A47617">
                  <w:pPr>
                    <w:pStyle w:val="32"/>
                    <w:jc w:val="both"/>
                    <w:rPr>
                      <w:rFonts w:cs="Times New Roman"/>
                      <w:szCs w:val="24"/>
                    </w:rPr>
                  </w:pPr>
                  <w:r>
                    <w:rPr>
                      <w:rFonts w:hint="eastAsia" w:cs="Times New Roman"/>
                      <w:szCs w:val="24"/>
                    </w:rPr>
                    <w:t>2.根据《产业结构调整指导目录（2024年本）》的要求，本项目属于鼓励类。项目工艺和装备不属于限制类涉气行业工艺和装备</w:t>
                  </w:r>
                </w:p>
              </w:tc>
              <w:tc>
                <w:tcPr>
                  <w:tcW w:w="416" w:type="pct"/>
                  <w:vAlign w:val="center"/>
                </w:tcPr>
                <w:p w14:paraId="67532027">
                  <w:pPr>
                    <w:pStyle w:val="32"/>
                    <w:rPr>
                      <w:rFonts w:cs="Times New Roman"/>
                      <w:szCs w:val="24"/>
                    </w:rPr>
                  </w:pPr>
                  <w:r>
                    <w:rPr>
                      <w:rFonts w:hint="eastAsia" w:cs="Times New Roman"/>
                      <w:szCs w:val="24"/>
                    </w:rPr>
                    <w:t>符合</w:t>
                  </w:r>
                </w:p>
              </w:tc>
            </w:tr>
            <w:tr w14:paraId="2FA48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9" w:hRule="atLeast"/>
              </w:trPr>
              <w:tc>
                <w:tcPr>
                  <w:tcW w:w="742" w:type="pct"/>
                  <w:vMerge w:val="continue"/>
                  <w:vAlign w:val="center"/>
                </w:tcPr>
                <w:p w14:paraId="18BA2AC9">
                  <w:pPr>
                    <w:pStyle w:val="32"/>
                    <w:rPr>
                      <w:rFonts w:hAnsi="宋体" w:cs="宋体"/>
                      <w:spacing w:val="-10"/>
                      <w:szCs w:val="21"/>
                    </w:rPr>
                  </w:pPr>
                </w:p>
              </w:tc>
              <w:tc>
                <w:tcPr>
                  <w:tcW w:w="2125" w:type="pct"/>
                  <w:vAlign w:val="center"/>
                </w:tcPr>
                <w:p w14:paraId="3908237B">
                  <w:pPr>
                    <w:pStyle w:val="32"/>
                    <w:rPr>
                      <w:rFonts w:cs="Times New Roman"/>
                      <w:szCs w:val="24"/>
                    </w:rPr>
                  </w:pPr>
                  <w:r>
                    <w:rPr>
                      <w:rFonts w:hint="eastAsia" w:cs="Times New Roman"/>
                      <w:szCs w:val="24"/>
                    </w:rPr>
                    <w:t>严格合理控制煤炭消费总量。在保障能源安全供应前提下，联防联控区合理控制新改扩建用煤项目；不得将使用石油焦、焦炭、兰炭等高污染燃料作为煤炭减量替代措施</w:t>
                  </w:r>
                </w:p>
              </w:tc>
              <w:tc>
                <w:tcPr>
                  <w:tcW w:w="1716" w:type="pct"/>
                  <w:vAlign w:val="center"/>
                </w:tcPr>
                <w:p w14:paraId="084603F2">
                  <w:pPr>
                    <w:pStyle w:val="32"/>
                    <w:rPr>
                      <w:rFonts w:cs="Times New Roman"/>
                      <w:szCs w:val="24"/>
                    </w:rPr>
                  </w:pPr>
                  <w:r>
                    <w:rPr>
                      <w:rFonts w:hint="eastAsia" w:cs="Times New Roman"/>
                      <w:szCs w:val="24"/>
                    </w:rPr>
                    <w:t>本项目能源消耗主要为电力，不涉及煤炭消耗</w:t>
                  </w:r>
                </w:p>
              </w:tc>
              <w:tc>
                <w:tcPr>
                  <w:tcW w:w="416" w:type="pct"/>
                  <w:vAlign w:val="center"/>
                </w:tcPr>
                <w:p w14:paraId="011221BA">
                  <w:pPr>
                    <w:pStyle w:val="32"/>
                    <w:rPr>
                      <w:rFonts w:cs="Times New Roman"/>
                      <w:szCs w:val="24"/>
                    </w:rPr>
                  </w:pPr>
                  <w:r>
                    <w:rPr>
                      <w:rFonts w:hint="eastAsia" w:cs="Times New Roman"/>
                      <w:szCs w:val="24"/>
                    </w:rPr>
                    <w:t>符合</w:t>
                  </w:r>
                </w:p>
              </w:tc>
            </w:tr>
            <w:tr w14:paraId="2A443A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2" w:type="pct"/>
                  <w:vAlign w:val="center"/>
                </w:tcPr>
                <w:p w14:paraId="5534652E">
                  <w:pPr>
                    <w:pStyle w:val="32"/>
                    <w:jc w:val="both"/>
                    <w:rPr>
                      <w:rFonts w:cs="Times New Roman"/>
                      <w:szCs w:val="24"/>
                    </w:rPr>
                  </w:pPr>
                  <w:r>
                    <w:rPr>
                      <w:rFonts w:hint="eastAsia" w:cs="Times New Roman"/>
                      <w:szCs w:val="24"/>
                    </w:rPr>
                    <w:t>《库尔勒市国土空间总体规划（2021—2035年）》</w:t>
                  </w:r>
                </w:p>
              </w:tc>
              <w:tc>
                <w:tcPr>
                  <w:tcW w:w="2125" w:type="pct"/>
                  <w:vAlign w:val="center"/>
                </w:tcPr>
                <w:p w14:paraId="561A835E">
                  <w:pPr>
                    <w:pStyle w:val="32"/>
                    <w:jc w:val="both"/>
                    <w:rPr>
                      <w:rFonts w:cs="Times New Roman"/>
                      <w:szCs w:val="24"/>
                    </w:rPr>
                  </w:pPr>
                  <w:r>
                    <w:rPr>
                      <w:rFonts w:hint="eastAsia" w:cs="Times New Roman"/>
                      <w:szCs w:val="24"/>
                    </w:rPr>
                    <w:t>规划范围：库尔勒市行政辖区内全部陆域国土面积，约6786.26平方公里。总体格局：打造“一心一带、两轴四区”国土空间总体格局。其中两轴指：库格发展轴、绿洲城镇发展轴。结合丝绸之路经济带综合运输大通道建设，打造库铁（库尔勒－铁门关）国家级综合交通枢纽。以南疆区域中心城市库尔勒为核心节点，涵盖尉犁、铁门关、焉耆、博糊等主要节点，加强兵地在国家物流枢纽建设领域合作。</w:t>
                  </w:r>
                </w:p>
              </w:tc>
              <w:tc>
                <w:tcPr>
                  <w:tcW w:w="1716" w:type="pct"/>
                  <w:vAlign w:val="center"/>
                </w:tcPr>
                <w:p w14:paraId="522E93A6">
                  <w:pPr>
                    <w:pStyle w:val="32"/>
                    <w:jc w:val="both"/>
                    <w:rPr>
                      <w:rFonts w:cs="Times New Roman"/>
                      <w:szCs w:val="24"/>
                    </w:rPr>
                  </w:pPr>
                  <w:r>
                    <w:rPr>
                      <w:rFonts w:hint="eastAsia" w:cs="Times New Roman"/>
                      <w:szCs w:val="24"/>
                    </w:rPr>
                    <w:t>本项目租赁</w:t>
                  </w:r>
                  <w:r>
                    <w:rPr>
                      <w:rFonts w:hint="eastAsia"/>
                    </w:rPr>
                    <w:t>库尔勒市哈拉玉宫乡废旧物资回收加工产业园</w:t>
                  </w:r>
                  <w:r>
                    <w:rPr>
                      <w:rFonts w:cs="Times New Roman"/>
                      <w:szCs w:val="24"/>
                    </w:rPr>
                    <w:t>18</w:t>
                  </w:r>
                  <w:r>
                    <w:rPr>
                      <w:rFonts w:hint="eastAsia" w:cs="Times New Roman"/>
                      <w:szCs w:val="24"/>
                    </w:rPr>
                    <w:t>号厂区，</w:t>
                  </w:r>
                  <w:r>
                    <w:rPr>
                      <w:rFonts w:ascii="Segoe UI" w:hAnsi="Segoe UI" w:cs="Segoe UI"/>
                      <w:color w:val="0F1115"/>
                      <w:shd w:val="clear" w:color="auto" w:fill="FFFFFF"/>
                    </w:rPr>
                    <w:t>新建厂房及沉淀池等配套设施</w:t>
                  </w:r>
                  <w:r>
                    <w:rPr>
                      <w:rFonts w:hint="eastAsia" w:cs="Times New Roman"/>
                      <w:szCs w:val="24"/>
                    </w:rPr>
                    <w:t>，推动废弃物资源化利用，符合循环经济和绿色发展理念，符合国家产业政策和所在地相关规划</w:t>
                  </w:r>
                </w:p>
              </w:tc>
              <w:tc>
                <w:tcPr>
                  <w:tcW w:w="416" w:type="pct"/>
                  <w:vAlign w:val="center"/>
                </w:tcPr>
                <w:p w14:paraId="5FE333B9">
                  <w:pPr>
                    <w:pStyle w:val="32"/>
                    <w:rPr>
                      <w:rFonts w:cs="Times New Roman"/>
                      <w:szCs w:val="24"/>
                    </w:rPr>
                  </w:pPr>
                  <w:r>
                    <w:rPr>
                      <w:rFonts w:hint="eastAsia" w:cs="Times New Roman"/>
                      <w:szCs w:val="24"/>
                    </w:rPr>
                    <w:t>符合</w:t>
                  </w:r>
                </w:p>
              </w:tc>
            </w:tr>
            <w:tr w14:paraId="04427B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2" w:type="pct"/>
                  <w:vAlign w:val="center"/>
                </w:tcPr>
                <w:p w14:paraId="167378D0">
                  <w:pPr>
                    <w:pStyle w:val="32"/>
                    <w:rPr>
                      <w:rFonts w:cs="Times New Roman"/>
                      <w:szCs w:val="24"/>
                    </w:rPr>
                  </w:pPr>
                  <w:r>
                    <w:rPr>
                      <w:rFonts w:hint="eastAsia"/>
                      <w:color w:val="000000"/>
                    </w:rPr>
                    <w:t>巴音郭楞蒙古自治州生态环境“十四五”规划（修订版）</w:t>
                  </w:r>
                </w:p>
              </w:tc>
              <w:tc>
                <w:tcPr>
                  <w:tcW w:w="2125" w:type="pct"/>
                  <w:vAlign w:val="center"/>
                </w:tcPr>
                <w:p w14:paraId="66EE7B9B">
                  <w:pPr>
                    <w:pStyle w:val="32"/>
                    <w:jc w:val="both"/>
                    <w:rPr>
                      <w:rFonts w:cs="Times New Roman"/>
                      <w:szCs w:val="24"/>
                    </w:rPr>
                  </w:pPr>
                  <w:r>
                    <w:rPr>
                      <w:rFonts w:cs="Times New Roman"/>
                      <w:kern w:val="0"/>
                      <w:szCs w:val="20"/>
                    </w:rPr>
                    <w:t>到2025年，大气、水、土壤、生态环境质量持续改善。加强治沙、防尘、减污、降碳，做好轻、中度污染天气的应急处置工作，空气质量有所提升，碳排放强度得到有效控制</w:t>
                  </w:r>
                  <w:r>
                    <w:rPr>
                      <w:rFonts w:hint="eastAsia" w:cs="Times New Roman"/>
                      <w:kern w:val="0"/>
                      <w:szCs w:val="20"/>
                    </w:rPr>
                    <w:t>；</w:t>
                  </w:r>
                  <w:r>
                    <w:rPr>
                      <w:rFonts w:cs="Times New Roman"/>
                      <w:kern w:val="0"/>
                      <w:szCs w:val="20"/>
                    </w:rPr>
                    <w:t>以水生态保护为核心的水环境、水生态、水资源统筹推进格局初步形成</w:t>
                  </w:r>
                  <w:r>
                    <w:rPr>
                      <w:rFonts w:hint="eastAsia" w:cs="Times New Roman"/>
                      <w:kern w:val="0"/>
                      <w:szCs w:val="20"/>
                    </w:rPr>
                    <w:t>；</w:t>
                  </w:r>
                  <w:r>
                    <w:rPr>
                      <w:rFonts w:cs="Times New Roman"/>
                      <w:kern w:val="0"/>
                      <w:szCs w:val="20"/>
                    </w:rPr>
                    <w:t>土壤风险管控和安全利用水平逐步提高，固体废物与化学品环境风险防控能力明显增强，环境风险有效控制</w:t>
                  </w:r>
                  <w:r>
                    <w:rPr>
                      <w:rFonts w:hint="eastAsia" w:cs="Times New Roman"/>
                      <w:kern w:val="0"/>
                      <w:szCs w:val="20"/>
                    </w:rPr>
                    <w:t>；</w:t>
                  </w:r>
                  <w:r>
                    <w:rPr>
                      <w:rFonts w:cs="Times New Roman"/>
                      <w:kern w:val="0"/>
                      <w:szCs w:val="20"/>
                    </w:rPr>
                    <w:t>生态系统稳定性和生态状况稳步提升</w:t>
                  </w:r>
                  <w:r>
                    <w:rPr>
                      <w:rFonts w:hint="eastAsia" w:cs="Times New Roman"/>
                      <w:kern w:val="0"/>
                      <w:szCs w:val="20"/>
                    </w:rPr>
                    <w:t>；</w:t>
                  </w:r>
                  <w:r>
                    <w:rPr>
                      <w:rFonts w:cs="Times New Roman"/>
                      <w:kern w:val="0"/>
                      <w:szCs w:val="20"/>
                    </w:rPr>
                    <w:t>科学、独立、权威、高效的生态环境监测体系基本建成，监测预报预警、信息化能力、质量管理和保障水平进一步提升</w:t>
                  </w:r>
                  <w:r>
                    <w:rPr>
                      <w:rFonts w:hint="eastAsia" w:cs="Times New Roman"/>
                      <w:kern w:val="0"/>
                      <w:szCs w:val="20"/>
                    </w:rPr>
                    <w:t>；</w:t>
                  </w:r>
                  <w:r>
                    <w:rPr>
                      <w:rFonts w:cs="Times New Roman"/>
                      <w:kern w:val="0"/>
                      <w:szCs w:val="20"/>
                    </w:rPr>
                    <w:t>经济发展与生态环境保护进一步融合，生态环境治理能力稳步提升，美丽巴州建设取得积极成效</w:t>
                  </w:r>
                </w:p>
              </w:tc>
              <w:tc>
                <w:tcPr>
                  <w:tcW w:w="1716" w:type="pct"/>
                  <w:vAlign w:val="center"/>
                </w:tcPr>
                <w:p w14:paraId="6608E46A">
                  <w:pPr>
                    <w:pStyle w:val="32"/>
                    <w:jc w:val="both"/>
                    <w:rPr>
                      <w:rFonts w:cs="Times New Roman"/>
                      <w:szCs w:val="24"/>
                    </w:rPr>
                  </w:pPr>
                  <w:r>
                    <w:rPr>
                      <w:rFonts w:ascii="Segoe UI" w:hAnsi="Segoe UI" w:cs="Segoe UI"/>
                      <w:color w:val="0F1115"/>
                      <w:shd w:val="clear" w:color="auto" w:fill="FFFFFF"/>
                    </w:rPr>
                    <w:t>本项目属于废塑料混合料回收加工类项目，主要工艺包括破碎、清洗、甩干及分选。通过采购破碎机、空分机、甩干机等主要生产设备，实现自动化生产</w:t>
                  </w:r>
                  <w:r>
                    <w:rPr>
                      <w:rFonts w:hint="eastAsia"/>
                      <w:color w:val="000000"/>
                    </w:rPr>
                    <w:t>。其中，粉碎与破碎工序采用湿法作业，有效抑制粉尘产生；清洗用水经沉淀池处理后循环使用，不外排，符合节水及污染防治要求。推进资源综合利用，符合循环经济。废气、废水、固废等均采取有效污染防治措施，确保达标排放，环境影响可控。</w:t>
                  </w:r>
                </w:p>
              </w:tc>
              <w:tc>
                <w:tcPr>
                  <w:tcW w:w="416" w:type="pct"/>
                  <w:vAlign w:val="center"/>
                </w:tcPr>
                <w:p w14:paraId="7E2FA10D">
                  <w:pPr>
                    <w:pStyle w:val="32"/>
                    <w:rPr>
                      <w:rFonts w:cs="Times New Roman"/>
                      <w:szCs w:val="24"/>
                    </w:rPr>
                  </w:pPr>
                  <w:r>
                    <w:rPr>
                      <w:rFonts w:hint="eastAsia"/>
                      <w:color w:val="000000" w:themeColor="text1"/>
                      <w14:textFill>
                        <w14:solidFill>
                          <w14:schemeClr w14:val="tx1"/>
                        </w14:solidFill>
                      </w14:textFill>
                    </w:rPr>
                    <w:t>符合</w:t>
                  </w:r>
                </w:p>
              </w:tc>
            </w:tr>
            <w:tr w14:paraId="4BB48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2" w:type="pct"/>
                  <w:vAlign w:val="center"/>
                </w:tcPr>
                <w:p w14:paraId="057BD573">
                  <w:pPr>
                    <w:pStyle w:val="32"/>
                    <w:jc w:val="both"/>
                    <w:rPr>
                      <w:color w:val="000000"/>
                    </w:rPr>
                  </w:pPr>
                  <w:r>
                    <w:rPr>
                      <w:rFonts w:hint="eastAsia" w:cs="Times New Roman"/>
                      <w:szCs w:val="21"/>
                    </w:rPr>
                    <w:t>《国务院关于印发〈空气质量持续改善行动计划〉的通知》（国发〔2023〕24号）及自治区实施方案</w:t>
                  </w:r>
                </w:p>
              </w:tc>
              <w:tc>
                <w:tcPr>
                  <w:tcW w:w="2125" w:type="pct"/>
                  <w:vAlign w:val="center"/>
                </w:tcPr>
                <w:p w14:paraId="7AB8526C">
                  <w:pPr>
                    <w:pStyle w:val="32"/>
                    <w:rPr>
                      <w:rFonts w:cs="Times New Roman"/>
                      <w:kern w:val="0"/>
                      <w:szCs w:val="20"/>
                    </w:rPr>
                  </w:pPr>
                  <w:r>
                    <w:rPr>
                      <w:rFonts w:hint="eastAsia" w:cs="Times New Roman"/>
                      <w:szCs w:val="24"/>
                    </w:rPr>
                    <w:t>坚决遏制高耗能、高排放、低水平项目盲目上马。新改扩建项目严格落实国家产业规划、产业政策、生态环境分区管控方案、规划环评、项目环评、节能审查、产能置换、重点污染物总量控制、污染物排放区域削减、碳排放达峰目标等相关要求，原则上采用清洁运输方式。涉及产能置换的项目，被置换产能及其配套设施关停后，新建项目方可投产。</w:t>
                  </w:r>
                </w:p>
              </w:tc>
              <w:tc>
                <w:tcPr>
                  <w:tcW w:w="1716" w:type="pct"/>
                  <w:vAlign w:val="center"/>
                </w:tcPr>
                <w:p w14:paraId="0C3EFB8A">
                  <w:pPr>
                    <w:pStyle w:val="32"/>
                    <w:rPr>
                      <w:color w:val="000000"/>
                    </w:rPr>
                  </w:pPr>
                  <w:r>
                    <w:rPr>
                      <w:rFonts w:hint="eastAsia" w:cs="Times New Roman"/>
                      <w:szCs w:val="24"/>
                    </w:rPr>
                    <w:t>本项目不属于《产业结构调整指导目录》中的限制或淘汰类，且项目的能耗与排放强度显著低于同规模原生塑料制造，符合国家产业政策和生态环境分区管控要求。</w:t>
                  </w:r>
                  <w:r>
                    <w:rPr>
                      <w:rFonts w:ascii="Segoe UI" w:hAnsi="Segoe UI" w:cs="Segoe UI"/>
                      <w:color w:val="0F1115"/>
                      <w:shd w:val="clear" w:color="auto" w:fill="FFFFFF"/>
                    </w:rPr>
                    <w:t>本项目通过废塑料回收再生，从源头实现碳减排和污染物削减</w:t>
                  </w:r>
                  <w:r>
                    <w:rPr>
                      <w:rFonts w:hint="eastAsia" w:cs="Times New Roman"/>
                      <w:szCs w:val="24"/>
                    </w:rPr>
                    <w:t>，能效水平先进，运输方案优先采用清洁方式，坚决杜绝盲目发展，完全符合国家关于遏制“两高一低”项目、推动绿色低碳高质量发展的政策导向</w:t>
                  </w:r>
                </w:p>
              </w:tc>
              <w:tc>
                <w:tcPr>
                  <w:tcW w:w="416" w:type="pct"/>
                  <w:vAlign w:val="center"/>
                </w:tcPr>
                <w:p w14:paraId="67448BD0">
                  <w:pPr>
                    <w:pStyle w:val="32"/>
                    <w:rPr>
                      <w:color w:val="000000" w:themeColor="text1"/>
                      <w14:textFill>
                        <w14:solidFill>
                          <w14:schemeClr w14:val="tx1"/>
                        </w14:solidFill>
                      </w14:textFill>
                    </w:rPr>
                  </w:pPr>
                  <w:r>
                    <w:rPr>
                      <w:rFonts w:hint="eastAsia" w:cs="Times New Roman"/>
                      <w:szCs w:val="24"/>
                    </w:rPr>
                    <w:t>符合</w:t>
                  </w:r>
                </w:p>
              </w:tc>
            </w:tr>
            <w:tr w14:paraId="22DFDD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42" w:type="pct"/>
                  <w:vAlign w:val="center"/>
                </w:tcPr>
                <w:p w14:paraId="6836CA5B">
                  <w:pPr>
                    <w:pStyle w:val="32"/>
                    <w:jc w:val="both"/>
                    <w:rPr>
                      <w:color w:val="000000"/>
                    </w:rPr>
                  </w:pPr>
                  <w:r>
                    <w:rPr>
                      <w:rFonts w:hint="eastAsia" w:cs="Times New Roman"/>
                      <w:szCs w:val="21"/>
                    </w:rPr>
                    <w:t>《2024—2025年节能降碳行动方案》</w:t>
                  </w:r>
                </w:p>
              </w:tc>
              <w:tc>
                <w:tcPr>
                  <w:tcW w:w="2125" w:type="pct"/>
                  <w:vAlign w:val="center"/>
                </w:tcPr>
                <w:p w14:paraId="18FDE1AC">
                  <w:pPr>
                    <w:pStyle w:val="32"/>
                    <w:jc w:val="both"/>
                    <w:rPr>
                      <w:rFonts w:cs="Times New Roman"/>
                      <w:kern w:val="0"/>
                      <w:szCs w:val="20"/>
                    </w:rPr>
                  </w:pPr>
                  <w:r>
                    <w:rPr>
                      <w:rFonts w:hint="eastAsia" w:cs="Times New Roman"/>
                      <w:szCs w:val="24"/>
                    </w:rPr>
                    <w:t>以习近平新时代中国特色社会主义思想为指导，深入贯彻党的二十大精神，全面贯彻习近平经济思想、习近平生态文明思想，坚持稳中求进工作总基调，完整、准确、全面贯彻新发展理念，一以贯之坚持节约优先方针，完善能源消耗总量和强度调控，重点控制化石能源消费，强化碳排放强度管理，分领域分行业实施节能降碳专项行动，更高水平更高质量做好节能降碳工作，更好发挥节能降碳的经济效益、社会效益和生态效益，为实现碳达峰碳中和目标奠定坚实基础</w:t>
                  </w:r>
                </w:p>
              </w:tc>
              <w:tc>
                <w:tcPr>
                  <w:tcW w:w="1716" w:type="pct"/>
                  <w:vAlign w:val="center"/>
                </w:tcPr>
                <w:p w14:paraId="5EC74A71">
                  <w:pPr>
                    <w:pStyle w:val="32"/>
                    <w:rPr>
                      <w:color w:val="000000"/>
                    </w:rPr>
                  </w:pPr>
                  <w:r>
                    <w:rPr>
                      <w:rFonts w:hint="eastAsia" w:cs="Times New Roman"/>
                      <w:szCs w:val="24"/>
                    </w:rPr>
                    <w:t>本项目以废塑料分离、破碎为核心环节，通过高效回收再生废弃塑料资源，直接践行节约优先方针和绿色发展理念，有效减少化石能源消耗与碳排放，完全符合国家关于推动节能降碳、发展循环经济的总体战略要求，并为实现碳达峰碳中和目标提供具体的产业支撑</w:t>
                  </w:r>
                </w:p>
              </w:tc>
              <w:tc>
                <w:tcPr>
                  <w:tcW w:w="416" w:type="pct"/>
                  <w:vAlign w:val="center"/>
                </w:tcPr>
                <w:p w14:paraId="1E7FAB6B">
                  <w:pPr>
                    <w:pStyle w:val="32"/>
                    <w:rPr>
                      <w:color w:val="000000" w:themeColor="text1"/>
                      <w14:textFill>
                        <w14:solidFill>
                          <w14:schemeClr w14:val="tx1"/>
                        </w14:solidFill>
                      </w14:textFill>
                    </w:rPr>
                  </w:pPr>
                  <w:r>
                    <w:rPr>
                      <w:rFonts w:hint="eastAsia" w:cs="Times New Roman"/>
                      <w:szCs w:val="24"/>
                    </w:rPr>
                    <w:t>符合</w:t>
                  </w:r>
                </w:p>
              </w:tc>
            </w:tr>
            <w:bookmarkEnd w:id="5"/>
            <w:bookmarkEnd w:id="6"/>
          </w:tbl>
          <w:p w14:paraId="0144F321">
            <w:pPr>
              <w:ind w:firstLine="0" w:firstLineChars="0"/>
            </w:pPr>
          </w:p>
        </w:tc>
      </w:tr>
    </w:tbl>
    <w:p w14:paraId="4136726C">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二、建设项目工程分析</w:t>
      </w:r>
    </w:p>
    <w:tbl>
      <w:tblPr>
        <w:tblStyle w:val="24"/>
        <w:tblW w:w="9060" w:type="dxa"/>
        <w:tblInd w:w="10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41"/>
        <w:gridCol w:w="8741"/>
      </w:tblGrid>
      <w:tr w14:paraId="65AF1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trPr>
        <w:tc>
          <w:tcPr>
            <w:tcW w:w="457" w:type="dxa"/>
            <w:vAlign w:val="center"/>
          </w:tcPr>
          <w:p w14:paraId="60D079E4">
            <w:pPr>
              <w:widowControl/>
              <w:adjustRightInd w:val="0"/>
              <w:snapToGrid w:val="0"/>
              <w:spacing w:line="240" w:lineRule="auto"/>
              <w:ind w:firstLine="0" w:firstLineChars="0"/>
              <w:jc w:val="center"/>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建设内容</w:t>
            </w:r>
          </w:p>
        </w:tc>
        <w:tc>
          <w:tcPr>
            <w:tcW w:w="8603" w:type="dxa"/>
          </w:tcPr>
          <w:p w14:paraId="38E105CE">
            <w:pPr>
              <w:pStyle w:val="3"/>
              <w:rPr>
                <w:color w:val="000000" w:themeColor="text1"/>
                <w14:textFill>
                  <w14:solidFill>
                    <w14:schemeClr w14:val="tx1"/>
                  </w14:solidFill>
                </w14:textFill>
              </w:rPr>
            </w:pPr>
            <w:r>
              <w:rPr>
                <w:color w:val="000000" w:themeColor="text1"/>
                <w14:textFill>
                  <w14:solidFill>
                    <w14:schemeClr w14:val="tx1"/>
                  </w14:solidFill>
                </w14:textFill>
              </w:rPr>
              <w:t>2.1</w:t>
            </w:r>
            <w:r>
              <w:rPr>
                <w:rFonts w:hint="eastAsia"/>
                <w:color w:val="000000" w:themeColor="text1"/>
                <w14:textFill>
                  <w14:solidFill>
                    <w14:schemeClr w14:val="tx1"/>
                  </w14:solidFill>
                </w14:textFill>
              </w:rPr>
              <w:t>项目由来</w:t>
            </w:r>
          </w:p>
          <w:p w14:paraId="29A46ADB">
            <w:pPr>
              <w:ind w:firstLine="480"/>
              <w:rPr>
                <w:rFonts w:cs="Times New Roman"/>
                <w:color w:val="000000" w:themeColor="text1"/>
                <w:shd w:val="clear" w:color="auto" w:fill="FFFFFF"/>
                <w14:textFill>
                  <w14:solidFill>
                    <w14:schemeClr w14:val="tx1"/>
                  </w14:solidFill>
                </w14:textFill>
              </w:rPr>
            </w:pPr>
            <w:r>
              <w:rPr>
                <w:rFonts w:cs="Times New Roman"/>
                <w:color w:val="000000" w:themeColor="text1"/>
                <w14:textFill>
                  <w14:solidFill>
                    <w14:schemeClr w14:val="tx1"/>
                  </w14:solidFill>
                </w14:textFill>
              </w:rPr>
              <w:t>新疆飞在远方再生资源有限公司成立于2025年3月26日，主要从事再生资源回收与销售业务。该公司租赁了中环惠科（新疆）资源循环利用有限公司位于库尔勒市哈拉玉宫</w:t>
            </w:r>
            <w:r>
              <w:rPr>
                <w:rFonts w:hint="eastAsia"/>
                <w:color w:val="000000" w:themeColor="text1"/>
                <w14:textFill>
                  <w14:solidFill>
                    <w14:schemeClr w14:val="tx1"/>
                  </w14:solidFill>
                </w14:textFill>
              </w:rPr>
              <w:t>乡</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废旧物资回收加工产业园18号厂区。</w:t>
            </w:r>
            <w:r>
              <w:rPr>
                <w:rFonts w:cs="Times New Roman"/>
                <w:color w:val="0F1115"/>
                <w:shd w:val="clear" w:color="auto" w:fill="FFFFFF"/>
              </w:rPr>
              <w:t>厂区内现有一间已建成的办公室（为租赁使用），另由业主自行建设了一座半封闭式大棚（仅设置顶棚遮雨</w:t>
            </w:r>
            <w:r>
              <w:rPr>
                <w:rFonts w:cs="Times New Roman"/>
                <w:color w:val="000000" w:themeColor="text1"/>
                <w:shd w:val="clear" w:color="auto" w:fill="FFFFFF"/>
                <w14:textFill>
                  <w14:solidFill>
                    <w14:schemeClr w14:val="tx1"/>
                  </w14:solidFill>
                </w14:textFill>
              </w:rPr>
              <w:t>）。大棚内已建成一条废塑料破碎生产线，主要设备包括1台破碎机</w:t>
            </w:r>
            <w:r>
              <w:rPr>
                <w:rFonts w:hint="eastAsia" w:cs="Times New Roman"/>
                <w:color w:val="000000" w:themeColor="text1"/>
                <w:shd w:val="clear" w:color="auto" w:fill="FFFFFF"/>
                <w14:textFill>
                  <w14:solidFill>
                    <w14:schemeClr w14:val="tx1"/>
                  </w14:solidFill>
                </w14:textFill>
              </w:rPr>
              <w:t>、1台空分机和</w:t>
            </w:r>
            <w:r>
              <w:rPr>
                <w:rFonts w:cs="Times New Roman"/>
                <w:color w:val="000000" w:themeColor="text1"/>
                <w:shd w:val="clear" w:color="auto" w:fill="FFFFFF"/>
                <w14:textFill>
                  <w14:solidFill>
                    <w14:schemeClr w14:val="tx1"/>
                  </w14:solidFill>
                </w14:textFill>
              </w:rPr>
              <w:t>带式输送机</w:t>
            </w:r>
            <w:r>
              <w:rPr>
                <w:rFonts w:hint="eastAsia" w:cs="Times New Roman"/>
                <w:color w:val="000000" w:themeColor="text1"/>
                <w:szCs w:val="32"/>
                <w14:textFill>
                  <w14:solidFill>
                    <w14:schemeClr w14:val="tx1"/>
                  </w14:solidFill>
                </w14:textFill>
              </w:rPr>
              <w:t>，根据《建设项目环境影响评价分类管理名录》（2021年版）的相关规定，不含水洗工艺仅破碎工艺的废塑料加工处理可不纳入建设项目环境影响评价管理。</w:t>
            </w:r>
          </w:p>
          <w:p w14:paraId="0CAA46C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在现有仅进行分拣、破碎的基础上进行改造，新建封闭式厂房，新增水洗分选工艺，建成一条含金属废塑料资源化利用生产线，年处理能力3万吨（含金属废塑料）。项目可有效分离塑料中的金属杂质，产出洁净塑料碎片及回收金属，实现废弃物高值化利用</w:t>
            </w:r>
            <w:r>
              <w:rPr>
                <w:color w:val="000000" w:themeColor="text1"/>
                <w14:textFill>
                  <w14:solidFill>
                    <w14:schemeClr w14:val="tx1"/>
                  </w14:solidFill>
                </w14:textFill>
              </w:rPr>
              <w:t>。</w:t>
            </w:r>
          </w:p>
          <w:p w14:paraId="4B7E893C">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本项目原料来源于上游金属分选厂提供的废塑料（含少量金属残留）。该混合料为金属分选厂对其上游原料进行破碎、分选后所得的副产物，其上游原料主要由两部分构成：</w:t>
            </w:r>
          </w:p>
          <w:p w14:paraId="22E95B11">
            <w:pPr>
              <w:ind w:firstLine="48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1、报废机动车破碎料：</w:t>
            </w:r>
            <w:r>
              <w:rPr>
                <w:rFonts w:cs="Times New Roman"/>
                <w:color w:val="000000" w:themeColor="text1"/>
                <w14:textFill>
                  <w14:solidFill>
                    <w14:schemeClr w14:val="tx1"/>
                  </w14:solidFill>
                </w14:textFill>
              </w:rPr>
              <w:t>经正规拆解（已移除轮胎、电池、废油液等危险废物及可回收件）并破碎后的车身结构、内饰及机电零部件等；</w:t>
            </w:r>
          </w:p>
          <w:p w14:paraId="2C27F765">
            <w:pPr>
              <w:ind w:firstLine="482"/>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2</w:t>
            </w:r>
            <w:r>
              <w:rPr>
                <w:rFonts w:cs="Times New Roman"/>
                <w:color w:val="000000" w:themeColor="text1"/>
                <w14:textFill>
                  <w14:solidFill>
                    <w14:schemeClr w14:val="tx1"/>
                  </w14:solidFill>
                </w14:textFill>
              </w:rPr>
              <w:t>、</w:t>
            </w:r>
            <w:r>
              <w:rPr>
                <w:rFonts w:cs="Times New Roman"/>
                <w:b/>
                <w:bCs/>
                <w:color w:val="000000" w:themeColor="text1"/>
                <w14:textFill>
                  <w14:solidFill>
                    <w14:schemeClr w14:val="tx1"/>
                  </w14:solidFill>
                </w14:textFill>
              </w:rPr>
              <w:t>生活源含铁杂物料：</w:t>
            </w:r>
            <w:r>
              <w:rPr>
                <w:rFonts w:cs="Times New Roman"/>
                <w:color w:val="000000" w:themeColor="text1"/>
                <w14:textFill>
                  <w14:solidFill>
                    <w14:schemeClr w14:val="tx1"/>
                  </w14:solidFill>
                </w14:textFill>
              </w:rPr>
              <w:t>来源于日常生活中回收的带铁制品（如废弃热水器、锅、碗等）。</w:t>
            </w:r>
          </w:p>
          <w:p w14:paraId="5411F81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本项目所用原料为金属分选厂处理后的产出物料，其中残留的金属成分主要为铜、锌、铝、不锈钢。原料中不包含任何已单独分流的危险废物及其他工业废物。</w:t>
            </w:r>
          </w:p>
          <w:p w14:paraId="591C3A3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根据《中华人民共和国环境影响评价法》和《建设项目环境保护管理条例》的有关规定，建设项目应依法履行环境影响评价手续。</w:t>
            </w:r>
          </w:p>
          <w:p w14:paraId="2AF2C2E6">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依据《</w:t>
            </w:r>
            <w:bookmarkStart w:id="7" w:name="OLE_LINK1"/>
            <w:r>
              <w:rPr>
                <w:rFonts w:hint="eastAsia"/>
                <w:color w:val="000000" w:themeColor="text1"/>
                <w14:textFill>
                  <w14:solidFill>
                    <w14:schemeClr w14:val="tx1"/>
                  </w14:solidFill>
                </w14:textFill>
              </w:rPr>
              <w:t>建设项目环境影响评价分类管理名录</w:t>
            </w:r>
            <w:bookmarkEnd w:id="7"/>
            <w:r>
              <w:rPr>
                <w:rFonts w:hint="eastAsia"/>
                <w:color w:val="000000" w:themeColor="text1"/>
                <w14:textFill>
                  <w14:solidFill>
                    <w14:schemeClr w14:val="tx1"/>
                  </w14:solidFill>
                </w14:textFill>
              </w:rPr>
              <w:t>》（2021年版）的相关规定，本项目对回收的废金属进行破碎，同时对废塑料进行清洗、破碎及分选。根据名录要求，本项目需编制环境影响报告表。判定依据如下：</w:t>
            </w:r>
          </w:p>
          <w:p w14:paraId="3E2BC6C0">
            <w:pPr>
              <w:spacing w:line="240" w:lineRule="auto"/>
              <w:ind w:firstLine="422"/>
              <w:jc w:val="center"/>
              <w:rPr>
                <w:rFonts w:cs="Times New Roman"/>
                <w:b/>
                <w:bCs/>
                <w:color w:val="000000"/>
                <w:sz w:val="21"/>
                <w:szCs w:val="21"/>
              </w:rPr>
            </w:pPr>
            <w:r>
              <w:rPr>
                <w:rFonts w:cs="Times New Roman"/>
                <w:b/>
                <w:bCs/>
                <w:color w:val="000000"/>
                <w:sz w:val="21"/>
                <w:szCs w:val="21"/>
              </w:rPr>
              <w:t>表2-1  《建设项目环境影响评价分类管理名录》（2021版）（节选）</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1950"/>
              <w:gridCol w:w="917"/>
              <w:gridCol w:w="3259"/>
              <w:gridCol w:w="697"/>
              <w:gridCol w:w="1150"/>
            </w:tblGrid>
            <w:tr w14:paraId="6FA1A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455" w:type="pct"/>
                  <w:gridSpan w:val="2"/>
                  <w:vAlign w:val="center"/>
                </w:tcPr>
                <w:p w14:paraId="30747B62">
                  <w:pPr>
                    <w:spacing w:line="240" w:lineRule="auto"/>
                    <w:ind w:firstLine="632" w:firstLineChars="300"/>
                    <w:jc w:val="center"/>
                    <w:rPr>
                      <w:rFonts w:cs="Times New Roman"/>
                      <w:color w:val="000000" w:themeColor="text1"/>
                      <w:sz w:val="21"/>
                      <w:szCs w:val="21"/>
                      <w14:textFill>
                        <w14:solidFill>
                          <w14:schemeClr w14:val="tx1"/>
                        </w14:solidFill>
                      </w14:textFill>
                    </w:rPr>
                  </w:pPr>
                  <w:r>
                    <w:rPr>
                      <w:rFonts w:cs="Times New Roman"/>
                      <w:b/>
                      <w:bCs/>
                      <w:color w:val="000000"/>
                      <w:sz w:val="21"/>
                      <w:szCs w:val="21"/>
                    </w:rPr>
                    <mc:AlternateContent>
                      <mc:Choice Requires="wps">
                        <w:drawing>
                          <wp:anchor distT="0" distB="0" distL="114300" distR="114300" simplePos="0" relativeHeight="251659264" behindDoc="0" locked="0" layoutInCell="1" allowOverlap="1">
                            <wp:simplePos x="0" y="0"/>
                            <wp:positionH relativeFrom="column">
                              <wp:posOffset>-32385</wp:posOffset>
                            </wp:positionH>
                            <wp:positionV relativeFrom="paragraph">
                              <wp:posOffset>15875</wp:posOffset>
                            </wp:positionV>
                            <wp:extent cx="1530350" cy="556895"/>
                            <wp:effectExtent l="1905" t="4445" r="6985" b="17780"/>
                            <wp:wrapNone/>
                            <wp:docPr id="2" name="直接连接符 2"/>
                            <wp:cNvGraphicFramePr/>
                            <a:graphic xmlns:a="http://schemas.openxmlformats.org/drawingml/2006/main">
                              <a:graphicData uri="http://schemas.microsoft.com/office/word/2010/wordprocessingShape">
                                <wps:wsp>
                                  <wps:cNvCnPr/>
                                  <wps:spPr>
                                    <a:xfrm>
                                      <a:off x="0" y="0"/>
                                      <a:ext cx="1530350" cy="5568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55pt;margin-top:1.25pt;height:43.85pt;width:120.5pt;z-index:251659264;mso-width-relative:page;mso-height-relative:page;" filled="f" stroked="t" coordsize="21600,21600" o:gfxdata="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tSgGtUAAAAH&#10;AQAADwAAAAAAAAABACAAAAAiAAAAZHJzL2Rvd25yZXYueG1sUEsBAhQAFAAAAAgAh07iQPsyph/m&#10;AQAAtgMAAA4AAAAAAAAAAQAgAAAAJAEAAGRycy9lMm9Eb2MueG1sUEsFBgAAAAAGAAYAWQEAAHwF&#10;AAAAAA==&#10;">
                            <v:fill on="f" focussize="0,0"/>
                            <v:stroke weight="0.5pt" color="#000000 [3200]" miterlimit="8" joinstyle="miter"/>
                            <v:imagedata o:title=""/>
                            <o:lock v:ext="edit" aspectratio="f"/>
                          </v:line>
                        </w:pict>
                      </mc:Fallback>
                    </mc:AlternateContent>
                  </w:r>
                  <w:r>
                    <w:rPr>
                      <w:rFonts w:hint="eastAsia" w:cs="Times New Roman"/>
                      <w:color w:val="000000" w:themeColor="text1"/>
                      <w:sz w:val="21"/>
                      <w:szCs w:val="21"/>
                      <w14:textFill>
                        <w14:solidFill>
                          <w14:schemeClr w14:val="tx1"/>
                        </w14:solidFill>
                      </w14:textFill>
                    </w:rPr>
                    <w:t>环评类别</w:t>
                  </w:r>
                </w:p>
                <w:p w14:paraId="7FAE2AF3">
                  <w:pPr>
                    <w:spacing w:line="240" w:lineRule="auto"/>
                    <w:ind w:firstLine="0" w:firstLineChars="0"/>
                    <w:rPr>
                      <w:rFonts w:cs="Times New Roman"/>
                      <w:color w:val="000000" w:themeColor="text1"/>
                      <w:sz w:val="21"/>
                      <w:szCs w:val="21"/>
                      <w14:textFill>
                        <w14:solidFill>
                          <w14:schemeClr w14:val="tx1"/>
                        </w14:solidFill>
                      </w14:textFill>
                    </w:rPr>
                  </w:pPr>
                </w:p>
                <w:p w14:paraId="57B2B000">
                  <w:pPr>
                    <w:spacing w:line="240" w:lineRule="auto"/>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项目类别</w:t>
                  </w:r>
                </w:p>
              </w:tc>
              <w:tc>
                <w:tcPr>
                  <w:tcW w:w="540" w:type="pct"/>
                  <w:vAlign w:val="center"/>
                </w:tcPr>
                <w:p w14:paraId="7D16D66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报告书</w:t>
                  </w:r>
                </w:p>
              </w:tc>
              <w:tc>
                <w:tcPr>
                  <w:tcW w:w="1918" w:type="pct"/>
                  <w:shd w:val="clear" w:color="auto" w:fill="E7E6E6" w:themeFill="background2"/>
                  <w:vAlign w:val="center"/>
                </w:tcPr>
                <w:p w14:paraId="702CF90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报告表</w:t>
                  </w:r>
                </w:p>
              </w:tc>
              <w:tc>
                <w:tcPr>
                  <w:tcW w:w="410" w:type="pct"/>
                  <w:vAlign w:val="center"/>
                </w:tcPr>
                <w:p w14:paraId="085B3F78">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登记表</w:t>
                  </w:r>
                </w:p>
              </w:tc>
              <w:tc>
                <w:tcPr>
                  <w:tcW w:w="674" w:type="pct"/>
                  <w:vAlign w:val="center"/>
                </w:tcPr>
                <w:p w14:paraId="2F9E86AF">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本栏目环境敏感区含义</w:t>
                  </w:r>
                </w:p>
              </w:tc>
            </w:tr>
            <w:tr w14:paraId="6DEA8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6"/>
                  <w:shd w:val="clear" w:color="auto" w:fill="E7E6E6" w:themeFill="background2"/>
                  <w:vAlign w:val="center"/>
                </w:tcPr>
                <w:p w14:paraId="26CBA7A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三十九、废弃资源综合利用业42</w:t>
                  </w:r>
                </w:p>
              </w:tc>
            </w:tr>
            <w:tr w14:paraId="06971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7" w:type="pct"/>
                  <w:vAlign w:val="center"/>
                </w:tcPr>
                <w:p w14:paraId="5951CD2D">
                  <w:pPr>
                    <w:spacing w:line="240" w:lineRule="auto"/>
                    <w:ind w:firstLine="0" w:firstLineChars="0"/>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85</w:t>
                  </w:r>
                </w:p>
              </w:tc>
              <w:tc>
                <w:tcPr>
                  <w:tcW w:w="1148" w:type="pct"/>
                  <w:vAlign w:val="center"/>
                </w:tcPr>
                <w:p w14:paraId="323917C8">
                  <w:pPr>
                    <w:spacing w:line="240" w:lineRule="auto"/>
                    <w:ind w:firstLine="0" w:firstLineChars="0"/>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金属废料和碎屑加工处理421；非金属废料和碎屑加工处理422（421和422均不含原料为危险废物的，均不含仅分拣、破碎的）</w:t>
                  </w:r>
                </w:p>
              </w:tc>
              <w:tc>
                <w:tcPr>
                  <w:tcW w:w="540" w:type="pct"/>
                  <w:vAlign w:val="center"/>
                </w:tcPr>
                <w:p w14:paraId="535224BA">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olor w:val="000000"/>
                      <w:sz w:val="21"/>
                      <w:szCs w:val="21"/>
                    </w:rPr>
                    <w:t>废电池、废油加工处理</w:t>
                  </w:r>
                </w:p>
              </w:tc>
              <w:tc>
                <w:tcPr>
                  <w:tcW w:w="1918" w:type="pct"/>
                  <w:shd w:val="clear" w:color="auto" w:fill="E7E6E6" w:themeFill="background2"/>
                  <w:vAlign w:val="center"/>
                </w:tcPr>
                <w:p w14:paraId="1157E1F1">
                  <w:pPr>
                    <w:spacing w:line="240" w:lineRule="auto"/>
                    <w:ind w:firstLine="0" w:firstLineChars="0"/>
                    <w:rPr>
                      <w:rFonts w:cs="Times New Roman"/>
                      <w:color w:val="000000" w:themeColor="text1"/>
                      <w:sz w:val="21"/>
                      <w:szCs w:val="21"/>
                      <w14:textFill>
                        <w14:solidFill>
                          <w14:schemeClr w14:val="tx1"/>
                        </w14:solidFill>
                      </w14:textFill>
                    </w:rPr>
                  </w:pPr>
                  <w:r>
                    <w:rPr>
                      <w:rFonts w:hint="eastAsia"/>
                      <w:color w:val="000000"/>
                      <w:sz w:val="21"/>
                      <w:szCs w:val="21"/>
                    </w:rPr>
                    <w:t>废弃电器电子产品、废机动车、废电机、废电线电缆、废钢、废铁、金属和金属化合物矿灰及残渣、有色金属废料与碎屑、</w:t>
                  </w:r>
                  <w:r>
                    <w:rPr>
                      <w:rFonts w:hint="eastAsia"/>
                      <w:b/>
                      <w:bCs/>
                      <w:color w:val="000000"/>
                      <w:sz w:val="21"/>
                      <w:szCs w:val="21"/>
                    </w:rPr>
                    <w:t>废塑料</w:t>
                  </w:r>
                  <w:r>
                    <w:rPr>
                      <w:rFonts w:hint="eastAsia"/>
                      <w:color w:val="000000"/>
                      <w:sz w:val="21"/>
                      <w:szCs w:val="21"/>
                    </w:rPr>
                    <w:t>、废轮胎、废船、含水洗工艺的其他废料和碎屑加工处理（农业生产产生的废旧秧盘、薄膜破碎和清洗工艺的除外）</w:t>
                  </w:r>
                </w:p>
              </w:tc>
              <w:tc>
                <w:tcPr>
                  <w:tcW w:w="410" w:type="pct"/>
                  <w:vAlign w:val="center"/>
                </w:tcPr>
                <w:p w14:paraId="7383A361">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674" w:type="pct"/>
                  <w:vAlign w:val="center"/>
                </w:tcPr>
                <w:p w14:paraId="1C1FAF5C">
                  <w:pPr>
                    <w:spacing w:line="240" w:lineRule="auto"/>
                    <w:ind w:firstLine="0" w:firstLineChars="0"/>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bl>
          <w:p w14:paraId="6E71A365">
            <w:pPr>
              <w:pStyle w:val="3"/>
              <w:rPr>
                <w:b w:val="0"/>
                <w:bCs w:val="0"/>
                <w:color w:val="000000" w:themeColor="text1"/>
                <w14:textFill>
                  <w14:solidFill>
                    <w14:schemeClr w14:val="tx1"/>
                  </w14:solidFill>
                </w14:textFill>
              </w:rPr>
            </w:pPr>
            <w:r>
              <w:rPr>
                <w:rFonts w:cs="Times New Roman"/>
                <w:color w:val="000000" w:themeColor="text1"/>
                <w:kern w:val="0"/>
                <w14:textFill>
                  <w14:solidFill>
                    <w14:schemeClr w14:val="tx1"/>
                  </w14:solidFill>
                </w14:textFill>
              </w:rPr>
              <w:t>2.2</w:t>
            </w:r>
            <w:r>
              <w:rPr>
                <w:rFonts w:hint="eastAsia"/>
                <w:color w:val="000000" w:themeColor="text1"/>
                <w14:textFill>
                  <w14:solidFill>
                    <w14:schemeClr w14:val="tx1"/>
                  </w14:solidFill>
                </w14:textFill>
              </w:rPr>
              <w:t>项目概况</w:t>
            </w:r>
          </w:p>
          <w:p w14:paraId="18964178">
            <w:pPr>
              <w:ind w:firstLine="480"/>
            </w:pPr>
            <w:r>
              <w:t>项目名称：</w:t>
            </w:r>
            <w:r>
              <w:rPr>
                <w:rFonts w:hint="eastAsia"/>
                <w:color w:val="000000"/>
              </w:rPr>
              <w:t>新疆飞在远方再生资源有限公司废旧塑料回收加工处置建设项目；</w:t>
            </w:r>
          </w:p>
          <w:p w14:paraId="575A6219">
            <w:pPr>
              <w:ind w:firstLine="480"/>
            </w:pPr>
            <w:r>
              <w:t>建设单位：</w:t>
            </w:r>
            <w:r>
              <w:rPr>
                <w:rFonts w:hint="eastAsia"/>
                <w:color w:val="000000"/>
              </w:rPr>
              <w:t>新疆飞在远方再生资源有限公司</w:t>
            </w:r>
            <w:r>
              <w:rPr>
                <w:rFonts w:hint="eastAsia"/>
              </w:rPr>
              <w:t>；</w:t>
            </w:r>
          </w:p>
          <w:p w14:paraId="41723A30">
            <w:pPr>
              <w:ind w:firstLine="480"/>
              <w:rPr>
                <w:color w:val="000000" w:themeColor="text1"/>
                <w14:textFill>
                  <w14:solidFill>
                    <w14:schemeClr w14:val="tx1"/>
                  </w14:solidFill>
                </w14:textFill>
              </w:rPr>
            </w:pPr>
            <w:r>
              <w:rPr>
                <w:color w:val="000000" w:themeColor="text1"/>
                <w14:textFill>
                  <w14:solidFill>
                    <w14:schemeClr w14:val="tx1"/>
                  </w14:solidFill>
                </w14:textFill>
              </w:rPr>
              <w:t>建设性质</w:t>
            </w:r>
            <w:r>
              <w:rPr>
                <w:rFonts w:hint="eastAsia"/>
                <w:color w:val="000000" w:themeColor="text1"/>
                <w14:textFill>
                  <w14:solidFill>
                    <w14:schemeClr w14:val="tx1"/>
                  </w14:solidFill>
                </w14:textFill>
              </w:rPr>
              <w:t>：新建；</w:t>
            </w:r>
          </w:p>
          <w:p w14:paraId="562F2CDC">
            <w:pPr>
              <w:ind w:firstLine="480"/>
              <w:rPr>
                <w:color w:val="000000" w:themeColor="text1"/>
                <w14:textFill>
                  <w14:solidFill>
                    <w14:schemeClr w14:val="tx1"/>
                  </w14:solidFill>
                </w14:textFill>
              </w:rPr>
            </w:pPr>
            <w:r>
              <w:rPr>
                <w:color w:val="000000" w:themeColor="text1"/>
                <w14:textFill>
                  <w14:solidFill>
                    <w14:schemeClr w14:val="tx1"/>
                  </w14:solidFill>
                </w14:textFill>
              </w:rPr>
              <w:t>项目总投资：项目总投资120.5万元，项目资金全部由企业自筹，本项目环保</w:t>
            </w:r>
            <w:r>
              <w:rPr>
                <w:rFonts w:hint="eastAsia"/>
                <w:color w:val="000000" w:themeColor="text1"/>
                <w14:textFill>
                  <w14:solidFill>
                    <w14:schemeClr w14:val="tx1"/>
                  </w14:solidFill>
                </w14:textFill>
              </w:rPr>
              <w:t>投资</w:t>
            </w:r>
            <w:r>
              <w:rPr>
                <w:color w:val="000000" w:themeColor="text1"/>
                <w14:textFill>
                  <w14:solidFill>
                    <w14:schemeClr w14:val="tx1"/>
                  </w14:solidFill>
                </w14:textFill>
              </w:rPr>
              <w:t>29万元，</w:t>
            </w:r>
            <w:r>
              <w:rPr>
                <w:rFonts w:hint="eastAsia"/>
                <w:color w:val="000000" w:themeColor="text1"/>
                <w14:textFill>
                  <w14:solidFill>
                    <w14:schemeClr w14:val="tx1"/>
                  </w14:solidFill>
                </w14:textFill>
              </w:rPr>
              <w:t>占总投资的</w:t>
            </w:r>
            <w:r>
              <w:rPr>
                <w:rFonts w:cs="Times New Roman"/>
                <w:color w:val="000000" w:themeColor="text1"/>
                <w:szCs w:val="24"/>
                <w14:textFill>
                  <w14:solidFill>
                    <w14:schemeClr w14:val="tx1"/>
                  </w14:solidFill>
                </w14:textFill>
              </w:rPr>
              <w:t>24.07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w:t>
            </w:r>
          </w:p>
          <w:p w14:paraId="6AD8E390">
            <w:pPr>
              <w:ind w:firstLine="480"/>
              <w:rPr>
                <w:color w:val="000000"/>
              </w:rPr>
            </w:pPr>
            <w:r>
              <w:rPr>
                <w:rFonts w:cs="Times New Roman"/>
              </w:rPr>
              <w:t>建设地点：</w:t>
            </w:r>
            <w:r>
              <w:rPr>
                <w:rFonts w:hint="eastAsia"/>
              </w:rPr>
              <w:t>库尔勒市哈拉玉宫</w:t>
            </w:r>
            <w:r>
              <w:rPr>
                <w:rFonts w:hint="eastAsia"/>
                <w:color w:val="000000" w:themeColor="text1"/>
                <w14:textFill>
                  <w14:solidFill>
                    <w14:schemeClr w14:val="tx1"/>
                  </w14:solidFill>
                </w14:textFill>
              </w:rPr>
              <w:t>乡</w:t>
            </w:r>
            <w:r>
              <w:rPr>
                <w:rFonts w:hint="eastAsia"/>
              </w:rPr>
              <w:t>废旧物资回收加工产业园18号厂区；</w:t>
            </w:r>
          </w:p>
          <w:p w14:paraId="1D9EFDE1">
            <w:pPr>
              <w:ind w:firstLine="480"/>
              <w:rPr>
                <w:rFonts w:cs="Times New Roman"/>
              </w:rPr>
            </w:pPr>
            <w:r>
              <w:rPr>
                <w:rFonts w:cs="Times New Roman"/>
              </w:rPr>
              <w:t>周边环境：项目区北</w:t>
            </w:r>
            <w:r>
              <w:rPr>
                <w:rFonts w:hint="eastAsia" w:cs="Times New Roman"/>
              </w:rPr>
              <w:t>侧为</w:t>
            </w:r>
            <w:bookmarkStart w:id="8" w:name="_Hlk227325256"/>
            <w:r>
              <w:rPr>
                <w:rFonts w:cs="Times New Roman"/>
                <w:color w:val="000000" w:themeColor="text1"/>
                <w14:textFill>
                  <w14:solidFill>
                    <w14:schemeClr w14:val="tx1"/>
                  </w14:solidFill>
                </w14:textFill>
              </w:rPr>
              <w:t>中环惠科（新疆）资源循环利用有限公司</w:t>
            </w:r>
            <w:r>
              <w:rPr>
                <w:rFonts w:hint="eastAsia" w:cs="Times New Roman"/>
                <w:color w:val="000000" w:themeColor="text1"/>
                <w14:textFill>
                  <w14:solidFill>
                    <w14:schemeClr w14:val="tx1"/>
                  </w14:solidFill>
                </w14:textFill>
              </w:rPr>
              <w:t>仓库</w:t>
            </w:r>
            <w:bookmarkEnd w:id="8"/>
            <w:r>
              <w:rPr>
                <w:rFonts w:cs="Times New Roman"/>
              </w:rPr>
              <w:t>、西</w:t>
            </w:r>
            <w:r>
              <w:rPr>
                <w:rFonts w:hint="eastAsia" w:cs="Times New Roman"/>
              </w:rPr>
              <w:t>侧为</w:t>
            </w:r>
            <w:bookmarkStart w:id="9" w:name="_Hlk227325285"/>
            <w:r>
              <w:rPr>
                <w:rFonts w:hint="eastAsia" w:cs="Times New Roman"/>
              </w:rPr>
              <w:t>新疆明腾餐厨废弃物处理有限公司</w:t>
            </w:r>
            <w:bookmarkEnd w:id="9"/>
            <w:r>
              <w:rPr>
                <w:rFonts w:cs="Times New Roman"/>
              </w:rPr>
              <w:t>、东侧为</w:t>
            </w:r>
            <w:r>
              <w:rPr>
                <w:rFonts w:hint="eastAsia" w:cs="Times New Roman"/>
              </w:rPr>
              <w:t>道路、</w:t>
            </w:r>
            <w:r>
              <w:rPr>
                <w:rFonts w:cs="Times New Roman"/>
              </w:rPr>
              <w:t>南侧为</w:t>
            </w:r>
            <w:r>
              <w:rPr>
                <w:rFonts w:hint="eastAsia" w:cs="Times New Roman"/>
              </w:rPr>
              <w:t>新疆中顺财达环保科技有限公司</w:t>
            </w:r>
            <w:r>
              <w:rPr>
                <w:rFonts w:cs="Times New Roman"/>
              </w:rPr>
              <w:t>。具体地理位置详见附图1《建设项目地理位置图》，项目周边环境详见附图3《建设项目周边关系图》；</w:t>
            </w:r>
          </w:p>
          <w:p w14:paraId="777E703C">
            <w:pPr>
              <w:ind w:firstLine="480"/>
              <w:rPr>
                <w:color w:val="C00000"/>
              </w:rPr>
            </w:pPr>
            <w:r>
              <w:t>生产规模：</w:t>
            </w:r>
            <w:r>
              <w:rPr>
                <w:rFonts w:hint="eastAsia" w:cs="Times New Roman"/>
                <w:color w:val="000000" w:themeColor="text1"/>
                <w:szCs w:val="24"/>
                <w14:textFill>
                  <w14:solidFill>
                    <w14:schemeClr w14:val="tx1"/>
                  </w14:solidFill>
                </w14:textFill>
              </w:rPr>
              <w:t>年生产塑料碎片</w:t>
            </w:r>
            <w:r>
              <w:rPr>
                <w:rFonts w:cs="Times New Roman"/>
                <w:color w:val="000000" w:themeColor="text1"/>
                <w:szCs w:val="24"/>
                <w14:textFill>
                  <w14:solidFill>
                    <w14:schemeClr w14:val="tx1"/>
                  </w14:solidFill>
                </w14:textFill>
              </w:rPr>
              <w:t>29556.879</w:t>
            </w:r>
            <w:r>
              <w:rPr>
                <w:rFonts w:hint="eastAsia" w:cs="Times New Roman"/>
                <w:color w:val="000000" w:themeColor="text1"/>
                <w:szCs w:val="24"/>
                <w14:textFill>
                  <w14:solidFill>
                    <w14:schemeClr w14:val="tx1"/>
                  </w14:solidFill>
                </w14:textFill>
              </w:rPr>
              <w:t>吨，金属颗粒300吨</w:t>
            </w:r>
            <w:r>
              <w:rPr>
                <w:rFonts w:hint="eastAsia" w:cs="Times New Roman"/>
                <w:sz w:val="21"/>
              </w:rPr>
              <w:t>；</w:t>
            </w:r>
          </w:p>
          <w:p w14:paraId="48A4A349">
            <w:pPr>
              <w:ind w:firstLine="480"/>
              <w:rPr>
                <w:color w:val="000000" w:themeColor="text1"/>
                <w14:textFill>
                  <w14:solidFill>
                    <w14:schemeClr w14:val="tx1"/>
                  </w14:solidFill>
                </w14:textFill>
              </w:rPr>
            </w:pPr>
            <w:r>
              <w:t>生产制度：</w:t>
            </w:r>
            <w:r>
              <w:rPr>
                <w:color w:val="000000"/>
              </w:rPr>
              <w:t>本项目年工作240天</w:t>
            </w:r>
            <w:r>
              <w:rPr>
                <w:rFonts w:hint="eastAsia"/>
                <w:color w:val="000000"/>
              </w:rPr>
              <w:t>，每天</w:t>
            </w:r>
            <w:r>
              <w:rPr>
                <w:color w:val="000000"/>
              </w:rPr>
              <w:t>10</w:t>
            </w:r>
            <w:r>
              <w:rPr>
                <w:rFonts w:hint="eastAsia"/>
                <w:color w:val="000000"/>
              </w:rPr>
              <w:t>小时工作制</w:t>
            </w:r>
            <w:r>
              <w:rPr>
                <w:rFonts w:hint="eastAsia"/>
                <w:color w:val="000000" w:themeColor="text1"/>
                <w14:textFill>
                  <w14:solidFill>
                    <w14:schemeClr w14:val="tx1"/>
                  </w14:solidFill>
                </w14:textFill>
              </w:rPr>
              <w:t>，</w:t>
            </w:r>
            <w:r>
              <w:t>劳动定员3人</w:t>
            </w:r>
            <w:r>
              <w:rPr>
                <w:rFonts w:hint="eastAsia"/>
                <w:color w:val="000000" w:themeColor="text1"/>
                <w14:textFill>
                  <w14:solidFill>
                    <w14:schemeClr w14:val="tx1"/>
                  </w14:solidFill>
                </w14:textFill>
              </w:rPr>
              <w:t>。</w:t>
            </w:r>
          </w:p>
          <w:p w14:paraId="6F18FA2A">
            <w:pPr>
              <w:ind w:firstLine="0" w:firstLineChars="0"/>
              <w:rPr>
                <w:b/>
                <w:bCs/>
              </w:rPr>
            </w:pPr>
            <w:r>
              <w:rPr>
                <w:rFonts w:hint="eastAsia"/>
                <w:b/>
                <w:bCs/>
              </w:rPr>
              <w:t>2</w:t>
            </w:r>
            <w:r>
              <w:rPr>
                <w:b/>
                <w:bCs/>
              </w:rPr>
              <w:t>.3</w:t>
            </w:r>
            <w:r>
              <w:rPr>
                <w:rFonts w:hint="eastAsia"/>
                <w:b/>
                <w:bCs/>
              </w:rPr>
              <w:t>建设内容</w:t>
            </w:r>
          </w:p>
          <w:p w14:paraId="2C420483">
            <w:pPr>
              <w:ind w:firstLine="482"/>
              <w:rPr>
                <w:b/>
                <w:bCs/>
              </w:rPr>
            </w:pPr>
            <w:r>
              <w:rPr>
                <w:rFonts w:hint="eastAsia"/>
                <w:b/>
                <w:bCs/>
              </w:rPr>
              <w:t>1.建设规模</w:t>
            </w:r>
          </w:p>
          <w:p w14:paraId="0C5B0860">
            <w:pPr>
              <w:ind w:firstLine="480"/>
              <w:rPr>
                <w:rFonts w:cs="Times New Roman"/>
                <w:szCs w:val="32"/>
              </w:rPr>
            </w:pPr>
            <w:r>
              <w:rPr>
                <w:rFonts w:hint="eastAsia" w:cs="Times New Roman"/>
                <w:szCs w:val="32"/>
              </w:rPr>
              <w:t>本项目租赁库尔勒市哈拉玉宫</w:t>
            </w:r>
            <w:r>
              <w:rPr>
                <w:rFonts w:hint="eastAsia"/>
                <w:color w:val="000000" w:themeColor="text1"/>
                <w14:textFill>
                  <w14:solidFill>
                    <w14:schemeClr w14:val="tx1"/>
                  </w14:solidFill>
                </w14:textFill>
              </w:rPr>
              <w:t>乡</w:t>
            </w:r>
            <w:r>
              <w:rPr>
                <w:rFonts w:hint="eastAsia" w:cs="Times New Roman"/>
                <w:szCs w:val="32"/>
              </w:rPr>
              <w:t>废旧物资回收加工产业园18号厂区，厂区占地面积6767</w:t>
            </w:r>
            <w:r>
              <w:rPr>
                <w:rFonts w:cs="Times New Roman"/>
                <w:szCs w:val="32"/>
              </w:rPr>
              <w:t>m²。厂区内现有一间已建成的办公室，另由业主自行建设了一座半封闭式大棚（仅设置顶棚遮雨）。</w:t>
            </w:r>
            <w:r>
              <w:rPr>
                <w:rFonts w:hint="eastAsia" w:cs="Times New Roman"/>
                <w:color w:val="0F1115"/>
                <w:shd w:val="clear" w:color="auto" w:fill="FFFFFF"/>
              </w:rPr>
              <w:t>本项目在现有仅进行分拣、破碎的基础上进行改造，新建封闭式厂房，新增水洗分选工艺，建成一条含金属废塑料资源化利用生产线，年处理含金属废塑料3万吨，并分离塑料中的金属杂质，产出洁净塑料碎片及回收金属</w:t>
            </w:r>
            <w:r>
              <w:rPr>
                <w:rFonts w:hint="eastAsia" w:cs="Times New Roman"/>
                <w:szCs w:val="32"/>
              </w:rPr>
              <w:t>。本项目不涉及热熔造粒等塑料再生制造工序。</w:t>
            </w:r>
          </w:p>
          <w:p w14:paraId="3CF5CEAC">
            <w:pPr>
              <w:ind w:firstLine="480"/>
              <w:rPr>
                <w:rFonts w:cs="Times New Roman"/>
                <w:bCs/>
                <w:szCs w:val="24"/>
              </w:rPr>
            </w:pPr>
            <w:r>
              <w:rPr>
                <w:rFonts w:hint="eastAsia" w:cs="Times New Roman"/>
                <w:szCs w:val="24"/>
              </w:rPr>
              <w:t>建设内容包括主体工程（生产车间）、辅助工程（</w:t>
            </w:r>
            <w:r>
              <w:rPr>
                <w:rFonts w:hint="eastAsia" w:cs="Times New Roman"/>
                <w:bCs/>
                <w:szCs w:val="24"/>
              </w:rPr>
              <w:t>沉淀池、清洗池</w:t>
            </w:r>
            <w:r>
              <w:rPr>
                <w:rFonts w:hint="eastAsia" w:cs="Times New Roman"/>
                <w:szCs w:val="24"/>
              </w:rPr>
              <w:t>）、储运工程（</w:t>
            </w:r>
            <w:r>
              <w:rPr>
                <w:rFonts w:hint="eastAsia" w:cs="Times New Roman"/>
                <w:bCs/>
                <w:szCs w:val="24"/>
              </w:rPr>
              <w:t>原料堆场、成品堆场、晾晒场地等</w:t>
            </w:r>
            <w:r>
              <w:rPr>
                <w:rFonts w:hint="eastAsia" w:cs="Times New Roman"/>
                <w:szCs w:val="24"/>
              </w:rPr>
              <w:t>）、公用工程（供水、供电、供暖等）及环保工程（废气、废水、噪声及固体废物治理设施等）。</w:t>
            </w:r>
            <w:r>
              <w:rPr>
                <w:rFonts w:hint="eastAsia" w:cs="Times New Roman"/>
                <w:bCs/>
                <w:szCs w:val="24"/>
              </w:rPr>
              <w:t>具体情况详见表2-2。</w:t>
            </w:r>
          </w:p>
          <w:p w14:paraId="3D067F51">
            <w:pPr>
              <w:keepNext/>
              <w:adjustRightInd w:val="0"/>
              <w:snapToGrid w:val="0"/>
              <w:spacing w:before="163" w:beforeLines="50" w:line="240" w:lineRule="auto"/>
              <w:ind w:firstLine="422"/>
              <w:jc w:val="center"/>
              <w:rPr>
                <w:rFonts w:cs="Times New Roman"/>
                <w:b/>
                <w:sz w:val="21"/>
              </w:rPr>
            </w:pPr>
            <w:r>
              <w:rPr>
                <w:rFonts w:hint="eastAsia" w:cs="Times New Roman"/>
                <w:b/>
                <w:sz w:val="21"/>
              </w:rPr>
              <w:t>表2</w:t>
            </w:r>
            <w:r>
              <w:rPr>
                <w:rFonts w:cs="Times New Roman"/>
                <w:b/>
                <w:sz w:val="21"/>
              </w:rPr>
              <w:t xml:space="preserve">-2  </w:t>
            </w:r>
            <w:r>
              <w:rPr>
                <w:rFonts w:hint="eastAsia" w:cs="Times New Roman"/>
                <w:b/>
                <w:sz w:val="21"/>
              </w:rPr>
              <w:t>项目组成情况一览表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93"/>
              <w:gridCol w:w="1402"/>
              <w:gridCol w:w="5002"/>
              <w:gridCol w:w="1098"/>
            </w:tblGrid>
            <w:tr w14:paraId="0A95D0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Align w:val="center"/>
                </w:tcPr>
                <w:p w14:paraId="3D4F104E">
                  <w:pPr>
                    <w:adjustRightInd w:val="0"/>
                    <w:snapToGrid w:val="0"/>
                    <w:spacing w:line="240" w:lineRule="auto"/>
                    <w:ind w:firstLine="0" w:firstLineChars="0"/>
                    <w:contextualSpacing/>
                    <w:jc w:val="center"/>
                    <w:textAlignment w:val="auto"/>
                    <w:rPr>
                      <w:rFonts w:cs="Times New Roman"/>
                      <w:color w:val="000000"/>
                      <w:sz w:val="21"/>
                      <w:szCs w:val="21"/>
                    </w:rPr>
                  </w:pPr>
                  <w:bookmarkStart w:id="10" w:name="_Hlk97569549"/>
                  <w:r>
                    <w:rPr>
                      <w:rFonts w:cs="Times New Roman"/>
                      <w:color w:val="000000"/>
                      <w:sz w:val="21"/>
                      <w:szCs w:val="21"/>
                    </w:rPr>
                    <w:t>类别</w:t>
                  </w:r>
                </w:p>
              </w:tc>
              <w:tc>
                <w:tcPr>
                  <w:tcW w:w="825" w:type="pct"/>
                  <w:vAlign w:val="center"/>
                </w:tcPr>
                <w:p w14:paraId="1D315DEC">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项目名称</w:t>
                  </w:r>
                </w:p>
              </w:tc>
              <w:tc>
                <w:tcPr>
                  <w:tcW w:w="2944" w:type="pct"/>
                  <w:vAlign w:val="center"/>
                </w:tcPr>
                <w:p w14:paraId="09ECFB8F">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建设内容</w:t>
                  </w:r>
                </w:p>
              </w:tc>
              <w:tc>
                <w:tcPr>
                  <w:tcW w:w="646" w:type="pct"/>
                  <w:vAlign w:val="center"/>
                </w:tcPr>
                <w:p w14:paraId="637B41BD">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备注</w:t>
                  </w:r>
                </w:p>
              </w:tc>
            </w:tr>
            <w:tr w14:paraId="7CF73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585" w:type="pct"/>
                  <w:vAlign w:val="center"/>
                </w:tcPr>
                <w:p w14:paraId="307118E3">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主体工程</w:t>
                  </w:r>
                </w:p>
              </w:tc>
              <w:tc>
                <w:tcPr>
                  <w:tcW w:w="825" w:type="pct"/>
                  <w:vAlign w:val="center"/>
                </w:tcPr>
                <w:p w14:paraId="7DD48DFC">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生产车间</w:t>
                  </w:r>
                </w:p>
              </w:tc>
              <w:tc>
                <w:tcPr>
                  <w:tcW w:w="2944" w:type="pct"/>
                  <w:vAlign w:val="center"/>
                </w:tcPr>
                <w:p w14:paraId="5E57EE5D">
                  <w:pPr>
                    <w:adjustRightInd w:val="0"/>
                    <w:snapToGrid w:val="0"/>
                    <w:spacing w:line="240" w:lineRule="auto"/>
                    <w:ind w:firstLine="0" w:firstLineChars="0"/>
                    <w:contextualSpacing/>
                    <w:textAlignment w:val="auto"/>
                    <w:rPr>
                      <w:color w:val="000000"/>
                      <w:sz w:val="21"/>
                      <w:szCs w:val="21"/>
                    </w:rPr>
                  </w:pPr>
                  <w:r>
                    <w:rPr>
                      <w:rFonts w:hint="eastAsia" w:cs="Times New Roman"/>
                      <w:sz w:val="21"/>
                      <w:szCs w:val="21"/>
                    </w:rPr>
                    <w:t>将原有的一座半封闭式钢结构大棚改造为全封闭生产车间，改造后建筑面积为</w:t>
                  </w:r>
                  <w:r>
                    <w:rPr>
                      <w:rFonts w:cs="Times New Roman"/>
                      <w:sz w:val="21"/>
                      <w:szCs w:val="21"/>
                    </w:rPr>
                    <w:t>11</w:t>
                  </w:r>
                  <w:r>
                    <w:rPr>
                      <w:rFonts w:hint="eastAsia" w:cs="Times New Roman"/>
                      <w:sz w:val="21"/>
                      <w:szCs w:val="21"/>
                    </w:rPr>
                    <w:t>20平方米。建成一条含金属废塑料资源化利用生产线</w:t>
                  </w:r>
                </w:p>
              </w:tc>
              <w:tc>
                <w:tcPr>
                  <w:tcW w:w="646" w:type="pct"/>
                  <w:vAlign w:val="center"/>
                </w:tcPr>
                <w:p w14:paraId="6E603C53">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olor w:val="000000"/>
                      <w:sz w:val="21"/>
                      <w:szCs w:val="21"/>
                    </w:rPr>
                    <w:t>新建</w:t>
                  </w:r>
                </w:p>
              </w:tc>
            </w:tr>
            <w:tr w14:paraId="1E0837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trPr>
              <w:tc>
                <w:tcPr>
                  <w:tcW w:w="585" w:type="pct"/>
                  <w:vMerge w:val="restart"/>
                  <w:vAlign w:val="center"/>
                </w:tcPr>
                <w:p w14:paraId="32A56E76">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辅助工程</w:t>
                  </w:r>
                </w:p>
              </w:tc>
              <w:tc>
                <w:tcPr>
                  <w:tcW w:w="825" w:type="pct"/>
                  <w:vAlign w:val="center"/>
                </w:tcPr>
                <w:p w14:paraId="0F8B709F">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办公室</w:t>
                  </w:r>
                </w:p>
              </w:tc>
              <w:tc>
                <w:tcPr>
                  <w:tcW w:w="2944" w:type="pct"/>
                  <w:vAlign w:val="center"/>
                </w:tcPr>
                <w:p w14:paraId="736C4FBC">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占地面积</w:t>
                  </w:r>
                  <w:r>
                    <w:rPr>
                      <w:rFonts w:cs="Times New Roman"/>
                      <w:sz w:val="21"/>
                      <w:szCs w:val="21"/>
                    </w:rPr>
                    <w:t>60m</w:t>
                  </w:r>
                  <w:r>
                    <w:rPr>
                      <w:rFonts w:cs="Times New Roman"/>
                      <w:sz w:val="21"/>
                      <w:szCs w:val="21"/>
                      <w:vertAlign w:val="superscript"/>
                    </w:rPr>
                    <w:t>2</w:t>
                  </w:r>
                  <w:r>
                    <w:rPr>
                      <w:rFonts w:hint="eastAsia" w:cs="Times New Roman"/>
                      <w:sz w:val="21"/>
                      <w:szCs w:val="21"/>
                    </w:rPr>
                    <w:t>，作为办公用房</w:t>
                  </w:r>
                </w:p>
              </w:tc>
              <w:tc>
                <w:tcPr>
                  <w:tcW w:w="646" w:type="pct"/>
                  <w:vAlign w:val="center"/>
                </w:tcPr>
                <w:p w14:paraId="1D3BE68B">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已建</w:t>
                  </w:r>
                </w:p>
              </w:tc>
            </w:tr>
            <w:tr w14:paraId="43C8AD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585" w:type="pct"/>
                  <w:vMerge w:val="continue"/>
                  <w:vAlign w:val="center"/>
                </w:tcPr>
                <w:p w14:paraId="3C3649F8">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09C0760E">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cs="Times New Roman"/>
                      <w:color w:val="000000"/>
                      <w:sz w:val="21"/>
                      <w:szCs w:val="21"/>
                    </w:rPr>
                    <w:t>沉淀池</w:t>
                  </w:r>
                </w:p>
              </w:tc>
              <w:tc>
                <w:tcPr>
                  <w:tcW w:w="2944" w:type="pct"/>
                  <w:vAlign w:val="center"/>
                </w:tcPr>
                <w:p w14:paraId="377DAB16">
                  <w:pPr>
                    <w:adjustRightInd w:val="0"/>
                    <w:snapToGrid w:val="0"/>
                    <w:spacing w:line="240" w:lineRule="auto"/>
                    <w:ind w:firstLine="0" w:firstLineChars="0"/>
                    <w:contextualSpacing/>
                    <w:textAlignment w:val="auto"/>
                    <w:rPr>
                      <w:rFonts w:cs="Times New Roman"/>
                      <w:sz w:val="21"/>
                      <w:szCs w:val="21"/>
                    </w:rPr>
                  </w:pPr>
                  <w:r>
                    <w:rPr>
                      <w:rFonts w:hint="eastAsia" w:cs="Times New Roman"/>
                      <w:sz w:val="21"/>
                      <w:szCs w:val="21"/>
                    </w:rPr>
                    <w:t>设置总容积144m³的三级沉淀池，池体按一般防渗要求进行防渗处理</w:t>
                  </w:r>
                </w:p>
              </w:tc>
              <w:tc>
                <w:tcPr>
                  <w:tcW w:w="646" w:type="pct"/>
                  <w:vAlign w:val="center"/>
                </w:tcPr>
                <w:p w14:paraId="6B194714">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14:paraId="68A22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restart"/>
                  <w:vAlign w:val="center"/>
                </w:tcPr>
                <w:p w14:paraId="4296D1A6">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储运工程</w:t>
                  </w:r>
                </w:p>
              </w:tc>
              <w:tc>
                <w:tcPr>
                  <w:tcW w:w="825" w:type="pct"/>
                  <w:vAlign w:val="center"/>
                </w:tcPr>
                <w:p w14:paraId="2EF59430">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kern w:val="0"/>
                      <w:sz w:val="21"/>
                      <w:szCs w:val="21"/>
                    </w:rPr>
                    <w:t>原料堆场</w:t>
                  </w:r>
                </w:p>
              </w:tc>
              <w:tc>
                <w:tcPr>
                  <w:tcW w:w="2944" w:type="pct"/>
                  <w:vAlign w:val="center"/>
                </w:tcPr>
                <w:p w14:paraId="1E42C8D6">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设置原料堆场区，位于生产车间南侧，用于原料堆场，占地面积3</w:t>
                  </w:r>
                  <w:r>
                    <w:rPr>
                      <w:rFonts w:cs="Times New Roman"/>
                      <w:color w:val="000000" w:themeColor="text1"/>
                      <w:kern w:val="0"/>
                      <w:sz w:val="21"/>
                      <w:szCs w:val="21"/>
                      <w14:textFill>
                        <w14:solidFill>
                          <w14:schemeClr w14:val="tx1"/>
                        </w14:solidFill>
                      </w14:textFill>
                    </w:rPr>
                    <w:t>00m</w:t>
                  </w:r>
                  <w:r>
                    <w:rPr>
                      <w:rFonts w:cs="Times New Roman"/>
                      <w:color w:val="000000" w:themeColor="text1"/>
                      <w:kern w:val="0"/>
                      <w:sz w:val="21"/>
                      <w:szCs w:val="21"/>
                      <w:vertAlign w:val="superscript"/>
                      <w14:textFill>
                        <w14:solidFill>
                          <w14:schemeClr w14:val="tx1"/>
                        </w14:solidFill>
                      </w14:textFill>
                    </w:rPr>
                    <w:t>2</w:t>
                  </w:r>
                </w:p>
              </w:tc>
              <w:tc>
                <w:tcPr>
                  <w:tcW w:w="646" w:type="pct"/>
                  <w:vAlign w:val="center"/>
                </w:tcPr>
                <w:p w14:paraId="031F7397">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14:paraId="33222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2F4CCE8D">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309CD5EF">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成品堆场</w:t>
                  </w:r>
                </w:p>
              </w:tc>
              <w:tc>
                <w:tcPr>
                  <w:tcW w:w="2944" w:type="pct"/>
                  <w:vAlign w:val="center"/>
                </w:tcPr>
                <w:p w14:paraId="0BC7FC15">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设置成品堆场区，位于生产车间东侧，用于产品堆场，占地面积1</w:t>
                  </w:r>
                  <w:r>
                    <w:rPr>
                      <w:rFonts w:cs="Times New Roman"/>
                      <w:color w:val="000000" w:themeColor="text1"/>
                      <w:kern w:val="0"/>
                      <w:sz w:val="21"/>
                      <w:szCs w:val="21"/>
                      <w14:textFill>
                        <w14:solidFill>
                          <w14:schemeClr w14:val="tx1"/>
                        </w14:solidFill>
                      </w14:textFill>
                    </w:rPr>
                    <w:t>00</w:t>
                  </w:r>
                  <w:r>
                    <w:rPr>
                      <w:rFonts w:hint="eastAsia" w:cs="Times New Roman"/>
                      <w:color w:val="000000" w:themeColor="text1"/>
                      <w:kern w:val="0"/>
                      <w:sz w:val="21"/>
                      <w:szCs w:val="21"/>
                      <w14:textFill>
                        <w14:solidFill>
                          <w14:schemeClr w14:val="tx1"/>
                        </w14:solidFill>
                      </w14:textFill>
                    </w:rPr>
                    <w:t>m</w:t>
                  </w:r>
                  <w:r>
                    <w:rPr>
                      <w:rFonts w:hint="eastAsia" w:cs="Times New Roman"/>
                      <w:color w:val="000000" w:themeColor="text1"/>
                      <w:kern w:val="0"/>
                      <w:sz w:val="21"/>
                      <w:szCs w:val="21"/>
                      <w:vertAlign w:val="superscript"/>
                      <w14:textFill>
                        <w14:solidFill>
                          <w14:schemeClr w14:val="tx1"/>
                        </w14:solidFill>
                      </w14:textFill>
                    </w:rPr>
                    <w:t>2</w:t>
                  </w:r>
                </w:p>
              </w:tc>
              <w:tc>
                <w:tcPr>
                  <w:tcW w:w="646" w:type="pct"/>
                  <w:vAlign w:val="center"/>
                </w:tcPr>
                <w:p w14:paraId="121E6555">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sz w:val="21"/>
                      <w:szCs w:val="21"/>
                    </w:rPr>
                    <w:t>新建</w:t>
                  </w:r>
                </w:p>
              </w:tc>
            </w:tr>
            <w:tr w14:paraId="1F361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414F1BBF">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12E83DBD">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s="Times New Roman"/>
                      <w:color w:val="000000"/>
                      <w:kern w:val="0"/>
                      <w:sz w:val="21"/>
                      <w:szCs w:val="21"/>
                    </w:rPr>
                    <w:t>晾晒场地</w:t>
                  </w:r>
                </w:p>
              </w:tc>
              <w:tc>
                <w:tcPr>
                  <w:tcW w:w="2944" w:type="pct"/>
                  <w:vAlign w:val="center"/>
                </w:tcPr>
                <w:p w14:paraId="72953CD8">
                  <w:pPr>
                    <w:adjustRightInd w:val="0"/>
                    <w:snapToGrid w:val="0"/>
                    <w:spacing w:line="240" w:lineRule="auto"/>
                    <w:ind w:firstLine="0" w:firstLineChars="0"/>
                    <w:contextualSpacing/>
                    <w:textAlignment w:val="auto"/>
                    <w:rPr>
                      <w:rFonts w:cs="Times New Roman"/>
                      <w:color w:val="000000" w:themeColor="text1"/>
                      <w:kern w:val="0"/>
                      <w:sz w:val="21"/>
                      <w:szCs w:val="21"/>
                      <w14:textFill>
                        <w14:solidFill>
                          <w14:schemeClr w14:val="tx1"/>
                        </w14:solidFill>
                      </w14:textFill>
                    </w:rPr>
                  </w:pPr>
                  <w:r>
                    <w:rPr>
                      <w:rFonts w:hint="eastAsia" w:cs="Times New Roman"/>
                      <w:color w:val="000000" w:themeColor="text1"/>
                      <w:kern w:val="0"/>
                      <w:sz w:val="21"/>
                      <w:szCs w:val="21"/>
                      <w14:textFill>
                        <w14:solidFill>
                          <w14:schemeClr w14:val="tx1"/>
                        </w14:solidFill>
                      </w14:textFill>
                    </w:rPr>
                    <w:t>晾晒场位于</w:t>
                  </w:r>
                  <w:r>
                    <w:rPr>
                      <w:rFonts w:hint="eastAsia" w:cs="Times New Roman"/>
                      <w:color w:val="000000"/>
                      <w:kern w:val="0"/>
                      <w:sz w:val="21"/>
                      <w:szCs w:val="21"/>
                    </w:rPr>
                    <w:t>原料</w:t>
                  </w:r>
                  <w:r>
                    <w:rPr>
                      <w:rFonts w:hint="eastAsia" w:cs="Times New Roman"/>
                      <w:color w:val="000000" w:themeColor="text1"/>
                      <w:kern w:val="0"/>
                      <w:sz w:val="21"/>
                      <w:szCs w:val="21"/>
                      <w14:textFill>
                        <w14:solidFill>
                          <w14:schemeClr w14:val="tx1"/>
                        </w14:solidFill>
                      </w14:textFill>
                    </w:rPr>
                    <w:t>堆场区西侧，专门用于</w:t>
                  </w:r>
                  <w:r>
                    <w:rPr>
                      <w:rFonts w:cs="Times New Roman"/>
                      <w:sz w:val="21"/>
                      <w:szCs w:val="21"/>
                    </w:rPr>
                    <w:t>沉淀池</w:t>
                  </w:r>
                  <w:r>
                    <w:rPr>
                      <w:rFonts w:hint="eastAsia" w:cs="Times New Roman"/>
                      <w:sz w:val="21"/>
                      <w:szCs w:val="21"/>
                    </w:rPr>
                    <w:t>沉渣</w:t>
                  </w:r>
                  <w:r>
                    <w:rPr>
                      <w:rFonts w:hint="eastAsia" w:cs="Times New Roman"/>
                      <w:color w:val="000000" w:themeColor="text1"/>
                      <w:kern w:val="0"/>
                      <w:sz w:val="21"/>
                      <w:szCs w:val="21"/>
                      <w14:textFill>
                        <w14:solidFill>
                          <w14:schemeClr w14:val="tx1"/>
                        </w14:solidFill>
                      </w14:textFill>
                    </w:rPr>
                    <w:t>的晾晒干化，占地面积为100m²</w:t>
                  </w:r>
                </w:p>
              </w:tc>
              <w:tc>
                <w:tcPr>
                  <w:tcW w:w="646" w:type="pct"/>
                  <w:vAlign w:val="center"/>
                </w:tcPr>
                <w:p w14:paraId="624C2BB8">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14:paraId="551A22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0" w:hRule="atLeast"/>
              </w:trPr>
              <w:tc>
                <w:tcPr>
                  <w:tcW w:w="585" w:type="pct"/>
                  <w:vMerge w:val="continue"/>
                  <w:vAlign w:val="center"/>
                </w:tcPr>
                <w:p w14:paraId="7953B442">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1B373DB1">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一般固体废物暂存间</w:t>
                  </w:r>
                </w:p>
              </w:tc>
              <w:tc>
                <w:tcPr>
                  <w:tcW w:w="2944" w:type="pct"/>
                  <w:vAlign w:val="center"/>
                </w:tcPr>
                <w:p w14:paraId="31467091">
                  <w:pPr>
                    <w:adjustRightInd w:val="0"/>
                    <w:snapToGrid w:val="0"/>
                    <w:spacing w:line="240" w:lineRule="auto"/>
                    <w:ind w:firstLine="0" w:firstLineChars="0"/>
                    <w:contextualSpacing/>
                    <w:rPr>
                      <w:sz w:val="21"/>
                      <w:szCs w:val="21"/>
                    </w:rPr>
                  </w:pPr>
                  <w:r>
                    <w:rPr>
                      <w:rFonts w:hint="eastAsia"/>
                      <w:sz w:val="21"/>
                      <w:szCs w:val="21"/>
                    </w:rPr>
                    <w:t>占地面积50m</w:t>
                  </w:r>
                  <w:r>
                    <w:rPr>
                      <w:rFonts w:hint="eastAsia"/>
                      <w:sz w:val="21"/>
                      <w:szCs w:val="21"/>
                      <w:vertAlign w:val="superscript"/>
                    </w:rPr>
                    <w:t>2</w:t>
                  </w:r>
                  <w:r>
                    <w:rPr>
                      <w:rFonts w:hint="eastAsia"/>
                      <w:sz w:val="21"/>
                      <w:szCs w:val="21"/>
                    </w:rPr>
                    <w:t>，位于生产车间内，</w:t>
                  </w:r>
                  <w:r>
                    <w:rPr>
                      <w:rFonts w:hint="eastAsia" w:cs="Times New Roman"/>
                      <w:color w:val="000000"/>
                      <w:sz w:val="21"/>
                      <w:szCs w:val="21"/>
                    </w:rPr>
                    <w:t>用于存放一般固体废物</w:t>
                  </w:r>
                </w:p>
              </w:tc>
              <w:tc>
                <w:tcPr>
                  <w:tcW w:w="646" w:type="pct"/>
                  <w:vAlign w:val="center"/>
                </w:tcPr>
                <w:p w14:paraId="7659262A">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14:paraId="5996D1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85" w:type="pct"/>
                  <w:vMerge w:val="continue"/>
                  <w:vAlign w:val="center"/>
                </w:tcPr>
                <w:p w14:paraId="669746DE">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5486AFED">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危险废物贮存点</w:t>
                  </w:r>
                </w:p>
              </w:tc>
              <w:tc>
                <w:tcPr>
                  <w:tcW w:w="2944" w:type="pct"/>
                  <w:vAlign w:val="center"/>
                </w:tcPr>
                <w:p w14:paraId="4E180BE9">
                  <w:pPr>
                    <w:adjustRightInd w:val="0"/>
                    <w:snapToGrid w:val="0"/>
                    <w:spacing w:line="240" w:lineRule="auto"/>
                    <w:ind w:firstLine="0" w:firstLineChars="0"/>
                    <w:contextualSpacing/>
                    <w:rPr>
                      <w:sz w:val="21"/>
                      <w:szCs w:val="21"/>
                    </w:rPr>
                  </w:pPr>
                  <w:r>
                    <w:rPr>
                      <w:rFonts w:cs="Times New Roman"/>
                      <w:sz w:val="21"/>
                      <w:szCs w:val="21"/>
                    </w:rPr>
                    <w:t>在</w:t>
                  </w:r>
                  <w:r>
                    <w:rPr>
                      <w:rFonts w:hint="eastAsia" w:cs="Times New Roman"/>
                      <w:color w:val="000000"/>
                      <w:kern w:val="0"/>
                      <w:sz w:val="21"/>
                      <w:szCs w:val="21"/>
                    </w:rPr>
                    <w:t>生产车间东南侧</w:t>
                  </w:r>
                  <w:r>
                    <w:rPr>
                      <w:rFonts w:cs="Times New Roman"/>
                      <w:sz w:val="21"/>
                      <w:szCs w:val="21"/>
                    </w:rPr>
                    <w:t>设置一处面积约5</w:t>
                  </w:r>
                  <w:r>
                    <w:rPr>
                      <w:rFonts w:hint="eastAsia" w:cs="Times New Roman"/>
                      <w:sz w:val="21"/>
                      <w:szCs w:val="21"/>
                    </w:rPr>
                    <w:t>m</w:t>
                  </w:r>
                  <w:r>
                    <w:rPr>
                      <w:rFonts w:hint="eastAsia" w:cs="Times New Roman"/>
                      <w:sz w:val="21"/>
                      <w:szCs w:val="21"/>
                      <w:vertAlign w:val="superscript"/>
                    </w:rPr>
                    <w:t>2</w:t>
                  </w:r>
                  <w:r>
                    <w:rPr>
                      <w:rFonts w:cs="Times New Roman"/>
                      <w:sz w:val="21"/>
                      <w:szCs w:val="21"/>
                    </w:rPr>
                    <w:t>的危险废物贮存点，用于</w:t>
                  </w:r>
                  <w:r>
                    <w:rPr>
                      <w:rFonts w:hint="eastAsia" w:cs="Times New Roman"/>
                      <w:sz w:val="21"/>
                      <w:szCs w:val="21"/>
                    </w:rPr>
                    <w:t>贮存危险废物，贮存点采用封闭式结构，具备防雨、防渗、防风、防晒及防流失措施，地面进行重点防渗处理，与生产车间的防火间距大于10m，根据《建筑设计防火规范》（GB50016-2014）表3.4.1，满足规范要求</w:t>
                  </w:r>
                </w:p>
              </w:tc>
              <w:tc>
                <w:tcPr>
                  <w:tcW w:w="646" w:type="pct"/>
                  <w:vAlign w:val="center"/>
                </w:tcPr>
                <w:p w14:paraId="0B8DCA4E">
                  <w:pPr>
                    <w:adjustRightInd w:val="0"/>
                    <w:snapToGrid w:val="0"/>
                    <w:spacing w:line="240" w:lineRule="auto"/>
                    <w:ind w:firstLine="0" w:firstLineChars="0"/>
                    <w:contextualSpacing/>
                    <w:jc w:val="center"/>
                    <w:textAlignment w:val="auto"/>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新建</w:t>
                  </w:r>
                </w:p>
              </w:tc>
            </w:tr>
            <w:tr w14:paraId="1B51ED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restart"/>
                  <w:vAlign w:val="center"/>
                </w:tcPr>
                <w:p w14:paraId="0A01394A">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公用工程</w:t>
                  </w:r>
                </w:p>
              </w:tc>
              <w:tc>
                <w:tcPr>
                  <w:tcW w:w="825" w:type="pct"/>
                  <w:vAlign w:val="center"/>
                </w:tcPr>
                <w:p w14:paraId="6BFF6F79">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供水</w:t>
                  </w:r>
                </w:p>
              </w:tc>
              <w:tc>
                <w:tcPr>
                  <w:tcW w:w="2944" w:type="pct"/>
                  <w:vAlign w:val="center"/>
                </w:tcPr>
                <w:p w14:paraId="41645983">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由库尔勒市哈拉玉宫乡废旧物资回收加工产业园供水系统供给</w:t>
                  </w:r>
                </w:p>
              </w:tc>
              <w:tc>
                <w:tcPr>
                  <w:tcW w:w="646" w:type="pct"/>
                  <w:vAlign w:val="center"/>
                </w:tcPr>
                <w:p w14:paraId="41CAC770">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已建</w:t>
                  </w:r>
                </w:p>
              </w:tc>
            </w:tr>
            <w:tr w14:paraId="216990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trPr>
              <w:tc>
                <w:tcPr>
                  <w:tcW w:w="585" w:type="pct"/>
                  <w:vMerge w:val="continue"/>
                  <w:vAlign w:val="center"/>
                </w:tcPr>
                <w:p w14:paraId="3103C65D">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78DDA56A">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供电</w:t>
                  </w:r>
                </w:p>
              </w:tc>
              <w:tc>
                <w:tcPr>
                  <w:tcW w:w="2944" w:type="pct"/>
                  <w:vAlign w:val="center"/>
                </w:tcPr>
                <w:p w14:paraId="6A1FC639">
                  <w:pPr>
                    <w:adjustRightInd w:val="0"/>
                    <w:snapToGrid w:val="0"/>
                    <w:spacing w:line="240" w:lineRule="auto"/>
                    <w:ind w:firstLine="0" w:firstLineChars="0"/>
                    <w:contextualSpacing/>
                    <w:textAlignment w:val="auto"/>
                    <w:rPr>
                      <w:rFonts w:cs="Times New Roman"/>
                      <w:color w:val="000000"/>
                      <w:sz w:val="21"/>
                      <w:szCs w:val="21"/>
                    </w:rPr>
                  </w:pPr>
                  <w:r>
                    <w:rPr>
                      <w:rFonts w:hint="eastAsia" w:cs="Times New Roman"/>
                      <w:sz w:val="21"/>
                      <w:szCs w:val="21"/>
                    </w:rPr>
                    <w:t>由库尔勒市哈拉玉宫乡废旧物资回收加工产业园电力系统供给</w:t>
                  </w:r>
                </w:p>
              </w:tc>
              <w:tc>
                <w:tcPr>
                  <w:tcW w:w="646" w:type="pct"/>
                  <w:vAlign w:val="center"/>
                </w:tcPr>
                <w:p w14:paraId="60045624">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已建</w:t>
                  </w:r>
                </w:p>
              </w:tc>
            </w:tr>
            <w:tr w14:paraId="15F0D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69D2938C">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4E734211">
                  <w:pPr>
                    <w:adjustRightInd w:val="0"/>
                    <w:snapToGrid w:val="0"/>
                    <w:spacing w:line="240" w:lineRule="auto"/>
                    <w:ind w:firstLine="0" w:firstLineChars="0"/>
                    <w:contextualSpacing/>
                    <w:jc w:val="center"/>
                    <w:textAlignment w:val="auto"/>
                    <w:rPr>
                      <w:rFonts w:cs="Times New Roman"/>
                      <w:color w:val="000000"/>
                      <w:sz w:val="21"/>
                      <w:szCs w:val="21"/>
                    </w:rPr>
                  </w:pPr>
                  <w:r>
                    <w:rPr>
                      <w:rFonts w:cs="Times New Roman"/>
                      <w:color w:val="000000"/>
                      <w:sz w:val="21"/>
                      <w:szCs w:val="21"/>
                    </w:rPr>
                    <w:t>供</w:t>
                  </w:r>
                  <w:r>
                    <w:rPr>
                      <w:rFonts w:hint="eastAsia" w:cs="Times New Roman"/>
                      <w:color w:val="000000"/>
                      <w:sz w:val="21"/>
                      <w:szCs w:val="21"/>
                    </w:rPr>
                    <w:t>暖</w:t>
                  </w:r>
                </w:p>
              </w:tc>
              <w:tc>
                <w:tcPr>
                  <w:tcW w:w="2944" w:type="pct"/>
                  <w:vAlign w:val="center"/>
                </w:tcPr>
                <w:p w14:paraId="36BA68B5">
                  <w:pPr>
                    <w:adjustRightInd w:val="0"/>
                    <w:snapToGrid w:val="0"/>
                    <w:spacing w:line="240" w:lineRule="auto"/>
                    <w:ind w:firstLine="0" w:firstLineChars="0"/>
                    <w:contextualSpacing/>
                    <w:textAlignment w:val="auto"/>
                    <w:rPr>
                      <w:rFonts w:cs="Times New Roman"/>
                      <w:color w:val="000000"/>
                      <w:sz w:val="21"/>
                      <w:szCs w:val="21"/>
                    </w:rPr>
                  </w:pPr>
                  <w:r>
                    <w:rPr>
                      <w:rFonts w:hint="eastAsia"/>
                      <w:color w:val="000000"/>
                      <w:sz w:val="21"/>
                      <w:szCs w:val="21"/>
                    </w:rPr>
                    <w:t>生产线无需供热，生活区采用电取暖</w:t>
                  </w:r>
                </w:p>
              </w:tc>
              <w:tc>
                <w:tcPr>
                  <w:tcW w:w="646" w:type="pct"/>
                  <w:vAlign w:val="center"/>
                </w:tcPr>
                <w:p w14:paraId="284FBC20">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themeColor="text1"/>
                      <w:sz w:val="21"/>
                      <w:szCs w:val="21"/>
                      <w14:textFill>
                        <w14:solidFill>
                          <w14:schemeClr w14:val="tx1"/>
                        </w14:solidFill>
                      </w14:textFill>
                    </w:rPr>
                    <w:t>新建</w:t>
                  </w:r>
                </w:p>
              </w:tc>
            </w:tr>
            <w:tr w14:paraId="03F5A4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54B49333">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2E7FE4C5">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排水</w:t>
                  </w:r>
                </w:p>
              </w:tc>
              <w:tc>
                <w:tcPr>
                  <w:tcW w:w="2944" w:type="pct"/>
                  <w:vAlign w:val="center"/>
                </w:tcPr>
                <w:p w14:paraId="7B7819DA">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本项目产生的生产废水经沉淀池处理后全部循环利用，不外排。生活污水进入厂区化粪池进行预处理后，定期由吸污车抽运至库尔勒市南市区污水处理厂处理（由库尔勒龙润水处理有限公司运营）</w:t>
                  </w:r>
                </w:p>
              </w:tc>
              <w:tc>
                <w:tcPr>
                  <w:tcW w:w="646" w:type="pct"/>
                  <w:vAlign w:val="center"/>
                </w:tcPr>
                <w:p w14:paraId="4984BA8E">
                  <w:pPr>
                    <w:adjustRightInd w:val="0"/>
                    <w:snapToGrid w:val="0"/>
                    <w:spacing w:line="240" w:lineRule="auto"/>
                    <w:ind w:firstLine="0" w:firstLineChars="0"/>
                    <w:contextualSpacing/>
                    <w:jc w:val="center"/>
                    <w:textAlignment w:val="auto"/>
                    <w:rPr>
                      <w:rFonts w:cs="Times New Roman"/>
                      <w:color w:val="000000"/>
                      <w:kern w:val="0"/>
                      <w:sz w:val="21"/>
                      <w:szCs w:val="21"/>
                    </w:rPr>
                  </w:pPr>
                  <w:r>
                    <w:rPr>
                      <w:rFonts w:hint="eastAsia"/>
                      <w:color w:val="000000"/>
                      <w:sz w:val="21"/>
                      <w:szCs w:val="21"/>
                    </w:rPr>
                    <w:t>新建</w:t>
                  </w:r>
                </w:p>
              </w:tc>
            </w:tr>
            <w:tr w14:paraId="3EA0E1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585" w:type="pct"/>
                  <w:vMerge w:val="restart"/>
                  <w:vAlign w:val="center"/>
                </w:tcPr>
                <w:p w14:paraId="01C3875D">
                  <w:pPr>
                    <w:adjustRightInd w:val="0"/>
                    <w:snapToGrid w:val="0"/>
                    <w:spacing w:line="240" w:lineRule="auto"/>
                    <w:ind w:firstLine="0" w:firstLineChars="0"/>
                    <w:contextualSpacing/>
                    <w:jc w:val="center"/>
                    <w:textAlignment w:val="auto"/>
                    <w:rPr>
                      <w:rFonts w:cs="Times New Roman"/>
                      <w:color w:val="000000"/>
                      <w:sz w:val="21"/>
                      <w:szCs w:val="21"/>
                    </w:rPr>
                  </w:pPr>
                  <w:r>
                    <w:rPr>
                      <w:rFonts w:hint="eastAsia" w:cs="Times New Roman"/>
                      <w:color w:val="000000"/>
                      <w:sz w:val="21"/>
                      <w:szCs w:val="21"/>
                    </w:rPr>
                    <w:t>环保工程</w:t>
                  </w:r>
                </w:p>
              </w:tc>
              <w:tc>
                <w:tcPr>
                  <w:tcW w:w="825" w:type="pct"/>
                  <w:vMerge w:val="restart"/>
                  <w:vAlign w:val="center"/>
                </w:tcPr>
                <w:p w14:paraId="452CA7AB">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废气治理</w:t>
                  </w:r>
                </w:p>
              </w:tc>
              <w:tc>
                <w:tcPr>
                  <w:tcW w:w="2944" w:type="pct"/>
                  <w:vAlign w:val="center"/>
                </w:tcPr>
                <w:p w14:paraId="5D291D65">
                  <w:pPr>
                    <w:adjustRightInd w:val="0"/>
                    <w:snapToGrid w:val="0"/>
                    <w:spacing w:line="240" w:lineRule="auto"/>
                    <w:ind w:firstLine="0" w:firstLineChars="0"/>
                    <w:contextualSpacing/>
                    <w:textAlignment w:val="auto"/>
                  </w:pPr>
                  <w:r>
                    <w:rPr>
                      <w:rFonts w:hint="eastAsia" w:cs="Times New Roman"/>
                      <w:color w:val="000000" w:themeColor="text1"/>
                      <w:sz w:val="21"/>
                      <w:szCs w:val="21"/>
                      <w14:textFill>
                        <w14:solidFill>
                          <w14:schemeClr w14:val="tx1"/>
                        </w14:solidFill>
                      </w14:textFill>
                    </w:rPr>
                    <w:t>有组织废气：项目生产线全部在全封闭车间内，破碎、粉碎、分选粉尘经集气罩+布袋除尘器处理后，由15m高排气筒排放</w:t>
                  </w:r>
                </w:p>
              </w:tc>
              <w:tc>
                <w:tcPr>
                  <w:tcW w:w="646" w:type="pct"/>
                  <w:vAlign w:val="center"/>
                </w:tcPr>
                <w:p w14:paraId="0D59871B">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14:paraId="0E6B55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0" w:hRule="atLeast"/>
              </w:trPr>
              <w:tc>
                <w:tcPr>
                  <w:tcW w:w="585" w:type="pct"/>
                  <w:vMerge w:val="continue"/>
                  <w:vAlign w:val="center"/>
                </w:tcPr>
                <w:p w14:paraId="3CF27C5C">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3D99AB84">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4B55B57A">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sz w:val="21"/>
                      <w:szCs w:val="21"/>
                    </w:rPr>
                    <w:t>无</w:t>
                  </w:r>
                  <w:r>
                    <w:rPr>
                      <w:rFonts w:hint="eastAsia" w:cs="Times New Roman"/>
                      <w:color w:val="000000" w:themeColor="text1"/>
                      <w:sz w:val="21"/>
                      <w:szCs w:val="21"/>
                      <w14:textFill>
                        <w14:solidFill>
                          <w14:schemeClr w14:val="tx1"/>
                        </w14:solidFill>
                      </w14:textFill>
                    </w:rPr>
                    <w:t>组织废气：生产车间全封闭，物料皮带采用封闭的方式进行物料运输，破碎工序采用湿法破碎工艺，防止粉尘逸散。</w:t>
                  </w:r>
                  <w:bookmarkStart w:id="11" w:name="OLE_LINK4"/>
                  <w:r>
                    <w:rPr>
                      <w:rFonts w:hint="eastAsia" w:cs="Times New Roman"/>
                      <w:color w:val="000000" w:themeColor="text1"/>
                      <w:sz w:val="21"/>
                      <w:szCs w:val="21"/>
                      <w14:textFill>
                        <w14:solidFill>
                          <w14:schemeClr w14:val="tx1"/>
                        </w14:solidFill>
                      </w14:textFill>
                    </w:rPr>
                    <w:t>原料堆场采用篷布全覆盖，并定期洒水抑尘；产品采用吨袋封装后堆放于成品堆场，有效防止粉尘逸散；</w:t>
                  </w:r>
                  <w:bookmarkEnd w:id="11"/>
                  <w:r>
                    <w:rPr>
                      <w:rFonts w:hint="eastAsia" w:cs="Times New Roman"/>
                      <w:color w:val="000000" w:themeColor="text1"/>
                      <w:sz w:val="21"/>
                      <w:szCs w:val="21"/>
                      <w14:textFill>
                        <w14:solidFill>
                          <w14:schemeClr w14:val="tx1"/>
                        </w14:solidFill>
                      </w14:textFill>
                    </w:rPr>
                    <w:t>运</w:t>
                  </w:r>
                  <w:r>
                    <w:rPr>
                      <w:rFonts w:hint="eastAsia" w:cs="Times New Roman"/>
                      <w:color w:val="000000"/>
                      <w:sz w:val="21"/>
                      <w:szCs w:val="21"/>
                    </w:rPr>
                    <w:t>输扬尘采取路面硬化、道路洒水降尘、加强对车辆的管理等措施</w:t>
                  </w:r>
                </w:p>
              </w:tc>
              <w:tc>
                <w:tcPr>
                  <w:tcW w:w="646" w:type="pct"/>
                  <w:vAlign w:val="center"/>
                </w:tcPr>
                <w:p w14:paraId="321FF0F3">
                  <w:pPr>
                    <w:adjustRightInd w:val="0"/>
                    <w:snapToGrid w:val="0"/>
                    <w:spacing w:line="240" w:lineRule="auto"/>
                    <w:ind w:firstLine="0" w:firstLineChars="0"/>
                    <w:contextualSpacing/>
                    <w:jc w:val="center"/>
                    <w:textAlignment w:val="auto"/>
                    <w:rPr>
                      <w:color w:val="000000"/>
                      <w:sz w:val="21"/>
                      <w:szCs w:val="21"/>
                    </w:rPr>
                  </w:pPr>
                  <w:r>
                    <w:rPr>
                      <w:rFonts w:hint="eastAsia"/>
                      <w:color w:val="000000"/>
                      <w:sz w:val="21"/>
                      <w:szCs w:val="21"/>
                    </w:rPr>
                    <w:t>新建</w:t>
                  </w:r>
                </w:p>
              </w:tc>
            </w:tr>
            <w:tr w14:paraId="20B8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46C648F2">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3FE958B6">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废水治理</w:t>
                  </w:r>
                </w:p>
              </w:tc>
              <w:tc>
                <w:tcPr>
                  <w:tcW w:w="2944" w:type="pct"/>
                  <w:vAlign w:val="center"/>
                </w:tcPr>
                <w:p w14:paraId="75FD0E10">
                  <w:pPr>
                    <w:adjustRightInd w:val="0"/>
                    <w:snapToGrid w:val="0"/>
                    <w:spacing w:line="240" w:lineRule="auto"/>
                    <w:ind w:firstLine="0" w:firstLineChars="0"/>
                    <w:contextualSpacing/>
                    <w:textAlignment w:val="auto"/>
                  </w:pPr>
                  <w:r>
                    <w:rPr>
                      <w:rFonts w:hint="eastAsia" w:cs="Times New Roman"/>
                      <w:color w:val="000000" w:themeColor="text1"/>
                      <w:sz w:val="21"/>
                      <w:szCs w:val="21"/>
                      <w14:textFill>
                        <w14:solidFill>
                          <w14:schemeClr w14:val="tx1"/>
                        </w14:solidFill>
                      </w14:textFill>
                    </w:rPr>
                    <w:t>本项目产生的生产废水经沉淀池处理后全部循环利用，不外排。生活污水进入厂区化粪池进行预处理后，定期由吸污车抽运至库尔勒市南市区污水处理厂处理（由库尔勒龙润水处理有限公司运营）</w:t>
                  </w:r>
                </w:p>
              </w:tc>
              <w:tc>
                <w:tcPr>
                  <w:tcW w:w="646" w:type="pct"/>
                  <w:vAlign w:val="center"/>
                </w:tcPr>
                <w:p w14:paraId="081174C0">
                  <w:pPr>
                    <w:adjustRightInd w:val="0"/>
                    <w:snapToGrid w:val="0"/>
                    <w:spacing w:line="240" w:lineRule="auto"/>
                    <w:ind w:firstLine="0" w:firstLineChars="0"/>
                    <w:contextualSpacing/>
                    <w:jc w:val="center"/>
                    <w:textAlignment w:val="auto"/>
                    <w:rPr>
                      <w:rFonts w:cs="Times New Roman"/>
                      <w:color w:val="000000" w:themeColor="text1"/>
                      <w:kern w:val="0"/>
                      <w:sz w:val="21"/>
                      <w:szCs w:val="21"/>
                      <w14:textFill>
                        <w14:solidFill>
                          <w14:schemeClr w14:val="tx1"/>
                        </w14:solidFill>
                      </w14:textFill>
                    </w:rPr>
                  </w:pPr>
                  <w:r>
                    <w:rPr>
                      <w:rFonts w:hint="eastAsia"/>
                      <w:color w:val="000000"/>
                      <w:sz w:val="21"/>
                      <w:szCs w:val="21"/>
                    </w:rPr>
                    <w:t>新建</w:t>
                  </w:r>
                </w:p>
              </w:tc>
            </w:tr>
            <w:tr w14:paraId="364F1B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585" w:type="pct"/>
                  <w:vMerge w:val="continue"/>
                  <w:vAlign w:val="center"/>
                </w:tcPr>
                <w:p w14:paraId="6671805C">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Align w:val="center"/>
                </w:tcPr>
                <w:p w14:paraId="2B5637CB">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噪声治理</w:t>
                  </w:r>
                </w:p>
              </w:tc>
              <w:tc>
                <w:tcPr>
                  <w:tcW w:w="2944" w:type="pct"/>
                  <w:vAlign w:val="center"/>
                </w:tcPr>
                <w:p w14:paraId="25A72F94">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646" w:type="pct"/>
                  <w:vAlign w:val="center"/>
                </w:tcPr>
                <w:p w14:paraId="19D90986">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新建</w:t>
                  </w:r>
                </w:p>
              </w:tc>
            </w:tr>
            <w:tr w14:paraId="4FB06E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5" w:hRule="atLeast"/>
              </w:trPr>
              <w:tc>
                <w:tcPr>
                  <w:tcW w:w="585" w:type="pct"/>
                  <w:vMerge w:val="continue"/>
                  <w:vAlign w:val="center"/>
                </w:tcPr>
                <w:p w14:paraId="13DD9081">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restart"/>
                  <w:vAlign w:val="center"/>
                </w:tcPr>
                <w:p w14:paraId="35FD6A66">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固体废物治理</w:t>
                  </w:r>
                </w:p>
              </w:tc>
              <w:tc>
                <w:tcPr>
                  <w:tcW w:w="2944" w:type="pct"/>
                  <w:vAlign w:val="center"/>
                </w:tcPr>
                <w:p w14:paraId="55E7941C">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sz w:val="21"/>
                      <w:szCs w:val="21"/>
                    </w:rPr>
                    <w:t>沉淀池沉渣定期清掏并晾晒干化后，就近拉运至一般工业固废填埋场</w:t>
                  </w:r>
                </w:p>
              </w:tc>
              <w:tc>
                <w:tcPr>
                  <w:tcW w:w="646" w:type="pct"/>
                  <w:vMerge w:val="restart"/>
                  <w:vAlign w:val="center"/>
                </w:tcPr>
                <w:p w14:paraId="3029D3D5">
                  <w:pPr>
                    <w:adjustRightInd w:val="0"/>
                    <w:snapToGrid w:val="0"/>
                    <w:spacing w:line="240" w:lineRule="auto"/>
                    <w:ind w:firstLine="0" w:firstLineChars="0"/>
                    <w:contextualSpacing/>
                    <w:jc w:val="center"/>
                    <w:textAlignment w:val="auto"/>
                    <w:rPr>
                      <w:rFonts w:cs="Times New Roman"/>
                      <w:color w:val="FF0000"/>
                      <w:sz w:val="21"/>
                      <w:szCs w:val="21"/>
                    </w:rPr>
                  </w:pPr>
                  <w:r>
                    <w:rPr>
                      <w:rFonts w:hint="eastAsia" w:cs="Times New Roman"/>
                      <w:color w:val="000000" w:themeColor="text1"/>
                      <w:sz w:val="21"/>
                      <w:szCs w:val="21"/>
                      <w14:textFill>
                        <w14:solidFill>
                          <w14:schemeClr w14:val="tx1"/>
                        </w14:solidFill>
                      </w14:textFill>
                    </w:rPr>
                    <w:t>新建</w:t>
                  </w:r>
                </w:p>
              </w:tc>
            </w:tr>
            <w:tr w14:paraId="539C10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 w:hRule="atLeast"/>
              </w:trPr>
              <w:tc>
                <w:tcPr>
                  <w:tcW w:w="585" w:type="pct"/>
                  <w:vMerge w:val="continue"/>
                  <w:vAlign w:val="center"/>
                </w:tcPr>
                <w:p w14:paraId="3E7F2EA7">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302D9E00">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61133DF7">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轻质杂质集中收集后，</w:t>
                  </w:r>
                  <w:r>
                    <w:rPr>
                      <w:rFonts w:hint="eastAsia" w:cs="Times New Roman"/>
                      <w:sz w:val="21"/>
                      <w:szCs w:val="21"/>
                    </w:rPr>
                    <w:t>就近拉运至一般工业固废填埋场</w:t>
                  </w:r>
                </w:p>
              </w:tc>
              <w:tc>
                <w:tcPr>
                  <w:tcW w:w="646" w:type="pct"/>
                  <w:vMerge w:val="continue"/>
                  <w:vAlign w:val="center"/>
                </w:tcPr>
                <w:p w14:paraId="3A3D1003">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14:paraId="74CDE2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 w:hRule="atLeast"/>
              </w:trPr>
              <w:tc>
                <w:tcPr>
                  <w:tcW w:w="585" w:type="pct"/>
                  <w:vMerge w:val="continue"/>
                  <w:vAlign w:val="center"/>
                </w:tcPr>
                <w:p w14:paraId="74E30ADD">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4524AFB4">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2B756A21">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布袋除尘器收集的粉尘集中收集后，</w:t>
                  </w:r>
                  <w:r>
                    <w:rPr>
                      <w:rFonts w:hint="eastAsia" w:cs="Times New Roman"/>
                      <w:sz w:val="21"/>
                      <w:szCs w:val="21"/>
                    </w:rPr>
                    <w:t>就近拉运至一般工业固废填埋场</w:t>
                  </w:r>
                </w:p>
              </w:tc>
              <w:tc>
                <w:tcPr>
                  <w:tcW w:w="646" w:type="pct"/>
                  <w:vMerge w:val="continue"/>
                  <w:vAlign w:val="center"/>
                </w:tcPr>
                <w:p w14:paraId="52753061">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14:paraId="13E340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7" w:hRule="atLeast"/>
              </w:trPr>
              <w:tc>
                <w:tcPr>
                  <w:tcW w:w="585" w:type="pct"/>
                  <w:vMerge w:val="continue"/>
                  <w:vAlign w:val="center"/>
                </w:tcPr>
                <w:p w14:paraId="74CCE552">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738664F6">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05DC1A0C">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废布袋定期由厂家回收</w:t>
                  </w:r>
                </w:p>
              </w:tc>
              <w:tc>
                <w:tcPr>
                  <w:tcW w:w="646" w:type="pct"/>
                  <w:vMerge w:val="continue"/>
                  <w:vAlign w:val="center"/>
                </w:tcPr>
                <w:p w14:paraId="67DFE864">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14:paraId="472FD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 w:hRule="atLeast"/>
              </w:trPr>
              <w:tc>
                <w:tcPr>
                  <w:tcW w:w="585" w:type="pct"/>
                  <w:vMerge w:val="continue"/>
                  <w:vAlign w:val="center"/>
                </w:tcPr>
                <w:p w14:paraId="252E9DBB">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0865E601">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48356A63">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生活垃圾集中收集至垃圾箱后由环卫部门统一清运</w:t>
                  </w:r>
                </w:p>
              </w:tc>
              <w:tc>
                <w:tcPr>
                  <w:tcW w:w="646" w:type="pct"/>
                  <w:vMerge w:val="continue"/>
                  <w:vAlign w:val="center"/>
                </w:tcPr>
                <w:p w14:paraId="443F3061">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tr w14:paraId="13F20D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 w:hRule="atLeast"/>
              </w:trPr>
              <w:tc>
                <w:tcPr>
                  <w:tcW w:w="585" w:type="pct"/>
                  <w:vMerge w:val="continue"/>
                  <w:vAlign w:val="center"/>
                </w:tcPr>
                <w:p w14:paraId="12AFE1B2">
                  <w:pPr>
                    <w:adjustRightInd w:val="0"/>
                    <w:snapToGrid w:val="0"/>
                    <w:spacing w:line="240" w:lineRule="auto"/>
                    <w:ind w:firstLine="0" w:firstLineChars="0"/>
                    <w:contextualSpacing/>
                    <w:jc w:val="center"/>
                    <w:textAlignment w:val="auto"/>
                    <w:rPr>
                      <w:rFonts w:cs="Times New Roman"/>
                      <w:color w:val="000000"/>
                      <w:sz w:val="21"/>
                      <w:szCs w:val="21"/>
                    </w:rPr>
                  </w:pPr>
                </w:p>
              </w:tc>
              <w:tc>
                <w:tcPr>
                  <w:tcW w:w="825" w:type="pct"/>
                  <w:vMerge w:val="continue"/>
                  <w:vAlign w:val="center"/>
                </w:tcPr>
                <w:p w14:paraId="007230C6">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c>
                <w:tcPr>
                  <w:tcW w:w="2944" w:type="pct"/>
                  <w:vAlign w:val="center"/>
                </w:tcPr>
                <w:p w14:paraId="37C5DDDE">
                  <w:pPr>
                    <w:adjustRightInd w:val="0"/>
                    <w:snapToGrid w:val="0"/>
                    <w:spacing w:line="240" w:lineRule="auto"/>
                    <w:ind w:firstLine="0" w:firstLineChars="0"/>
                    <w:contextualSpacing/>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危险废物集中收集后，分区存放于危险废物贮存点，定期交由有危险废物处理资质的单位回收处理</w:t>
                  </w:r>
                </w:p>
              </w:tc>
              <w:tc>
                <w:tcPr>
                  <w:tcW w:w="646" w:type="pct"/>
                  <w:vMerge w:val="continue"/>
                  <w:vAlign w:val="center"/>
                </w:tcPr>
                <w:p w14:paraId="3CDD617F">
                  <w:pPr>
                    <w:adjustRightInd w:val="0"/>
                    <w:snapToGrid w:val="0"/>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p>
              </w:tc>
            </w:tr>
            <w:bookmarkEnd w:id="10"/>
          </w:tbl>
          <w:p w14:paraId="480BCBFA">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2.产品方案</w:t>
            </w:r>
          </w:p>
          <w:p w14:paraId="079D2218">
            <w:pPr>
              <w:ind w:firstLine="480"/>
              <w:rPr>
                <w:rFonts w:cs="Times New Roman"/>
                <w:bCs/>
                <w:szCs w:val="24"/>
              </w:rPr>
            </w:pPr>
            <w:r>
              <w:rPr>
                <w:rFonts w:hint="eastAsia"/>
                <w:bCs/>
              </w:rPr>
              <w:t>本项目产品及生产规模详见下表</w:t>
            </w:r>
            <w:r>
              <w:rPr>
                <w:rFonts w:hint="eastAsia" w:cs="Times New Roman"/>
                <w:bCs/>
                <w:szCs w:val="24"/>
              </w:rPr>
              <w:t>2</w:t>
            </w:r>
            <w:r>
              <w:rPr>
                <w:rFonts w:cs="Times New Roman"/>
                <w:bCs/>
                <w:szCs w:val="24"/>
              </w:rPr>
              <w:t>-3。</w:t>
            </w:r>
          </w:p>
          <w:p w14:paraId="3231B841">
            <w:pPr>
              <w:pStyle w:val="37"/>
              <w:spacing w:before="163"/>
            </w:pPr>
            <w:r>
              <w:rPr>
                <w:rFonts w:hint="eastAsia"/>
              </w:rPr>
              <w:t>表</w:t>
            </w:r>
            <w:r>
              <w:t xml:space="preserve">2-3  </w:t>
            </w:r>
            <w:r>
              <w:rPr>
                <w:rFonts w:hint="eastAsia"/>
              </w:rPr>
              <w:t>产品方案一览表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160"/>
              <w:gridCol w:w="1219"/>
              <w:gridCol w:w="1988"/>
              <w:gridCol w:w="2119"/>
              <w:gridCol w:w="1321"/>
            </w:tblGrid>
            <w:tr w14:paraId="0F0E07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02" w:type="pct"/>
                  <w:vAlign w:val="center"/>
                </w:tcPr>
                <w:p w14:paraId="38765EAB">
                  <w:pPr>
                    <w:spacing w:line="240" w:lineRule="auto"/>
                    <w:ind w:firstLine="0" w:firstLineChars="0"/>
                    <w:contextualSpacing/>
                    <w:jc w:val="center"/>
                    <w:textAlignment w:val="auto"/>
                    <w:rPr>
                      <w:rFonts w:cs="Times New Roman"/>
                      <w:sz w:val="21"/>
                      <w:szCs w:val="21"/>
                    </w:rPr>
                  </w:pPr>
                  <w:r>
                    <w:rPr>
                      <w:rFonts w:hint="eastAsia" w:cs="Times New Roman"/>
                      <w:sz w:val="21"/>
                      <w:szCs w:val="21"/>
                    </w:rPr>
                    <w:t>序号</w:t>
                  </w:r>
                </w:p>
              </w:tc>
              <w:tc>
                <w:tcPr>
                  <w:tcW w:w="683" w:type="pct"/>
                  <w:vAlign w:val="center"/>
                </w:tcPr>
                <w:p w14:paraId="301AA3C8">
                  <w:pPr>
                    <w:spacing w:line="240" w:lineRule="auto"/>
                    <w:ind w:firstLine="0" w:firstLineChars="0"/>
                    <w:contextualSpacing/>
                    <w:jc w:val="center"/>
                    <w:textAlignment w:val="auto"/>
                    <w:rPr>
                      <w:rFonts w:cs="Times New Roman"/>
                      <w:sz w:val="21"/>
                      <w:szCs w:val="21"/>
                    </w:rPr>
                  </w:pPr>
                  <w:r>
                    <w:rPr>
                      <w:rFonts w:cs="Times New Roman"/>
                      <w:sz w:val="21"/>
                      <w:szCs w:val="21"/>
                    </w:rPr>
                    <w:t>产品类型</w:t>
                  </w:r>
                </w:p>
              </w:tc>
              <w:tc>
                <w:tcPr>
                  <w:tcW w:w="718" w:type="pct"/>
                  <w:vAlign w:val="center"/>
                </w:tcPr>
                <w:p w14:paraId="090A0B72">
                  <w:pPr>
                    <w:spacing w:line="240" w:lineRule="auto"/>
                    <w:ind w:firstLine="0" w:firstLineChars="0"/>
                    <w:contextualSpacing/>
                    <w:jc w:val="center"/>
                    <w:textAlignment w:val="auto"/>
                    <w:rPr>
                      <w:rFonts w:cs="Times New Roman"/>
                      <w:sz w:val="21"/>
                      <w:szCs w:val="21"/>
                    </w:rPr>
                  </w:pPr>
                  <w:r>
                    <w:rPr>
                      <w:rFonts w:hint="eastAsia" w:cs="Times New Roman"/>
                      <w:sz w:val="21"/>
                      <w:szCs w:val="21"/>
                    </w:rPr>
                    <w:t>产能t</w:t>
                  </w:r>
                  <w:r>
                    <w:rPr>
                      <w:rFonts w:cs="Times New Roman"/>
                      <w:sz w:val="21"/>
                      <w:szCs w:val="21"/>
                    </w:rPr>
                    <w:t>/a</w:t>
                  </w:r>
                </w:p>
              </w:tc>
              <w:tc>
                <w:tcPr>
                  <w:tcW w:w="1171" w:type="pct"/>
                  <w:vAlign w:val="center"/>
                </w:tcPr>
                <w:p w14:paraId="6165DB72">
                  <w:pPr>
                    <w:spacing w:line="240" w:lineRule="auto"/>
                    <w:ind w:firstLine="0" w:firstLineChars="0"/>
                    <w:contextualSpacing/>
                    <w:jc w:val="center"/>
                    <w:textAlignment w:val="auto"/>
                    <w:rPr>
                      <w:rFonts w:cs="Times New Roman"/>
                      <w:sz w:val="21"/>
                      <w:szCs w:val="21"/>
                    </w:rPr>
                  </w:pPr>
                  <w:r>
                    <w:rPr>
                      <w:rFonts w:hint="eastAsia" w:cs="Times New Roman"/>
                      <w:sz w:val="21"/>
                      <w:szCs w:val="21"/>
                    </w:rPr>
                    <w:t>规格</w:t>
                  </w:r>
                </w:p>
              </w:tc>
              <w:tc>
                <w:tcPr>
                  <w:tcW w:w="1248" w:type="pct"/>
                  <w:vAlign w:val="center"/>
                </w:tcPr>
                <w:p w14:paraId="1BA085C0">
                  <w:pPr>
                    <w:spacing w:line="240" w:lineRule="auto"/>
                    <w:ind w:firstLine="0" w:firstLineChars="0"/>
                    <w:contextualSpacing/>
                    <w:jc w:val="center"/>
                    <w:textAlignment w:val="auto"/>
                    <w:rPr>
                      <w:rFonts w:cs="Times New Roman"/>
                      <w:sz w:val="21"/>
                      <w:szCs w:val="21"/>
                    </w:rPr>
                  </w:pPr>
                  <w:r>
                    <w:rPr>
                      <w:rFonts w:hint="eastAsia" w:cs="Times New Roman"/>
                      <w:sz w:val="21"/>
                      <w:szCs w:val="21"/>
                    </w:rPr>
                    <w:t>用途</w:t>
                  </w:r>
                </w:p>
              </w:tc>
              <w:tc>
                <w:tcPr>
                  <w:tcW w:w="779" w:type="pct"/>
                  <w:vAlign w:val="center"/>
                </w:tcPr>
                <w:p w14:paraId="7837C859">
                  <w:pPr>
                    <w:spacing w:line="240" w:lineRule="auto"/>
                    <w:ind w:firstLine="0" w:firstLineChars="0"/>
                    <w:contextualSpacing/>
                    <w:jc w:val="center"/>
                    <w:textAlignment w:val="auto"/>
                    <w:rPr>
                      <w:rFonts w:cs="Times New Roman"/>
                      <w:sz w:val="21"/>
                      <w:szCs w:val="21"/>
                    </w:rPr>
                  </w:pPr>
                  <w:r>
                    <w:rPr>
                      <w:rFonts w:hint="eastAsia" w:cs="Times New Roman"/>
                      <w:sz w:val="21"/>
                      <w:szCs w:val="21"/>
                    </w:rPr>
                    <w:t>备注</w:t>
                  </w:r>
                </w:p>
              </w:tc>
            </w:tr>
            <w:tr w14:paraId="09EE32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402" w:type="pct"/>
                  <w:vAlign w:val="center"/>
                </w:tcPr>
                <w:p w14:paraId="2854CF39">
                  <w:pPr>
                    <w:spacing w:line="240" w:lineRule="auto"/>
                    <w:ind w:firstLine="0" w:firstLineChars="0"/>
                    <w:contextualSpacing/>
                    <w:jc w:val="center"/>
                    <w:textAlignment w:val="auto"/>
                    <w:rPr>
                      <w:rFonts w:cs="Times New Roman"/>
                      <w:sz w:val="21"/>
                      <w:szCs w:val="21"/>
                    </w:rPr>
                  </w:pPr>
                  <w:r>
                    <w:rPr>
                      <w:rFonts w:hint="eastAsia" w:cs="Times New Roman"/>
                      <w:sz w:val="21"/>
                      <w:szCs w:val="21"/>
                    </w:rPr>
                    <w:t>1</w:t>
                  </w:r>
                </w:p>
              </w:tc>
              <w:tc>
                <w:tcPr>
                  <w:tcW w:w="683" w:type="pct"/>
                  <w:vAlign w:val="center"/>
                </w:tcPr>
                <w:p w14:paraId="589E8989">
                  <w:pPr>
                    <w:spacing w:line="240" w:lineRule="auto"/>
                    <w:ind w:firstLine="0" w:firstLineChars="0"/>
                    <w:contextualSpacing/>
                    <w:jc w:val="center"/>
                    <w:textAlignment w:val="auto"/>
                    <w:rPr>
                      <w:rFonts w:cs="Times New Roman"/>
                      <w:sz w:val="21"/>
                      <w:szCs w:val="21"/>
                    </w:rPr>
                  </w:pPr>
                  <w:r>
                    <w:rPr>
                      <w:rFonts w:hint="eastAsia" w:cs="Times New Roman"/>
                      <w:sz w:val="21"/>
                      <w:szCs w:val="21"/>
                    </w:rPr>
                    <w:t>塑料碎片</w:t>
                  </w:r>
                </w:p>
              </w:tc>
              <w:tc>
                <w:tcPr>
                  <w:tcW w:w="718" w:type="pct"/>
                  <w:vAlign w:val="center"/>
                </w:tcPr>
                <w:p w14:paraId="550F1FB7">
                  <w:pPr>
                    <w:spacing w:line="240" w:lineRule="auto"/>
                    <w:ind w:firstLine="0" w:firstLineChars="0"/>
                    <w:contextualSpacing/>
                    <w:jc w:val="center"/>
                    <w:textAlignment w:val="auto"/>
                    <w:rPr>
                      <w:rFonts w:cs="Times New Roman"/>
                      <w:sz w:val="21"/>
                      <w:szCs w:val="21"/>
                    </w:rPr>
                  </w:pPr>
                  <w:r>
                    <w:rPr>
                      <w:sz w:val="21"/>
                      <w:szCs w:val="21"/>
                    </w:rPr>
                    <w:t>29556.879</w:t>
                  </w:r>
                </w:p>
              </w:tc>
              <w:tc>
                <w:tcPr>
                  <w:tcW w:w="1171" w:type="pct"/>
                  <w:vAlign w:val="center"/>
                </w:tcPr>
                <w:p w14:paraId="40408C3E">
                  <w:pPr>
                    <w:spacing w:line="240" w:lineRule="auto"/>
                    <w:ind w:firstLine="0" w:firstLineChars="0"/>
                    <w:contextualSpacing/>
                    <w:jc w:val="center"/>
                    <w:textAlignment w:val="auto"/>
                    <w:rPr>
                      <w:rFonts w:cs="Times New Roman"/>
                      <w:sz w:val="21"/>
                      <w:szCs w:val="21"/>
                    </w:rPr>
                  </w:pPr>
                  <w:r>
                    <w:rPr>
                      <w:rFonts w:hint="eastAsia" w:cs="Times New Roman"/>
                      <w:sz w:val="21"/>
                      <w:szCs w:val="21"/>
                    </w:rPr>
                    <w:t>粒径为1-3cm；吨装（集装袋）</w:t>
                  </w:r>
                </w:p>
              </w:tc>
              <w:tc>
                <w:tcPr>
                  <w:tcW w:w="1248" w:type="pct"/>
                  <w:vAlign w:val="center"/>
                </w:tcPr>
                <w:p w14:paraId="0750FB6C">
                  <w:pPr>
                    <w:spacing w:line="240" w:lineRule="auto"/>
                    <w:ind w:firstLine="0" w:firstLineChars="0"/>
                    <w:contextualSpacing/>
                    <w:jc w:val="center"/>
                    <w:textAlignment w:val="auto"/>
                    <w:rPr>
                      <w:rFonts w:cs="Times New Roman"/>
                      <w:sz w:val="21"/>
                      <w:szCs w:val="21"/>
                    </w:rPr>
                  </w:pPr>
                  <w:r>
                    <w:rPr>
                      <w:rFonts w:hint="eastAsia" w:cs="Times New Roman"/>
                      <w:sz w:val="21"/>
                      <w:szCs w:val="21"/>
                    </w:rPr>
                    <w:t>外售至塑料厂作为塑料颗粒生产原料</w:t>
                  </w:r>
                </w:p>
              </w:tc>
              <w:tc>
                <w:tcPr>
                  <w:tcW w:w="779" w:type="pct"/>
                  <w:vAlign w:val="center"/>
                </w:tcPr>
                <w:p w14:paraId="48CA09FE">
                  <w:pPr>
                    <w:spacing w:line="240" w:lineRule="auto"/>
                    <w:ind w:firstLine="0" w:firstLineChars="0"/>
                    <w:contextualSpacing/>
                    <w:jc w:val="center"/>
                    <w:textAlignment w:val="auto"/>
                    <w:rPr>
                      <w:rFonts w:cs="Times New Roman"/>
                      <w:sz w:val="21"/>
                      <w:szCs w:val="21"/>
                    </w:rPr>
                  </w:pPr>
                  <w:r>
                    <w:rPr>
                      <w:rFonts w:hint="eastAsia" w:cs="Times New Roman"/>
                      <w:sz w:val="21"/>
                      <w:szCs w:val="21"/>
                    </w:rPr>
                    <w:t>主产品</w:t>
                  </w:r>
                </w:p>
              </w:tc>
            </w:tr>
            <w:tr w14:paraId="061BAF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 w:hRule="atLeast"/>
              </w:trPr>
              <w:tc>
                <w:tcPr>
                  <w:tcW w:w="402" w:type="pct"/>
                  <w:vAlign w:val="center"/>
                </w:tcPr>
                <w:p w14:paraId="306E50EC">
                  <w:pPr>
                    <w:spacing w:line="240" w:lineRule="auto"/>
                    <w:ind w:firstLine="0" w:firstLineChars="0"/>
                    <w:contextualSpacing/>
                    <w:jc w:val="center"/>
                    <w:textAlignment w:val="auto"/>
                    <w:rPr>
                      <w:rFonts w:cs="Times New Roman"/>
                      <w:sz w:val="21"/>
                      <w:szCs w:val="21"/>
                    </w:rPr>
                  </w:pPr>
                  <w:r>
                    <w:rPr>
                      <w:rFonts w:hint="eastAsia" w:cs="Times New Roman"/>
                      <w:sz w:val="21"/>
                      <w:szCs w:val="21"/>
                    </w:rPr>
                    <w:t>2</w:t>
                  </w:r>
                </w:p>
              </w:tc>
              <w:tc>
                <w:tcPr>
                  <w:tcW w:w="683" w:type="pct"/>
                  <w:vAlign w:val="center"/>
                </w:tcPr>
                <w:p w14:paraId="13234601">
                  <w:pPr>
                    <w:spacing w:line="240" w:lineRule="auto"/>
                    <w:ind w:firstLine="0" w:firstLineChars="0"/>
                    <w:contextualSpacing/>
                    <w:jc w:val="center"/>
                    <w:textAlignment w:val="auto"/>
                    <w:rPr>
                      <w:rFonts w:cs="Times New Roman"/>
                      <w:sz w:val="21"/>
                      <w:szCs w:val="21"/>
                    </w:rPr>
                  </w:pPr>
                  <w:r>
                    <w:rPr>
                      <w:rFonts w:hint="eastAsia" w:cs="Times New Roman"/>
                      <w:sz w:val="21"/>
                      <w:szCs w:val="21"/>
                    </w:rPr>
                    <w:t>金属颗粒</w:t>
                  </w:r>
                </w:p>
              </w:tc>
              <w:tc>
                <w:tcPr>
                  <w:tcW w:w="718" w:type="pct"/>
                  <w:vAlign w:val="center"/>
                </w:tcPr>
                <w:p w14:paraId="4B4146CA">
                  <w:pPr>
                    <w:spacing w:line="240" w:lineRule="auto"/>
                    <w:ind w:firstLine="0" w:firstLineChars="0"/>
                    <w:contextualSpacing/>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3</w:t>
                  </w:r>
                  <w:r>
                    <w:rPr>
                      <w:rFonts w:cs="Times New Roman"/>
                      <w:color w:val="000000" w:themeColor="text1"/>
                      <w:sz w:val="21"/>
                      <w:szCs w:val="21"/>
                      <w14:textFill>
                        <w14:solidFill>
                          <w14:schemeClr w14:val="tx1"/>
                        </w14:solidFill>
                      </w14:textFill>
                    </w:rPr>
                    <w:t>00</w:t>
                  </w:r>
                </w:p>
              </w:tc>
              <w:tc>
                <w:tcPr>
                  <w:tcW w:w="1171" w:type="pct"/>
                  <w:vAlign w:val="center"/>
                </w:tcPr>
                <w:p w14:paraId="22459697">
                  <w:pPr>
                    <w:spacing w:line="240" w:lineRule="auto"/>
                    <w:ind w:firstLine="0" w:firstLineChars="0"/>
                    <w:contextualSpacing/>
                    <w:jc w:val="center"/>
                    <w:textAlignment w:val="auto"/>
                    <w:rPr>
                      <w:rFonts w:cs="Times New Roman"/>
                      <w:sz w:val="21"/>
                      <w:szCs w:val="21"/>
                    </w:rPr>
                  </w:pPr>
                  <w:r>
                    <w:rPr>
                      <w:rFonts w:hint="eastAsia" w:cs="Times New Roman"/>
                      <w:sz w:val="21"/>
                      <w:szCs w:val="21"/>
                    </w:rPr>
                    <w:t>混合粒径</w:t>
                  </w:r>
                </w:p>
              </w:tc>
              <w:tc>
                <w:tcPr>
                  <w:tcW w:w="1248" w:type="pct"/>
                  <w:vAlign w:val="center"/>
                </w:tcPr>
                <w:p w14:paraId="62AEE536">
                  <w:pPr>
                    <w:spacing w:line="240" w:lineRule="auto"/>
                    <w:ind w:firstLine="0" w:firstLineChars="0"/>
                    <w:contextualSpacing/>
                    <w:jc w:val="center"/>
                    <w:textAlignment w:val="auto"/>
                    <w:rPr>
                      <w:rFonts w:cs="Times New Roman"/>
                      <w:sz w:val="21"/>
                      <w:szCs w:val="21"/>
                    </w:rPr>
                  </w:pPr>
                  <w:r>
                    <w:rPr>
                      <w:rFonts w:cs="Times New Roman"/>
                      <w:sz w:val="21"/>
                      <w:szCs w:val="21"/>
                    </w:rPr>
                    <w:t>外售至金属回收厂</w:t>
                  </w:r>
                </w:p>
              </w:tc>
              <w:tc>
                <w:tcPr>
                  <w:tcW w:w="779" w:type="pct"/>
                  <w:vAlign w:val="center"/>
                </w:tcPr>
                <w:p w14:paraId="6A9C37F5">
                  <w:pPr>
                    <w:spacing w:line="240" w:lineRule="auto"/>
                    <w:ind w:firstLine="0" w:firstLineChars="0"/>
                    <w:contextualSpacing/>
                    <w:jc w:val="center"/>
                    <w:textAlignment w:val="auto"/>
                    <w:rPr>
                      <w:rFonts w:cs="Times New Roman"/>
                      <w:sz w:val="21"/>
                      <w:szCs w:val="21"/>
                    </w:rPr>
                  </w:pPr>
                  <w:r>
                    <w:rPr>
                      <w:rFonts w:ascii="Segoe UI" w:hAnsi="Segoe UI" w:cs="Segoe UI"/>
                      <w:color w:val="0F1115"/>
                      <w:sz w:val="21"/>
                      <w:szCs w:val="21"/>
                      <w:shd w:val="clear" w:color="auto" w:fill="FFFFFF"/>
                    </w:rPr>
                    <w:t>副产品</w:t>
                  </w:r>
                </w:p>
              </w:tc>
            </w:tr>
          </w:tbl>
          <w:p w14:paraId="12053809">
            <w:pPr>
              <w:pStyle w:val="3"/>
              <w:ind w:firstLine="482"/>
              <w:rPr>
                <w:color w:val="000000" w:themeColor="text1"/>
                <w14:textFill>
                  <w14:solidFill>
                    <w14:schemeClr w14:val="tx1"/>
                  </w14:solidFill>
                </w14:textFill>
              </w:rPr>
            </w:pPr>
            <w:r>
              <w:rPr>
                <w:rFonts w:hint="eastAsia"/>
                <w:color w:val="000000" w:themeColor="text1"/>
                <w14:textFill>
                  <w14:solidFill>
                    <w14:schemeClr w14:val="tx1"/>
                  </w14:solidFill>
                </w14:textFill>
              </w:rPr>
              <w:t>3.主要设备</w:t>
            </w:r>
          </w:p>
          <w:p w14:paraId="6D437F44">
            <w:pPr>
              <w:ind w:firstLine="48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项目主要生产设备见下表：</w:t>
            </w:r>
          </w:p>
          <w:p w14:paraId="51765747">
            <w:pPr>
              <w:spacing w:line="240" w:lineRule="auto"/>
              <w:ind w:firstLine="0" w:firstLineChars="0"/>
              <w:jc w:val="center"/>
              <w:textAlignment w:val="auto"/>
              <w:rPr>
                <w:rFonts w:cs="Times New Roman"/>
                <w:b/>
                <w:bCs/>
                <w:color w:val="000000"/>
                <w:sz w:val="21"/>
                <w:szCs w:val="21"/>
              </w:rPr>
            </w:pPr>
            <w:r>
              <w:rPr>
                <w:rFonts w:cs="Times New Roman"/>
                <w:b/>
                <w:bCs/>
                <w:color w:val="000000"/>
                <w:sz w:val="21"/>
                <w:szCs w:val="21"/>
              </w:rPr>
              <w:t xml:space="preserve">表2-4  </w:t>
            </w:r>
            <w:r>
              <w:rPr>
                <w:rFonts w:hint="eastAsia" w:cs="Times New Roman"/>
                <w:b/>
                <w:bCs/>
                <w:color w:val="000000"/>
                <w:sz w:val="21"/>
                <w:szCs w:val="21"/>
              </w:rPr>
              <w:t>主要设备一览表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872"/>
              <w:gridCol w:w="3276"/>
              <w:gridCol w:w="662"/>
              <w:gridCol w:w="795"/>
              <w:gridCol w:w="1192"/>
            </w:tblGrid>
            <w:tr w14:paraId="5EBB80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409" w:type="pct"/>
                  <w:vAlign w:val="center"/>
                </w:tcPr>
                <w:p w14:paraId="43FF172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序号</w:t>
                  </w:r>
                </w:p>
              </w:tc>
              <w:tc>
                <w:tcPr>
                  <w:tcW w:w="1102" w:type="pct"/>
                  <w:vAlign w:val="center"/>
                </w:tcPr>
                <w:p w14:paraId="2C27531D">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名称</w:t>
                  </w:r>
                </w:p>
              </w:tc>
              <w:tc>
                <w:tcPr>
                  <w:tcW w:w="1929" w:type="pct"/>
                  <w:vAlign w:val="center"/>
                </w:tcPr>
                <w:p w14:paraId="534E38FB">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型号</w:t>
                  </w:r>
                </w:p>
              </w:tc>
              <w:tc>
                <w:tcPr>
                  <w:tcW w:w="390" w:type="pct"/>
                  <w:vAlign w:val="center"/>
                </w:tcPr>
                <w:p w14:paraId="7BAC3841">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单位</w:t>
                  </w:r>
                </w:p>
              </w:tc>
              <w:tc>
                <w:tcPr>
                  <w:tcW w:w="468" w:type="pct"/>
                  <w:vAlign w:val="center"/>
                </w:tcPr>
                <w:p w14:paraId="18F702B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数量</w:t>
                  </w:r>
                </w:p>
              </w:tc>
              <w:tc>
                <w:tcPr>
                  <w:tcW w:w="702" w:type="pct"/>
                  <w:vAlign w:val="center"/>
                </w:tcPr>
                <w:p w14:paraId="572FC593">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备注</w:t>
                  </w:r>
                </w:p>
              </w:tc>
            </w:tr>
            <w:tr w14:paraId="3BF7E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409" w:type="pct"/>
                  <w:vAlign w:val="center"/>
                </w:tcPr>
                <w:p w14:paraId="5A4B0CF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1102" w:type="pct"/>
                  <w:vAlign w:val="center"/>
                </w:tcPr>
                <w:p w14:paraId="0C3DAE3C">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清水漂洗分离槽</w:t>
                  </w:r>
                </w:p>
              </w:tc>
              <w:tc>
                <w:tcPr>
                  <w:tcW w:w="1929" w:type="pct"/>
                  <w:vAlign w:val="center"/>
                </w:tcPr>
                <w:p w14:paraId="6C446E87">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拨料齿电机2.2kw；长1</w:t>
                  </w:r>
                  <w:r>
                    <w:rPr>
                      <w:rFonts w:cs="Times New Roman"/>
                      <w:color w:val="000000" w:themeColor="text1"/>
                      <w:sz w:val="21"/>
                      <w14:textFill>
                        <w14:solidFill>
                          <w14:schemeClr w14:val="tx1"/>
                        </w14:solidFill>
                      </w14:textFill>
                    </w:rPr>
                    <w:t>3</w:t>
                  </w:r>
                  <w:r>
                    <w:rPr>
                      <w:rFonts w:hint="eastAsia" w:cs="Times New Roman"/>
                      <w:color w:val="000000" w:themeColor="text1"/>
                      <w:sz w:val="21"/>
                      <w14:textFill>
                        <w14:solidFill>
                          <w14:schemeClr w14:val="tx1"/>
                        </w14:solidFill>
                      </w14:textFill>
                    </w:rPr>
                    <w:t>米</w:t>
                  </w:r>
                </w:p>
              </w:tc>
              <w:tc>
                <w:tcPr>
                  <w:tcW w:w="390" w:type="pct"/>
                  <w:vAlign w:val="center"/>
                </w:tcPr>
                <w:p w14:paraId="3551FE5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25979245">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702" w:type="pct"/>
                  <w:vAlign w:val="center"/>
                </w:tcPr>
                <w:p w14:paraId="42D33729">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新建</w:t>
                  </w:r>
                </w:p>
              </w:tc>
            </w:tr>
            <w:tr w14:paraId="65AB1E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409" w:type="pct"/>
                  <w:vAlign w:val="center"/>
                </w:tcPr>
                <w:p w14:paraId="31826680">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2</w:t>
                  </w:r>
                </w:p>
              </w:tc>
              <w:tc>
                <w:tcPr>
                  <w:tcW w:w="1102" w:type="pct"/>
                  <w:vAlign w:val="center"/>
                </w:tcPr>
                <w:p w14:paraId="72A2F7FE">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破碎机</w:t>
                  </w:r>
                </w:p>
              </w:tc>
              <w:tc>
                <w:tcPr>
                  <w:tcW w:w="1929" w:type="pct"/>
                  <w:vAlign w:val="center"/>
                </w:tcPr>
                <w:p w14:paraId="7AC77311">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800</w:t>
                  </w:r>
                  <w:r>
                    <w:rPr>
                      <w:rFonts w:hint="eastAsia" w:cs="Times New Roman"/>
                      <w:color w:val="000000" w:themeColor="text1"/>
                      <w:sz w:val="21"/>
                      <w14:textFill>
                        <w14:solidFill>
                          <w14:schemeClr w14:val="tx1"/>
                        </w14:solidFill>
                      </w14:textFill>
                    </w:rPr>
                    <w:t>型；碳钢制造</w:t>
                  </w:r>
                </w:p>
              </w:tc>
              <w:tc>
                <w:tcPr>
                  <w:tcW w:w="390" w:type="pct"/>
                  <w:vAlign w:val="center"/>
                </w:tcPr>
                <w:p w14:paraId="7110ADA7">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27E2CC8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702" w:type="pct"/>
                  <w:vAlign w:val="center"/>
                </w:tcPr>
                <w:p w14:paraId="42CDA120">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已建</w:t>
                  </w:r>
                </w:p>
              </w:tc>
            </w:tr>
            <w:tr w14:paraId="0A2D6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09" w:type="pct"/>
                  <w:vAlign w:val="center"/>
                </w:tcPr>
                <w:p w14:paraId="70AC6888">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3</w:t>
                  </w:r>
                </w:p>
              </w:tc>
              <w:tc>
                <w:tcPr>
                  <w:tcW w:w="1102" w:type="pct"/>
                  <w:vAlign w:val="center"/>
                </w:tcPr>
                <w:p w14:paraId="21330FC3">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甩干机</w:t>
                  </w:r>
                </w:p>
              </w:tc>
              <w:tc>
                <w:tcPr>
                  <w:tcW w:w="1929" w:type="pct"/>
                  <w:vAlign w:val="center"/>
                </w:tcPr>
                <w:p w14:paraId="2FC1FC2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电机功率30kw；碳钢制造</w:t>
                  </w:r>
                </w:p>
              </w:tc>
              <w:tc>
                <w:tcPr>
                  <w:tcW w:w="390" w:type="pct"/>
                  <w:vAlign w:val="center"/>
                </w:tcPr>
                <w:p w14:paraId="3EF0641D">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273D6FD3">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702" w:type="pct"/>
                </w:tcPr>
                <w:p w14:paraId="7AF7A978">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新建</w:t>
                  </w:r>
                </w:p>
              </w:tc>
            </w:tr>
            <w:tr w14:paraId="37431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409" w:type="pct"/>
                  <w:vAlign w:val="center"/>
                </w:tcPr>
                <w:p w14:paraId="0BC18E7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4</w:t>
                  </w:r>
                </w:p>
              </w:tc>
              <w:tc>
                <w:tcPr>
                  <w:tcW w:w="1102" w:type="pct"/>
                  <w:vAlign w:val="center"/>
                </w:tcPr>
                <w:p w14:paraId="1B82690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空分机</w:t>
                  </w:r>
                </w:p>
              </w:tc>
              <w:tc>
                <w:tcPr>
                  <w:tcW w:w="1929" w:type="pct"/>
                  <w:vAlign w:val="center"/>
                </w:tcPr>
                <w:p w14:paraId="01B00B5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闭风器功率3kw；振动功率0.55kw</w:t>
                  </w:r>
                </w:p>
              </w:tc>
              <w:tc>
                <w:tcPr>
                  <w:tcW w:w="390" w:type="pct"/>
                  <w:vAlign w:val="center"/>
                </w:tcPr>
                <w:p w14:paraId="7503310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167D392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702" w:type="pct"/>
                </w:tcPr>
                <w:p w14:paraId="5D05816D">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已建</w:t>
                  </w:r>
                </w:p>
              </w:tc>
            </w:tr>
            <w:tr w14:paraId="3630E2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09" w:type="pct"/>
                  <w:vAlign w:val="center"/>
                </w:tcPr>
                <w:p w14:paraId="7BB96E8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5</w:t>
                  </w:r>
                </w:p>
              </w:tc>
              <w:tc>
                <w:tcPr>
                  <w:tcW w:w="1102" w:type="pct"/>
                  <w:vAlign w:val="center"/>
                </w:tcPr>
                <w:p w14:paraId="13D20F0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粉碎机</w:t>
                  </w:r>
                </w:p>
              </w:tc>
              <w:tc>
                <w:tcPr>
                  <w:tcW w:w="1929" w:type="pct"/>
                  <w:vAlign w:val="center"/>
                </w:tcPr>
                <w:p w14:paraId="7C966ACF">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配套2个晃床</w:t>
                  </w:r>
                </w:p>
              </w:tc>
              <w:tc>
                <w:tcPr>
                  <w:tcW w:w="390" w:type="pct"/>
                  <w:vAlign w:val="center"/>
                </w:tcPr>
                <w:p w14:paraId="318C720C">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74001118">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1</w:t>
                  </w:r>
                </w:p>
              </w:tc>
              <w:tc>
                <w:tcPr>
                  <w:tcW w:w="702" w:type="pct"/>
                </w:tcPr>
                <w:p w14:paraId="419CC4A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新建</w:t>
                  </w:r>
                </w:p>
              </w:tc>
            </w:tr>
            <w:tr w14:paraId="4D6834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409" w:type="pct"/>
                  <w:vAlign w:val="center"/>
                </w:tcPr>
                <w:p w14:paraId="056D7681">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6</w:t>
                  </w:r>
                </w:p>
              </w:tc>
              <w:tc>
                <w:tcPr>
                  <w:tcW w:w="1102" w:type="pct"/>
                  <w:vAlign w:val="center"/>
                </w:tcPr>
                <w:p w14:paraId="5367EA6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圆滚筒</w:t>
                  </w:r>
                </w:p>
              </w:tc>
              <w:tc>
                <w:tcPr>
                  <w:tcW w:w="1929" w:type="pct"/>
                  <w:vAlign w:val="center"/>
                </w:tcPr>
                <w:p w14:paraId="5497A24B">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配套</w:t>
                  </w:r>
                  <w:r>
                    <w:rPr>
                      <w:rFonts w:cs="Times New Roman"/>
                      <w:color w:val="000000" w:themeColor="text1"/>
                      <w:sz w:val="21"/>
                      <w14:textFill>
                        <w14:solidFill>
                          <w14:schemeClr w14:val="tx1"/>
                        </w14:solidFill>
                      </w14:textFill>
                    </w:rPr>
                    <w:t>6</w:t>
                  </w:r>
                  <w:r>
                    <w:rPr>
                      <w:rFonts w:hint="eastAsia" w:cs="Times New Roman"/>
                      <w:color w:val="000000" w:themeColor="text1"/>
                      <w:sz w:val="21"/>
                      <w14:textFill>
                        <w14:solidFill>
                          <w14:schemeClr w14:val="tx1"/>
                        </w14:solidFill>
                      </w14:textFill>
                    </w:rPr>
                    <w:t>个晃床</w:t>
                  </w:r>
                </w:p>
              </w:tc>
              <w:tc>
                <w:tcPr>
                  <w:tcW w:w="390" w:type="pct"/>
                  <w:vAlign w:val="center"/>
                </w:tcPr>
                <w:p w14:paraId="5839F847">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42F69E40">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2</w:t>
                  </w:r>
                </w:p>
              </w:tc>
              <w:tc>
                <w:tcPr>
                  <w:tcW w:w="702" w:type="pct"/>
                </w:tcPr>
                <w:p w14:paraId="0A21CAA8">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新建</w:t>
                  </w:r>
                </w:p>
              </w:tc>
            </w:tr>
            <w:tr w14:paraId="64A292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09" w:type="pct"/>
                  <w:vAlign w:val="center"/>
                </w:tcPr>
                <w:p w14:paraId="23A28674">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7</w:t>
                  </w:r>
                </w:p>
              </w:tc>
              <w:tc>
                <w:tcPr>
                  <w:tcW w:w="1102" w:type="pct"/>
                  <w:vAlign w:val="center"/>
                </w:tcPr>
                <w:p w14:paraId="2D0CE15D">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输送带</w:t>
                  </w:r>
                </w:p>
              </w:tc>
              <w:tc>
                <w:tcPr>
                  <w:tcW w:w="1929" w:type="pct"/>
                  <w:vAlign w:val="center"/>
                </w:tcPr>
                <w:p w14:paraId="419953CD">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c>
                <w:tcPr>
                  <w:tcW w:w="390" w:type="pct"/>
                  <w:vAlign w:val="center"/>
                </w:tcPr>
                <w:p w14:paraId="622E82BA">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个</w:t>
                  </w:r>
                </w:p>
              </w:tc>
              <w:tc>
                <w:tcPr>
                  <w:tcW w:w="468" w:type="pct"/>
                  <w:vAlign w:val="center"/>
                </w:tcPr>
                <w:p w14:paraId="2D5A008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cs="Times New Roman"/>
                      <w:color w:val="000000" w:themeColor="text1"/>
                      <w:sz w:val="21"/>
                      <w14:textFill>
                        <w14:solidFill>
                          <w14:schemeClr w14:val="tx1"/>
                        </w14:solidFill>
                      </w14:textFill>
                    </w:rPr>
                    <w:t>5</w:t>
                  </w:r>
                </w:p>
              </w:tc>
              <w:tc>
                <w:tcPr>
                  <w:tcW w:w="702" w:type="pct"/>
                </w:tcPr>
                <w:p w14:paraId="70D2DE2F">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利旧1台，新购4台</w:t>
                  </w:r>
                </w:p>
              </w:tc>
            </w:tr>
            <w:tr w14:paraId="56FF9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409" w:type="pct"/>
                  <w:vAlign w:val="center"/>
                </w:tcPr>
                <w:p w14:paraId="4BCED822">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8</w:t>
                  </w:r>
                </w:p>
              </w:tc>
              <w:tc>
                <w:tcPr>
                  <w:tcW w:w="1102" w:type="pct"/>
                  <w:vAlign w:val="center"/>
                </w:tcPr>
                <w:p w14:paraId="59467FFE">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布袋除尘器</w:t>
                  </w:r>
                </w:p>
              </w:tc>
              <w:tc>
                <w:tcPr>
                  <w:tcW w:w="1929" w:type="pct"/>
                  <w:vAlign w:val="center"/>
                </w:tcPr>
                <w:p w14:paraId="11844C46">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w:t>
                  </w:r>
                </w:p>
              </w:tc>
              <w:tc>
                <w:tcPr>
                  <w:tcW w:w="390" w:type="pct"/>
                  <w:vAlign w:val="center"/>
                </w:tcPr>
                <w:p w14:paraId="00A925D8">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台</w:t>
                  </w:r>
                </w:p>
              </w:tc>
              <w:tc>
                <w:tcPr>
                  <w:tcW w:w="468" w:type="pct"/>
                  <w:vAlign w:val="center"/>
                </w:tcPr>
                <w:p w14:paraId="741D7887">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1</w:t>
                  </w:r>
                </w:p>
              </w:tc>
              <w:tc>
                <w:tcPr>
                  <w:tcW w:w="702" w:type="pct"/>
                  <w:vAlign w:val="center"/>
                </w:tcPr>
                <w:p w14:paraId="29A5C191">
                  <w:pPr>
                    <w:spacing w:line="240" w:lineRule="auto"/>
                    <w:ind w:firstLine="0" w:firstLineChars="0"/>
                    <w:contextualSpacing/>
                    <w:jc w:val="center"/>
                    <w:textAlignment w:val="auto"/>
                    <w:rPr>
                      <w:rFonts w:cs="Times New Roman"/>
                      <w:color w:val="000000" w:themeColor="text1"/>
                      <w:sz w:val="21"/>
                      <w14:textFill>
                        <w14:solidFill>
                          <w14:schemeClr w14:val="tx1"/>
                        </w14:solidFill>
                      </w14:textFill>
                    </w:rPr>
                  </w:pPr>
                  <w:r>
                    <w:rPr>
                      <w:rFonts w:hint="eastAsia" w:cs="Times New Roman"/>
                      <w:color w:val="000000" w:themeColor="text1"/>
                      <w:sz w:val="21"/>
                      <w14:textFill>
                        <w14:solidFill>
                          <w14:schemeClr w14:val="tx1"/>
                        </w14:solidFill>
                      </w14:textFill>
                    </w:rPr>
                    <w:t>新建</w:t>
                  </w:r>
                </w:p>
              </w:tc>
            </w:tr>
          </w:tbl>
          <w:p w14:paraId="25D1DA19">
            <w:pPr>
              <w:pStyle w:val="3"/>
              <w:ind w:firstLine="482"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4.项目主要原辅材料</w:t>
            </w:r>
          </w:p>
          <w:p w14:paraId="7EA8C10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（1）主要原辅材料及能源消耗</w:t>
            </w:r>
          </w:p>
          <w:p w14:paraId="2B02227B">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项目主要原辅材料及能源消耗见下表。</w:t>
            </w:r>
          </w:p>
          <w:p w14:paraId="0BF182C2">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表2-5  项目主要原辅材料及能源消耗量一览表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589"/>
              <w:gridCol w:w="1281"/>
              <w:gridCol w:w="926"/>
              <w:gridCol w:w="1193"/>
              <w:gridCol w:w="4506"/>
            </w:tblGrid>
            <w:tr w14:paraId="07B885D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07" w:hRule="atLeast"/>
                <w:jc w:val="center"/>
              </w:trPr>
              <w:tc>
                <w:tcPr>
                  <w:tcW w:w="347" w:type="pct"/>
                  <w:vAlign w:val="center"/>
                </w:tcPr>
                <w:p w14:paraId="4B31F72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754" w:type="pct"/>
                  <w:vAlign w:val="center"/>
                </w:tcPr>
                <w:p w14:paraId="56E4B47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原料名称</w:t>
                  </w:r>
                </w:p>
              </w:tc>
              <w:tc>
                <w:tcPr>
                  <w:tcW w:w="545" w:type="pct"/>
                  <w:vAlign w:val="center"/>
                </w:tcPr>
                <w:p w14:paraId="1EEB423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单位</w:t>
                  </w:r>
                </w:p>
              </w:tc>
              <w:tc>
                <w:tcPr>
                  <w:tcW w:w="702" w:type="pct"/>
                  <w:vAlign w:val="center"/>
                </w:tcPr>
                <w:p w14:paraId="425933A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年用量</w:t>
                  </w:r>
                </w:p>
              </w:tc>
              <w:tc>
                <w:tcPr>
                  <w:tcW w:w="2652" w:type="pct"/>
                  <w:vAlign w:val="center"/>
                </w:tcPr>
                <w:p w14:paraId="731F02B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来源</w:t>
                  </w:r>
                </w:p>
              </w:tc>
            </w:tr>
            <w:tr w14:paraId="7A7F8679">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347" w:type="pct"/>
                  <w:vAlign w:val="center"/>
                </w:tcPr>
                <w:p w14:paraId="4CF3751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1</w:t>
                  </w:r>
                </w:p>
              </w:tc>
              <w:tc>
                <w:tcPr>
                  <w:tcW w:w="754" w:type="pct"/>
                  <w:vAlign w:val="center"/>
                </w:tcPr>
                <w:p w14:paraId="32DF504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4"/>
                    </w:rPr>
                    <w:t>废塑料混合料</w:t>
                  </w:r>
                </w:p>
              </w:tc>
              <w:tc>
                <w:tcPr>
                  <w:tcW w:w="545" w:type="pct"/>
                  <w:vAlign w:val="center"/>
                </w:tcPr>
                <w:p w14:paraId="3C18006C">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t</w:t>
                  </w:r>
                  <w:r>
                    <w:rPr>
                      <w:rFonts w:cs="Times New Roman"/>
                      <w:sz w:val="21"/>
                      <w:szCs w:val="21"/>
                    </w:rPr>
                    <w:t>/</w:t>
                  </w:r>
                  <w:r>
                    <w:rPr>
                      <w:rFonts w:hint="eastAsia" w:cs="Times New Roman"/>
                      <w:sz w:val="21"/>
                      <w:szCs w:val="21"/>
                    </w:rPr>
                    <w:t>a</w:t>
                  </w:r>
                </w:p>
              </w:tc>
              <w:tc>
                <w:tcPr>
                  <w:tcW w:w="702" w:type="pct"/>
                  <w:vAlign w:val="center"/>
                </w:tcPr>
                <w:p w14:paraId="7FD50B6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30000</w:t>
                  </w:r>
                </w:p>
              </w:tc>
              <w:tc>
                <w:tcPr>
                  <w:tcW w:w="2652" w:type="pct"/>
                  <w:vAlign w:val="center"/>
                </w:tcPr>
                <w:p w14:paraId="2B230B91">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本项目原料为上游金属分选厂提供的废塑料混合料，含少量金属残留。废塑料以PP、PE为主，不含危险废物及氟塑料等特种工程塑料；金属主要为铜、锌、铝、不锈钢</w:t>
                  </w:r>
                </w:p>
              </w:tc>
            </w:tr>
            <w:tr w14:paraId="759FF52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347" w:type="pct"/>
                  <w:vAlign w:val="center"/>
                </w:tcPr>
                <w:p w14:paraId="0956D72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w:t>
                  </w:r>
                </w:p>
              </w:tc>
              <w:tc>
                <w:tcPr>
                  <w:tcW w:w="754" w:type="pct"/>
                  <w:vAlign w:val="center"/>
                </w:tcPr>
                <w:p w14:paraId="6387DA8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水</w:t>
                  </w:r>
                </w:p>
              </w:tc>
              <w:tc>
                <w:tcPr>
                  <w:tcW w:w="545" w:type="pct"/>
                  <w:vAlign w:val="center"/>
                </w:tcPr>
                <w:p w14:paraId="6DD7B9E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m</w:t>
                  </w:r>
                  <w:r>
                    <w:rPr>
                      <w:rFonts w:cs="Times New Roman"/>
                      <w:sz w:val="21"/>
                      <w:szCs w:val="21"/>
                      <w:vertAlign w:val="superscript"/>
                    </w:rPr>
                    <w:t>3</w:t>
                  </w:r>
                  <w:r>
                    <w:rPr>
                      <w:rFonts w:cs="Times New Roman"/>
                      <w:sz w:val="21"/>
                      <w:szCs w:val="21"/>
                    </w:rPr>
                    <w:t>/a</w:t>
                  </w:r>
                </w:p>
              </w:tc>
              <w:tc>
                <w:tcPr>
                  <w:tcW w:w="702" w:type="pct"/>
                  <w:vAlign w:val="center"/>
                </w:tcPr>
                <w:p w14:paraId="08037743">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3400.8</w:t>
                  </w:r>
                </w:p>
              </w:tc>
              <w:tc>
                <w:tcPr>
                  <w:tcW w:w="2652" w:type="pct"/>
                  <w:vAlign w:val="center"/>
                </w:tcPr>
                <w:p w14:paraId="0802FC91">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由库尔勒市哈拉玉宫乡废旧物资回收加工产业园供水系统供给</w:t>
                  </w:r>
                </w:p>
              </w:tc>
            </w:tr>
            <w:tr w14:paraId="7E27B31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21" w:hRule="atLeast"/>
                <w:jc w:val="center"/>
              </w:trPr>
              <w:tc>
                <w:tcPr>
                  <w:tcW w:w="347" w:type="pct"/>
                  <w:vAlign w:val="center"/>
                </w:tcPr>
                <w:p w14:paraId="148BE482">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3</w:t>
                  </w:r>
                </w:p>
              </w:tc>
              <w:tc>
                <w:tcPr>
                  <w:tcW w:w="754" w:type="pct"/>
                  <w:vAlign w:val="center"/>
                </w:tcPr>
                <w:p w14:paraId="55CA09E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电</w:t>
                  </w:r>
                </w:p>
              </w:tc>
              <w:tc>
                <w:tcPr>
                  <w:tcW w:w="545" w:type="pct"/>
                  <w:vAlign w:val="center"/>
                </w:tcPr>
                <w:p w14:paraId="42EA78A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kWh/a</w:t>
                  </w:r>
                </w:p>
              </w:tc>
              <w:tc>
                <w:tcPr>
                  <w:tcW w:w="702" w:type="pct"/>
                  <w:vAlign w:val="center"/>
                </w:tcPr>
                <w:p w14:paraId="382345B5">
                  <w:pPr>
                    <w:adjustRightInd w:val="0"/>
                    <w:snapToGrid w:val="0"/>
                    <w:spacing w:line="240" w:lineRule="auto"/>
                    <w:ind w:firstLine="0" w:firstLineChars="0"/>
                    <w:jc w:val="center"/>
                    <w:textAlignment w:val="auto"/>
                    <w:rPr>
                      <w:rFonts w:cs="Times New Roman"/>
                      <w:sz w:val="21"/>
                      <w:szCs w:val="21"/>
                    </w:rPr>
                  </w:pPr>
                  <w:r>
                    <w:rPr>
                      <w:rFonts w:hint="eastAsia"/>
                      <w:sz w:val="21"/>
                      <w:szCs w:val="21"/>
                    </w:rPr>
                    <w:t>10万</w:t>
                  </w:r>
                </w:p>
              </w:tc>
              <w:tc>
                <w:tcPr>
                  <w:tcW w:w="2652" w:type="pct"/>
                  <w:vAlign w:val="center"/>
                </w:tcPr>
                <w:p w14:paraId="3C35FC95">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由库尔勒市哈拉玉宫乡废旧物资回收加工产业园电力系统供给</w:t>
                  </w:r>
                </w:p>
              </w:tc>
            </w:tr>
          </w:tbl>
          <w:p w14:paraId="540DBCAA">
            <w:pPr>
              <w:adjustRightInd w:val="0"/>
              <w:snapToGrid w:val="0"/>
              <w:spacing w:line="240" w:lineRule="auto"/>
              <w:ind w:firstLine="0" w:firstLineChars="0"/>
              <w:jc w:val="center"/>
              <w:textAlignment w:val="auto"/>
              <w:rPr>
                <w:rFonts w:cs="Times New Roman"/>
                <w:b/>
                <w:sz w:val="21"/>
                <w:szCs w:val="21"/>
              </w:rPr>
            </w:pPr>
            <w:bookmarkStart w:id="12" w:name="_Hlk76403418"/>
            <w:bookmarkStart w:id="13" w:name="_Hlk97245573"/>
            <w:r>
              <w:rPr>
                <w:rFonts w:cs="Times New Roman"/>
                <w:b/>
                <w:sz w:val="21"/>
                <w:szCs w:val="21"/>
              </w:rPr>
              <w:t>表2-6  项目主要原辅材料</w:t>
            </w:r>
            <w:r>
              <w:rPr>
                <w:rFonts w:hint="eastAsia" w:cs="Times New Roman"/>
                <w:b/>
                <w:sz w:val="21"/>
                <w:szCs w:val="21"/>
              </w:rPr>
              <w:t>理化性质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autofit"/>
              <w:tblCellMar>
                <w:top w:w="0" w:type="dxa"/>
                <w:left w:w="0" w:type="dxa"/>
                <w:bottom w:w="0" w:type="dxa"/>
                <w:right w:w="0" w:type="dxa"/>
              </w:tblCellMar>
            </w:tblPr>
            <w:tblGrid>
              <w:gridCol w:w="912"/>
              <w:gridCol w:w="7578"/>
            </w:tblGrid>
            <w:tr w14:paraId="10555801">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207" w:hRule="atLeast"/>
                <w:jc w:val="center"/>
              </w:trPr>
              <w:tc>
                <w:tcPr>
                  <w:tcW w:w="537" w:type="pct"/>
                  <w:vAlign w:val="center"/>
                </w:tcPr>
                <w:p w14:paraId="2E0B9ACE">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物料名称</w:t>
                  </w:r>
                </w:p>
              </w:tc>
              <w:tc>
                <w:tcPr>
                  <w:tcW w:w="4462" w:type="pct"/>
                  <w:vAlign w:val="center"/>
                </w:tcPr>
                <w:p w14:paraId="0E3E8A89">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理化性质</w:t>
                  </w:r>
                </w:p>
              </w:tc>
            </w:tr>
            <w:tr w14:paraId="40C057A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3" w:hRule="atLeast"/>
                <w:jc w:val="center"/>
              </w:trPr>
              <w:tc>
                <w:tcPr>
                  <w:tcW w:w="537" w:type="pct"/>
                  <w:vAlign w:val="center"/>
                </w:tcPr>
                <w:p w14:paraId="351DD49D">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PE（聚乙烯塑料）</w:t>
                  </w:r>
                </w:p>
              </w:tc>
              <w:tc>
                <w:tcPr>
                  <w:tcW w:w="4462" w:type="pct"/>
                  <w:vAlign w:val="center"/>
                </w:tcPr>
                <w:p w14:paraId="547251FE">
                  <w:pPr>
                    <w:adjustRightInd w:val="0"/>
                    <w:snapToGrid w:val="0"/>
                    <w:spacing w:line="240" w:lineRule="auto"/>
                    <w:ind w:firstLine="0" w:firstLineChars="0"/>
                    <w:textAlignment w:val="auto"/>
                    <w:rPr>
                      <w:rFonts w:cs="Times New Roman"/>
                      <w:sz w:val="21"/>
                      <w:szCs w:val="21"/>
                    </w:rPr>
                  </w:pPr>
                  <w:r>
                    <w:rPr>
                      <w:rFonts w:cs="Times New Roman"/>
                      <w:sz w:val="21"/>
                      <w:szCs w:val="24"/>
                    </w:rPr>
                    <w:t>PE学名聚乙烯，由乙烯聚合而成的高分子化合物。工业上也包括乙烯与少量a</w:t>
                  </w:r>
                  <w:r>
                    <w:rPr>
                      <w:rFonts w:hint="eastAsia" w:cs="Times New Roman"/>
                      <w:sz w:val="21"/>
                      <w:szCs w:val="24"/>
                    </w:rPr>
                    <w:t>－</w:t>
                  </w:r>
                  <w:r>
                    <w:rPr>
                      <w:rFonts w:cs="Times New Roman"/>
                      <w:sz w:val="21"/>
                      <w:szCs w:val="24"/>
                    </w:rPr>
                    <w:t>烯烃的共聚物。有低分子量、高分子量两种。低分子量的一般是无色、无味、无臭、无毒的液体密度约0.92。不溶于水，微溶于松节油、石油醚、甲苯等。耐水和大多数化学品。可用作高级润滑油和涂料等。高分子量的纯品是乳白色蜡状固体粉末，经加入稳定剂后可加工成粒状。</w:t>
                  </w:r>
                  <w:r>
                    <w:rPr>
                      <w:rFonts w:hint="eastAsia" w:cs="Times New Roman"/>
                      <w:sz w:val="21"/>
                      <w:szCs w:val="24"/>
                    </w:rPr>
                    <w:t>具有</w:t>
                  </w:r>
                  <w:r>
                    <w:rPr>
                      <w:rFonts w:cs="Times New Roman"/>
                      <w:sz w:val="21"/>
                      <w:szCs w:val="24"/>
                    </w:rPr>
                    <w:t>热塑性。在常温下不溶于有机溶剂中，但在脂肪烃、芳香烃和卤代烃中长时间接触时能溶胀。在70℃以上时可稍溶于甲苯、醋酸戊酯等中。在空气中加热和受日光影响，发生氧化作用。能耐大多数酸碱的侵蚀，吸水性小。在低温时仍能保持柔软性。电绝缘性高。由不同制法可得不同密度</w:t>
                  </w:r>
                  <w:r>
                    <w:rPr>
                      <w:rFonts w:hint="eastAsia" w:cs="Times New Roman"/>
                      <w:sz w:val="21"/>
                      <w:szCs w:val="24"/>
                    </w:rPr>
                    <w:t>（</w:t>
                  </w:r>
                  <w:r>
                    <w:rPr>
                      <w:rFonts w:cs="Times New Roman"/>
                      <w:sz w:val="21"/>
                      <w:szCs w:val="24"/>
                    </w:rPr>
                    <w:t>0.86-0.96</w:t>
                  </w:r>
                  <w:r>
                    <w:rPr>
                      <w:rFonts w:hint="eastAsia" w:cs="Times New Roman"/>
                      <w:sz w:val="21"/>
                      <w:szCs w:val="24"/>
                    </w:rPr>
                    <w:t>）</w:t>
                  </w:r>
                  <w:r>
                    <w:rPr>
                      <w:rFonts w:cs="Times New Roman"/>
                      <w:sz w:val="21"/>
                      <w:szCs w:val="24"/>
                    </w:rPr>
                    <w:t>和不同物理机械性能的产品。比重高的机械强度、熔点和硬度等，都较比重低的高。可用一般热塑性塑料的成型方法加工。主要用以制造塑料制品。如包装薄膜、容器、管道、日用品、电视和雷达的高频电绝缘材料，也用于抽丝成纤维，以及用作金属、木材和织物的涂层等</w:t>
                  </w:r>
                </w:p>
              </w:tc>
            </w:tr>
            <w:tr w14:paraId="1DFAC897">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537" w:type="pct"/>
                  <w:vAlign w:val="center"/>
                </w:tcPr>
                <w:p w14:paraId="2DEEE44E">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PP（聚丙烯塑料）</w:t>
                  </w:r>
                </w:p>
              </w:tc>
              <w:tc>
                <w:tcPr>
                  <w:tcW w:w="4462" w:type="pct"/>
                  <w:vAlign w:val="center"/>
                </w:tcPr>
                <w:p w14:paraId="40B940E1">
                  <w:pPr>
                    <w:adjustRightInd w:val="0"/>
                    <w:snapToGrid w:val="0"/>
                    <w:spacing w:line="240" w:lineRule="auto"/>
                    <w:ind w:firstLine="0" w:firstLineChars="0"/>
                    <w:textAlignment w:val="auto"/>
                    <w:rPr>
                      <w:rFonts w:cs="Times New Roman"/>
                      <w:sz w:val="21"/>
                      <w:szCs w:val="21"/>
                    </w:rPr>
                  </w:pPr>
                  <w:r>
                    <w:rPr>
                      <w:rFonts w:cs="Times New Roman"/>
                      <w:sz w:val="21"/>
                      <w:szCs w:val="21"/>
                    </w:rPr>
                    <w:t>PP学名聚丙烯，比重：0.9-0.91，成型收缩率：</w:t>
                  </w:r>
                  <w:r>
                    <w:rPr>
                      <w:rFonts w:hint="eastAsia" w:cs="Times New Roman"/>
                      <w:sz w:val="21"/>
                      <w:szCs w:val="21"/>
                    </w:rPr>
                    <w:t>1.0%—2.5%</w:t>
                  </w:r>
                  <w:r>
                    <w:rPr>
                      <w:rFonts w:cs="Times New Roman"/>
                      <w:sz w:val="21"/>
                      <w:szCs w:val="21"/>
                    </w:rPr>
                    <w:t>，成型温度：160-220℃。化学和物理特性：PP是一种半</w:t>
                  </w:r>
                  <w:r>
                    <w:rPr>
                      <w:rFonts w:hint="eastAsia" w:cs="Times New Roman"/>
                      <w:sz w:val="21"/>
                      <w:szCs w:val="21"/>
                    </w:rPr>
                    <w:t>结晶性</w:t>
                  </w:r>
                  <w:r>
                    <w:rPr>
                      <w:rFonts w:cs="Times New Roman"/>
                      <w:sz w:val="21"/>
                      <w:szCs w:val="21"/>
                    </w:rPr>
                    <w:t>材料。它比PE要更坚硬并且有更高的熔点。由于均聚物型的PP温度高于0℃以上时非常脆，因此许多商业的PP材料是加入</w:t>
                  </w:r>
                  <w:r>
                    <w:rPr>
                      <w:rFonts w:hint="eastAsia" w:cs="Times New Roman"/>
                      <w:sz w:val="21"/>
                      <w:szCs w:val="21"/>
                    </w:rPr>
                    <w:t>1%～4%</w:t>
                  </w:r>
                  <w:r>
                    <w:rPr>
                      <w:rFonts w:cs="Times New Roman"/>
                      <w:sz w:val="21"/>
                      <w:szCs w:val="21"/>
                    </w:rPr>
                    <w:t>乙烯的无规则共聚物或更高比率乙烯含量的共聚物。共聚物型的PP材料有较低的热扭曲温度（100℃</w:t>
                  </w:r>
                  <w:r>
                    <w:rPr>
                      <w:rFonts w:hint="eastAsia" w:cs="Times New Roman"/>
                      <w:sz w:val="21"/>
                      <w:szCs w:val="21"/>
                    </w:rPr>
                    <w:t>）</w:t>
                  </w:r>
                  <w:r>
                    <w:rPr>
                      <w:rFonts w:cs="Times New Roman"/>
                      <w:sz w:val="21"/>
                      <w:szCs w:val="21"/>
                    </w:rPr>
                    <w:t>低透明度、低光泽度、低刚性，但是有更强的抗冲击强度。PP的强度随着乙烯含量的增加而增大。PP的维卡软化温度为150℃。由于结晶度较高，这种材料的表面刚度和抗划痕特性很好。PP不存在环境应力开裂问题。通常，采用加入玻璃纤维、金属添加剂或热塑橡胶的方法对PP进行改性。PP的流动率MFR范围在1~40。低MFR的PP材料抗冲击特性较好但延展强度较低。对于相同MFR的材料，共聚物型的强度比均聚物型的要高。由于</w:t>
                  </w:r>
                  <w:r>
                    <w:rPr>
                      <w:rFonts w:hint="eastAsia" w:cs="Times New Roman"/>
                      <w:sz w:val="21"/>
                      <w:szCs w:val="21"/>
                    </w:rPr>
                    <w:t>结晶</w:t>
                  </w:r>
                  <w:r>
                    <w:rPr>
                      <w:rFonts w:cs="Times New Roman"/>
                      <w:sz w:val="21"/>
                      <w:szCs w:val="21"/>
                    </w:rPr>
                    <w:t>，PP的收缩率相当高，一般为</w:t>
                  </w:r>
                  <w:r>
                    <w:rPr>
                      <w:rFonts w:hint="eastAsia" w:cs="Times New Roman"/>
                      <w:sz w:val="21"/>
                      <w:szCs w:val="21"/>
                    </w:rPr>
                    <w:t>1.8%～2.5%</w:t>
                  </w:r>
                  <w:r>
                    <w:rPr>
                      <w:rFonts w:cs="Times New Roman"/>
                      <w:sz w:val="21"/>
                      <w:szCs w:val="21"/>
                    </w:rPr>
                    <w:t>。并且收缩率的方向均匀性比PE-HD等材料要好得多。加入30%的玻璃添加剂可以使收缩率降到0.7%。均聚物型和共聚物型的PP材料都具有优良的抗吸湿性、抗酸碱腐蚀性、抗溶解性。然而，它对芳香烃（如苯）溶剂、氯化烃（四氯化碳）溶剂等没有抵抗力</w:t>
                  </w:r>
                </w:p>
              </w:tc>
            </w:tr>
          </w:tbl>
          <w:p w14:paraId="38EDFBF5">
            <w:pPr>
              <w:widowControl/>
              <w:ind w:firstLine="480"/>
            </w:pPr>
            <w:r>
              <w:rPr>
                <w:rFonts w:hint="eastAsia" w:cs="Times New Roman"/>
              </w:rPr>
              <w:t>（2）</w:t>
            </w:r>
            <w:r>
              <w:rPr>
                <w:rFonts w:cs="Times New Roman"/>
              </w:rPr>
              <w:t>物料平衡见下表2-7。</w:t>
            </w:r>
          </w:p>
          <w:p w14:paraId="1CE7BB33">
            <w:pPr>
              <w:spacing w:line="240" w:lineRule="auto"/>
              <w:ind w:firstLine="422"/>
              <w:jc w:val="center"/>
              <w:rPr>
                <w:b/>
              </w:rPr>
            </w:pPr>
            <w:r>
              <w:rPr>
                <w:rFonts w:cs="Times New Roman"/>
                <w:b/>
                <w:sz w:val="21"/>
                <w:szCs w:val="21"/>
              </w:rPr>
              <w:t>表2-7  物料平衡表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8"/>
              <w:gridCol w:w="1696"/>
              <w:gridCol w:w="2378"/>
              <w:gridCol w:w="1953"/>
            </w:tblGrid>
            <w:tr w14:paraId="068EC7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2" w:type="pct"/>
                  <w:vAlign w:val="center"/>
                </w:tcPr>
                <w:p w14:paraId="01055B2A">
                  <w:pPr>
                    <w:pStyle w:val="83"/>
                    <w:rPr>
                      <w:sz w:val="21"/>
                      <w:szCs w:val="21"/>
                    </w:rPr>
                  </w:pPr>
                  <w:r>
                    <w:rPr>
                      <w:sz w:val="21"/>
                      <w:szCs w:val="21"/>
                    </w:rPr>
                    <w:t>原料</w:t>
                  </w:r>
                </w:p>
              </w:tc>
              <w:tc>
                <w:tcPr>
                  <w:tcW w:w="998" w:type="pct"/>
                  <w:vAlign w:val="center"/>
                </w:tcPr>
                <w:p w14:paraId="4587003F">
                  <w:pPr>
                    <w:pStyle w:val="83"/>
                    <w:rPr>
                      <w:sz w:val="21"/>
                      <w:szCs w:val="21"/>
                    </w:rPr>
                  </w:pPr>
                  <w:r>
                    <w:rPr>
                      <w:sz w:val="21"/>
                      <w:szCs w:val="21"/>
                    </w:rPr>
                    <w:t>进料量（t/a）</w:t>
                  </w:r>
                </w:p>
              </w:tc>
              <w:tc>
                <w:tcPr>
                  <w:tcW w:w="1399" w:type="pct"/>
                  <w:vAlign w:val="center"/>
                </w:tcPr>
                <w:p w14:paraId="67214E3F">
                  <w:pPr>
                    <w:pStyle w:val="83"/>
                    <w:rPr>
                      <w:sz w:val="21"/>
                      <w:szCs w:val="21"/>
                    </w:rPr>
                  </w:pPr>
                  <w:r>
                    <w:rPr>
                      <w:sz w:val="21"/>
                      <w:szCs w:val="21"/>
                    </w:rPr>
                    <w:t>产品等</w:t>
                  </w:r>
                </w:p>
              </w:tc>
              <w:tc>
                <w:tcPr>
                  <w:tcW w:w="1149" w:type="pct"/>
                  <w:vAlign w:val="center"/>
                </w:tcPr>
                <w:p w14:paraId="03C3B8A2">
                  <w:pPr>
                    <w:pStyle w:val="83"/>
                    <w:rPr>
                      <w:sz w:val="21"/>
                      <w:szCs w:val="21"/>
                    </w:rPr>
                  </w:pPr>
                  <w:r>
                    <w:rPr>
                      <w:sz w:val="21"/>
                      <w:szCs w:val="21"/>
                    </w:rPr>
                    <w:t>产生量（t/a）</w:t>
                  </w:r>
                </w:p>
              </w:tc>
            </w:tr>
            <w:tr w14:paraId="14024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452" w:type="pct"/>
                  <w:vAlign w:val="center"/>
                </w:tcPr>
                <w:p w14:paraId="2E9B0409">
                  <w:pPr>
                    <w:widowControl/>
                    <w:spacing w:line="240" w:lineRule="auto"/>
                    <w:ind w:firstLine="0" w:firstLineChars="0"/>
                    <w:rPr>
                      <w:rFonts w:cs="Times New Roman"/>
                      <w:sz w:val="21"/>
                      <w:szCs w:val="21"/>
                    </w:rPr>
                  </w:pPr>
                  <w:r>
                    <w:rPr>
                      <w:rFonts w:hint="eastAsia" w:cs="Times New Roman"/>
                      <w:sz w:val="21"/>
                      <w:szCs w:val="24"/>
                    </w:rPr>
                    <w:t>废塑料（含少量金属残留）</w:t>
                  </w:r>
                </w:p>
              </w:tc>
              <w:tc>
                <w:tcPr>
                  <w:tcW w:w="998" w:type="pct"/>
                  <w:vAlign w:val="center"/>
                </w:tcPr>
                <w:p w14:paraId="0BF69FEB">
                  <w:pPr>
                    <w:pStyle w:val="83"/>
                    <w:rPr>
                      <w:sz w:val="21"/>
                      <w:szCs w:val="21"/>
                    </w:rPr>
                  </w:pPr>
                  <w:r>
                    <w:rPr>
                      <w:sz w:val="21"/>
                      <w:szCs w:val="21"/>
                    </w:rPr>
                    <w:t>30000</w:t>
                  </w:r>
                </w:p>
              </w:tc>
              <w:tc>
                <w:tcPr>
                  <w:tcW w:w="1399" w:type="pct"/>
                  <w:vAlign w:val="center"/>
                </w:tcPr>
                <w:p w14:paraId="0F61BB43">
                  <w:pPr>
                    <w:pStyle w:val="83"/>
                    <w:rPr>
                      <w:sz w:val="21"/>
                      <w:szCs w:val="21"/>
                    </w:rPr>
                  </w:pPr>
                  <w:r>
                    <w:rPr>
                      <w:rFonts w:hint="eastAsia"/>
                      <w:sz w:val="21"/>
                      <w:szCs w:val="21"/>
                    </w:rPr>
                    <w:t>塑料碎片</w:t>
                  </w:r>
                </w:p>
              </w:tc>
              <w:tc>
                <w:tcPr>
                  <w:tcW w:w="1149" w:type="pct"/>
                  <w:vAlign w:val="center"/>
                </w:tcPr>
                <w:p w14:paraId="3359B85B">
                  <w:pPr>
                    <w:pStyle w:val="83"/>
                    <w:rPr>
                      <w:sz w:val="21"/>
                      <w:szCs w:val="21"/>
                    </w:rPr>
                  </w:pPr>
                  <w:r>
                    <w:rPr>
                      <w:sz w:val="21"/>
                      <w:szCs w:val="21"/>
                    </w:rPr>
                    <w:t>29556.879</w:t>
                  </w:r>
                </w:p>
              </w:tc>
            </w:tr>
            <w:tr w14:paraId="53B41B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5" w:hRule="atLeast"/>
                <w:jc w:val="center"/>
              </w:trPr>
              <w:tc>
                <w:tcPr>
                  <w:tcW w:w="1452" w:type="pct"/>
                  <w:vAlign w:val="center"/>
                </w:tcPr>
                <w:p w14:paraId="620E7FED">
                  <w:pPr>
                    <w:widowControl/>
                    <w:spacing w:line="240" w:lineRule="auto"/>
                    <w:ind w:firstLine="0" w:firstLineChars="0"/>
                    <w:jc w:val="center"/>
                    <w:rPr>
                      <w:rFonts w:cs="Times New Roman"/>
                      <w:sz w:val="21"/>
                      <w:szCs w:val="21"/>
                    </w:rPr>
                  </w:pPr>
                  <w:r>
                    <w:rPr>
                      <w:rFonts w:hint="eastAsia" w:cs="Times New Roman"/>
                      <w:sz w:val="21"/>
                      <w:szCs w:val="21"/>
                    </w:rPr>
                    <w:t>/</w:t>
                  </w:r>
                </w:p>
              </w:tc>
              <w:tc>
                <w:tcPr>
                  <w:tcW w:w="998" w:type="pct"/>
                  <w:vAlign w:val="center"/>
                </w:tcPr>
                <w:p w14:paraId="614E96AA">
                  <w:pPr>
                    <w:pStyle w:val="83"/>
                    <w:rPr>
                      <w:sz w:val="21"/>
                      <w:szCs w:val="21"/>
                    </w:rPr>
                  </w:pPr>
                  <w:r>
                    <w:rPr>
                      <w:rFonts w:hint="eastAsia"/>
                      <w:sz w:val="21"/>
                      <w:szCs w:val="21"/>
                    </w:rPr>
                    <w:t>/</w:t>
                  </w:r>
                </w:p>
              </w:tc>
              <w:tc>
                <w:tcPr>
                  <w:tcW w:w="1399" w:type="pct"/>
                  <w:vAlign w:val="center"/>
                </w:tcPr>
                <w:p w14:paraId="1EF6E35B">
                  <w:pPr>
                    <w:pStyle w:val="83"/>
                    <w:rPr>
                      <w:sz w:val="21"/>
                      <w:szCs w:val="21"/>
                    </w:rPr>
                  </w:pPr>
                  <w:r>
                    <w:rPr>
                      <w:rFonts w:hint="eastAsia"/>
                      <w:sz w:val="21"/>
                      <w:szCs w:val="21"/>
                    </w:rPr>
                    <w:t>金属颗粒</w:t>
                  </w:r>
                </w:p>
              </w:tc>
              <w:tc>
                <w:tcPr>
                  <w:tcW w:w="1149" w:type="pct"/>
                  <w:vAlign w:val="center"/>
                </w:tcPr>
                <w:p w14:paraId="007CED9C">
                  <w:pPr>
                    <w:pStyle w:val="83"/>
                    <w:rPr>
                      <w:sz w:val="21"/>
                      <w:szCs w:val="21"/>
                    </w:rPr>
                  </w:pPr>
                  <w:r>
                    <w:rPr>
                      <w:sz w:val="21"/>
                      <w:szCs w:val="21"/>
                    </w:rPr>
                    <w:t>300</w:t>
                  </w:r>
                </w:p>
              </w:tc>
            </w:tr>
            <w:tr w14:paraId="6B0F50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jc w:val="center"/>
              </w:trPr>
              <w:tc>
                <w:tcPr>
                  <w:tcW w:w="1452" w:type="pct"/>
                  <w:vAlign w:val="center"/>
                </w:tcPr>
                <w:p w14:paraId="371E3D22">
                  <w:pPr>
                    <w:pStyle w:val="83"/>
                    <w:rPr>
                      <w:sz w:val="21"/>
                      <w:szCs w:val="21"/>
                    </w:rPr>
                  </w:pPr>
                  <w:r>
                    <w:rPr>
                      <w:rFonts w:hint="eastAsia"/>
                      <w:sz w:val="21"/>
                      <w:szCs w:val="21"/>
                    </w:rPr>
                    <w:t>/</w:t>
                  </w:r>
                </w:p>
              </w:tc>
              <w:tc>
                <w:tcPr>
                  <w:tcW w:w="998" w:type="pct"/>
                  <w:vAlign w:val="center"/>
                </w:tcPr>
                <w:p w14:paraId="1E1C22E9">
                  <w:pPr>
                    <w:pStyle w:val="83"/>
                    <w:rPr>
                      <w:sz w:val="21"/>
                      <w:szCs w:val="21"/>
                    </w:rPr>
                  </w:pPr>
                  <w:r>
                    <w:rPr>
                      <w:rFonts w:hint="eastAsia"/>
                      <w:sz w:val="21"/>
                      <w:szCs w:val="21"/>
                    </w:rPr>
                    <w:t>/</w:t>
                  </w:r>
                </w:p>
              </w:tc>
              <w:tc>
                <w:tcPr>
                  <w:tcW w:w="1399" w:type="pct"/>
                  <w:vAlign w:val="center"/>
                </w:tcPr>
                <w:p w14:paraId="38740B27">
                  <w:pPr>
                    <w:pStyle w:val="83"/>
                    <w:rPr>
                      <w:sz w:val="21"/>
                      <w:szCs w:val="21"/>
                    </w:rPr>
                  </w:pPr>
                  <w:r>
                    <w:rPr>
                      <w:rFonts w:hint="eastAsia"/>
                      <w:color w:val="000000" w:themeColor="text1"/>
                      <w:sz w:val="21"/>
                      <w:szCs w:val="21"/>
                      <w14:textFill>
                        <w14:solidFill>
                          <w14:schemeClr w14:val="tx1"/>
                        </w14:solidFill>
                      </w14:textFill>
                    </w:rPr>
                    <w:t>轻质杂质</w:t>
                  </w:r>
                </w:p>
              </w:tc>
              <w:tc>
                <w:tcPr>
                  <w:tcW w:w="1149" w:type="pct"/>
                  <w:vAlign w:val="center"/>
                </w:tcPr>
                <w:p w14:paraId="56DCAE15">
                  <w:pPr>
                    <w:pStyle w:val="83"/>
                    <w:rPr>
                      <w:sz w:val="21"/>
                      <w:szCs w:val="21"/>
                    </w:rPr>
                  </w:pPr>
                  <w:r>
                    <w:rPr>
                      <w:sz w:val="21"/>
                      <w:szCs w:val="21"/>
                    </w:rPr>
                    <w:t>100</w:t>
                  </w:r>
                </w:p>
              </w:tc>
            </w:tr>
            <w:tr w14:paraId="4BB10B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5" w:hRule="atLeast"/>
                <w:jc w:val="center"/>
              </w:trPr>
              <w:tc>
                <w:tcPr>
                  <w:tcW w:w="1452" w:type="pct"/>
                  <w:vAlign w:val="center"/>
                </w:tcPr>
                <w:p w14:paraId="458DDFB5">
                  <w:pPr>
                    <w:pStyle w:val="83"/>
                    <w:rPr>
                      <w:sz w:val="21"/>
                      <w:szCs w:val="21"/>
                    </w:rPr>
                  </w:pPr>
                  <w:r>
                    <w:rPr>
                      <w:sz w:val="21"/>
                      <w:szCs w:val="21"/>
                    </w:rPr>
                    <w:t>/</w:t>
                  </w:r>
                </w:p>
              </w:tc>
              <w:tc>
                <w:tcPr>
                  <w:tcW w:w="998" w:type="pct"/>
                  <w:vAlign w:val="center"/>
                </w:tcPr>
                <w:p w14:paraId="6ECC08E1">
                  <w:pPr>
                    <w:pStyle w:val="83"/>
                    <w:rPr>
                      <w:sz w:val="21"/>
                      <w:szCs w:val="21"/>
                    </w:rPr>
                  </w:pPr>
                  <w:r>
                    <w:rPr>
                      <w:sz w:val="21"/>
                      <w:szCs w:val="21"/>
                    </w:rPr>
                    <w:t>/</w:t>
                  </w:r>
                </w:p>
              </w:tc>
              <w:tc>
                <w:tcPr>
                  <w:tcW w:w="1399" w:type="pct"/>
                  <w:vAlign w:val="center"/>
                </w:tcPr>
                <w:p w14:paraId="247D8FAF">
                  <w:pPr>
                    <w:pStyle w:val="83"/>
                    <w:rPr>
                      <w:sz w:val="21"/>
                      <w:szCs w:val="21"/>
                    </w:rPr>
                  </w:pPr>
                  <w:r>
                    <w:rPr>
                      <w:sz w:val="21"/>
                      <w:szCs w:val="21"/>
                    </w:rPr>
                    <w:t>沉淀池</w:t>
                  </w:r>
                  <w:r>
                    <w:rPr>
                      <w:rFonts w:hint="eastAsia"/>
                      <w:sz w:val="21"/>
                      <w:szCs w:val="21"/>
                    </w:rPr>
                    <w:t>沉渣</w:t>
                  </w:r>
                </w:p>
              </w:tc>
              <w:tc>
                <w:tcPr>
                  <w:tcW w:w="1149" w:type="pct"/>
                  <w:vAlign w:val="center"/>
                </w:tcPr>
                <w:p w14:paraId="7FFDEE6F">
                  <w:pPr>
                    <w:pStyle w:val="83"/>
                    <w:rPr>
                      <w:sz w:val="21"/>
                      <w:szCs w:val="21"/>
                    </w:rPr>
                  </w:pPr>
                  <w:r>
                    <w:rPr>
                      <w:sz w:val="21"/>
                      <w:szCs w:val="21"/>
                    </w:rPr>
                    <w:t>42</w:t>
                  </w:r>
                </w:p>
              </w:tc>
            </w:tr>
            <w:tr w14:paraId="113E2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452" w:type="pct"/>
                  <w:vAlign w:val="center"/>
                </w:tcPr>
                <w:p w14:paraId="62157B3C">
                  <w:pPr>
                    <w:pStyle w:val="83"/>
                    <w:rPr>
                      <w:sz w:val="21"/>
                      <w:szCs w:val="21"/>
                    </w:rPr>
                  </w:pPr>
                  <w:r>
                    <w:rPr>
                      <w:sz w:val="21"/>
                      <w:szCs w:val="21"/>
                    </w:rPr>
                    <w:t>/</w:t>
                  </w:r>
                </w:p>
              </w:tc>
              <w:tc>
                <w:tcPr>
                  <w:tcW w:w="998" w:type="pct"/>
                  <w:vAlign w:val="center"/>
                </w:tcPr>
                <w:p w14:paraId="6D25AA86">
                  <w:pPr>
                    <w:pStyle w:val="83"/>
                    <w:rPr>
                      <w:sz w:val="21"/>
                      <w:szCs w:val="21"/>
                    </w:rPr>
                  </w:pPr>
                  <w:r>
                    <w:rPr>
                      <w:sz w:val="21"/>
                      <w:szCs w:val="21"/>
                    </w:rPr>
                    <w:t>/</w:t>
                  </w:r>
                </w:p>
              </w:tc>
              <w:tc>
                <w:tcPr>
                  <w:tcW w:w="1399" w:type="pct"/>
                  <w:vAlign w:val="center"/>
                </w:tcPr>
                <w:p w14:paraId="590BCEF0">
                  <w:pPr>
                    <w:pStyle w:val="83"/>
                    <w:rPr>
                      <w:sz w:val="21"/>
                      <w:szCs w:val="21"/>
                    </w:rPr>
                  </w:pPr>
                  <w:r>
                    <w:rPr>
                      <w:rFonts w:hint="eastAsia"/>
                      <w:sz w:val="21"/>
                      <w:szCs w:val="21"/>
                    </w:rPr>
                    <w:t>颗粒物</w:t>
                  </w:r>
                </w:p>
              </w:tc>
              <w:tc>
                <w:tcPr>
                  <w:tcW w:w="1149" w:type="pct"/>
                  <w:vAlign w:val="center"/>
                </w:tcPr>
                <w:p w14:paraId="350EBB8F">
                  <w:pPr>
                    <w:pStyle w:val="83"/>
                    <w:rPr>
                      <w:sz w:val="21"/>
                      <w:szCs w:val="21"/>
                    </w:rPr>
                  </w:pPr>
                  <w:r>
                    <w:rPr>
                      <w:sz w:val="21"/>
                      <w:szCs w:val="21"/>
                    </w:rPr>
                    <w:t>1.121</w:t>
                  </w:r>
                </w:p>
              </w:tc>
            </w:tr>
            <w:tr w14:paraId="58CFB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1452" w:type="pct"/>
                  <w:vAlign w:val="center"/>
                </w:tcPr>
                <w:p w14:paraId="183C326A">
                  <w:pPr>
                    <w:pStyle w:val="83"/>
                    <w:rPr>
                      <w:sz w:val="21"/>
                      <w:szCs w:val="21"/>
                    </w:rPr>
                  </w:pPr>
                  <w:r>
                    <w:rPr>
                      <w:sz w:val="21"/>
                      <w:szCs w:val="21"/>
                    </w:rPr>
                    <w:t>总计</w:t>
                  </w:r>
                </w:p>
              </w:tc>
              <w:tc>
                <w:tcPr>
                  <w:tcW w:w="998" w:type="pct"/>
                  <w:vAlign w:val="center"/>
                </w:tcPr>
                <w:p w14:paraId="5866CE4B">
                  <w:pPr>
                    <w:pStyle w:val="83"/>
                    <w:rPr>
                      <w:sz w:val="21"/>
                      <w:szCs w:val="21"/>
                    </w:rPr>
                  </w:pPr>
                  <w:r>
                    <w:rPr>
                      <w:sz w:val="21"/>
                      <w:szCs w:val="21"/>
                    </w:rPr>
                    <w:t>30000</w:t>
                  </w:r>
                </w:p>
              </w:tc>
              <w:tc>
                <w:tcPr>
                  <w:tcW w:w="1399" w:type="pct"/>
                  <w:vAlign w:val="center"/>
                </w:tcPr>
                <w:p w14:paraId="7B04FF84">
                  <w:pPr>
                    <w:pStyle w:val="83"/>
                    <w:rPr>
                      <w:sz w:val="21"/>
                      <w:szCs w:val="21"/>
                    </w:rPr>
                  </w:pPr>
                  <w:r>
                    <w:rPr>
                      <w:sz w:val="21"/>
                      <w:szCs w:val="21"/>
                    </w:rPr>
                    <w:t>总计</w:t>
                  </w:r>
                </w:p>
              </w:tc>
              <w:tc>
                <w:tcPr>
                  <w:tcW w:w="1149" w:type="pct"/>
                  <w:vAlign w:val="center"/>
                </w:tcPr>
                <w:p w14:paraId="09CB56DA">
                  <w:pPr>
                    <w:pStyle w:val="83"/>
                    <w:rPr>
                      <w:sz w:val="21"/>
                      <w:szCs w:val="21"/>
                    </w:rPr>
                  </w:pPr>
                  <w:r>
                    <w:rPr>
                      <w:sz w:val="21"/>
                      <w:szCs w:val="21"/>
                    </w:rPr>
                    <w:t>30000</w:t>
                  </w:r>
                </w:p>
              </w:tc>
            </w:tr>
          </w:tbl>
          <w:p w14:paraId="32F61EE9">
            <w:pPr>
              <w:pStyle w:val="3"/>
            </w:pPr>
            <w:r>
              <w:t>2.4</w:t>
            </w:r>
            <w:r>
              <w:rPr>
                <w:rFonts w:hint="eastAsia"/>
              </w:rPr>
              <w:t>劳动定员及工作制度</w:t>
            </w:r>
          </w:p>
          <w:bookmarkEnd w:id="12"/>
          <w:p w14:paraId="270CAC6F">
            <w:pPr>
              <w:pStyle w:val="3"/>
              <w:ind w:firstLine="480" w:firstLineChars="200"/>
              <w:rPr>
                <w:rFonts w:cs="Times New Roman"/>
                <w:b w:val="0"/>
                <w:bCs w:val="0"/>
                <w:color w:val="000000" w:themeColor="text1"/>
                <w:szCs w:val="22"/>
                <w14:textFill>
                  <w14:solidFill>
                    <w14:schemeClr w14:val="tx1"/>
                  </w14:solidFill>
                </w14:textFill>
              </w:rPr>
            </w:pPr>
            <w:r>
              <w:rPr>
                <w:rFonts w:hint="eastAsia" w:cs="Times New Roman"/>
                <w:b w:val="0"/>
                <w:bCs w:val="0"/>
                <w:color w:val="000000" w:themeColor="text1"/>
                <w:szCs w:val="22"/>
                <w14:textFill>
                  <w14:solidFill>
                    <w14:schemeClr w14:val="tx1"/>
                  </w14:solidFill>
                </w14:textFill>
              </w:rPr>
              <w:t>本项目年工作240天，每天10小时工作制，劳动定员3人。</w:t>
            </w:r>
          </w:p>
          <w:p w14:paraId="2C3FE55C">
            <w:pPr>
              <w:pStyle w:val="3"/>
              <w:rPr>
                <w:color w:val="000000" w:themeColor="text1"/>
                <w14:textFill>
                  <w14:solidFill>
                    <w14:schemeClr w14:val="tx1"/>
                  </w14:solidFill>
                </w14:textFill>
              </w:rPr>
            </w:pPr>
            <w:r>
              <w:rPr>
                <w:color w:val="000000" w:themeColor="text1"/>
                <w14:textFill>
                  <w14:solidFill>
                    <w14:schemeClr w14:val="tx1"/>
                  </w14:solidFill>
                </w14:textFill>
              </w:rPr>
              <w:t>2.5</w:t>
            </w:r>
            <w:r>
              <w:rPr>
                <w:rFonts w:hint="eastAsia"/>
                <w:color w:val="000000" w:themeColor="text1"/>
                <w14:textFill>
                  <w14:solidFill>
                    <w14:schemeClr w14:val="tx1"/>
                  </w14:solidFill>
                </w14:textFill>
              </w:rPr>
              <w:t>选址及总平面布置</w:t>
            </w:r>
            <w:bookmarkEnd w:id="13"/>
          </w:p>
          <w:p w14:paraId="2A4EB564">
            <w:pPr>
              <w:ind w:firstLine="480"/>
            </w:pPr>
            <w:r>
              <w:rPr>
                <w:rFonts w:hint="eastAsia"/>
              </w:rPr>
              <w:t>根据项目功能要求及场地地形条件，生产车间采用矩形布局，为单层（1F）彩钢结构，内部设生产区。原料堆场位于生产车间南侧，成品堆场设于生产车间东侧，并配套主出入口，便于原料输入与产品输出。两者均紧邻生产区，有利于物料高效转运，缩短运输距离。危险废物贮存点位于车间东南侧，独立设置，满足安全防护要求。</w:t>
            </w:r>
          </w:p>
          <w:p w14:paraId="2891954C">
            <w:pPr>
              <w:ind w:firstLine="480"/>
            </w:pPr>
            <w:r>
              <w:rPr>
                <w:rFonts w:hint="eastAsia"/>
              </w:rPr>
              <w:t>本项目结合工艺要求及所租用厂区的布局情况，充分利旧，优化空间利用，大幅减少施工期土建工程，降低施工期对环境的影响。该布置经济合理，满足工艺流程需求，加工组装便捷，物流运输顺畅。</w:t>
            </w:r>
          </w:p>
          <w:p w14:paraId="74194186">
            <w:pPr>
              <w:ind w:firstLine="480"/>
            </w:pPr>
            <w:r>
              <w:rPr>
                <w:rFonts w:hint="eastAsia"/>
              </w:rPr>
              <w:t>综上所述，本项目总平面布置功能分区明确，各项配套设施均在整体布局中统筹考虑，且兼顾环保要求。从环境保护角度分析，厂区总平面布置是合理的。厂区平面图见附图2。</w:t>
            </w:r>
          </w:p>
          <w:p w14:paraId="07F3A55F">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公用工程</w:t>
            </w:r>
          </w:p>
          <w:p w14:paraId="291BF25F">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.6.1</w:t>
            </w:r>
            <w:r>
              <w:rPr>
                <w:rFonts w:hint="eastAsia"/>
                <w:color w:val="000000" w:themeColor="text1"/>
                <w14:textFill>
                  <w14:solidFill>
                    <w14:schemeClr w14:val="tx1"/>
                  </w14:solidFill>
                </w14:textFill>
              </w:rPr>
              <w:t>给水</w:t>
            </w:r>
          </w:p>
          <w:p w14:paraId="302DFD94">
            <w:pPr>
              <w:ind w:firstLine="480"/>
            </w:pPr>
            <w:r>
              <w:rPr>
                <w:rFonts w:hint="eastAsia"/>
              </w:rPr>
              <w:t>本项目用水主要包括</w:t>
            </w:r>
            <w:r>
              <w:t>原料清洗与破碎工序的生产用水</w:t>
            </w:r>
            <w:r>
              <w:rPr>
                <w:rFonts w:hint="eastAsia"/>
              </w:rPr>
              <w:t>、车间地面清洗用水及生活用水，由库尔勒市哈拉玉宫</w:t>
            </w:r>
            <w:r>
              <w:rPr>
                <w:rFonts w:hint="eastAsia"/>
                <w:color w:val="000000" w:themeColor="text1"/>
                <w14:textFill>
                  <w14:solidFill>
                    <w14:schemeClr w14:val="tx1"/>
                  </w14:solidFill>
                </w14:textFill>
              </w:rPr>
              <w:t>乡</w:t>
            </w:r>
            <w:r>
              <w:rPr>
                <w:rFonts w:hint="eastAsia"/>
              </w:rPr>
              <w:t>废旧物资回收加工产业园供水系统供给</w:t>
            </w:r>
            <w:r>
              <w:t>。</w:t>
            </w:r>
          </w:p>
          <w:p w14:paraId="6F65F326">
            <w:pPr>
              <w:ind w:firstLine="480"/>
              <w:rPr>
                <w:rFonts w:cs="Times New Roman"/>
                <w:color w:val="000000"/>
              </w:rPr>
            </w:pPr>
            <w:r>
              <w:rPr>
                <w:rFonts w:hint="eastAsia" w:ascii="宋体" w:hAnsi="宋体" w:cs="宋体"/>
                <w:color w:val="000000"/>
              </w:rPr>
              <w:t>①</w:t>
            </w:r>
            <w:r>
              <w:rPr>
                <w:rFonts w:cs="Times New Roman"/>
                <w:color w:val="000000"/>
              </w:rPr>
              <w:t>清洗用水</w:t>
            </w:r>
          </w:p>
          <w:p w14:paraId="352DF796">
            <w:pPr>
              <w:ind w:firstLine="480"/>
              <w:rPr>
                <w:rFonts w:cs="Times New Roman"/>
                <w:color w:val="000000"/>
              </w:rPr>
            </w:pPr>
            <w:r>
              <w:rPr>
                <w:rFonts w:cs="Times New Roman"/>
                <w:color w:val="000000"/>
              </w:rPr>
              <w:t>参考《排放源统计调查产排污核算方法和系数手册-42废弃资源综合利用行业系数手册》“4220非金属废料和碎屑加工处理行业”中清洗或湿法破碎+清洗废水量（废PE/PP：1.0t/t-原料）。</w:t>
            </w:r>
          </w:p>
          <w:p w14:paraId="3F7FF5DB">
            <w:pPr>
              <w:ind w:firstLine="480"/>
              <w:rPr>
                <w:rFonts w:cs="Times New Roman"/>
                <w:color w:val="000000"/>
              </w:rPr>
            </w:pPr>
            <w:r>
              <w:rPr>
                <w:rFonts w:cs="Times New Roman"/>
                <w:color w:val="000000"/>
              </w:rPr>
              <w:t>本项目清洗工序处理塑料原料30000t/a，清洗废水产生量为125m³/d（即30000m³/a）。</w:t>
            </w:r>
          </w:p>
          <w:p w14:paraId="2B07AD86">
            <w:pPr>
              <w:ind w:firstLine="480"/>
              <w:rPr>
                <w:rFonts w:cs="Times New Roman"/>
                <w:color w:val="000000"/>
              </w:rPr>
            </w:pPr>
            <w:r>
              <w:rPr>
                <w:rFonts w:cs="Times New Roman"/>
                <w:color w:val="000000"/>
              </w:rPr>
              <w:t>为维持系统水平衡，综合考虑清洗与破碎过程中的水分蒸发损失（按总用水量的10%计），本项目生产总用水量核定为138.89m³/d（即33333.6m³/a）。其中：125m³/d的废水排入废水处理系统。13.89m³/d因蒸发损失，需由新鲜水补充。</w:t>
            </w:r>
          </w:p>
          <w:p w14:paraId="6098B4C9">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车间地面清洗用水</w:t>
            </w:r>
          </w:p>
          <w:p w14:paraId="5D5C6B51">
            <w:pPr>
              <w:ind w:firstLine="480"/>
            </w:pPr>
            <w:r>
              <w:rPr>
                <w:rFonts w:hint="eastAsia"/>
              </w:rPr>
              <w:t>地面清洗区域主要为粉碎机机、破碎机、甩干机等产生排水的生产设施所在区域，面积约</w:t>
            </w:r>
            <w:r>
              <w:t>200 m²</w:t>
            </w:r>
            <w:r>
              <w:rPr>
                <w:rFonts w:hint="eastAsia"/>
              </w:rPr>
              <w:t>。参照同类项目经验，地面清洗用水定额约为</w:t>
            </w:r>
            <w:r>
              <w:t>1.5</w:t>
            </w:r>
            <w:r>
              <w:rPr>
                <w:rFonts w:hint="eastAsia"/>
              </w:rPr>
              <w:t>～</w:t>
            </w:r>
            <w:r>
              <w:t>3.0 L/</w:t>
            </w:r>
            <w:r>
              <w:rPr>
                <w:rFonts w:hint="eastAsia"/>
              </w:rPr>
              <w:t>（</w:t>
            </w:r>
            <w:r>
              <w:t>m²·</w:t>
            </w:r>
            <w:r>
              <w:rPr>
                <w:rFonts w:hint="eastAsia"/>
              </w:rPr>
              <w:t>次），本项目取</w:t>
            </w:r>
            <w:r>
              <w:t>3 L/m²·</w:t>
            </w:r>
            <w:r>
              <w:rPr>
                <w:rFonts w:hint="eastAsia"/>
              </w:rPr>
              <w:t>次，每</w:t>
            </w:r>
            <w:r>
              <w:t>15</w:t>
            </w:r>
            <w:r>
              <w:rPr>
                <w:rFonts w:hint="eastAsia"/>
              </w:rPr>
              <w:t>天清洗一次，年工作</w:t>
            </w:r>
            <w:r>
              <w:t>240</w:t>
            </w:r>
            <w:r>
              <w:rPr>
                <w:rFonts w:hint="eastAsia"/>
              </w:rPr>
              <w:t>天。则每次地面清洗用水量为</w:t>
            </w:r>
            <w:r>
              <w:t>0.6 </w:t>
            </w:r>
            <w:r>
              <w:rPr>
                <w:rFonts w:cs="Times New Roman"/>
              </w:rPr>
              <w:t>m³</w:t>
            </w:r>
            <w:r>
              <w:t>/</w:t>
            </w:r>
            <w:r>
              <w:rPr>
                <w:rFonts w:hint="eastAsia"/>
              </w:rPr>
              <w:t>次，</w:t>
            </w:r>
            <w:r>
              <w:rPr>
                <w:rFonts w:hint="eastAsia" w:cs="Times New Roman"/>
                <w:color w:val="000000" w:themeColor="text1"/>
                <w14:textFill>
                  <w14:solidFill>
                    <w14:schemeClr w14:val="tx1"/>
                  </w14:solidFill>
                </w14:textFill>
              </w:rPr>
              <w:t>即0</w:t>
            </w:r>
            <w:r>
              <w:rPr>
                <w:rFonts w:cs="Times New Roman"/>
                <w:color w:val="000000" w:themeColor="text1"/>
                <w14:textFill>
                  <w14:solidFill>
                    <w14:schemeClr w14:val="tx1"/>
                  </w14:solidFill>
                </w14:textFill>
              </w:rPr>
              <w:t>.04</w:t>
            </w:r>
            <w:r>
              <w:rPr>
                <w:rFonts w:cs="Times New Roman"/>
              </w:rPr>
              <w:t>m³</w:t>
            </w:r>
            <w:r>
              <w:rPr>
                <w:rFonts w:cs="Times New Roman"/>
                <w:color w:val="000000" w:themeColor="text1"/>
                <w14:textFill>
                  <w14:solidFill>
                    <w14:schemeClr w14:val="tx1"/>
                  </w14:solidFill>
                </w14:textFill>
              </w:rPr>
              <w:t>/d</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9.6</w:t>
            </w:r>
            <w:r>
              <w:rPr>
                <w:rFonts w:cs="Times New Roman"/>
              </w:rPr>
              <w:t>m³</w:t>
            </w:r>
            <w:r>
              <w:rPr>
                <w:rFonts w:cs="Times New Roman"/>
                <w:color w:val="000000" w:themeColor="text1"/>
                <w14:textFill>
                  <w14:solidFill>
                    <w14:schemeClr w14:val="tx1"/>
                  </w14:solidFill>
                </w14:textFill>
              </w:rPr>
              <w:t>/a</w:t>
            </w:r>
            <w:r>
              <w:rPr>
                <w:rFonts w:hint="eastAsia" w:cs="Times New Roman"/>
                <w:color w:val="000000" w:themeColor="text1"/>
                <w14:textFill>
                  <w14:solidFill>
                    <w14:schemeClr w14:val="tx1"/>
                  </w14:solidFill>
                </w14:textFill>
              </w:rPr>
              <w:t>）。</w:t>
            </w:r>
            <w:r>
              <w:rPr>
                <w:rFonts w:hint="eastAsia"/>
              </w:rPr>
              <w:t>清洗方式为局部湿拖作业，用水量较少，清洗后水分在车间内自然蒸发，无地面径流产生，因此不产生清洗废水</w:t>
            </w:r>
            <w:r>
              <w:rPr>
                <w:rFonts w:hint="eastAsia" w:cs="Times New Roman"/>
                <w:color w:val="000000" w:themeColor="text1"/>
                <w14:textFill>
                  <w14:solidFill>
                    <w14:schemeClr w14:val="tx1"/>
                  </w14:solidFill>
                </w14:textFill>
              </w:rPr>
              <w:t>。</w:t>
            </w:r>
          </w:p>
          <w:p w14:paraId="3D8DFCA2">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生活</w:t>
            </w:r>
            <w:r>
              <w:t>用水</w:t>
            </w:r>
          </w:p>
          <w:p w14:paraId="0B21B682">
            <w:pPr>
              <w:ind w:firstLine="480"/>
            </w:pPr>
            <w:r>
              <w:rPr>
                <w:rFonts w:hint="eastAsia"/>
              </w:rPr>
              <w:t>生活用水参照《新疆维吾尔自治区生活用水定额标准》，本项目劳动定员为3人，年工作时间为240天，人员用水量按</w:t>
            </w:r>
            <w:r>
              <w:t>80</w:t>
            </w:r>
            <w:r>
              <w:rPr>
                <w:rFonts w:hint="eastAsia"/>
              </w:rPr>
              <w:t>L/人·d计，生活用水量为</w:t>
            </w:r>
            <w:r>
              <w:t>0.24</w:t>
            </w:r>
            <w:r>
              <w:rPr>
                <w:rFonts w:hint="eastAsia"/>
              </w:rPr>
              <w:t>m</w:t>
            </w:r>
            <w:r>
              <w:rPr>
                <w:rFonts w:hint="eastAsia"/>
                <w:vertAlign w:val="superscript"/>
              </w:rPr>
              <w:t>3</w:t>
            </w:r>
            <w:r>
              <w:rPr>
                <w:rFonts w:hint="eastAsia"/>
              </w:rPr>
              <w:t>/d，</w:t>
            </w:r>
            <w:r>
              <w:t>57.6</w:t>
            </w:r>
            <w:r>
              <w:rPr>
                <w:rFonts w:hint="eastAsia"/>
              </w:rPr>
              <w:t>m</w:t>
            </w:r>
            <w:r>
              <w:rPr>
                <w:rFonts w:hint="eastAsia"/>
                <w:vertAlign w:val="superscript"/>
              </w:rPr>
              <w:t>3</w:t>
            </w:r>
            <w:r>
              <w:rPr>
                <w:rFonts w:hint="eastAsia"/>
              </w:rPr>
              <w:t>/a。</w:t>
            </w:r>
          </w:p>
          <w:p w14:paraId="2ADB0086">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.6.2</w:t>
            </w:r>
            <w:r>
              <w:rPr>
                <w:rFonts w:hint="eastAsia"/>
                <w:color w:val="000000" w:themeColor="text1"/>
                <w14:textFill>
                  <w14:solidFill>
                    <w14:schemeClr w14:val="tx1"/>
                  </w14:solidFill>
                </w14:textFill>
              </w:rPr>
              <w:t>排水</w:t>
            </w:r>
          </w:p>
          <w:p w14:paraId="2EAFED9F">
            <w:pPr>
              <w:ind w:firstLine="480"/>
              <w:rPr>
                <w:rFonts w:cs="Times New Roman"/>
              </w:rPr>
            </w:pPr>
            <w:r>
              <w:rPr>
                <w:rFonts w:hint="eastAsia" w:cs="Times New Roman"/>
              </w:rPr>
              <w:t>本项目产生的废水主要包括原料清洗废水和生活污水</w:t>
            </w:r>
            <w:r>
              <w:rPr>
                <w:rFonts w:cs="Times New Roman"/>
              </w:rPr>
              <w:t>。</w:t>
            </w:r>
          </w:p>
          <w:p w14:paraId="2E3BB78B">
            <w:pPr>
              <w:ind w:firstLine="480"/>
              <w:rPr>
                <w:rFonts w:cs="Times New Roman"/>
              </w:rPr>
            </w:pPr>
            <w:r>
              <w:rPr>
                <w:rFonts w:hint="eastAsia" w:ascii="宋体" w:hAnsi="宋体" w:cs="宋体"/>
                <w:color w:val="000000"/>
              </w:rPr>
              <w:t>①</w:t>
            </w:r>
            <w:r>
              <w:rPr>
                <w:rFonts w:cs="Times New Roman"/>
                <w:color w:val="000000"/>
              </w:rPr>
              <w:t>清洗废水</w:t>
            </w:r>
          </w:p>
          <w:p w14:paraId="43FD0D9D">
            <w:pPr>
              <w:ind w:firstLine="480"/>
              <w:rPr>
                <w:rFonts w:cs="Times New Roman"/>
                <w:color w:val="000000"/>
              </w:rPr>
            </w:pPr>
            <w:r>
              <w:rPr>
                <w:rFonts w:cs="Times New Roman"/>
                <w:color w:val="000000"/>
              </w:rPr>
              <w:t>参考《排放源统计调查产排污核算方法和系数手册-42废弃资源综合利用行业系数手册》“</w:t>
            </w:r>
            <w:r>
              <w:rPr>
                <w:rFonts w:eastAsia="TimesNewRomanPSMT" w:cs="Times New Roman"/>
                <w:color w:val="000000"/>
              </w:rPr>
              <w:t>4220</w:t>
            </w:r>
            <w:r>
              <w:rPr>
                <w:rFonts w:cs="Times New Roman"/>
                <w:color w:val="000000"/>
              </w:rPr>
              <w:t>非金属废料和碎屑加工处理行业”中</w:t>
            </w:r>
            <w:r>
              <w:rPr>
                <w:rFonts w:cs="Times New Roman"/>
                <w:szCs w:val="24"/>
              </w:rPr>
              <w:t>清洗或湿法破碎+清洗</w:t>
            </w:r>
            <w:r>
              <w:rPr>
                <w:rFonts w:cs="Times New Roman"/>
                <w:color w:val="000000"/>
              </w:rPr>
              <w:t>废水量（废</w:t>
            </w:r>
            <w:r>
              <w:rPr>
                <w:rFonts w:eastAsia="TimesNewRomanPSMT" w:cs="Times New Roman"/>
                <w:color w:val="000000"/>
              </w:rPr>
              <w:t>PE/PP</w:t>
            </w:r>
            <w:r>
              <w:rPr>
                <w:rFonts w:cs="Times New Roman"/>
                <w:color w:val="000000"/>
              </w:rPr>
              <w:t>：</w:t>
            </w:r>
            <w:r>
              <w:rPr>
                <w:rFonts w:eastAsia="TimesNewRomanPSMT" w:cs="Times New Roman"/>
                <w:color w:val="000000"/>
              </w:rPr>
              <w:t>1.0t/t-</w:t>
            </w:r>
            <w:r>
              <w:rPr>
                <w:rFonts w:cs="Times New Roman"/>
                <w:color w:val="000000"/>
              </w:rPr>
              <w:t>原料）</w:t>
            </w:r>
            <w:r>
              <w:rPr>
                <w:rFonts w:hint="eastAsia" w:cs="Times New Roman"/>
                <w:color w:val="000000"/>
              </w:rPr>
              <w:t>。</w:t>
            </w:r>
          </w:p>
          <w:p w14:paraId="5E0009C3">
            <w:pPr>
              <w:ind w:firstLine="480"/>
              <w:rPr>
                <w:rFonts w:cs="Times New Roman"/>
                <w:color w:val="000000"/>
              </w:rPr>
            </w:pPr>
            <w:r>
              <w:rPr>
                <w:rFonts w:hint="eastAsia" w:cs="Times New Roman"/>
                <w:color w:val="000000"/>
              </w:rPr>
              <w:t>本项目实际进入湿法破碎与清洗工序的塑料原料量为</w:t>
            </w:r>
            <w:r>
              <w:rPr>
                <w:rFonts w:cs="Times New Roman"/>
                <w:color w:val="000000"/>
              </w:rPr>
              <w:t>30000</w:t>
            </w:r>
            <w:r>
              <w:rPr>
                <w:rFonts w:hint="eastAsia" w:cs="Times New Roman"/>
                <w:color w:val="000000"/>
              </w:rPr>
              <w:t>t/a，核算清洗及破碎工序废水产生量为</w:t>
            </w:r>
            <w:r>
              <w:rPr>
                <w:rFonts w:cs="Times New Roman"/>
                <w:color w:val="000000"/>
              </w:rPr>
              <w:t>125</w:t>
            </w:r>
            <w:r>
              <w:rPr>
                <w:rFonts w:hint="eastAsia" w:cs="Times New Roman"/>
                <w:color w:val="000000"/>
              </w:rPr>
              <w:t>m³/d（即</w:t>
            </w:r>
            <w:r>
              <w:rPr>
                <w:rFonts w:cs="Times New Roman"/>
                <w:color w:val="000000"/>
              </w:rPr>
              <w:t>30000</w:t>
            </w:r>
            <w:r>
              <w:rPr>
                <w:rFonts w:hint="eastAsia" w:cs="Times New Roman"/>
                <w:color w:val="000000"/>
              </w:rPr>
              <w:t>m³/a）。</w:t>
            </w:r>
          </w:p>
          <w:p w14:paraId="428373DA">
            <w:pPr>
              <w:pStyle w:val="7"/>
              <w:ind w:firstLine="480"/>
              <w:jc w:val="both"/>
              <w:rPr>
                <w:rFonts w:cs="Times New Roman"/>
              </w:rPr>
            </w:pPr>
            <w:r>
              <w:rPr>
                <w:rFonts w:hint="eastAsia" w:cs="Times New Roman"/>
              </w:rPr>
              <w:t>项目生产废水全部经沉淀后进入清水池回用于破碎、清洗工序，循环使用，无生产废水外排。</w:t>
            </w:r>
          </w:p>
          <w:p w14:paraId="48004F42">
            <w:pPr>
              <w:ind w:firstLine="480"/>
              <w:rPr>
                <w:rFonts w:cs="Times New Roman"/>
              </w:rPr>
            </w:pPr>
            <w:r>
              <w:rPr>
                <w:rFonts w:hint="eastAsia" w:cs="Times New Roman"/>
              </w:rPr>
              <w:t>②</w:t>
            </w:r>
            <w:r>
              <w:rPr>
                <w:rFonts w:hint="eastAsia"/>
                <w:color w:val="000000" w:themeColor="text1"/>
                <w14:textFill>
                  <w14:solidFill>
                    <w14:schemeClr w14:val="tx1"/>
                  </w14:solidFill>
                </w14:textFill>
              </w:rPr>
              <w:t>生活污水</w:t>
            </w:r>
          </w:p>
          <w:p w14:paraId="4EED6161">
            <w:pPr>
              <w:ind w:firstLine="480"/>
              <w:rPr>
                <w:color w:val="000000" w:themeColor="text1"/>
                <w14:textFill>
                  <w14:solidFill>
                    <w14:schemeClr w14:val="tx1"/>
                  </w14:solidFill>
                </w14:textFill>
              </w:rPr>
            </w:pPr>
            <w:r>
              <w:rPr>
                <w:rFonts w:hint="eastAsia"/>
              </w:rPr>
              <w:t>污水产生量按照产生系数0.8计，则生活污水排放量为</w:t>
            </w:r>
            <w:r>
              <w:t>0.192</w:t>
            </w:r>
            <w:r>
              <w:rPr>
                <w:rFonts w:hint="eastAsia"/>
              </w:rPr>
              <w:t>m</w:t>
            </w:r>
            <w:r>
              <w:rPr>
                <w:rFonts w:hint="eastAsia"/>
                <w:vertAlign w:val="superscript"/>
              </w:rPr>
              <w:t>3</w:t>
            </w:r>
            <w:r>
              <w:rPr>
                <w:rFonts w:hint="eastAsia"/>
              </w:rPr>
              <w:t>/d，</w:t>
            </w:r>
            <w:r>
              <w:t>46.08</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p>
          <w:p w14:paraId="03BDAE3E">
            <w:pPr>
              <w:ind w:firstLine="480"/>
            </w:pPr>
            <w:r>
              <w:rPr>
                <w:rFonts w:hint="eastAsia"/>
              </w:rPr>
              <w:t>生活污水进入厂区化粪池进行预处理后，定期由吸污车抽运至库尔勒市南市区污水处理厂处理。</w:t>
            </w:r>
          </w:p>
          <w:p w14:paraId="1ED2387F">
            <w:pPr>
              <w:ind w:firstLine="480"/>
            </w:pPr>
            <w:r>
              <w:rPr>
                <w:rFonts w:hint="eastAsia"/>
              </w:rPr>
              <w:t>项目给排水平衡情况见表</w:t>
            </w:r>
            <w:r>
              <w:t>2-8</w:t>
            </w:r>
            <w:r>
              <w:rPr>
                <w:rFonts w:hint="eastAsia"/>
              </w:rPr>
              <w:t>，水平衡图见图</w:t>
            </w:r>
            <w:r>
              <w:t>2-1</w:t>
            </w:r>
            <w:r>
              <w:rPr>
                <w:rFonts w:hint="eastAsia"/>
              </w:rPr>
              <w:t>。</w:t>
            </w:r>
          </w:p>
          <w:p w14:paraId="01CE2DEB">
            <w:pPr>
              <w:spacing w:line="240" w:lineRule="auto"/>
              <w:ind w:firstLine="482" w:firstLineChars="0"/>
              <w:jc w:val="center"/>
              <w:textAlignment w:val="auto"/>
              <w:rPr>
                <w:rFonts w:cs="Times New Roman"/>
                <w:b/>
                <w:bCs/>
                <w:color w:val="000000"/>
                <w:sz w:val="21"/>
                <w:szCs w:val="21"/>
              </w:rPr>
            </w:pPr>
            <w:r>
              <w:rPr>
                <w:rFonts w:hint="eastAsia" w:cs="Times New Roman"/>
                <w:b/>
                <w:bCs/>
                <w:color w:val="000000"/>
                <w:sz w:val="21"/>
                <w:szCs w:val="21"/>
              </w:rPr>
              <w:t>表</w:t>
            </w:r>
            <w:r>
              <w:rPr>
                <w:rFonts w:cs="Times New Roman"/>
                <w:b/>
                <w:bCs/>
                <w:color w:val="000000"/>
                <w:sz w:val="21"/>
                <w:szCs w:val="21"/>
              </w:rPr>
              <w:t xml:space="preserve">2-8  </w:t>
            </w:r>
            <w:r>
              <w:rPr>
                <w:rFonts w:hint="eastAsia" w:cs="Times New Roman"/>
                <w:b/>
                <w:bCs/>
                <w:color w:val="000000"/>
                <w:sz w:val="21"/>
                <w:szCs w:val="21"/>
              </w:rPr>
              <w:t>项目给排水情况（单位：</w:t>
            </w:r>
            <w:r>
              <w:rPr>
                <w:rFonts w:cs="Times New Roman"/>
                <w:b/>
                <w:bCs/>
                <w:color w:val="000000"/>
                <w:sz w:val="21"/>
                <w:szCs w:val="21"/>
              </w:rPr>
              <w:t>m</w:t>
            </w:r>
            <w:r>
              <w:rPr>
                <w:rFonts w:cs="Times New Roman"/>
                <w:b/>
                <w:bCs/>
                <w:color w:val="000000"/>
                <w:sz w:val="21"/>
                <w:szCs w:val="21"/>
                <w:vertAlign w:val="superscript"/>
              </w:rPr>
              <w:t>3</w:t>
            </w:r>
            <w:r>
              <w:rPr>
                <w:rFonts w:cs="Times New Roman"/>
                <w:b/>
                <w:bCs/>
                <w:color w:val="000000"/>
                <w:sz w:val="21"/>
                <w:szCs w:val="21"/>
              </w:rPr>
              <w:t>/d</w:t>
            </w:r>
            <w:r>
              <w:rPr>
                <w:rFonts w:hint="eastAsia" w:cs="Times New Roman"/>
                <w:b/>
                <w:bCs/>
                <w:color w:val="000000"/>
                <w:sz w:val="21"/>
                <w:szCs w:val="21"/>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3"/>
              <w:gridCol w:w="1361"/>
              <w:gridCol w:w="1077"/>
              <w:gridCol w:w="1213"/>
              <w:gridCol w:w="955"/>
              <w:gridCol w:w="2416"/>
            </w:tblGrid>
            <w:tr w14:paraId="4D607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67" w:type="pct"/>
                  <w:vAlign w:val="center"/>
                </w:tcPr>
                <w:p w14:paraId="0E3371BA">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用水单元</w:t>
                  </w:r>
                </w:p>
              </w:tc>
              <w:tc>
                <w:tcPr>
                  <w:tcW w:w="801" w:type="pct"/>
                  <w:vAlign w:val="center"/>
                </w:tcPr>
                <w:p w14:paraId="6F3DB4B8">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总用水量</w:t>
                  </w:r>
                </w:p>
              </w:tc>
              <w:tc>
                <w:tcPr>
                  <w:tcW w:w="634" w:type="pct"/>
                  <w:vAlign w:val="center"/>
                </w:tcPr>
                <w:p w14:paraId="2BAA4A83">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回用水量</w:t>
                  </w:r>
                </w:p>
              </w:tc>
              <w:tc>
                <w:tcPr>
                  <w:tcW w:w="714" w:type="pct"/>
                  <w:vAlign w:val="center"/>
                </w:tcPr>
                <w:p w14:paraId="3EF93EEF">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蒸发损失</w:t>
                  </w:r>
                </w:p>
              </w:tc>
              <w:tc>
                <w:tcPr>
                  <w:tcW w:w="562" w:type="pct"/>
                  <w:vAlign w:val="center"/>
                </w:tcPr>
                <w:p w14:paraId="7AF02B44">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废水产生量</w:t>
                  </w:r>
                </w:p>
              </w:tc>
              <w:tc>
                <w:tcPr>
                  <w:tcW w:w="1422" w:type="pct"/>
                  <w:vAlign w:val="center"/>
                </w:tcPr>
                <w:p w14:paraId="6AB8C4BD">
                  <w:pPr>
                    <w:spacing w:line="240" w:lineRule="auto"/>
                    <w:ind w:firstLine="0" w:firstLineChars="0"/>
                    <w:jc w:val="center"/>
                    <w:textAlignment w:val="auto"/>
                    <w:rPr>
                      <w:rFonts w:cs="Times New Roman"/>
                      <w:color w:val="000000"/>
                      <w:sz w:val="21"/>
                      <w:szCs w:val="21"/>
                    </w:rPr>
                  </w:pPr>
                  <w:r>
                    <w:rPr>
                      <w:rFonts w:cs="Times New Roman"/>
                      <w:color w:val="000000"/>
                      <w:sz w:val="21"/>
                      <w:szCs w:val="21"/>
                    </w:rPr>
                    <w:t>备注</w:t>
                  </w:r>
                </w:p>
              </w:tc>
            </w:tr>
            <w:tr w14:paraId="31AD49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67" w:type="pct"/>
                  <w:vAlign w:val="center"/>
                </w:tcPr>
                <w:p w14:paraId="09903011">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清洗用水</w:t>
                  </w:r>
                </w:p>
              </w:tc>
              <w:tc>
                <w:tcPr>
                  <w:tcW w:w="801" w:type="pct"/>
                  <w:vAlign w:val="center"/>
                </w:tcPr>
                <w:p w14:paraId="7B90B0B2">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138.89</w:t>
                  </w:r>
                </w:p>
              </w:tc>
              <w:tc>
                <w:tcPr>
                  <w:tcW w:w="634" w:type="pct"/>
                  <w:vAlign w:val="center"/>
                </w:tcPr>
                <w:p w14:paraId="78D7A987">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125</w:t>
                  </w:r>
                </w:p>
              </w:tc>
              <w:tc>
                <w:tcPr>
                  <w:tcW w:w="714" w:type="pct"/>
                  <w:vAlign w:val="center"/>
                </w:tcPr>
                <w:p w14:paraId="048F8C78">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13.89</w:t>
                  </w:r>
                </w:p>
              </w:tc>
              <w:tc>
                <w:tcPr>
                  <w:tcW w:w="562" w:type="pct"/>
                  <w:vAlign w:val="center"/>
                </w:tcPr>
                <w:p w14:paraId="120C84C7">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1422" w:type="pct"/>
                  <w:vAlign w:val="center"/>
                </w:tcPr>
                <w:p w14:paraId="054E8E14">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生产废水全部经沉淀后回用于生产</w:t>
                  </w:r>
                </w:p>
              </w:tc>
            </w:tr>
            <w:tr w14:paraId="75F7D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67" w:type="pct"/>
                  <w:vAlign w:val="center"/>
                </w:tcPr>
                <w:p w14:paraId="5FDDB1EB">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车间地面清洗用水</w:t>
                  </w:r>
                </w:p>
              </w:tc>
              <w:tc>
                <w:tcPr>
                  <w:tcW w:w="801" w:type="pct"/>
                  <w:vAlign w:val="center"/>
                </w:tcPr>
                <w:p w14:paraId="56FF6B65">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0.04</w:t>
                  </w:r>
                </w:p>
              </w:tc>
              <w:tc>
                <w:tcPr>
                  <w:tcW w:w="634" w:type="pct"/>
                  <w:vAlign w:val="center"/>
                </w:tcPr>
                <w:p w14:paraId="1FC7F888">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714" w:type="pct"/>
                  <w:vAlign w:val="center"/>
                </w:tcPr>
                <w:p w14:paraId="55963007">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0.04</w:t>
                  </w:r>
                </w:p>
              </w:tc>
              <w:tc>
                <w:tcPr>
                  <w:tcW w:w="562" w:type="pct"/>
                  <w:vAlign w:val="center"/>
                </w:tcPr>
                <w:p w14:paraId="7DBD6657">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1422" w:type="pct"/>
                  <w:vAlign w:val="center"/>
                </w:tcPr>
                <w:p w14:paraId="660C03BA">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自然蒸发</w:t>
                  </w:r>
                </w:p>
              </w:tc>
            </w:tr>
            <w:tr w14:paraId="024F0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867" w:type="pct"/>
                  <w:vAlign w:val="center"/>
                </w:tcPr>
                <w:p w14:paraId="3FA41693">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生活用水</w:t>
                  </w:r>
                </w:p>
              </w:tc>
              <w:tc>
                <w:tcPr>
                  <w:tcW w:w="801" w:type="pct"/>
                  <w:vAlign w:val="center"/>
                </w:tcPr>
                <w:p w14:paraId="1502DE58">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.24</w:t>
                  </w:r>
                </w:p>
              </w:tc>
              <w:tc>
                <w:tcPr>
                  <w:tcW w:w="634" w:type="pct"/>
                  <w:vAlign w:val="center"/>
                </w:tcPr>
                <w:p w14:paraId="2A18A0C0">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w:t>
                  </w:r>
                </w:p>
              </w:tc>
              <w:tc>
                <w:tcPr>
                  <w:tcW w:w="714" w:type="pct"/>
                  <w:vAlign w:val="center"/>
                </w:tcPr>
                <w:p w14:paraId="0DDBA3DE">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0</w:t>
                  </w:r>
                  <w:r>
                    <w:rPr>
                      <w:rFonts w:cs="Times New Roman"/>
                      <w:color w:val="000000"/>
                      <w:sz w:val="21"/>
                      <w:szCs w:val="21"/>
                    </w:rPr>
                    <w:t>.048</w:t>
                  </w:r>
                </w:p>
              </w:tc>
              <w:tc>
                <w:tcPr>
                  <w:tcW w:w="562" w:type="pct"/>
                  <w:vAlign w:val="center"/>
                </w:tcPr>
                <w:p w14:paraId="3E2A4561">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0.192</w:t>
                  </w:r>
                </w:p>
              </w:tc>
              <w:tc>
                <w:tcPr>
                  <w:tcW w:w="1422" w:type="pct"/>
                  <w:vAlign w:val="center"/>
                </w:tcPr>
                <w:p w14:paraId="76B469E2">
                  <w:pPr>
                    <w:spacing w:line="240" w:lineRule="auto"/>
                    <w:ind w:firstLine="0" w:firstLineChars="0"/>
                    <w:textAlignment w:val="auto"/>
                    <w:rPr>
                      <w:rFonts w:cs="Times New Roman"/>
                      <w:color w:val="000000"/>
                      <w:sz w:val="21"/>
                      <w:szCs w:val="21"/>
                    </w:rPr>
                  </w:pPr>
                  <w:r>
                    <w:rPr>
                      <w:rFonts w:hint="eastAsia" w:cs="Times New Roman"/>
                      <w:color w:val="000000"/>
                      <w:sz w:val="21"/>
                      <w:szCs w:val="21"/>
                    </w:rPr>
                    <w:t>生活污水经化粪池处理后，</w:t>
                  </w:r>
                  <w:r>
                    <w:rPr>
                      <w:rFonts w:hint="eastAsia" w:hAnsi="宋体" w:cs="Times New Roman"/>
                      <w:spacing w:val="-11"/>
                      <w:sz w:val="21"/>
                      <w:szCs w:val="21"/>
                    </w:rPr>
                    <w:t>定期由吸污车抽运至库尔勒市南市区污水处理厂处理</w:t>
                  </w:r>
                </w:p>
              </w:tc>
            </w:tr>
            <w:tr w14:paraId="161E5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867" w:type="pct"/>
                  <w:vAlign w:val="center"/>
                </w:tcPr>
                <w:p w14:paraId="2CBA3399">
                  <w:pPr>
                    <w:spacing w:line="240" w:lineRule="auto"/>
                    <w:ind w:firstLine="0" w:firstLineChars="0"/>
                    <w:jc w:val="center"/>
                    <w:textAlignment w:val="auto"/>
                    <w:rPr>
                      <w:rFonts w:cs="Times New Roman"/>
                      <w:color w:val="000000"/>
                      <w:sz w:val="21"/>
                      <w:szCs w:val="21"/>
                    </w:rPr>
                  </w:pPr>
                  <w:r>
                    <w:rPr>
                      <w:rFonts w:hint="eastAsia" w:cs="Times New Roman"/>
                      <w:color w:val="000000"/>
                      <w:sz w:val="21"/>
                      <w:szCs w:val="21"/>
                    </w:rPr>
                    <w:t>合计</w:t>
                  </w:r>
                </w:p>
              </w:tc>
              <w:tc>
                <w:tcPr>
                  <w:tcW w:w="801" w:type="pct"/>
                  <w:vAlign w:val="center"/>
                </w:tcPr>
                <w:p w14:paraId="7E5A4428">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139.17</w:t>
                  </w:r>
                </w:p>
              </w:tc>
              <w:tc>
                <w:tcPr>
                  <w:tcW w:w="634" w:type="pct"/>
                  <w:vAlign w:val="center"/>
                </w:tcPr>
                <w:p w14:paraId="67F59FA0">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125</w:t>
                  </w:r>
                </w:p>
              </w:tc>
              <w:tc>
                <w:tcPr>
                  <w:tcW w:w="714" w:type="pct"/>
                  <w:vAlign w:val="center"/>
                </w:tcPr>
                <w:p w14:paraId="54F9A8F2">
                  <w:pPr>
                    <w:spacing w:line="240" w:lineRule="auto"/>
                    <w:ind w:firstLine="0" w:firstLineChars="0"/>
                    <w:jc w:val="center"/>
                    <w:textAlignment w:val="auto"/>
                    <w:rPr>
                      <w:rFonts w:cs="Times New Roman"/>
                      <w:color w:val="000000"/>
                      <w:sz w:val="21"/>
                      <w:szCs w:val="21"/>
                    </w:rPr>
                  </w:pPr>
                  <w:r>
                    <w:rPr>
                      <w:rFonts w:cs="Times New Roman"/>
                      <w:color w:val="000000"/>
                      <w:sz w:val="21"/>
                      <w:szCs w:val="21"/>
                    </w:rPr>
                    <w:t>13.978</w:t>
                  </w:r>
                </w:p>
              </w:tc>
              <w:tc>
                <w:tcPr>
                  <w:tcW w:w="562" w:type="pct"/>
                  <w:vAlign w:val="center"/>
                </w:tcPr>
                <w:p w14:paraId="08D3345E">
                  <w:pPr>
                    <w:spacing w:line="240" w:lineRule="auto"/>
                    <w:ind w:firstLine="0" w:firstLineChars="0"/>
                    <w:jc w:val="center"/>
                    <w:textAlignment w:val="auto"/>
                    <w:rPr>
                      <w:rFonts w:cs="Times New Roman"/>
                      <w:color w:val="000000"/>
                      <w:sz w:val="21"/>
                      <w:szCs w:val="21"/>
                    </w:rPr>
                  </w:pPr>
                  <w:r>
                    <w:rPr>
                      <w:rFonts w:cs="Times New Roman"/>
                      <w:color w:val="000000"/>
                      <w:sz w:val="21"/>
                      <w:szCs w:val="21"/>
                    </w:rPr>
                    <w:t>0.192</w:t>
                  </w:r>
                </w:p>
              </w:tc>
              <w:tc>
                <w:tcPr>
                  <w:tcW w:w="1422" w:type="pct"/>
                  <w:vAlign w:val="center"/>
                </w:tcPr>
                <w:p w14:paraId="298CB591">
                  <w:pPr>
                    <w:spacing w:line="240" w:lineRule="auto"/>
                    <w:ind w:firstLine="0" w:firstLineChars="0"/>
                    <w:jc w:val="center"/>
                    <w:textAlignment w:val="auto"/>
                    <w:rPr>
                      <w:rFonts w:cs="Times New Roman"/>
                      <w:color w:val="000000"/>
                      <w:sz w:val="21"/>
                      <w:szCs w:val="21"/>
                    </w:rPr>
                  </w:pPr>
                  <w:r>
                    <w:rPr>
                      <w:rFonts w:cs="Times New Roman"/>
                      <w:color w:val="000000"/>
                      <w:sz w:val="21"/>
                      <w:szCs w:val="21"/>
                    </w:rPr>
                    <w:t>/</w:t>
                  </w:r>
                </w:p>
              </w:tc>
            </w:tr>
          </w:tbl>
          <w:p w14:paraId="3A33FE03">
            <w:pPr>
              <w:ind w:firstLine="0" w:firstLineChars="0"/>
            </w:pPr>
            <w:r>
              <w:drawing>
                <wp:inline distT="0" distB="0" distL="0" distR="0">
                  <wp:extent cx="5759450" cy="3397250"/>
                  <wp:effectExtent l="19050" t="19050" r="12700" b="1270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2"/>
                          <a:stretch>
                            <a:fillRect/>
                          </a:stretch>
                        </pic:blipFill>
                        <pic:spPr>
                          <a:xfrm>
                            <a:off x="0" y="0"/>
                            <a:ext cx="5759450" cy="3397250"/>
                          </a:xfrm>
                          <a:prstGeom prst="rect">
                            <a:avLst/>
                          </a:prstGeom>
                          <a:ln>
                            <a:solidFill>
                              <a:schemeClr val="tx1"/>
                            </a:solidFill>
                          </a:ln>
                        </pic:spPr>
                      </pic:pic>
                    </a:graphicData>
                  </a:graphic>
                </wp:inline>
              </w:drawing>
            </w:r>
          </w:p>
          <w:p w14:paraId="77A4819E">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图2</w:t>
            </w:r>
            <w:r>
              <w:rPr>
                <w:color w:val="000000" w:themeColor="text1"/>
                <w14:textFill>
                  <w14:solidFill>
                    <w14:schemeClr w14:val="tx1"/>
                  </w14:solidFill>
                </w14:textFill>
              </w:rPr>
              <w:t xml:space="preserve">-1  </w:t>
            </w:r>
            <w:r>
              <w:rPr>
                <w:rFonts w:hint="eastAsia"/>
                <w:color w:val="000000" w:themeColor="text1"/>
                <w14:textFill>
                  <w14:solidFill>
                    <w14:schemeClr w14:val="tx1"/>
                  </w14:solidFill>
                </w14:textFill>
              </w:rPr>
              <w:t>项目水平衡图（单位：m</w:t>
            </w:r>
            <w:r>
              <w:rPr>
                <w:rFonts w:hint="eastAsia"/>
                <w:color w:val="000000" w:themeColor="text1"/>
                <w:vertAlign w:val="superscript"/>
                <w14:textFill>
                  <w14:solidFill>
                    <w14:schemeClr w14:val="tx1"/>
                  </w14:solidFill>
                </w14:textFill>
              </w:rPr>
              <w:t>3</w:t>
            </w:r>
            <w:r>
              <w:rPr>
                <w:color w:val="000000" w:themeColor="text1"/>
                <w14:textFill>
                  <w14:solidFill>
                    <w14:schemeClr w14:val="tx1"/>
                  </w14:solidFill>
                </w14:textFill>
              </w:rPr>
              <w:t>/d</w:t>
            </w:r>
            <w:r>
              <w:rPr>
                <w:rFonts w:hint="eastAsia"/>
                <w:color w:val="000000" w:themeColor="text1"/>
                <w14:textFill>
                  <w14:solidFill>
                    <w14:schemeClr w14:val="tx1"/>
                  </w14:solidFill>
                </w14:textFill>
              </w:rPr>
              <w:t>）</w:t>
            </w:r>
          </w:p>
          <w:p w14:paraId="7D0D8401">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.6.3</w:t>
            </w:r>
            <w:r>
              <w:rPr>
                <w:rFonts w:hint="eastAsia"/>
                <w:color w:val="000000" w:themeColor="text1"/>
                <w14:textFill>
                  <w14:solidFill>
                    <w14:schemeClr w14:val="tx1"/>
                  </w14:solidFill>
                </w14:textFill>
              </w:rPr>
              <w:t>供暖</w:t>
            </w:r>
          </w:p>
          <w:p w14:paraId="0A8E1314">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生产线无需供热，生活区采用电取暖。</w:t>
            </w:r>
          </w:p>
          <w:p w14:paraId="077E8B5C">
            <w:pPr>
              <w:pStyle w:val="4"/>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.6.4</w:t>
            </w:r>
            <w:r>
              <w:rPr>
                <w:rFonts w:hint="eastAsia"/>
                <w:color w:val="000000" w:themeColor="text1"/>
                <w14:textFill>
                  <w14:solidFill>
                    <w14:schemeClr w14:val="tx1"/>
                  </w14:solidFill>
                </w14:textFill>
              </w:rPr>
              <w:t>供电</w:t>
            </w:r>
          </w:p>
          <w:p w14:paraId="1CB4F887">
            <w:pPr>
              <w:ind w:firstLine="480"/>
              <w:rPr>
                <w:color w:val="000000" w:themeColor="text1"/>
                <w:kern w:val="0"/>
                <w14:textFill>
                  <w14:solidFill>
                    <w14:schemeClr w14:val="tx1"/>
                  </w14:solidFill>
                </w14:textFill>
              </w:rPr>
            </w:pPr>
            <w:r>
              <w:rPr>
                <w:rFonts w:hint="eastAsia"/>
                <w:color w:val="000000" w:themeColor="text1"/>
                <w:kern w:val="0"/>
                <w14:textFill>
                  <w14:solidFill>
                    <w14:schemeClr w14:val="tx1"/>
                  </w14:solidFill>
                </w14:textFill>
              </w:rPr>
              <w:t>由库尔勒市哈拉玉宫</w:t>
            </w:r>
            <w:r>
              <w:rPr>
                <w:rFonts w:hint="eastAsia"/>
                <w:color w:val="000000" w:themeColor="text1"/>
                <w14:textFill>
                  <w14:solidFill>
                    <w14:schemeClr w14:val="tx1"/>
                  </w14:solidFill>
                </w14:textFill>
              </w:rPr>
              <w:t>乡</w:t>
            </w:r>
            <w:r>
              <w:rPr>
                <w:rFonts w:hint="eastAsia"/>
                <w:color w:val="000000" w:themeColor="text1"/>
                <w:kern w:val="0"/>
                <w14:textFill>
                  <w14:solidFill>
                    <w14:schemeClr w14:val="tx1"/>
                  </w14:solidFill>
                </w14:textFill>
              </w:rPr>
              <w:t>废旧物资回收加工产业园电力系统供给。</w:t>
            </w:r>
          </w:p>
        </w:tc>
      </w:tr>
      <w:tr w14:paraId="7E154A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7" w:type="dxa"/>
            <w:vAlign w:val="center"/>
          </w:tcPr>
          <w:p w14:paraId="0A208562">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工艺流程和产排污环节</w:t>
            </w:r>
          </w:p>
        </w:tc>
        <w:tc>
          <w:tcPr>
            <w:tcW w:w="8603" w:type="dxa"/>
          </w:tcPr>
          <w:p w14:paraId="1CA9BDF8">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工艺流程与产污环节分析</w:t>
            </w:r>
          </w:p>
          <w:p w14:paraId="36E9A3D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.7.1施工期工艺流程和产排污环节</w:t>
            </w:r>
          </w:p>
          <w:p w14:paraId="3C404E25">
            <w:pPr>
              <w:ind w:firstLine="480"/>
              <w:textAlignment w:val="auto"/>
            </w:pPr>
            <w:r>
              <w:rPr>
                <w:rFonts w:ascii="Segoe UI" w:hAnsi="Segoe UI" w:cs="Segoe UI"/>
                <w:color w:val="0F1115"/>
                <w:shd w:val="clear" w:color="auto" w:fill="FFFFFF"/>
              </w:rPr>
              <w:t>本项目建设厂房等主体工程，以及原料堆场、成品堆场、沉淀池等配套辅助设施</w:t>
            </w:r>
            <w:r>
              <w:rPr>
                <w:rFonts w:hint="eastAsia"/>
              </w:rPr>
              <w:t>。施工过程中产生的污染物主要包括噪声、废气、废水以及固体废物，其主要产污环节与施工流程详见下图。</w:t>
            </w:r>
          </w:p>
          <w:p w14:paraId="0A02BAC2">
            <w:pPr>
              <w:ind w:firstLine="0" w:firstLineChars="0"/>
              <w:jc w:val="center"/>
              <w:textAlignment w:val="auto"/>
            </w:pPr>
            <w:r>
              <w:rPr>
                <w:rFonts w:ascii="Calibri" w:hAnsi="Calibri" w:cs="Times New Roman"/>
                <w:sz w:val="21"/>
                <w:szCs w:val="24"/>
              </w:rPr>
              <w:drawing>
                <wp:inline distT="0" distB="0" distL="0" distR="0">
                  <wp:extent cx="5571490" cy="1691005"/>
                  <wp:effectExtent l="19050" t="19050" r="10160" b="2349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583067" cy="1694440"/>
                          </a:xfrm>
                          <a:prstGeom prst="rect">
                            <a:avLst/>
                          </a:prstGeom>
                          <a:noFill/>
                          <a:ln>
                            <a:solidFill>
                              <a:schemeClr val="tx1"/>
                            </a:solidFill>
                          </a:ln>
                        </pic:spPr>
                      </pic:pic>
                    </a:graphicData>
                  </a:graphic>
                </wp:inline>
              </w:drawing>
            </w:r>
          </w:p>
          <w:p w14:paraId="25C36BBC">
            <w:pPr>
              <w:widowControl/>
              <w:ind w:firstLine="0" w:firstLineChars="0"/>
              <w:jc w:val="center"/>
              <w:textAlignment w:val="auto"/>
              <w:rPr>
                <w:rFonts w:cs="Times New Roman"/>
                <w:b/>
                <w:kern w:val="0"/>
                <w:sz w:val="21"/>
                <w:szCs w:val="21"/>
              </w:rPr>
            </w:pPr>
            <w:r>
              <w:rPr>
                <w:rFonts w:cs="Times New Roman"/>
                <w:b/>
                <w:kern w:val="0"/>
                <w:sz w:val="21"/>
                <w:szCs w:val="21"/>
              </w:rPr>
              <w:t>图</w:t>
            </w:r>
            <w:r>
              <w:rPr>
                <w:rFonts w:hint="eastAsia" w:cs="Times New Roman"/>
                <w:b/>
                <w:kern w:val="0"/>
                <w:sz w:val="21"/>
                <w:szCs w:val="21"/>
              </w:rPr>
              <w:t>2</w:t>
            </w:r>
            <w:r>
              <w:rPr>
                <w:rFonts w:cs="Times New Roman"/>
                <w:b/>
                <w:kern w:val="0"/>
                <w:sz w:val="21"/>
                <w:szCs w:val="21"/>
              </w:rPr>
              <w:t>-</w:t>
            </w:r>
            <w:r>
              <w:rPr>
                <w:rFonts w:hint="eastAsia" w:cs="Times New Roman"/>
                <w:b/>
                <w:kern w:val="0"/>
                <w:sz w:val="21"/>
                <w:szCs w:val="21"/>
              </w:rPr>
              <w:t>2</w:t>
            </w:r>
            <w:r>
              <w:rPr>
                <w:rFonts w:cs="Times New Roman"/>
                <w:b/>
                <w:kern w:val="0"/>
                <w:sz w:val="21"/>
                <w:szCs w:val="21"/>
              </w:rPr>
              <w:t xml:space="preserve">  </w:t>
            </w:r>
            <w:r>
              <w:rPr>
                <w:rFonts w:hint="eastAsia" w:cs="Times New Roman"/>
                <w:b/>
                <w:kern w:val="0"/>
                <w:sz w:val="21"/>
                <w:szCs w:val="21"/>
              </w:rPr>
              <w:t>施工期</w:t>
            </w:r>
            <w:r>
              <w:rPr>
                <w:rFonts w:cs="Times New Roman"/>
                <w:b/>
                <w:kern w:val="0"/>
                <w:sz w:val="21"/>
                <w:szCs w:val="21"/>
              </w:rPr>
              <w:t>工艺流程及产污环节图</w:t>
            </w:r>
          </w:p>
          <w:p w14:paraId="5508DB2B">
            <w:pPr>
              <w:ind w:firstLine="480"/>
            </w:pPr>
            <w:r>
              <w:rPr>
                <w:rFonts w:hint="eastAsia"/>
              </w:rPr>
              <w:t>废水：施工人员生活污水、施工作业废水。</w:t>
            </w:r>
          </w:p>
          <w:p w14:paraId="4FCCF296">
            <w:pPr>
              <w:ind w:firstLine="480"/>
            </w:pPr>
            <w:r>
              <w:rPr>
                <w:rFonts w:hint="eastAsia"/>
              </w:rPr>
              <w:t>废气：施工扬尘、施工机械废气、车辆尾气。</w:t>
            </w:r>
          </w:p>
          <w:p w14:paraId="048348E6">
            <w:pPr>
              <w:ind w:firstLine="480"/>
            </w:pPr>
            <w:r>
              <w:rPr>
                <w:rFonts w:hint="eastAsia"/>
              </w:rPr>
              <w:t>噪声：机械噪声、施工作业噪声、施工车辆噪声。</w:t>
            </w:r>
          </w:p>
          <w:p w14:paraId="3B906251">
            <w:pPr>
              <w:ind w:firstLine="480"/>
            </w:pPr>
            <w:r>
              <w:rPr>
                <w:rFonts w:hint="eastAsia"/>
              </w:rPr>
              <w:t>固废：施工人员生活垃圾、建筑垃圾等。</w:t>
            </w:r>
          </w:p>
          <w:p w14:paraId="2D189132">
            <w:pPr>
              <w:ind w:firstLine="480"/>
            </w:pPr>
            <w:r>
              <w:rPr>
                <w:rFonts w:hint="eastAsia"/>
              </w:rPr>
              <w:t>以上污染源和污染物均会对周围产生一定的环境影响，随着施工期的结束，影响也将结束。</w:t>
            </w:r>
          </w:p>
          <w:p w14:paraId="228707DA">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w:t>
            </w:r>
            <w:r>
              <w:rPr>
                <w:color w:val="000000" w:themeColor="text1"/>
                <w14:textFill>
                  <w14:solidFill>
                    <w14:schemeClr w14:val="tx1"/>
                  </w14:solidFill>
                </w14:textFill>
              </w:rPr>
              <w:t>.7.2</w:t>
            </w:r>
            <w:r>
              <w:t>运营期生产工艺流程及产污环节</w:t>
            </w:r>
          </w:p>
          <w:p w14:paraId="3145041F">
            <w:pPr>
              <w:ind w:firstLine="0" w:firstLineChars="0"/>
              <w:jc w:val="center"/>
            </w:pPr>
            <w:r>
              <w:drawing>
                <wp:inline distT="0" distB="0" distL="0" distR="0">
                  <wp:extent cx="5759450" cy="3959225"/>
                  <wp:effectExtent l="19050" t="19050" r="12700" b="222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759450" cy="3959225"/>
                          </a:xfrm>
                          <a:prstGeom prst="rect">
                            <a:avLst/>
                          </a:prstGeom>
                          <a:ln>
                            <a:solidFill>
                              <a:schemeClr val="tx1"/>
                            </a:solidFill>
                          </a:ln>
                        </pic:spPr>
                      </pic:pic>
                    </a:graphicData>
                  </a:graphic>
                </wp:inline>
              </w:drawing>
            </w:r>
          </w:p>
          <w:p w14:paraId="3FBBEF81">
            <w:pPr>
              <w:ind w:firstLine="422"/>
              <w:jc w:val="center"/>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图2-3  工艺流程及排污环节图</w:t>
            </w:r>
          </w:p>
          <w:p w14:paraId="27E00454">
            <w:pPr>
              <w:ind w:firstLine="480"/>
              <w:rPr>
                <w:rFonts w:cs="Times New Roman"/>
                <w:szCs w:val="24"/>
              </w:rPr>
            </w:pPr>
            <w:r>
              <w:rPr>
                <w:rFonts w:cs="Times New Roman"/>
                <w:szCs w:val="24"/>
              </w:rPr>
              <w:t>工艺流程简述：</w:t>
            </w:r>
          </w:p>
          <w:p w14:paraId="5812C389">
            <w:pPr>
              <w:ind w:firstLine="482"/>
              <w:rPr>
                <w:rFonts w:cs="Times New Roman"/>
                <w:b/>
                <w:bCs/>
                <w:szCs w:val="24"/>
              </w:rPr>
            </w:pPr>
            <w:r>
              <w:rPr>
                <w:rFonts w:hint="eastAsia" w:cs="Times New Roman"/>
                <w:b/>
                <w:bCs/>
                <w:szCs w:val="24"/>
              </w:rPr>
              <w:t>本项目所用原料不涉及受到危险化学品、农药等污染的废弃塑料包装物、废弃一次性医疗用塑料制品等塑料类危险废物，以及氟塑料等特种工程塑料，沾染油类的废旧塑料等，废塑料由运输车辆运至厂区，暂存于原料堆场。</w:t>
            </w:r>
          </w:p>
          <w:p w14:paraId="7EB627F4">
            <w:pPr>
              <w:ind w:firstLine="482"/>
              <w:rPr>
                <w:rFonts w:cs="Times New Roman"/>
              </w:rPr>
            </w:pPr>
            <w:r>
              <w:rPr>
                <w:rFonts w:cs="Times New Roman"/>
                <w:b/>
                <w:bCs/>
              </w:rPr>
              <w:t>清洗：</w:t>
            </w:r>
            <w:r>
              <w:rPr>
                <w:rFonts w:hint="eastAsia" w:cs="Times New Roman"/>
                <w:color w:val="0F1115"/>
                <w:shd w:val="clear" w:color="auto" w:fill="FFFFFF"/>
              </w:rPr>
              <w:t>原料经堆场由输送带均匀送入13米长的清水漂洗分离槽。槽内注入清水后，利用物料密度差异进行分离：密度低于清水的塑料漂浮于水面，密度高于清水的金属等重质物料则沉入槽底，从而实现塑料与金属的有效分离。该工序主要产生清洗废水</w:t>
            </w:r>
            <w:r>
              <w:rPr>
                <w:rFonts w:cs="Times New Roman"/>
              </w:rPr>
              <w:t>；</w:t>
            </w:r>
          </w:p>
          <w:p w14:paraId="301522D4">
            <w:pPr>
              <w:ind w:firstLine="482"/>
              <w:rPr>
                <w:rFonts w:cs="Times New Roman"/>
              </w:rPr>
            </w:pPr>
            <w:r>
              <w:rPr>
                <w:rFonts w:hint="eastAsia" w:cs="Times New Roman"/>
                <w:b/>
                <w:bCs/>
              </w:rPr>
              <w:t>湿法</w:t>
            </w:r>
            <w:r>
              <w:rPr>
                <w:rFonts w:cs="Times New Roman"/>
                <w:b/>
                <w:bCs/>
              </w:rPr>
              <w:t>破碎：</w:t>
            </w:r>
            <w:r>
              <w:rPr>
                <w:rFonts w:cs="Times New Roman"/>
                <w:color w:val="0F1115"/>
                <w:shd w:val="clear" w:color="auto" w:fill="FFFFFF"/>
              </w:rPr>
              <w:t>清洗分离出的塑料经输送带送入800mm型破碎机，破碎成1-3cm的塑料碎片。此工序主要污染物为少量粉尘</w:t>
            </w:r>
            <w:r>
              <w:rPr>
                <w:rFonts w:hint="eastAsia" w:cs="Times New Roman"/>
                <w:color w:val="0F1115"/>
                <w:shd w:val="clear" w:color="auto" w:fill="FFFFFF"/>
              </w:rPr>
              <w:t>和废水</w:t>
            </w:r>
            <w:r>
              <w:rPr>
                <w:rFonts w:cs="Times New Roman"/>
              </w:rPr>
              <w:t>；</w:t>
            </w:r>
          </w:p>
          <w:p w14:paraId="386FB83B">
            <w:pPr>
              <w:ind w:firstLine="482"/>
            </w:pPr>
            <w:r>
              <w:rPr>
                <w:rFonts w:hint="eastAsia"/>
                <w:b/>
                <w:bCs/>
              </w:rPr>
              <w:t>甩干机：</w:t>
            </w:r>
            <w:r>
              <w:rPr>
                <w:rFonts w:hint="eastAsia"/>
              </w:rPr>
              <w:t>破碎后的塑料进入甩干机，高速旋转利用离心力脱除碎片表面附着水。</w:t>
            </w:r>
            <w:r>
              <w:rPr>
                <w:rFonts w:cs="Times New Roman"/>
                <w:color w:val="0F1115"/>
                <w:shd w:val="clear" w:color="auto" w:fill="FFFFFF"/>
              </w:rPr>
              <w:t>此工序主要污染物为少量</w:t>
            </w:r>
            <w:r>
              <w:rPr>
                <w:rFonts w:hint="eastAsia" w:cs="Times New Roman"/>
                <w:color w:val="0F1115"/>
                <w:shd w:val="clear" w:color="auto" w:fill="FFFFFF"/>
              </w:rPr>
              <w:t>废水</w:t>
            </w:r>
            <w:r>
              <w:rPr>
                <w:rFonts w:cs="Times New Roman"/>
              </w:rPr>
              <w:t>；</w:t>
            </w:r>
          </w:p>
          <w:p w14:paraId="123AB534">
            <w:pPr>
              <w:ind w:firstLine="482"/>
            </w:pPr>
            <w:r>
              <w:rPr>
                <w:rFonts w:hint="eastAsia"/>
                <w:b/>
                <w:bCs/>
              </w:rPr>
              <w:t>空分机：</w:t>
            </w:r>
            <w:r>
              <w:rPr>
                <w:rFonts w:hint="eastAsia"/>
              </w:rPr>
              <w:t>甩干后的塑料碎片进入空分机，利用可控气流分离。轻质塑料碎片作为产品进入打包工序；金属混合料进入后续粉碎工序。</w:t>
            </w:r>
            <w:r>
              <w:rPr>
                <w:rFonts w:cs="Times New Roman"/>
                <w:color w:val="0F1115"/>
                <w:shd w:val="clear" w:color="auto" w:fill="FFFFFF"/>
              </w:rPr>
              <w:t>此工序主要污染物为少量</w:t>
            </w:r>
            <w:r>
              <w:rPr>
                <w:rFonts w:hint="eastAsia" w:cs="Times New Roman"/>
                <w:color w:val="0F1115"/>
                <w:shd w:val="clear" w:color="auto" w:fill="FFFFFF"/>
              </w:rPr>
              <w:t>废气</w:t>
            </w:r>
            <w:r>
              <w:rPr>
                <w:rFonts w:cs="Times New Roman"/>
              </w:rPr>
              <w:t>；</w:t>
            </w:r>
          </w:p>
          <w:p w14:paraId="42B5DE35">
            <w:pPr>
              <w:ind w:firstLine="482"/>
            </w:pPr>
            <w:r>
              <w:rPr>
                <w:rFonts w:hint="eastAsia" w:cs="Times New Roman"/>
                <w:b/>
                <w:bCs/>
                <w:szCs w:val="24"/>
              </w:rPr>
              <w:t>打包外售：</w:t>
            </w:r>
            <w:r>
              <w:rPr>
                <w:rFonts w:ascii="Segoe UI" w:hAnsi="Segoe UI" w:cs="Segoe UI"/>
                <w:color w:val="0F1115"/>
                <w:shd w:val="clear" w:color="auto" w:fill="FFFFFF"/>
              </w:rPr>
              <w:t>采用人工打包方式，使用编织袋对废旧塑料碎片进行袋装，并做好标识，存放于成品库区。袋装后的废旧塑料碎片重量无固定规格，外售时根据需求统一称重</w:t>
            </w:r>
            <w:r>
              <w:rPr>
                <w:rFonts w:hint="eastAsia"/>
              </w:rPr>
              <w:t>。</w:t>
            </w:r>
          </w:p>
          <w:p w14:paraId="59C1B2DE">
            <w:pPr>
              <w:ind w:firstLine="482"/>
              <w:rPr>
                <w:rFonts w:cs="Times New Roman"/>
                <w:b/>
                <w:bCs/>
              </w:rPr>
            </w:pPr>
            <w:r>
              <w:rPr>
                <w:rFonts w:hint="eastAsia" w:ascii="Segoe UI" w:hAnsi="Segoe UI" w:cs="Segoe UI"/>
                <w:b/>
                <w:bCs/>
                <w:color w:val="0F1115"/>
                <w:shd w:val="clear" w:color="auto" w:fill="FFFFFF"/>
              </w:rPr>
              <w:t>粉碎</w:t>
            </w:r>
            <w:r>
              <w:rPr>
                <w:rFonts w:ascii="Segoe UI" w:hAnsi="Segoe UI" w:cs="Segoe UI"/>
                <w:b/>
                <w:bCs/>
                <w:color w:val="0F1115"/>
                <w:shd w:val="clear" w:color="auto" w:fill="FFFFFF"/>
              </w:rPr>
              <w:t>与粗选</w:t>
            </w:r>
            <w:r>
              <w:rPr>
                <w:rFonts w:cs="Times New Roman"/>
                <w:b/>
                <w:bCs/>
              </w:rPr>
              <w:t>：</w:t>
            </w:r>
            <w:r>
              <w:rPr>
                <w:rFonts w:ascii="Segoe UI" w:hAnsi="Segoe UI" w:cs="Segoe UI"/>
                <w:color w:val="0F1115"/>
                <w:shd w:val="clear" w:color="auto" w:fill="FFFFFF"/>
              </w:rPr>
              <w:t>清水漂洗分离槽和空分机分离出的金属混合料</w:t>
            </w:r>
            <w:r>
              <w:rPr>
                <w:rFonts w:hint="eastAsia" w:cs="Times New Roman"/>
                <w:color w:val="0F1115"/>
                <w:shd w:val="clear" w:color="auto" w:fill="FFFFFF"/>
              </w:rPr>
              <w:t>，进入600mm型粉碎机进行粉碎；</w:t>
            </w:r>
            <w:r>
              <w:rPr>
                <w:rFonts w:ascii="Segoe UI" w:hAnsi="Segoe UI" w:cs="Segoe UI"/>
                <w:color w:val="0F1115"/>
                <w:shd w:val="clear" w:color="auto" w:fill="FFFFFF"/>
              </w:rPr>
              <w:t>粉碎后物料进入晃床进行粗选，利用比重差异分离出塑料碎片与金属混合料</w:t>
            </w:r>
            <w:r>
              <w:rPr>
                <w:rFonts w:cs="Times New Roman"/>
                <w:color w:val="0F1115"/>
                <w:shd w:val="clear" w:color="auto" w:fill="FFFFFF"/>
              </w:rPr>
              <w:t>。</w:t>
            </w:r>
            <w:r>
              <w:rPr>
                <w:rFonts w:hint="eastAsia"/>
              </w:rPr>
              <w:t>塑料碎片作为主产品直接外售，金属混合料进入下一道精选工序。此工序主要污染物为少量废气</w:t>
            </w:r>
            <w:r>
              <w:rPr>
                <w:rFonts w:cs="Times New Roman"/>
              </w:rPr>
              <w:t>；</w:t>
            </w:r>
          </w:p>
          <w:p w14:paraId="026BE8B8">
            <w:pPr>
              <w:ind w:firstLine="482"/>
              <w:rPr>
                <w:rFonts w:cs="Times New Roman"/>
                <w:color w:val="0F1115"/>
                <w:shd w:val="clear" w:color="auto" w:fill="FFFFFF"/>
              </w:rPr>
            </w:pPr>
            <w:r>
              <w:rPr>
                <w:rFonts w:hint="eastAsia" w:cs="Times New Roman"/>
                <w:b/>
                <w:bCs/>
              </w:rPr>
              <w:t>精选</w:t>
            </w:r>
            <w:r>
              <w:rPr>
                <w:rFonts w:cs="Times New Roman"/>
                <w:b/>
                <w:bCs/>
              </w:rPr>
              <w:t>与清洗：</w:t>
            </w:r>
            <w:r>
              <w:rPr>
                <w:rFonts w:ascii="Segoe UI" w:hAnsi="Segoe UI" w:cs="Segoe UI"/>
                <w:color w:val="0F1115"/>
                <w:shd w:val="clear" w:color="auto" w:fill="FFFFFF"/>
              </w:rPr>
              <w:t>粗选出的金属</w:t>
            </w:r>
            <w:r>
              <w:rPr>
                <w:rFonts w:hint="eastAsia" w:ascii="Segoe UI" w:hAnsi="Segoe UI" w:cs="Segoe UI"/>
                <w:color w:val="0F1115"/>
                <w:shd w:val="clear" w:color="auto" w:fill="FFFFFF"/>
              </w:rPr>
              <w:t>混合料</w:t>
            </w:r>
            <w:r>
              <w:rPr>
                <w:rFonts w:ascii="Segoe UI" w:hAnsi="Segoe UI" w:cs="Segoe UI"/>
                <w:color w:val="0F1115"/>
                <w:shd w:val="clear" w:color="auto" w:fill="FFFFFF"/>
              </w:rPr>
              <w:t>进入圆滚筒</w:t>
            </w:r>
            <w:r>
              <w:rPr>
                <w:rFonts w:hint="eastAsia" w:ascii="Segoe UI" w:hAnsi="Segoe UI" w:cs="Segoe UI"/>
                <w:color w:val="0F1115"/>
                <w:shd w:val="clear" w:color="auto" w:fill="FFFFFF"/>
              </w:rPr>
              <w:t>，</w:t>
            </w:r>
            <w:r>
              <w:rPr>
                <w:rFonts w:ascii="Segoe UI" w:hAnsi="Segoe UI" w:cs="Segoe UI"/>
                <w:color w:val="0F1115"/>
                <w:shd w:val="clear" w:color="auto" w:fill="FFFFFF"/>
              </w:rPr>
              <w:t>经滚碾、挤压、摩擦作用，将废塑料进一步粉碎成均匀碎片，同时将残留金属挤压成颗粒。所有物料经粉碎后整体排出</w:t>
            </w:r>
            <w:r>
              <w:rPr>
                <w:rFonts w:cs="Times New Roman"/>
                <w:color w:val="0F1115"/>
                <w:shd w:val="clear" w:color="auto" w:fill="FFFFFF"/>
              </w:rPr>
              <w:t>。</w:t>
            </w:r>
            <w:r>
              <w:rPr>
                <w:rFonts w:ascii="Segoe UI" w:hAnsi="Segoe UI" w:cs="Segoe UI"/>
                <w:color w:val="0F1115"/>
                <w:shd w:val="clear" w:color="auto" w:fill="FFFFFF"/>
              </w:rPr>
              <w:t>随后进入清洗工序去除表面附着物</w:t>
            </w:r>
            <w:r>
              <w:rPr>
                <w:rFonts w:cs="Times New Roman"/>
                <w:color w:val="0F1115"/>
                <w:shd w:val="clear" w:color="auto" w:fill="FFFFFF"/>
              </w:rPr>
              <w:t>，</w:t>
            </w:r>
            <w:r>
              <w:rPr>
                <w:rFonts w:ascii="Segoe UI" w:hAnsi="Segoe UI" w:cs="Segoe UI"/>
                <w:color w:val="0F1115"/>
                <w:shd w:val="clear" w:color="auto" w:fill="FFFFFF"/>
              </w:rPr>
              <w:t>清洗后物料进入晃床进行精细分选</w:t>
            </w:r>
            <w:r>
              <w:rPr>
                <w:rFonts w:cs="Times New Roman"/>
                <w:color w:val="0F1115"/>
                <w:shd w:val="clear" w:color="auto" w:fill="FFFFFF"/>
              </w:rPr>
              <w:t>，</w:t>
            </w:r>
            <w:r>
              <w:rPr>
                <w:rFonts w:ascii="Segoe UI" w:hAnsi="Segoe UI" w:cs="Segoe UI"/>
                <w:color w:val="0F1115"/>
                <w:shd w:val="clear" w:color="auto" w:fill="FFFFFF"/>
              </w:rPr>
              <w:t>利用比重差异分离出重产物和轻产物，其中重产物为金属颗粒（粒径大小混合），打包外售；轻产物为轻质杂质（含残留塑料碎片、泥沙、小石块等），作为一般工业固废集中收集后外运处置。</w:t>
            </w:r>
          </w:p>
          <w:p w14:paraId="7C4AFE34">
            <w:pPr>
              <w:pStyle w:val="4"/>
            </w:pPr>
            <w:r>
              <w:rPr>
                <w:rFonts w:hint="eastAsia"/>
              </w:rPr>
              <w:t>2</w:t>
            </w:r>
            <w:r>
              <w:t>.7.3</w:t>
            </w:r>
            <w:r>
              <w:rPr>
                <w:rFonts w:hint="eastAsia"/>
              </w:rPr>
              <w:t>产污环节</w:t>
            </w:r>
          </w:p>
          <w:p w14:paraId="640704E1">
            <w:pPr>
              <w:ind w:firstLine="480"/>
              <w:rPr>
                <w:bCs/>
                <w:color w:val="000000" w:themeColor="text1"/>
                <w:kern w:val="0"/>
                <w14:textFill>
                  <w14:solidFill>
                    <w14:schemeClr w14:val="tx1"/>
                  </w14:solidFill>
                </w14:textFill>
              </w:rPr>
            </w:pPr>
            <w:r>
              <w:rPr>
                <w:rFonts w:hint="eastAsia"/>
                <w:bCs/>
                <w:color w:val="000000" w:themeColor="text1"/>
                <w:kern w:val="0"/>
                <w14:textFill>
                  <w14:solidFill>
                    <w14:schemeClr w14:val="tx1"/>
                  </w14:solidFill>
                </w14:textFill>
              </w:rPr>
              <w:t>本项目主要污染工序见表</w:t>
            </w:r>
            <w:r>
              <w:rPr>
                <w:bCs/>
                <w:color w:val="000000" w:themeColor="text1"/>
                <w:kern w:val="0"/>
                <w14:textFill>
                  <w14:solidFill>
                    <w14:schemeClr w14:val="tx1"/>
                  </w14:solidFill>
                </w14:textFill>
              </w:rPr>
              <w:t>2-9</w:t>
            </w:r>
            <w:r>
              <w:rPr>
                <w:rFonts w:hint="eastAsia"/>
                <w:bCs/>
                <w:color w:val="000000" w:themeColor="text1"/>
                <w:kern w:val="0"/>
                <w14:textFill>
                  <w14:solidFill>
                    <w14:schemeClr w14:val="tx1"/>
                  </w14:solidFill>
                </w14:textFill>
              </w:rPr>
              <w:t>：</w:t>
            </w:r>
          </w:p>
          <w:p w14:paraId="7C530C78">
            <w:pPr>
              <w:pStyle w:val="4"/>
              <w:spacing w:after="0"/>
              <w:jc w:val="center"/>
              <w:rPr>
                <w:rFonts w:cs="Times New Roman"/>
                <w:sz w:val="21"/>
                <w:szCs w:val="21"/>
              </w:rPr>
            </w:pPr>
            <w:r>
              <w:rPr>
                <w:rFonts w:cs="Times New Roman"/>
                <w:sz w:val="21"/>
                <w:szCs w:val="21"/>
              </w:rPr>
              <w:t>表2-9  主要污染工序汇总</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5"/>
              <w:gridCol w:w="2674"/>
              <w:gridCol w:w="1424"/>
              <w:gridCol w:w="3092"/>
            </w:tblGrid>
            <w:tr w14:paraId="58473A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68" w:type="pct"/>
                  <w:vAlign w:val="center"/>
                </w:tcPr>
                <w:p w14:paraId="1912448B">
                  <w:pPr>
                    <w:spacing w:line="240" w:lineRule="auto"/>
                    <w:ind w:firstLine="0" w:firstLineChars="0"/>
                    <w:contextualSpacing/>
                    <w:jc w:val="center"/>
                    <w:rPr>
                      <w:color w:val="000000"/>
                      <w:sz w:val="21"/>
                      <w:szCs w:val="21"/>
                    </w:rPr>
                  </w:pPr>
                  <w:r>
                    <w:rPr>
                      <w:rFonts w:hint="eastAsia"/>
                      <w:color w:val="000000"/>
                      <w:sz w:val="21"/>
                      <w:szCs w:val="21"/>
                    </w:rPr>
                    <w:t>污染物类别</w:t>
                  </w:r>
                </w:p>
              </w:tc>
              <w:tc>
                <w:tcPr>
                  <w:tcW w:w="1574" w:type="pct"/>
                  <w:vAlign w:val="center"/>
                </w:tcPr>
                <w:p w14:paraId="6CDC402A">
                  <w:pPr>
                    <w:spacing w:line="240" w:lineRule="auto"/>
                    <w:ind w:firstLine="0" w:firstLineChars="0"/>
                    <w:contextualSpacing/>
                    <w:jc w:val="center"/>
                    <w:rPr>
                      <w:color w:val="000000"/>
                      <w:sz w:val="21"/>
                      <w:szCs w:val="21"/>
                    </w:rPr>
                  </w:pPr>
                  <w:r>
                    <w:rPr>
                      <w:rFonts w:hint="eastAsia"/>
                      <w:color w:val="000000"/>
                      <w:sz w:val="21"/>
                      <w:szCs w:val="21"/>
                    </w:rPr>
                    <w:t>产污工序</w:t>
                  </w:r>
                </w:p>
              </w:tc>
              <w:tc>
                <w:tcPr>
                  <w:tcW w:w="838" w:type="pct"/>
                  <w:vAlign w:val="center"/>
                </w:tcPr>
                <w:p w14:paraId="589689E3">
                  <w:pPr>
                    <w:spacing w:line="240" w:lineRule="auto"/>
                    <w:ind w:firstLine="0" w:firstLineChars="0"/>
                    <w:contextualSpacing/>
                    <w:jc w:val="center"/>
                    <w:rPr>
                      <w:color w:val="000000"/>
                      <w:sz w:val="21"/>
                      <w:szCs w:val="21"/>
                    </w:rPr>
                  </w:pPr>
                  <w:r>
                    <w:rPr>
                      <w:rFonts w:hint="eastAsia"/>
                      <w:color w:val="000000"/>
                      <w:sz w:val="21"/>
                      <w:szCs w:val="21"/>
                    </w:rPr>
                    <w:t>污染源</w:t>
                  </w:r>
                </w:p>
              </w:tc>
              <w:tc>
                <w:tcPr>
                  <w:tcW w:w="1820" w:type="pct"/>
                  <w:vAlign w:val="center"/>
                </w:tcPr>
                <w:p w14:paraId="2234A268">
                  <w:pPr>
                    <w:spacing w:line="240" w:lineRule="auto"/>
                    <w:ind w:firstLine="0" w:firstLineChars="0"/>
                    <w:contextualSpacing/>
                    <w:jc w:val="center"/>
                    <w:rPr>
                      <w:color w:val="000000"/>
                      <w:sz w:val="21"/>
                      <w:szCs w:val="21"/>
                    </w:rPr>
                  </w:pPr>
                  <w:r>
                    <w:rPr>
                      <w:rFonts w:hint="eastAsia"/>
                      <w:color w:val="000000"/>
                      <w:sz w:val="21"/>
                      <w:szCs w:val="21"/>
                    </w:rPr>
                    <w:t>主要污染物</w:t>
                  </w:r>
                </w:p>
              </w:tc>
            </w:tr>
            <w:tr w14:paraId="02335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trPr>
              <w:tc>
                <w:tcPr>
                  <w:tcW w:w="768" w:type="pct"/>
                  <w:vAlign w:val="center"/>
                </w:tcPr>
                <w:p w14:paraId="3F9E646E">
                  <w:pPr>
                    <w:spacing w:line="240" w:lineRule="auto"/>
                    <w:ind w:firstLine="0" w:firstLineChars="0"/>
                    <w:contextualSpacing/>
                    <w:jc w:val="center"/>
                    <w:rPr>
                      <w:color w:val="000000"/>
                      <w:sz w:val="21"/>
                      <w:szCs w:val="21"/>
                    </w:rPr>
                  </w:pPr>
                  <w:r>
                    <w:rPr>
                      <w:rFonts w:hint="eastAsia"/>
                      <w:color w:val="000000"/>
                      <w:sz w:val="21"/>
                      <w:szCs w:val="21"/>
                    </w:rPr>
                    <w:t>有组织废气</w:t>
                  </w:r>
                </w:p>
              </w:tc>
              <w:tc>
                <w:tcPr>
                  <w:tcW w:w="1574" w:type="pct"/>
                  <w:vAlign w:val="center"/>
                </w:tcPr>
                <w:p w14:paraId="3A7F99B1">
                  <w:pPr>
                    <w:spacing w:line="240" w:lineRule="auto"/>
                    <w:ind w:firstLine="0" w:firstLineChars="0"/>
                    <w:contextualSpacing/>
                    <w:jc w:val="center"/>
                    <w:rPr>
                      <w:color w:val="000000"/>
                      <w:sz w:val="21"/>
                      <w:szCs w:val="21"/>
                    </w:rPr>
                  </w:pPr>
                  <w:r>
                    <w:rPr>
                      <w:rFonts w:hint="eastAsia"/>
                      <w:color w:val="000000"/>
                      <w:sz w:val="21"/>
                      <w:szCs w:val="21"/>
                    </w:rPr>
                    <w:t>破碎、粉碎、空分、分选</w:t>
                  </w:r>
                </w:p>
              </w:tc>
              <w:tc>
                <w:tcPr>
                  <w:tcW w:w="838" w:type="pct"/>
                  <w:vAlign w:val="center"/>
                </w:tcPr>
                <w:p w14:paraId="4C37EAF3">
                  <w:pPr>
                    <w:spacing w:line="240" w:lineRule="auto"/>
                    <w:ind w:firstLine="0" w:firstLineChars="0"/>
                    <w:contextualSpacing/>
                    <w:jc w:val="center"/>
                    <w:rPr>
                      <w:color w:val="000000"/>
                      <w:sz w:val="21"/>
                      <w:szCs w:val="21"/>
                    </w:rPr>
                  </w:pPr>
                  <w:r>
                    <w:rPr>
                      <w:rFonts w:hint="eastAsia"/>
                      <w:color w:val="000000"/>
                      <w:sz w:val="21"/>
                      <w:szCs w:val="21"/>
                    </w:rPr>
                    <w:t>粉尘</w:t>
                  </w:r>
                </w:p>
              </w:tc>
              <w:tc>
                <w:tcPr>
                  <w:tcW w:w="1820" w:type="pct"/>
                  <w:vAlign w:val="center"/>
                </w:tcPr>
                <w:p w14:paraId="183D4957">
                  <w:pPr>
                    <w:spacing w:line="240" w:lineRule="auto"/>
                    <w:ind w:firstLine="0" w:firstLineChars="0"/>
                    <w:contextualSpacing/>
                    <w:jc w:val="center"/>
                    <w:rPr>
                      <w:color w:val="000000"/>
                      <w:sz w:val="21"/>
                      <w:szCs w:val="21"/>
                    </w:rPr>
                  </w:pPr>
                  <w:r>
                    <w:rPr>
                      <w:rFonts w:hint="eastAsia"/>
                      <w:color w:val="000000"/>
                      <w:sz w:val="21"/>
                      <w:szCs w:val="21"/>
                    </w:rPr>
                    <w:t>颗粒物</w:t>
                  </w:r>
                </w:p>
              </w:tc>
            </w:tr>
            <w:tr w14:paraId="05838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trPr>
              <w:tc>
                <w:tcPr>
                  <w:tcW w:w="768" w:type="pct"/>
                  <w:vMerge w:val="restart"/>
                  <w:vAlign w:val="center"/>
                </w:tcPr>
                <w:p w14:paraId="06EA89BB">
                  <w:pPr>
                    <w:spacing w:line="240" w:lineRule="auto"/>
                    <w:ind w:firstLine="0" w:firstLineChars="0"/>
                    <w:contextualSpacing/>
                    <w:jc w:val="center"/>
                    <w:rPr>
                      <w:color w:val="000000"/>
                      <w:sz w:val="21"/>
                      <w:szCs w:val="21"/>
                    </w:rPr>
                  </w:pPr>
                  <w:r>
                    <w:rPr>
                      <w:rFonts w:hint="eastAsia"/>
                      <w:color w:val="000000"/>
                      <w:sz w:val="21"/>
                      <w:szCs w:val="21"/>
                    </w:rPr>
                    <w:t>无组织废气</w:t>
                  </w:r>
                </w:p>
              </w:tc>
              <w:tc>
                <w:tcPr>
                  <w:tcW w:w="1574" w:type="pct"/>
                  <w:vAlign w:val="center"/>
                </w:tcPr>
                <w:p w14:paraId="6EB282E8">
                  <w:pPr>
                    <w:spacing w:line="240" w:lineRule="auto"/>
                    <w:ind w:firstLine="0" w:firstLineChars="0"/>
                    <w:contextualSpacing/>
                    <w:jc w:val="center"/>
                    <w:rPr>
                      <w:color w:val="000000"/>
                      <w:sz w:val="21"/>
                      <w:szCs w:val="21"/>
                    </w:rPr>
                  </w:pPr>
                  <w:r>
                    <w:rPr>
                      <w:rFonts w:hint="eastAsia"/>
                      <w:color w:val="000000"/>
                      <w:sz w:val="21"/>
                      <w:szCs w:val="21"/>
                    </w:rPr>
                    <w:t>原料堆场</w:t>
                  </w:r>
                </w:p>
              </w:tc>
              <w:tc>
                <w:tcPr>
                  <w:tcW w:w="838" w:type="pct"/>
                  <w:vAlign w:val="center"/>
                </w:tcPr>
                <w:p w14:paraId="5154E30D">
                  <w:pPr>
                    <w:spacing w:line="240" w:lineRule="auto"/>
                    <w:ind w:firstLine="0" w:firstLineChars="0"/>
                    <w:contextualSpacing/>
                    <w:jc w:val="center"/>
                    <w:rPr>
                      <w:color w:val="000000"/>
                      <w:sz w:val="21"/>
                      <w:szCs w:val="21"/>
                    </w:rPr>
                  </w:pPr>
                  <w:r>
                    <w:rPr>
                      <w:rFonts w:hint="eastAsia"/>
                      <w:color w:val="000000"/>
                      <w:sz w:val="21"/>
                      <w:szCs w:val="21"/>
                    </w:rPr>
                    <w:t>粉尘</w:t>
                  </w:r>
                </w:p>
              </w:tc>
              <w:tc>
                <w:tcPr>
                  <w:tcW w:w="1820" w:type="pct"/>
                  <w:vAlign w:val="center"/>
                </w:tcPr>
                <w:p w14:paraId="4097401E">
                  <w:pPr>
                    <w:spacing w:line="240" w:lineRule="auto"/>
                    <w:ind w:firstLine="0" w:firstLineChars="0"/>
                    <w:contextualSpacing/>
                    <w:jc w:val="center"/>
                    <w:rPr>
                      <w:color w:val="000000"/>
                      <w:sz w:val="21"/>
                      <w:szCs w:val="21"/>
                    </w:rPr>
                  </w:pPr>
                  <w:r>
                    <w:rPr>
                      <w:rFonts w:hint="eastAsia"/>
                      <w:color w:val="000000"/>
                      <w:sz w:val="21"/>
                      <w:szCs w:val="21"/>
                    </w:rPr>
                    <w:t>颗粒物</w:t>
                  </w:r>
                </w:p>
              </w:tc>
            </w:tr>
            <w:tr w14:paraId="7B086B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trPr>
              <w:tc>
                <w:tcPr>
                  <w:tcW w:w="768" w:type="pct"/>
                  <w:vMerge w:val="continue"/>
                  <w:vAlign w:val="center"/>
                </w:tcPr>
                <w:p w14:paraId="3CFA0EF4">
                  <w:pPr>
                    <w:spacing w:line="240" w:lineRule="auto"/>
                    <w:ind w:firstLine="0" w:firstLineChars="0"/>
                    <w:contextualSpacing/>
                    <w:jc w:val="center"/>
                    <w:rPr>
                      <w:color w:val="000000"/>
                      <w:sz w:val="21"/>
                      <w:szCs w:val="21"/>
                    </w:rPr>
                  </w:pPr>
                </w:p>
              </w:tc>
              <w:tc>
                <w:tcPr>
                  <w:tcW w:w="1574" w:type="pct"/>
                  <w:vAlign w:val="center"/>
                </w:tcPr>
                <w:p w14:paraId="601C76D0">
                  <w:pPr>
                    <w:spacing w:line="240" w:lineRule="auto"/>
                    <w:ind w:firstLine="0" w:firstLineChars="0"/>
                    <w:contextualSpacing/>
                    <w:rPr>
                      <w:color w:val="000000"/>
                      <w:sz w:val="21"/>
                      <w:szCs w:val="21"/>
                    </w:rPr>
                  </w:pPr>
                  <w:r>
                    <w:rPr>
                      <w:rFonts w:hint="eastAsia"/>
                      <w:color w:val="000000"/>
                      <w:sz w:val="21"/>
                      <w:szCs w:val="21"/>
                    </w:rPr>
                    <w:t>破碎、粉碎、空分、分选</w:t>
                  </w:r>
                </w:p>
              </w:tc>
              <w:tc>
                <w:tcPr>
                  <w:tcW w:w="838" w:type="pct"/>
                  <w:vAlign w:val="center"/>
                </w:tcPr>
                <w:p w14:paraId="3F06F10A">
                  <w:pPr>
                    <w:spacing w:line="240" w:lineRule="auto"/>
                    <w:ind w:firstLine="0" w:firstLineChars="0"/>
                    <w:contextualSpacing/>
                    <w:jc w:val="center"/>
                    <w:rPr>
                      <w:color w:val="000000"/>
                      <w:sz w:val="21"/>
                      <w:szCs w:val="21"/>
                    </w:rPr>
                  </w:pPr>
                  <w:r>
                    <w:rPr>
                      <w:rFonts w:hint="eastAsia"/>
                      <w:color w:val="000000"/>
                      <w:sz w:val="21"/>
                      <w:szCs w:val="21"/>
                    </w:rPr>
                    <w:t>粉尘</w:t>
                  </w:r>
                </w:p>
              </w:tc>
              <w:tc>
                <w:tcPr>
                  <w:tcW w:w="1820" w:type="pct"/>
                  <w:vAlign w:val="center"/>
                </w:tcPr>
                <w:p w14:paraId="0859E08E">
                  <w:pPr>
                    <w:spacing w:line="240" w:lineRule="auto"/>
                    <w:ind w:firstLine="0" w:firstLineChars="0"/>
                    <w:contextualSpacing/>
                    <w:jc w:val="center"/>
                    <w:rPr>
                      <w:color w:val="000000"/>
                      <w:sz w:val="21"/>
                      <w:szCs w:val="21"/>
                    </w:rPr>
                  </w:pPr>
                  <w:r>
                    <w:rPr>
                      <w:rFonts w:hint="eastAsia"/>
                      <w:color w:val="000000"/>
                      <w:sz w:val="21"/>
                      <w:szCs w:val="21"/>
                    </w:rPr>
                    <w:t>颗粒物</w:t>
                  </w:r>
                </w:p>
              </w:tc>
            </w:tr>
            <w:tr w14:paraId="1D931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 w:hRule="atLeast"/>
              </w:trPr>
              <w:tc>
                <w:tcPr>
                  <w:tcW w:w="768" w:type="pct"/>
                  <w:vMerge w:val="continue"/>
                  <w:vAlign w:val="center"/>
                </w:tcPr>
                <w:p w14:paraId="2142E1F8">
                  <w:pPr>
                    <w:spacing w:line="240" w:lineRule="auto"/>
                    <w:ind w:firstLine="0" w:firstLineChars="0"/>
                    <w:contextualSpacing/>
                    <w:jc w:val="center"/>
                    <w:rPr>
                      <w:color w:val="000000"/>
                      <w:sz w:val="21"/>
                      <w:szCs w:val="21"/>
                    </w:rPr>
                  </w:pPr>
                </w:p>
              </w:tc>
              <w:tc>
                <w:tcPr>
                  <w:tcW w:w="1574" w:type="pct"/>
                  <w:vAlign w:val="center"/>
                </w:tcPr>
                <w:p w14:paraId="1DE3A416">
                  <w:pPr>
                    <w:spacing w:line="240" w:lineRule="auto"/>
                    <w:ind w:firstLine="0" w:firstLineChars="0"/>
                    <w:contextualSpacing/>
                    <w:jc w:val="center"/>
                    <w:rPr>
                      <w:color w:val="000000"/>
                      <w:sz w:val="21"/>
                      <w:szCs w:val="21"/>
                    </w:rPr>
                  </w:pPr>
                  <w:r>
                    <w:rPr>
                      <w:rFonts w:hint="eastAsia"/>
                      <w:color w:val="000000"/>
                      <w:sz w:val="21"/>
                      <w:szCs w:val="21"/>
                    </w:rPr>
                    <w:t>预处理</w:t>
                  </w:r>
                </w:p>
              </w:tc>
              <w:tc>
                <w:tcPr>
                  <w:tcW w:w="838" w:type="pct"/>
                  <w:vAlign w:val="center"/>
                </w:tcPr>
                <w:p w14:paraId="411AB449">
                  <w:pPr>
                    <w:spacing w:line="240" w:lineRule="auto"/>
                    <w:ind w:firstLine="0" w:firstLineChars="0"/>
                    <w:contextualSpacing/>
                    <w:jc w:val="center"/>
                    <w:rPr>
                      <w:color w:val="000000"/>
                      <w:sz w:val="21"/>
                      <w:szCs w:val="21"/>
                    </w:rPr>
                  </w:pPr>
                  <w:r>
                    <w:rPr>
                      <w:rFonts w:hint="eastAsia"/>
                      <w:color w:val="000000"/>
                      <w:sz w:val="21"/>
                      <w:szCs w:val="21"/>
                    </w:rPr>
                    <w:t>恶臭气体</w:t>
                  </w:r>
                </w:p>
              </w:tc>
              <w:tc>
                <w:tcPr>
                  <w:tcW w:w="1820" w:type="pct"/>
                  <w:vAlign w:val="center"/>
                </w:tcPr>
                <w:p w14:paraId="38833B9F">
                  <w:pPr>
                    <w:spacing w:line="240" w:lineRule="auto"/>
                    <w:ind w:firstLine="0" w:firstLineChars="0"/>
                    <w:contextualSpacing/>
                    <w:jc w:val="center"/>
                    <w:rPr>
                      <w:color w:val="000000"/>
                      <w:sz w:val="21"/>
                      <w:szCs w:val="21"/>
                    </w:rPr>
                  </w:pPr>
                  <w:r>
                    <w:rPr>
                      <w:rFonts w:hint="eastAsia"/>
                      <w:color w:val="000000"/>
                      <w:sz w:val="21"/>
                      <w:szCs w:val="21"/>
                    </w:rPr>
                    <w:t>臭气浓度</w:t>
                  </w:r>
                </w:p>
              </w:tc>
            </w:tr>
            <w:tr w14:paraId="45722A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2" w:hRule="atLeast"/>
              </w:trPr>
              <w:tc>
                <w:tcPr>
                  <w:tcW w:w="768" w:type="pct"/>
                  <w:vMerge w:val="restart"/>
                  <w:vAlign w:val="center"/>
                </w:tcPr>
                <w:p w14:paraId="2F6115C2">
                  <w:pPr>
                    <w:spacing w:line="240" w:lineRule="auto"/>
                    <w:ind w:firstLine="0" w:firstLineChars="0"/>
                    <w:contextualSpacing/>
                    <w:jc w:val="center"/>
                    <w:rPr>
                      <w:color w:val="000000"/>
                      <w:sz w:val="21"/>
                      <w:szCs w:val="21"/>
                    </w:rPr>
                  </w:pPr>
                  <w:r>
                    <w:rPr>
                      <w:rFonts w:hint="eastAsia"/>
                      <w:color w:val="000000"/>
                      <w:sz w:val="21"/>
                      <w:szCs w:val="21"/>
                    </w:rPr>
                    <w:t>废水</w:t>
                  </w:r>
                </w:p>
              </w:tc>
              <w:tc>
                <w:tcPr>
                  <w:tcW w:w="1574" w:type="pct"/>
                  <w:vAlign w:val="center"/>
                </w:tcPr>
                <w:p w14:paraId="3A8C774A">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838" w:type="pct"/>
                  <w:vAlign w:val="center"/>
                </w:tcPr>
                <w:p w14:paraId="39C9141F">
                  <w:pPr>
                    <w:spacing w:line="240" w:lineRule="auto"/>
                    <w:ind w:firstLine="0" w:firstLineChars="0"/>
                    <w:contextualSpacing/>
                    <w:jc w:val="center"/>
                    <w:rPr>
                      <w:color w:val="000000"/>
                      <w:sz w:val="21"/>
                      <w:szCs w:val="21"/>
                    </w:rPr>
                  </w:pPr>
                  <w:r>
                    <w:rPr>
                      <w:rFonts w:hint="eastAsia"/>
                      <w:color w:val="000000"/>
                      <w:sz w:val="21"/>
                      <w:szCs w:val="21"/>
                    </w:rPr>
                    <w:t>生活污水</w:t>
                  </w:r>
                </w:p>
              </w:tc>
              <w:tc>
                <w:tcPr>
                  <w:tcW w:w="1820" w:type="pct"/>
                  <w:vAlign w:val="center"/>
                </w:tcPr>
                <w:p w14:paraId="7215B29D">
                  <w:pPr>
                    <w:spacing w:line="240" w:lineRule="auto"/>
                    <w:ind w:firstLine="0" w:firstLineChars="0"/>
                    <w:contextualSpacing/>
                    <w:jc w:val="center"/>
                    <w:rPr>
                      <w:rFonts w:cs="Times New Roman"/>
                      <w:color w:val="000000"/>
                      <w:sz w:val="21"/>
                      <w:szCs w:val="21"/>
                    </w:rPr>
                  </w:pPr>
                  <w:r>
                    <w:rPr>
                      <w:rFonts w:hint="eastAsia" w:eastAsia="TimesNewRomanPSMT" w:cs="Times New Roman"/>
                      <w:color w:val="000000"/>
                      <w:sz w:val="21"/>
                      <w:szCs w:val="21"/>
                    </w:rPr>
                    <w:t>pH</w:t>
                  </w:r>
                  <w:r>
                    <w:rPr>
                      <w:rFonts w:hint="eastAsia" w:ascii="宋体" w:hAnsi="宋体" w:cs="宋体"/>
                      <w:color w:val="000000"/>
                      <w:sz w:val="21"/>
                      <w:szCs w:val="21"/>
                    </w:rPr>
                    <w:t>、</w:t>
                  </w:r>
                  <w:r>
                    <w:rPr>
                      <w:rFonts w:eastAsia="TimesNewRomanPSMT" w:cs="Times New Roman"/>
                      <w:color w:val="000000"/>
                      <w:sz w:val="21"/>
                      <w:szCs w:val="21"/>
                    </w:rPr>
                    <w:t>COD</w:t>
                  </w:r>
                  <w:r>
                    <w:rPr>
                      <w:rFonts w:cs="Times New Roman"/>
                      <w:color w:val="000000"/>
                      <w:sz w:val="21"/>
                      <w:szCs w:val="21"/>
                    </w:rPr>
                    <w:t>、</w:t>
                  </w:r>
                  <w:r>
                    <w:rPr>
                      <w:rFonts w:eastAsia="TimesNewRomanPSMT" w:cs="Times New Roman"/>
                      <w:color w:val="000000"/>
                      <w:sz w:val="21"/>
                      <w:szCs w:val="21"/>
                    </w:rPr>
                    <w:t>BOD</w:t>
                  </w:r>
                  <w:r>
                    <w:rPr>
                      <w:rFonts w:eastAsia="TimesNewRomanPSMT" w:cs="Times New Roman"/>
                      <w:color w:val="000000"/>
                      <w:sz w:val="21"/>
                      <w:szCs w:val="21"/>
                      <w:vertAlign w:val="subscript"/>
                    </w:rPr>
                    <w:t>5</w:t>
                  </w:r>
                  <w:r>
                    <w:rPr>
                      <w:rFonts w:cs="Times New Roman"/>
                      <w:color w:val="000000"/>
                      <w:sz w:val="21"/>
                      <w:szCs w:val="21"/>
                    </w:rPr>
                    <w:t>、</w:t>
                  </w:r>
                  <w:r>
                    <w:rPr>
                      <w:rFonts w:eastAsia="TimesNewRomanPSMT" w:cs="Times New Roman"/>
                      <w:color w:val="000000"/>
                      <w:sz w:val="21"/>
                      <w:szCs w:val="21"/>
                    </w:rPr>
                    <w:t>NH</w:t>
                  </w:r>
                  <w:r>
                    <w:rPr>
                      <w:rFonts w:hint="eastAsia" w:cs="Times New Roman"/>
                      <w:color w:val="000000"/>
                      <w:sz w:val="21"/>
                      <w:szCs w:val="21"/>
                      <w:vertAlign w:val="subscript"/>
                    </w:rPr>
                    <w:t>3</w:t>
                  </w:r>
                  <w:r>
                    <w:rPr>
                      <w:rFonts w:eastAsia="TimesNewRomanPSMT" w:cs="Times New Roman"/>
                      <w:color w:val="000000"/>
                      <w:sz w:val="21"/>
                      <w:szCs w:val="21"/>
                    </w:rPr>
                    <w:t>-N</w:t>
                  </w:r>
                  <w:r>
                    <w:rPr>
                      <w:rFonts w:cs="Times New Roman"/>
                      <w:color w:val="000000"/>
                      <w:sz w:val="21"/>
                      <w:szCs w:val="21"/>
                    </w:rPr>
                    <w:t>、</w:t>
                  </w:r>
                  <w:r>
                    <w:rPr>
                      <w:rFonts w:eastAsia="TimesNewRomanPSMT" w:cs="Times New Roman"/>
                      <w:color w:val="000000"/>
                      <w:sz w:val="21"/>
                      <w:szCs w:val="21"/>
                    </w:rPr>
                    <w:t>SS</w:t>
                  </w:r>
                </w:p>
              </w:tc>
            </w:tr>
            <w:tr w14:paraId="5A66C2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7" w:hRule="atLeast"/>
              </w:trPr>
              <w:tc>
                <w:tcPr>
                  <w:tcW w:w="768" w:type="pct"/>
                  <w:vMerge w:val="continue"/>
                  <w:vAlign w:val="center"/>
                </w:tcPr>
                <w:p w14:paraId="47D7EE7E">
                  <w:pPr>
                    <w:spacing w:line="240" w:lineRule="auto"/>
                    <w:ind w:firstLine="0" w:firstLineChars="0"/>
                    <w:contextualSpacing/>
                    <w:jc w:val="center"/>
                    <w:rPr>
                      <w:color w:val="000000"/>
                      <w:sz w:val="21"/>
                      <w:szCs w:val="21"/>
                    </w:rPr>
                  </w:pPr>
                </w:p>
              </w:tc>
              <w:tc>
                <w:tcPr>
                  <w:tcW w:w="1574" w:type="pct"/>
                  <w:vAlign w:val="center"/>
                </w:tcPr>
                <w:p w14:paraId="41E52E3E">
                  <w:pPr>
                    <w:spacing w:line="240" w:lineRule="auto"/>
                    <w:ind w:firstLine="0" w:firstLineChars="0"/>
                    <w:contextualSpacing/>
                    <w:jc w:val="center"/>
                    <w:rPr>
                      <w:color w:val="000000"/>
                      <w:sz w:val="21"/>
                      <w:szCs w:val="21"/>
                    </w:rPr>
                  </w:pPr>
                  <w:r>
                    <w:rPr>
                      <w:rFonts w:hint="eastAsia"/>
                      <w:color w:val="000000"/>
                      <w:sz w:val="21"/>
                      <w:szCs w:val="21"/>
                    </w:rPr>
                    <w:t>清洗</w:t>
                  </w:r>
                </w:p>
              </w:tc>
              <w:tc>
                <w:tcPr>
                  <w:tcW w:w="838" w:type="pct"/>
                  <w:vAlign w:val="center"/>
                </w:tcPr>
                <w:p w14:paraId="102BCB88">
                  <w:pPr>
                    <w:spacing w:line="240" w:lineRule="auto"/>
                    <w:ind w:firstLine="0" w:firstLineChars="0"/>
                    <w:contextualSpacing/>
                    <w:jc w:val="center"/>
                    <w:rPr>
                      <w:color w:val="000000"/>
                      <w:sz w:val="21"/>
                      <w:szCs w:val="21"/>
                    </w:rPr>
                  </w:pPr>
                  <w:r>
                    <w:rPr>
                      <w:rFonts w:hint="eastAsia"/>
                      <w:color w:val="000000"/>
                      <w:sz w:val="21"/>
                      <w:szCs w:val="21"/>
                    </w:rPr>
                    <w:t>生产废水</w:t>
                  </w:r>
                </w:p>
              </w:tc>
              <w:tc>
                <w:tcPr>
                  <w:tcW w:w="1820" w:type="pct"/>
                  <w:vAlign w:val="center"/>
                </w:tcPr>
                <w:p w14:paraId="7B2BCD0F">
                  <w:pPr>
                    <w:spacing w:line="240" w:lineRule="auto"/>
                    <w:ind w:firstLine="0" w:firstLineChars="0"/>
                    <w:contextualSpacing/>
                    <w:jc w:val="center"/>
                    <w:rPr>
                      <w:color w:val="000000"/>
                      <w:sz w:val="21"/>
                      <w:szCs w:val="21"/>
                    </w:rPr>
                  </w:pPr>
                  <w:r>
                    <w:rPr>
                      <w:rFonts w:hint="eastAsia" w:cs="Times New Roman"/>
                      <w:color w:val="000000" w:themeColor="text1"/>
                      <w:sz w:val="21"/>
                      <w:szCs w:val="21"/>
                      <w14:textFill>
                        <w14:solidFill>
                          <w14:schemeClr w14:val="tx1"/>
                        </w14:solidFill>
                      </w14:textFill>
                    </w:rPr>
                    <w:t>SS</w:t>
                  </w:r>
                </w:p>
              </w:tc>
            </w:tr>
            <w:tr w14:paraId="41ECE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68" w:type="pct"/>
                  <w:vMerge w:val="restart"/>
                  <w:vAlign w:val="center"/>
                </w:tcPr>
                <w:p w14:paraId="33421F58">
                  <w:pPr>
                    <w:spacing w:line="240" w:lineRule="auto"/>
                    <w:ind w:firstLine="0" w:firstLineChars="0"/>
                    <w:contextualSpacing/>
                    <w:jc w:val="center"/>
                    <w:rPr>
                      <w:color w:val="000000"/>
                      <w:sz w:val="21"/>
                      <w:szCs w:val="21"/>
                    </w:rPr>
                  </w:pPr>
                  <w:r>
                    <w:rPr>
                      <w:rFonts w:hint="eastAsia"/>
                      <w:color w:val="000000"/>
                      <w:sz w:val="21"/>
                      <w:szCs w:val="21"/>
                    </w:rPr>
                    <w:t>固体废物</w:t>
                  </w:r>
                </w:p>
              </w:tc>
              <w:tc>
                <w:tcPr>
                  <w:tcW w:w="1574" w:type="pct"/>
                  <w:vAlign w:val="center"/>
                </w:tcPr>
                <w:p w14:paraId="0AB94C70">
                  <w:pPr>
                    <w:spacing w:line="240" w:lineRule="auto"/>
                    <w:ind w:firstLine="0" w:firstLineChars="0"/>
                    <w:contextualSpacing/>
                    <w:jc w:val="center"/>
                    <w:rPr>
                      <w:color w:val="000000"/>
                      <w:sz w:val="21"/>
                      <w:szCs w:val="21"/>
                    </w:rPr>
                  </w:pPr>
                  <w:r>
                    <w:rPr>
                      <w:rFonts w:hint="eastAsia"/>
                      <w:color w:val="000000"/>
                      <w:sz w:val="21"/>
                      <w:szCs w:val="21"/>
                    </w:rPr>
                    <w:t>员工生活</w:t>
                  </w:r>
                </w:p>
              </w:tc>
              <w:tc>
                <w:tcPr>
                  <w:tcW w:w="838" w:type="pct"/>
                  <w:vAlign w:val="center"/>
                </w:tcPr>
                <w:p w14:paraId="01B61386">
                  <w:pPr>
                    <w:spacing w:line="240" w:lineRule="auto"/>
                    <w:ind w:firstLine="0" w:firstLineChars="0"/>
                    <w:contextualSpacing/>
                    <w:jc w:val="center"/>
                    <w:rPr>
                      <w:color w:val="000000"/>
                      <w:sz w:val="21"/>
                      <w:szCs w:val="21"/>
                    </w:rPr>
                  </w:pPr>
                  <w:r>
                    <w:rPr>
                      <w:rFonts w:hint="eastAsia"/>
                      <w:color w:val="000000"/>
                      <w:sz w:val="21"/>
                      <w:szCs w:val="21"/>
                    </w:rPr>
                    <w:t>生活垃圾</w:t>
                  </w:r>
                </w:p>
              </w:tc>
              <w:tc>
                <w:tcPr>
                  <w:tcW w:w="1820" w:type="pct"/>
                  <w:vAlign w:val="center"/>
                </w:tcPr>
                <w:p w14:paraId="41179CF3">
                  <w:pPr>
                    <w:spacing w:line="240" w:lineRule="auto"/>
                    <w:ind w:firstLine="0" w:firstLineChars="0"/>
                    <w:contextualSpacing/>
                    <w:jc w:val="center"/>
                    <w:rPr>
                      <w:color w:val="000000"/>
                      <w:sz w:val="21"/>
                      <w:szCs w:val="21"/>
                    </w:rPr>
                  </w:pPr>
                  <w:r>
                    <w:rPr>
                      <w:rFonts w:hint="eastAsia"/>
                      <w:color w:val="000000"/>
                      <w:sz w:val="21"/>
                      <w:szCs w:val="21"/>
                    </w:rPr>
                    <w:t>生活垃圾</w:t>
                  </w:r>
                </w:p>
              </w:tc>
            </w:tr>
            <w:tr w14:paraId="436B84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 w:hRule="atLeast"/>
              </w:trPr>
              <w:tc>
                <w:tcPr>
                  <w:tcW w:w="768" w:type="pct"/>
                  <w:vMerge w:val="continue"/>
                  <w:vAlign w:val="center"/>
                </w:tcPr>
                <w:p w14:paraId="37BF2EDA">
                  <w:pPr>
                    <w:spacing w:line="240" w:lineRule="auto"/>
                    <w:ind w:firstLine="0" w:firstLineChars="0"/>
                    <w:contextualSpacing/>
                    <w:jc w:val="center"/>
                    <w:rPr>
                      <w:color w:val="000000"/>
                      <w:sz w:val="21"/>
                      <w:szCs w:val="21"/>
                    </w:rPr>
                  </w:pPr>
                </w:p>
              </w:tc>
              <w:tc>
                <w:tcPr>
                  <w:tcW w:w="1574" w:type="pct"/>
                  <w:vAlign w:val="center"/>
                </w:tcPr>
                <w:p w14:paraId="3C753E68">
                  <w:pPr>
                    <w:spacing w:line="240" w:lineRule="auto"/>
                    <w:ind w:firstLine="0" w:firstLineChars="0"/>
                    <w:contextualSpacing/>
                    <w:jc w:val="center"/>
                    <w:rPr>
                      <w:color w:val="000000"/>
                      <w:sz w:val="21"/>
                      <w:szCs w:val="21"/>
                    </w:rPr>
                  </w:pPr>
                  <w:r>
                    <w:rPr>
                      <w:rFonts w:hint="eastAsia"/>
                      <w:color w:val="000000"/>
                      <w:sz w:val="21"/>
                      <w:szCs w:val="21"/>
                    </w:rPr>
                    <w:t>生产过程</w:t>
                  </w:r>
                </w:p>
              </w:tc>
              <w:tc>
                <w:tcPr>
                  <w:tcW w:w="838" w:type="pct"/>
                  <w:vAlign w:val="center"/>
                </w:tcPr>
                <w:p w14:paraId="78E7F41E">
                  <w:pPr>
                    <w:spacing w:line="240" w:lineRule="auto"/>
                    <w:ind w:firstLine="0" w:firstLineChars="0"/>
                    <w:contextualSpacing/>
                    <w:rPr>
                      <w:color w:val="000000"/>
                      <w:sz w:val="21"/>
                      <w:szCs w:val="21"/>
                    </w:rPr>
                  </w:pPr>
                  <w:r>
                    <w:rPr>
                      <w:rFonts w:cs="Times New Roman"/>
                      <w:sz w:val="21"/>
                      <w:szCs w:val="21"/>
                    </w:rPr>
                    <w:t>沉淀池</w:t>
                  </w:r>
                  <w:r>
                    <w:rPr>
                      <w:rFonts w:hint="eastAsia" w:cs="Times New Roman"/>
                      <w:sz w:val="21"/>
                      <w:szCs w:val="21"/>
                    </w:rPr>
                    <w:t>沉渣、</w:t>
                  </w:r>
                  <w:r>
                    <w:rPr>
                      <w:rFonts w:hint="eastAsia" w:cs="Times New Roman"/>
                      <w:color w:val="000000" w:themeColor="text1"/>
                      <w:sz w:val="21"/>
                      <w:szCs w:val="21"/>
                      <w14:textFill>
                        <w14:solidFill>
                          <w14:schemeClr w14:val="tx1"/>
                        </w14:solidFill>
                      </w14:textFill>
                    </w:rPr>
                    <w:t>轻质杂质</w:t>
                  </w:r>
                </w:p>
              </w:tc>
              <w:tc>
                <w:tcPr>
                  <w:tcW w:w="1820" w:type="pct"/>
                  <w:vAlign w:val="center"/>
                </w:tcPr>
                <w:p w14:paraId="758D2904">
                  <w:pPr>
                    <w:spacing w:line="240" w:lineRule="auto"/>
                    <w:ind w:firstLine="0" w:firstLineChars="0"/>
                    <w:contextualSpacing/>
                    <w:jc w:val="center"/>
                    <w:rPr>
                      <w:color w:val="000000"/>
                      <w:sz w:val="21"/>
                      <w:szCs w:val="21"/>
                    </w:rPr>
                  </w:pPr>
                  <w:r>
                    <w:rPr>
                      <w:rFonts w:hint="eastAsia"/>
                      <w:sz w:val="21"/>
                      <w:szCs w:val="21"/>
                    </w:rPr>
                    <w:t>一般固体废物</w:t>
                  </w:r>
                </w:p>
              </w:tc>
            </w:tr>
            <w:tr w14:paraId="5A7A1F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768" w:type="pct"/>
                  <w:vMerge w:val="continue"/>
                  <w:vAlign w:val="center"/>
                </w:tcPr>
                <w:p w14:paraId="0EB5BB78">
                  <w:pPr>
                    <w:spacing w:line="240" w:lineRule="auto"/>
                    <w:ind w:firstLine="0" w:firstLineChars="0"/>
                    <w:contextualSpacing/>
                    <w:jc w:val="center"/>
                    <w:rPr>
                      <w:color w:val="000000"/>
                      <w:sz w:val="21"/>
                      <w:szCs w:val="21"/>
                    </w:rPr>
                  </w:pPr>
                </w:p>
              </w:tc>
              <w:tc>
                <w:tcPr>
                  <w:tcW w:w="1574" w:type="pct"/>
                  <w:vAlign w:val="center"/>
                </w:tcPr>
                <w:p w14:paraId="6CE5AEC7">
                  <w:pPr>
                    <w:spacing w:line="240" w:lineRule="auto"/>
                    <w:ind w:firstLine="0" w:firstLineChars="0"/>
                    <w:contextualSpacing/>
                    <w:jc w:val="center"/>
                    <w:rPr>
                      <w:color w:val="000000"/>
                      <w:sz w:val="21"/>
                      <w:szCs w:val="21"/>
                    </w:rPr>
                  </w:pPr>
                  <w:r>
                    <w:rPr>
                      <w:rFonts w:hint="eastAsia"/>
                      <w:color w:val="000000"/>
                      <w:sz w:val="21"/>
                      <w:szCs w:val="21"/>
                    </w:rPr>
                    <w:t>设备维修</w:t>
                  </w:r>
                </w:p>
              </w:tc>
              <w:tc>
                <w:tcPr>
                  <w:tcW w:w="838" w:type="pct"/>
                  <w:vAlign w:val="center"/>
                </w:tcPr>
                <w:p w14:paraId="426EED5F">
                  <w:pPr>
                    <w:spacing w:line="240" w:lineRule="auto"/>
                    <w:ind w:firstLine="0" w:firstLineChars="0"/>
                    <w:contextualSpacing/>
                    <w:jc w:val="center"/>
                    <w:rPr>
                      <w:color w:val="000000"/>
                      <w:sz w:val="21"/>
                      <w:szCs w:val="21"/>
                    </w:rPr>
                  </w:pPr>
                  <w:r>
                    <w:rPr>
                      <w:rFonts w:hint="eastAsia"/>
                      <w:color w:val="000000"/>
                      <w:sz w:val="21"/>
                      <w:szCs w:val="21"/>
                    </w:rPr>
                    <w:t>废机油、沾有废机油的废抹布和废手套、废机油桶</w:t>
                  </w:r>
                </w:p>
              </w:tc>
              <w:tc>
                <w:tcPr>
                  <w:tcW w:w="1820" w:type="pct"/>
                  <w:vAlign w:val="center"/>
                </w:tcPr>
                <w:p w14:paraId="349530B3">
                  <w:pPr>
                    <w:spacing w:line="240" w:lineRule="auto"/>
                    <w:ind w:firstLine="0" w:firstLineChars="0"/>
                    <w:contextualSpacing/>
                    <w:jc w:val="center"/>
                    <w:rPr>
                      <w:color w:val="000000"/>
                      <w:sz w:val="21"/>
                      <w:szCs w:val="21"/>
                    </w:rPr>
                  </w:pPr>
                  <w:r>
                    <w:rPr>
                      <w:rFonts w:hint="eastAsia"/>
                      <w:color w:val="000000"/>
                      <w:sz w:val="21"/>
                      <w:szCs w:val="21"/>
                    </w:rPr>
                    <w:t>危险废物</w:t>
                  </w:r>
                </w:p>
              </w:tc>
            </w:tr>
            <w:tr w14:paraId="5334B6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5" w:hRule="atLeast"/>
              </w:trPr>
              <w:tc>
                <w:tcPr>
                  <w:tcW w:w="768" w:type="pct"/>
                  <w:vMerge w:val="continue"/>
                  <w:vAlign w:val="center"/>
                </w:tcPr>
                <w:p w14:paraId="4474B513">
                  <w:pPr>
                    <w:spacing w:line="240" w:lineRule="auto"/>
                    <w:ind w:firstLine="0" w:firstLineChars="0"/>
                    <w:contextualSpacing/>
                    <w:jc w:val="center"/>
                    <w:rPr>
                      <w:color w:val="000000"/>
                      <w:sz w:val="21"/>
                      <w:szCs w:val="21"/>
                    </w:rPr>
                  </w:pPr>
                </w:p>
              </w:tc>
              <w:tc>
                <w:tcPr>
                  <w:tcW w:w="1574" w:type="pct"/>
                  <w:vAlign w:val="center"/>
                </w:tcPr>
                <w:p w14:paraId="4C5370D2">
                  <w:pPr>
                    <w:spacing w:line="240" w:lineRule="auto"/>
                    <w:ind w:firstLine="0" w:firstLineChars="0"/>
                    <w:contextualSpacing/>
                    <w:jc w:val="center"/>
                    <w:rPr>
                      <w:color w:val="000000"/>
                      <w:sz w:val="21"/>
                      <w:szCs w:val="21"/>
                    </w:rPr>
                  </w:pPr>
                  <w:r>
                    <w:rPr>
                      <w:rFonts w:hint="eastAsia" w:cs="Times New Roman"/>
                      <w:sz w:val="21"/>
                      <w:szCs w:val="21"/>
                    </w:rPr>
                    <w:t>废气治理设施</w:t>
                  </w:r>
                </w:p>
              </w:tc>
              <w:tc>
                <w:tcPr>
                  <w:tcW w:w="838" w:type="pct"/>
                  <w:vAlign w:val="center"/>
                </w:tcPr>
                <w:p w14:paraId="381BF6BD">
                  <w:pPr>
                    <w:spacing w:line="240" w:lineRule="auto"/>
                    <w:ind w:firstLine="0" w:firstLineChars="0"/>
                    <w:contextualSpacing/>
                    <w:jc w:val="center"/>
                    <w:rPr>
                      <w:color w:val="000000"/>
                      <w:sz w:val="21"/>
                      <w:szCs w:val="21"/>
                    </w:rPr>
                  </w:pPr>
                  <w:r>
                    <w:rPr>
                      <w:rFonts w:hint="eastAsia"/>
                      <w:color w:val="000000"/>
                      <w:sz w:val="21"/>
                      <w:szCs w:val="21"/>
                    </w:rPr>
                    <w:t>废布袋、</w:t>
                  </w:r>
                  <w:r>
                    <w:rPr>
                      <w:rFonts w:hint="eastAsia" w:cs="Times New Roman"/>
                      <w:sz w:val="21"/>
                      <w:szCs w:val="21"/>
                    </w:rPr>
                    <w:t>布袋集尘</w:t>
                  </w:r>
                </w:p>
              </w:tc>
              <w:tc>
                <w:tcPr>
                  <w:tcW w:w="1820" w:type="pct"/>
                  <w:vAlign w:val="center"/>
                </w:tcPr>
                <w:p w14:paraId="23D59152">
                  <w:pPr>
                    <w:spacing w:line="240" w:lineRule="auto"/>
                    <w:ind w:firstLine="0" w:firstLineChars="0"/>
                    <w:contextualSpacing/>
                    <w:jc w:val="center"/>
                    <w:rPr>
                      <w:color w:val="000000"/>
                      <w:sz w:val="21"/>
                      <w:szCs w:val="21"/>
                    </w:rPr>
                  </w:pPr>
                  <w:r>
                    <w:rPr>
                      <w:rFonts w:hint="eastAsia"/>
                      <w:sz w:val="21"/>
                      <w:szCs w:val="21"/>
                    </w:rPr>
                    <w:t>一般固体废物</w:t>
                  </w:r>
                </w:p>
              </w:tc>
            </w:tr>
            <w:tr w14:paraId="13BC51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768" w:type="pct"/>
                  <w:vAlign w:val="center"/>
                </w:tcPr>
                <w:p w14:paraId="1A059E93">
                  <w:pPr>
                    <w:spacing w:line="240" w:lineRule="auto"/>
                    <w:ind w:firstLine="0" w:firstLineChars="0"/>
                    <w:contextualSpacing/>
                    <w:jc w:val="center"/>
                    <w:rPr>
                      <w:color w:val="000000"/>
                      <w:sz w:val="21"/>
                      <w:szCs w:val="21"/>
                    </w:rPr>
                  </w:pPr>
                  <w:r>
                    <w:rPr>
                      <w:rFonts w:hint="eastAsia"/>
                      <w:color w:val="000000"/>
                      <w:sz w:val="21"/>
                      <w:szCs w:val="21"/>
                    </w:rPr>
                    <w:t>噪声</w:t>
                  </w:r>
                </w:p>
              </w:tc>
              <w:tc>
                <w:tcPr>
                  <w:tcW w:w="4232" w:type="pct"/>
                  <w:gridSpan w:val="3"/>
                  <w:vAlign w:val="center"/>
                </w:tcPr>
                <w:p w14:paraId="64A11C01">
                  <w:pPr>
                    <w:spacing w:line="240" w:lineRule="auto"/>
                    <w:ind w:firstLine="0" w:firstLineChars="0"/>
                    <w:contextualSpacing/>
                    <w:rPr>
                      <w:color w:val="000000"/>
                      <w:sz w:val="21"/>
                      <w:szCs w:val="21"/>
                    </w:rPr>
                  </w:pPr>
                  <w:r>
                    <w:rPr>
                      <w:rFonts w:hint="eastAsia"/>
                      <w:color w:val="000000"/>
                      <w:sz w:val="21"/>
                      <w:szCs w:val="21"/>
                    </w:rPr>
                    <w:t>本项目运营期噪声污染源主要是来自生产设备的噪声</w:t>
                  </w:r>
                </w:p>
              </w:tc>
            </w:tr>
          </w:tbl>
          <w:p w14:paraId="3A9B97A4">
            <w:pPr>
              <w:ind w:firstLine="480"/>
              <w:rPr>
                <w:rFonts w:cs="Times New Roman"/>
              </w:rPr>
            </w:pPr>
          </w:p>
        </w:tc>
      </w:tr>
      <w:tr w14:paraId="0AEC03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57" w:type="dxa"/>
            <w:vAlign w:val="center"/>
          </w:tcPr>
          <w:p w14:paraId="11E3FE68">
            <w:pPr>
              <w:widowControl/>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与项目有关的原有环境污染问题</w:t>
            </w:r>
          </w:p>
        </w:tc>
        <w:tc>
          <w:tcPr>
            <w:tcW w:w="8603" w:type="dxa"/>
          </w:tcPr>
          <w:p w14:paraId="727BE4B2">
            <w:pPr>
              <w:pStyle w:val="68"/>
              <w:ind w:firstLine="520"/>
              <w:rPr>
                <w:rFonts w:ascii="Segoe UI" w:hAnsi="Segoe UI" w:cs="Segoe UI"/>
                <w:color w:val="0F1115"/>
                <w:shd w:val="clear" w:color="auto" w:fill="FFFFFF"/>
              </w:rPr>
            </w:pPr>
            <w:r>
              <w:rPr>
                <w:rFonts w:hint="eastAsia" w:ascii="Segoe UI" w:hAnsi="Segoe UI" w:cs="Segoe UI"/>
                <w:color w:val="0F1115"/>
                <w:shd w:val="clear" w:color="auto" w:fill="FFFFFF"/>
              </w:rPr>
              <w:t>经现场踏勘，现有干法破碎线主要环境问题为：破碎工序未配备除尘设施，存在无组织粉尘排放；设备运行噪声对局部环境有一定影响。</w:t>
            </w:r>
          </w:p>
          <w:p w14:paraId="52943827">
            <w:pPr>
              <w:pStyle w:val="68"/>
              <w:ind w:firstLine="520"/>
              <w:rPr>
                <w:rFonts w:ascii="Segoe UI" w:hAnsi="Segoe UI" w:cs="Segoe UI"/>
                <w:color w:val="0F1115"/>
                <w:shd w:val="clear" w:color="auto" w:fill="FFFFFF"/>
              </w:rPr>
            </w:pPr>
            <w:r>
              <w:rPr>
                <w:rFonts w:hint="eastAsia" w:ascii="Segoe UI" w:hAnsi="Segoe UI" w:cs="Segoe UI"/>
                <w:color w:val="0F1115"/>
                <w:shd w:val="clear" w:color="auto" w:fill="FFFFFF"/>
              </w:rPr>
              <w:t>针对上述问题，本次评价提出整改措施：</w:t>
            </w:r>
          </w:p>
          <w:p w14:paraId="79CFBAF7">
            <w:pPr>
              <w:pStyle w:val="68"/>
              <w:ind w:firstLine="520"/>
              <w:rPr>
                <w:rFonts w:ascii="Segoe UI" w:hAnsi="Segoe UI" w:cs="Segoe UI"/>
                <w:color w:val="0F1115"/>
                <w:shd w:val="clear" w:color="auto" w:fill="FFFFFF"/>
              </w:rPr>
            </w:pPr>
            <w:r>
              <w:rPr>
                <w:rFonts w:hint="eastAsia" w:ascii="Segoe UI" w:hAnsi="Segoe UI" w:cs="Segoe UI"/>
                <w:color w:val="0F1115"/>
                <w:shd w:val="clear" w:color="auto" w:fill="FFFFFF"/>
              </w:rPr>
              <w:t>①将原有的一座半封闭式钢结构大棚改造为全封闭生产车间；</w:t>
            </w:r>
          </w:p>
          <w:p w14:paraId="3144908A">
            <w:pPr>
              <w:pStyle w:val="68"/>
              <w:ind w:firstLine="520"/>
              <w:rPr>
                <w:rFonts w:ascii="Segoe UI" w:hAnsi="Segoe UI" w:cs="Segoe UI"/>
                <w:color w:val="0F1115"/>
                <w:shd w:val="clear" w:color="auto" w:fill="FFFFFF"/>
              </w:rPr>
            </w:pPr>
            <w:r>
              <w:rPr>
                <w:rFonts w:hint="eastAsia" w:ascii="Segoe UI" w:hAnsi="Segoe UI" w:cs="Segoe UI"/>
                <w:color w:val="0F1115"/>
                <w:shd w:val="clear" w:color="auto" w:fill="FFFFFF"/>
              </w:rPr>
              <w:t>②在破碎机工序增设集气罩+布袋除尘器，减少粉尘排放；</w:t>
            </w:r>
          </w:p>
          <w:p w14:paraId="084776D7">
            <w:pPr>
              <w:pStyle w:val="68"/>
              <w:ind w:firstLine="520"/>
              <w:rPr>
                <w:rFonts w:ascii="Segoe UI" w:hAnsi="Segoe UI" w:cs="Segoe UI"/>
                <w:color w:val="0F1115"/>
                <w:shd w:val="clear" w:color="auto" w:fill="FFFFFF"/>
              </w:rPr>
            </w:pPr>
            <w:r>
              <w:rPr>
                <w:rFonts w:hint="eastAsia" w:ascii="Segoe UI" w:hAnsi="Segoe UI" w:cs="Segoe UI"/>
                <w:color w:val="0F1115"/>
                <w:shd w:val="clear" w:color="auto" w:fill="FFFFFF"/>
              </w:rPr>
              <w:t>③对破碎机采取基础减振、厂房隔声等措施，确保厂界噪声达标。</w:t>
            </w:r>
          </w:p>
          <w:p w14:paraId="72A3A489">
            <w:pPr>
              <w:pStyle w:val="68"/>
              <w:ind w:firstLine="500"/>
              <w:rPr>
                <w:rFonts w:ascii="Segoe UI" w:hAnsi="Segoe UI" w:cs="Segoe UI"/>
                <w:color w:val="0F1115"/>
                <w:shd w:val="clear" w:color="auto" w:fill="FFFFFF"/>
              </w:rPr>
            </w:pPr>
            <w:r>
              <w:rPr>
                <w:rFonts w:ascii="Segoe UI" w:hAnsi="Segoe UI" w:cs="Segoe UI"/>
                <w:color w:val="0F1115"/>
                <w:shd w:val="clear" w:color="auto" w:fill="FFFFFF"/>
              </w:rPr>
              <w:fldChar w:fldCharType="begin"/>
            </w:r>
            <w:r>
              <w:rPr>
                <w:rFonts w:ascii="Segoe UI" w:hAnsi="Segoe UI" w:cs="Segoe UI"/>
                <w:color w:val="0F1115"/>
                <w:shd w:val="clear" w:color="auto" w:fill="FFFFFF"/>
              </w:rPr>
              <w:instrText xml:space="preserve"> </w:instrText>
            </w:r>
            <w:r>
              <w:rPr>
                <w:rFonts w:hint="eastAsia" w:ascii="Segoe UI" w:hAnsi="Segoe UI" w:cs="Segoe UI"/>
                <w:color w:val="0F1115"/>
                <w:shd w:val="clear" w:color="auto" w:fill="FFFFFF"/>
              </w:rPr>
              <w:instrText xml:space="preserve">= 4 \* GB3</w:instrText>
            </w:r>
            <w:r>
              <w:rPr>
                <w:rFonts w:ascii="Segoe UI" w:hAnsi="Segoe UI" w:cs="Segoe UI"/>
                <w:color w:val="0F1115"/>
                <w:shd w:val="clear" w:color="auto" w:fill="FFFFFF"/>
              </w:rPr>
              <w:instrText xml:space="preserve"> </w:instrText>
            </w:r>
            <w:r>
              <w:rPr>
                <w:rFonts w:ascii="Segoe UI" w:hAnsi="Segoe UI" w:cs="Segoe UI"/>
                <w:color w:val="0F1115"/>
                <w:shd w:val="clear" w:color="auto" w:fill="FFFFFF"/>
              </w:rPr>
              <w:fldChar w:fldCharType="separate"/>
            </w:r>
            <w:r>
              <w:rPr>
                <w:rFonts w:hint="eastAsia" w:ascii="Segoe UI" w:hAnsi="Segoe UI" w:cs="Segoe UI"/>
                <w:color w:val="0F1115"/>
                <w:shd w:val="clear" w:color="auto" w:fill="FFFFFF"/>
              </w:rPr>
              <w:t>④</w:t>
            </w:r>
            <w:r>
              <w:rPr>
                <w:rFonts w:ascii="Segoe UI" w:hAnsi="Segoe UI" w:cs="Segoe UI"/>
                <w:color w:val="0F1115"/>
                <w:shd w:val="clear" w:color="auto" w:fill="FFFFFF"/>
              </w:rPr>
              <w:fldChar w:fldCharType="end"/>
            </w:r>
            <w:r>
              <w:rPr>
                <w:rFonts w:hint="eastAsia" w:ascii="Segoe UI" w:hAnsi="Segoe UI" w:cs="Segoe UI"/>
                <w:color w:val="0F1115"/>
                <w:shd w:val="clear" w:color="auto" w:fill="FFFFFF"/>
              </w:rPr>
              <w:t>对原料堆场采用篷布全覆盖并定期洒水抑尘；产品采用吨袋封装后堆放于成品堆场，以有效防止粉尘逸散。</w:t>
            </w:r>
          </w:p>
        </w:tc>
      </w:tr>
    </w:tbl>
    <w:p w14:paraId="1B5F3ACB">
      <w:pPr>
        <w:ind w:firstLine="480"/>
        <w:rPr>
          <w:color w:val="000000" w:themeColor="text1"/>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pgNumType w:start="1"/>
          <w:cols w:space="425" w:num="1"/>
          <w:docGrid w:type="lines" w:linePitch="326" w:charSpace="0"/>
        </w:sectPr>
      </w:pPr>
    </w:p>
    <w:p w14:paraId="2F5F5138">
      <w:pPr>
        <w:pStyle w:val="2"/>
        <w:rPr>
          <w:color w:val="000000" w:themeColor="text1"/>
          <w14:textFill>
            <w14:solidFill>
              <w14:schemeClr w14:val="tx1"/>
            </w14:solidFill>
          </w14:textFill>
        </w:rPr>
      </w:pPr>
      <w:r>
        <w:rPr>
          <w:rFonts w:hint="eastAsia"/>
          <w:color w:val="000000" w:themeColor="text1"/>
          <w14:textFill>
            <w14:solidFill>
              <w14:schemeClr w14:val="tx1"/>
            </w14:solidFill>
          </w14:textFill>
        </w:rPr>
        <w:t>三、区域环境质量现状、环境保护目标及评价标准</w:t>
      </w:r>
    </w:p>
    <w:tbl>
      <w:tblPr>
        <w:tblStyle w:val="24"/>
        <w:tblW w:w="488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57"/>
        <w:gridCol w:w="8621"/>
      </w:tblGrid>
      <w:tr w14:paraId="564684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6" w:hRule="atLeast"/>
          <w:jc w:val="center"/>
        </w:trPr>
        <w:tc>
          <w:tcPr>
            <w:tcW w:w="233" w:type="pct"/>
            <w:vAlign w:val="center"/>
          </w:tcPr>
          <w:p w14:paraId="76BB9227">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区域</w:t>
            </w:r>
          </w:p>
          <w:p w14:paraId="14E2E6F2">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14:paraId="5FC2804B">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质量</w:t>
            </w:r>
          </w:p>
          <w:p w14:paraId="43C0A7CB">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现状</w:t>
            </w:r>
          </w:p>
        </w:tc>
        <w:tc>
          <w:tcPr>
            <w:tcW w:w="4767" w:type="pct"/>
            <w:vAlign w:val="center"/>
          </w:tcPr>
          <w:p w14:paraId="50F1FBD3">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3.环境空气质量评价</w:t>
            </w:r>
          </w:p>
          <w:p w14:paraId="6E56A8C3">
            <w:pPr>
              <w:keepNext/>
              <w:keepLines/>
              <w:spacing w:before="120" w:after="60" w:line="240" w:lineRule="auto"/>
              <w:ind w:firstLine="0" w:firstLineChars="0"/>
              <w:textAlignment w:val="auto"/>
              <w:outlineLvl w:val="1"/>
              <w:rPr>
                <w:rFonts w:cs="Times New Roman"/>
                <w:b/>
                <w:bCs/>
                <w:color w:val="000000" w:themeColor="text1"/>
                <w:szCs w:val="32"/>
                <w14:textFill>
                  <w14:solidFill>
                    <w14:schemeClr w14:val="tx1"/>
                  </w14:solidFill>
                </w14:textFill>
              </w:rPr>
            </w:pPr>
            <w:r>
              <w:rPr>
                <w:rFonts w:hint="eastAsia" w:cs="Times New Roman"/>
                <w:b/>
                <w:bCs/>
                <w:color w:val="000000" w:themeColor="text1"/>
                <w:szCs w:val="32"/>
                <w14:textFill>
                  <w14:solidFill>
                    <w14:schemeClr w14:val="tx1"/>
                  </w14:solidFill>
                </w14:textFill>
              </w:rPr>
              <w:t>3.1基本污染物环境质量现状评价</w:t>
            </w:r>
          </w:p>
          <w:p w14:paraId="5DA72461">
            <w:pPr>
              <w:ind w:firstLine="480"/>
              <w:rPr>
                <w:kern w:val="0"/>
              </w:rPr>
            </w:pPr>
            <w:r>
              <w:rPr>
                <w:rFonts w:hint="eastAsia"/>
              </w:rPr>
              <w:t>根据《环境影响评价技术导则 大气环境》（H.J2.2-2018）对环境质量现状数据的要求，本次大气环境中基本污染物CO、O</w:t>
            </w:r>
            <w:r>
              <w:rPr>
                <w:rFonts w:hint="eastAsia"/>
                <w:vertAlign w:val="subscript"/>
              </w:rPr>
              <w:t>3</w:t>
            </w:r>
            <w:r>
              <w:rPr>
                <w:rFonts w:hint="eastAsia"/>
              </w:rPr>
              <w:t>、PM</w:t>
            </w:r>
            <w:r>
              <w:rPr>
                <w:rFonts w:hint="eastAsia"/>
                <w:vertAlign w:val="subscript"/>
              </w:rPr>
              <w:t>10</w:t>
            </w:r>
            <w:r>
              <w:rPr>
                <w:rFonts w:hint="eastAsia"/>
              </w:rPr>
              <w:t>、PM</w:t>
            </w:r>
            <w:r>
              <w:rPr>
                <w:rFonts w:hint="eastAsia"/>
                <w:vertAlign w:val="subscript"/>
              </w:rPr>
              <w:t>2.5</w:t>
            </w:r>
            <w:r>
              <w:rPr>
                <w:rFonts w:hint="eastAsia"/>
              </w:rPr>
              <w:t>、SO</w:t>
            </w:r>
            <w:r>
              <w:rPr>
                <w:rFonts w:hint="eastAsia"/>
                <w:vertAlign w:val="subscript"/>
              </w:rPr>
              <w:t>2</w:t>
            </w:r>
            <w:r>
              <w:rPr>
                <w:rFonts w:hint="eastAsia"/>
              </w:rPr>
              <w:t>、NO</w:t>
            </w:r>
            <w:r>
              <w:rPr>
                <w:rFonts w:hint="eastAsia"/>
                <w:vertAlign w:val="subscript"/>
              </w:rPr>
              <w:t>2</w:t>
            </w:r>
            <w:r>
              <w:rPr>
                <w:rFonts w:hint="eastAsia"/>
              </w:rPr>
              <w:t>数据选取库尔勒经济技术开发区国控空气自动监测站2024年的监测数据作为本项目区环境空气现状评价基本污染物的数据来源。大气特征污染物环境质量现状评价采用现场监测的方式进行调查</w:t>
            </w:r>
            <w:r>
              <w:rPr>
                <w:rFonts w:hint="eastAsia"/>
                <w:kern w:val="0"/>
              </w:rPr>
              <w:t>。</w:t>
            </w:r>
          </w:p>
          <w:p w14:paraId="12ED1EED">
            <w:pPr>
              <w:pStyle w:val="91"/>
              <w:ind w:left="902" w:hanging="422"/>
            </w:pPr>
            <w:r>
              <w:rPr>
                <w:rFonts w:hint="eastAsia" w:cs="Times New Roman"/>
                <w:sz w:val="21"/>
              </w:rPr>
              <w:t>表3-1  基本污染物监测及评价结果</w:t>
            </w:r>
          </w:p>
          <w:tbl>
            <w:tblPr>
              <w:tblStyle w:val="24"/>
              <w:tblW w:w="50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90"/>
              <w:gridCol w:w="3021"/>
              <w:gridCol w:w="1151"/>
              <w:gridCol w:w="1039"/>
              <w:gridCol w:w="830"/>
              <w:gridCol w:w="718"/>
              <w:gridCol w:w="932"/>
            </w:tblGrid>
            <w:tr w14:paraId="4B1011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466" w:type="pct"/>
                  <w:tcBorders>
                    <w:tl2br w:val="nil"/>
                    <w:tr2bl w:val="nil"/>
                  </w:tcBorders>
                  <w:vAlign w:val="center"/>
                </w:tcPr>
                <w:p w14:paraId="2DC81EA0">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污染物</w:t>
                  </w:r>
                </w:p>
              </w:tc>
              <w:tc>
                <w:tcPr>
                  <w:tcW w:w="1780" w:type="pct"/>
                  <w:tcBorders>
                    <w:tl2br w:val="nil"/>
                    <w:tr2bl w:val="nil"/>
                  </w:tcBorders>
                  <w:vAlign w:val="center"/>
                </w:tcPr>
                <w:p w14:paraId="714BA04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年评价指标</w:t>
                  </w:r>
                </w:p>
              </w:tc>
              <w:tc>
                <w:tcPr>
                  <w:tcW w:w="678" w:type="pct"/>
                  <w:tcBorders>
                    <w:tl2br w:val="nil"/>
                    <w:tr2bl w:val="nil"/>
                  </w:tcBorders>
                  <w:vAlign w:val="center"/>
                </w:tcPr>
                <w:p w14:paraId="7D5016C2">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现状浓度（μg/m³）</w:t>
                  </w:r>
                </w:p>
              </w:tc>
              <w:tc>
                <w:tcPr>
                  <w:tcW w:w="612" w:type="pct"/>
                  <w:tcBorders>
                    <w:tl2br w:val="nil"/>
                    <w:tr2bl w:val="nil"/>
                  </w:tcBorders>
                  <w:vAlign w:val="center"/>
                </w:tcPr>
                <w:p w14:paraId="04860A64">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标准限值（μg/m³）</w:t>
                  </w:r>
                </w:p>
              </w:tc>
              <w:tc>
                <w:tcPr>
                  <w:tcW w:w="489" w:type="pct"/>
                  <w:tcBorders>
                    <w:tl2br w:val="nil"/>
                    <w:tr2bl w:val="nil"/>
                  </w:tcBorders>
                  <w:vAlign w:val="center"/>
                </w:tcPr>
                <w:p w14:paraId="25493FD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占标率（%）</w:t>
                  </w:r>
                </w:p>
              </w:tc>
              <w:tc>
                <w:tcPr>
                  <w:tcW w:w="423" w:type="pct"/>
                  <w:tcBorders>
                    <w:tl2br w:val="nil"/>
                    <w:tr2bl w:val="nil"/>
                  </w:tcBorders>
                  <w:vAlign w:val="center"/>
                </w:tcPr>
                <w:p w14:paraId="06223C8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超标</w:t>
                  </w:r>
                </w:p>
                <w:p w14:paraId="6A7997D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倍数</w:t>
                  </w:r>
                </w:p>
              </w:tc>
              <w:tc>
                <w:tcPr>
                  <w:tcW w:w="549" w:type="pct"/>
                  <w:tcBorders>
                    <w:tl2br w:val="nil"/>
                    <w:tr2bl w:val="nil"/>
                  </w:tcBorders>
                  <w:vAlign w:val="center"/>
                </w:tcPr>
                <w:p w14:paraId="55C393F5">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达标情况</w:t>
                  </w:r>
                </w:p>
              </w:tc>
            </w:tr>
            <w:tr w14:paraId="49AD16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42753F2C">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SO</w:t>
                  </w:r>
                  <w:r>
                    <w:rPr>
                      <w:color w:val="000000" w:themeColor="text1"/>
                      <w:sz w:val="21"/>
                      <w:vertAlign w:val="subscript"/>
                      <w14:textFill>
                        <w14:solidFill>
                          <w14:schemeClr w14:val="tx1"/>
                        </w14:solidFill>
                      </w14:textFill>
                    </w:rPr>
                    <w:t>2</w:t>
                  </w:r>
                </w:p>
              </w:tc>
              <w:tc>
                <w:tcPr>
                  <w:tcW w:w="1780" w:type="pct"/>
                  <w:tcBorders>
                    <w:tl2br w:val="nil"/>
                    <w:tr2bl w:val="nil"/>
                  </w:tcBorders>
                  <w:vAlign w:val="center"/>
                </w:tcPr>
                <w:p w14:paraId="2705404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年平均质量浓度</w:t>
                  </w:r>
                </w:p>
              </w:tc>
              <w:tc>
                <w:tcPr>
                  <w:tcW w:w="678" w:type="pct"/>
                  <w:tcBorders>
                    <w:tl2br w:val="nil"/>
                    <w:tr2bl w:val="nil"/>
                  </w:tcBorders>
                  <w:vAlign w:val="center"/>
                </w:tcPr>
                <w:p w14:paraId="0F8057C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4.8</w:t>
                  </w:r>
                </w:p>
              </w:tc>
              <w:tc>
                <w:tcPr>
                  <w:tcW w:w="612" w:type="pct"/>
                  <w:tcBorders>
                    <w:tl2br w:val="nil"/>
                    <w:tr2bl w:val="nil"/>
                  </w:tcBorders>
                  <w:vAlign w:val="center"/>
                </w:tcPr>
                <w:p w14:paraId="49B39780">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60</w:t>
                  </w:r>
                </w:p>
              </w:tc>
              <w:tc>
                <w:tcPr>
                  <w:tcW w:w="489" w:type="pct"/>
                  <w:tcBorders>
                    <w:tl2br w:val="nil"/>
                    <w:tr2bl w:val="nil"/>
                  </w:tcBorders>
                  <w:vAlign w:val="center"/>
                </w:tcPr>
                <w:p w14:paraId="09C7E42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8.00</w:t>
                  </w:r>
                </w:p>
              </w:tc>
              <w:tc>
                <w:tcPr>
                  <w:tcW w:w="423" w:type="pct"/>
                  <w:tcBorders>
                    <w:tl2br w:val="nil"/>
                    <w:tr2bl w:val="nil"/>
                  </w:tcBorders>
                  <w:vAlign w:val="center"/>
                </w:tcPr>
                <w:p w14:paraId="5488F0D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248CD3F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7B0BF2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466" w:type="pct"/>
                  <w:vMerge w:val="continue"/>
                  <w:tcBorders>
                    <w:tl2br w:val="nil"/>
                    <w:tr2bl w:val="nil"/>
                  </w:tcBorders>
                  <w:vAlign w:val="center"/>
                </w:tcPr>
                <w:p w14:paraId="10462ACA">
                  <w:pPr>
                    <w:spacing w:line="240" w:lineRule="auto"/>
                    <w:ind w:firstLine="0" w:firstLineChars="0"/>
                    <w:jc w:val="center"/>
                    <w:rPr>
                      <w:color w:val="000000" w:themeColor="text1"/>
                      <w:sz w:val="21"/>
                      <w14:textFill>
                        <w14:solidFill>
                          <w14:schemeClr w14:val="tx1"/>
                        </w14:solidFill>
                      </w14:textFill>
                    </w:rPr>
                  </w:pPr>
                </w:p>
              </w:tc>
              <w:tc>
                <w:tcPr>
                  <w:tcW w:w="1780" w:type="pct"/>
                  <w:tcBorders>
                    <w:tl2br w:val="nil"/>
                    <w:tr2bl w:val="nil"/>
                  </w:tcBorders>
                  <w:vAlign w:val="center"/>
                </w:tcPr>
                <w:p w14:paraId="6EE43084">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第98百分位数日平均浓度</w:t>
                  </w:r>
                </w:p>
              </w:tc>
              <w:tc>
                <w:tcPr>
                  <w:tcW w:w="678" w:type="pct"/>
                  <w:tcBorders>
                    <w:tl2br w:val="nil"/>
                    <w:tr2bl w:val="nil"/>
                  </w:tcBorders>
                  <w:vAlign w:val="center"/>
                </w:tcPr>
                <w:p w14:paraId="43262D71">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9</w:t>
                  </w:r>
                </w:p>
              </w:tc>
              <w:tc>
                <w:tcPr>
                  <w:tcW w:w="612" w:type="pct"/>
                  <w:tcBorders>
                    <w:tl2br w:val="nil"/>
                    <w:tr2bl w:val="nil"/>
                  </w:tcBorders>
                  <w:vAlign w:val="center"/>
                </w:tcPr>
                <w:p w14:paraId="2AAA1AB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150</w:t>
                  </w:r>
                </w:p>
              </w:tc>
              <w:tc>
                <w:tcPr>
                  <w:tcW w:w="489" w:type="pct"/>
                  <w:tcBorders>
                    <w:tl2br w:val="nil"/>
                    <w:tr2bl w:val="nil"/>
                  </w:tcBorders>
                  <w:vAlign w:val="center"/>
                </w:tcPr>
                <w:p w14:paraId="5ACF05EA">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6.00</w:t>
                  </w:r>
                </w:p>
              </w:tc>
              <w:tc>
                <w:tcPr>
                  <w:tcW w:w="423" w:type="pct"/>
                  <w:tcBorders>
                    <w:tl2br w:val="nil"/>
                    <w:tr2bl w:val="nil"/>
                  </w:tcBorders>
                  <w:vAlign w:val="center"/>
                </w:tcPr>
                <w:p w14:paraId="5322C76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7847F196">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7483C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145FAE24">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NO</w:t>
                  </w:r>
                  <w:r>
                    <w:rPr>
                      <w:color w:val="000000" w:themeColor="text1"/>
                      <w:sz w:val="21"/>
                      <w:vertAlign w:val="subscript"/>
                      <w14:textFill>
                        <w14:solidFill>
                          <w14:schemeClr w14:val="tx1"/>
                        </w14:solidFill>
                      </w14:textFill>
                    </w:rPr>
                    <w:t>2</w:t>
                  </w:r>
                </w:p>
              </w:tc>
              <w:tc>
                <w:tcPr>
                  <w:tcW w:w="1780" w:type="pct"/>
                  <w:tcBorders>
                    <w:tl2br w:val="nil"/>
                    <w:tr2bl w:val="nil"/>
                  </w:tcBorders>
                  <w:vAlign w:val="center"/>
                </w:tcPr>
                <w:p w14:paraId="35A868A1">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年平均质量浓度</w:t>
                  </w:r>
                </w:p>
              </w:tc>
              <w:tc>
                <w:tcPr>
                  <w:tcW w:w="678" w:type="pct"/>
                  <w:tcBorders>
                    <w:tl2br w:val="nil"/>
                    <w:tr2bl w:val="nil"/>
                  </w:tcBorders>
                  <w:vAlign w:val="center"/>
                </w:tcPr>
                <w:p w14:paraId="18C2C241">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15.6</w:t>
                  </w:r>
                </w:p>
              </w:tc>
              <w:tc>
                <w:tcPr>
                  <w:tcW w:w="612" w:type="pct"/>
                  <w:tcBorders>
                    <w:tl2br w:val="nil"/>
                    <w:tr2bl w:val="nil"/>
                  </w:tcBorders>
                  <w:vAlign w:val="center"/>
                </w:tcPr>
                <w:p w14:paraId="02A30252">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40</w:t>
                  </w:r>
                </w:p>
              </w:tc>
              <w:tc>
                <w:tcPr>
                  <w:tcW w:w="489" w:type="pct"/>
                  <w:tcBorders>
                    <w:tl2br w:val="nil"/>
                    <w:tr2bl w:val="nil"/>
                  </w:tcBorders>
                  <w:vAlign w:val="center"/>
                </w:tcPr>
                <w:p w14:paraId="429CBAF0">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39.00</w:t>
                  </w:r>
                </w:p>
              </w:tc>
              <w:tc>
                <w:tcPr>
                  <w:tcW w:w="423" w:type="pct"/>
                  <w:tcBorders>
                    <w:tl2br w:val="nil"/>
                    <w:tr2bl w:val="nil"/>
                  </w:tcBorders>
                  <w:vAlign w:val="center"/>
                </w:tcPr>
                <w:p w14:paraId="11BC570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016400EA">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1084BD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7DBC7EBA">
                  <w:pPr>
                    <w:spacing w:line="240" w:lineRule="auto"/>
                    <w:ind w:firstLine="0" w:firstLineChars="0"/>
                    <w:jc w:val="center"/>
                    <w:rPr>
                      <w:color w:val="000000" w:themeColor="text1"/>
                      <w:sz w:val="21"/>
                      <w14:textFill>
                        <w14:solidFill>
                          <w14:schemeClr w14:val="tx1"/>
                        </w14:solidFill>
                      </w14:textFill>
                    </w:rPr>
                  </w:pPr>
                </w:p>
              </w:tc>
              <w:tc>
                <w:tcPr>
                  <w:tcW w:w="1780" w:type="pct"/>
                  <w:tcBorders>
                    <w:tl2br w:val="nil"/>
                    <w:tr2bl w:val="nil"/>
                  </w:tcBorders>
                  <w:vAlign w:val="center"/>
                </w:tcPr>
                <w:p w14:paraId="4356973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第98百分位数日平均浓度</w:t>
                  </w:r>
                </w:p>
              </w:tc>
              <w:tc>
                <w:tcPr>
                  <w:tcW w:w="678" w:type="pct"/>
                  <w:tcBorders>
                    <w:tl2br w:val="nil"/>
                    <w:tr2bl w:val="nil"/>
                  </w:tcBorders>
                  <w:vAlign w:val="center"/>
                </w:tcPr>
                <w:p w14:paraId="6BF4C7C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45</w:t>
                  </w:r>
                </w:p>
              </w:tc>
              <w:tc>
                <w:tcPr>
                  <w:tcW w:w="612" w:type="pct"/>
                  <w:tcBorders>
                    <w:tl2br w:val="nil"/>
                    <w:tr2bl w:val="nil"/>
                  </w:tcBorders>
                  <w:vAlign w:val="center"/>
                </w:tcPr>
                <w:p w14:paraId="28A0846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80</w:t>
                  </w:r>
                </w:p>
              </w:tc>
              <w:tc>
                <w:tcPr>
                  <w:tcW w:w="489" w:type="pct"/>
                  <w:tcBorders>
                    <w:tl2br w:val="nil"/>
                    <w:tr2bl w:val="nil"/>
                  </w:tcBorders>
                  <w:vAlign w:val="center"/>
                </w:tcPr>
                <w:p w14:paraId="3104CB06">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56.25</w:t>
                  </w:r>
                </w:p>
              </w:tc>
              <w:tc>
                <w:tcPr>
                  <w:tcW w:w="423" w:type="pct"/>
                  <w:tcBorders>
                    <w:tl2br w:val="nil"/>
                    <w:tr2bl w:val="nil"/>
                  </w:tcBorders>
                  <w:vAlign w:val="center"/>
                </w:tcPr>
                <w:p w14:paraId="1FED69F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7206F8D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5B3970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tcBorders>
                    <w:tl2br w:val="nil"/>
                    <w:tr2bl w:val="nil"/>
                  </w:tcBorders>
                  <w:vAlign w:val="center"/>
                </w:tcPr>
                <w:p w14:paraId="4F6795B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CO</w:t>
                  </w:r>
                </w:p>
              </w:tc>
              <w:tc>
                <w:tcPr>
                  <w:tcW w:w="1780" w:type="pct"/>
                  <w:tcBorders>
                    <w:tl2br w:val="nil"/>
                    <w:tr2bl w:val="nil"/>
                  </w:tcBorders>
                  <w:vAlign w:val="center"/>
                </w:tcPr>
                <w:p w14:paraId="53E79E1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第95百分位数日平均浓度</w:t>
                  </w:r>
                </w:p>
              </w:tc>
              <w:tc>
                <w:tcPr>
                  <w:tcW w:w="678" w:type="pct"/>
                  <w:tcBorders>
                    <w:tl2br w:val="nil"/>
                    <w:tr2bl w:val="nil"/>
                  </w:tcBorders>
                  <w:vAlign w:val="center"/>
                </w:tcPr>
                <w:p w14:paraId="77A8C7EC">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700</w:t>
                  </w:r>
                </w:p>
              </w:tc>
              <w:tc>
                <w:tcPr>
                  <w:tcW w:w="612" w:type="pct"/>
                  <w:tcBorders>
                    <w:tl2br w:val="nil"/>
                    <w:tr2bl w:val="nil"/>
                  </w:tcBorders>
                  <w:vAlign w:val="center"/>
                </w:tcPr>
                <w:p w14:paraId="210A9455">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4000</w:t>
                  </w:r>
                </w:p>
              </w:tc>
              <w:tc>
                <w:tcPr>
                  <w:tcW w:w="489" w:type="pct"/>
                  <w:tcBorders>
                    <w:tl2br w:val="nil"/>
                    <w:tr2bl w:val="nil"/>
                  </w:tcBorders>
                  <w:vAlign w:val="center"/>
                </w:tcPr>
                <w:p w14:paraId="2DE9546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17.50</w:t>
                  </w:r>
                </w:p>
              </w:tc>
              <w:tc>
                <w:tcPr>
                  <w:tcW w:w="423" w:type="pct"/>
                  <w:tcBorders>
                    <w:tl2br w:val="nil"/>
                    <w:tr2bl w:val="nil"/>
                  </w:tcBorders>
                  <w:vAlign w:val="center"/>
                </w:tcPr>
                <w:p w14:paraId="6B58A160">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4233E08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61DE4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285" w:hRule="atLeast"/>
                <w:jc w:val="center"/>
              </w:trPr>
              <w:tc>
                <w:tcPr>
                  <w:tcW w:w="466" w:type="pct"/>
                  <w:tcBorders>
                    <w:tl2br w:val="nil"/>
                    <w:tr2bl w:val="nil"/>
                  </w:tcBorders>
                  <w:vAlign w:val="center"/>
                </w:tcPr>
                <w:p w14:paraId="45939BC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O</w:t>
                  </w:r>
                  <w:r>
                    <w:rPr>
                      <w:color w:val="000000" w:themeColor="text1"/>
                      <w:sz w:val="21"/>
                      <w:vertAlign w:val="subscript"/>
                      <w14:textFill>
                        <w14:solidFill>
                          <w14:schemeClr w14:val="tx1"/>
                        </w14:solidFill>
                      </w14:textFill>
                    </w:rPr>
                    <w:t>3</w:t>
                  </w:r>
                </w:p>
              </w:tc>
              <w:tc>
                <w:tcPr>
                  <w:tcW w:w="1780" w:type="pct"/>
                  <w:tcBorders>
                    <w:tl2br w:val="nil"/>
                    <w:tr2bl w:val="nil"/>
                  </w:tcBorders>
                  <w:vAlign w:val="center"/>
                </w:tcPr>
                <w:p w14:paraId="4ACC8719">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第90百分位日最大8h平均浓度</w:t>
                  </w:r>
                </w:p>
              </w:tc>
              <w:tc>
                <w:tcPr>
                  <w:tcW w:w="678" w:type="pct"/>
                  <w:tcBorders>
                    <w:tl2br w:val="nil"/>
                    <w:tr2bl w:val="nil"/>
                  </w:tcBorders>
                  <w:vAlign w:val="center"/>
                </w:tcPr>
                <w:p w14:paraId="2367A772">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124</w:t>
                  </w:r>
                </w:p>
              </w:tc>
              <w:tc>
                <w:tcPr>
                  <w:tcW w:w="612" w:type="pct"/>
                  <w:tcBorders>
                    <w:tl2br w:val="nil"/>
                    <w:tr2bl w:val="nil"/>
                  </w:tcBorders>
                  <w:vAlign w:val="center"/>
                </w:tcPr>
                <w:p w14:paraId="5A8F8054">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160</w:t>
                  </w:r>
                </w:p>
              </w:tc>
              <w:tc>
                <w:tcPr>
                  <w:tcW w:w="489" w:type="pct"/>
                  <w:tcBorders>
                    <w:tl2br w:val="nil"/>
                    <w:tr2bl w:val="nil"/>
                  </w:tcBorders>
                  <w:vAlign w:val="center"/>
                </w:tcPr>
                <w:p w14:paraId="4E3AEE0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77.50</w:t>
                  </w:r>
                </w:p>
              </w:tc>
              <w:tc>
                <w:tcPr>
                  <w:tcW w:w="423" w:type="pct"/>
                  <w:tcBorders>
                    <w:tl2br w:val="nil"/>
                    <w:tr2bl w:val="nil"/>
                  </w:tcBorders>
                  <w:vAlign w:val="center"/>
                </w:tcPr>
                <w:p w14:paraId="45CA88B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w:t>
                  </w:r>
                </w:p>
              </w:tc>
              <w:tc>
                <w:tcPr>
                  <w:tcW w:w="549" w:type="pct"/>
                  <w:tcBorders>
                    <w:tl2br w:val="nil"/>
                    <w:tr2bl w:val="nil"/>
                  </w:tcBorders>
                  <w:vAlign w:val="center"/>
                </w:tcPr>
                <w:p w14:paraId="05ECA0B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w:t>
                  </w:r>
                </w:p>
              </w:tc>
            </w:tr>
            <w:tr w14:paraId="2144E8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288D118E">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PM</w:t>
                  </w:r>
                  <w:r>
                    <w:rPr>
                      <w:color w:val="000000" w:themeColor="text1"/>
                      <w:sz w:val="21"/>
                      <w:vertAlign w:val="subscript"/>
                      <w14:textFill>
                        <w14:solidFill>
                          <w14:schemeClr w14:val="tx1"/>
                        </w14:solidFill>
                      </w14:textFill>
                    </w:rPr>
                    <w:t>10</w:t>
                  </w:r>
                </w:p>
              </w:tc>
              <w:tc>
                <w:tcPr>
                  <w:tcW w:w="1780" w:type="pct"/>
                  <w:tcBorders>
                    <w:tl2br w:val="nil"/>
                    <w:tr2bl w:val="nil"/>
                  </w:tcBorders>
                  <w:vAlign w:val="center"/>
                </w:tcPr>
                <w:p w14:paraId="46E7332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年平均质量浓度</w:t>
                  </w:r>
                </w:p>
              </w:tc>
              <w:tc>
                <w:tcPr>
                  <w:tcW w:w="678" w:type="pct"/>
                  <w:tcBorders>
                    <w:tl2br w:val="nil"/>
                    <w:tr2bl w:val="nil"/>
                  </w:tcBorders>
                  <w:vAlign w:val="center"/>
                </w:tcPr>
                <w:p w14:paraId="2EA22C5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135</w:t>
                  </w:r>
                </w:p>
              </w:tc>
              <w:tc>
                <w:tcPr>
                  <w:tcW w:w="612" w:type="pct"/>
                  <w:tcBorders>
                    <w:tl2br w:val="nil"/>
                    <w:tr2bl w:val="nil"/>
                  </w:tcBorders>
                  <w:vAlign w:val="center"/>
                </w:tcPr>
                <w:p w14:paraId="1E8C094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60</w:t>
                  </w:r>
                </w:p>
              </w:tc>
              <w:tc>
                <w:tcPr>
                  <w:tcW w:w="489" w:type="pct"/>
                  <w:tcBorders>
                    <w:tl2br w:val="nil"/>
                    <w:tr2bl w:val="nil"/>
                  </w:tcBorders>
                  <w:vAlign w:val="center"/>
                </w:tcPr>
                <w:p w14:paraId="7D4BE1EB">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225.00</w:t>
                  </w:r>
                </w:p>
              </w:tc>
              <w:tc>
                <w:tcPr>
                  <w:tcW w:w="423" w:type="pct"/>
                  <w:tcBorders>
                    <w:tl2br w:val="nil"/>
                    <w:tr2bl w:val="nil"/>
                  </w:tcBorders>
                  <w:vAlign w:val="center"/>
                </w:tcPr>
                <w:p w14:paraId="6326F65F">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1.25</w:t>
                  </w:r>
                </w:p>
              </w:tc>
              <w:tc>
                <w:tcPr>
                  <w:tcW w:w="549" w:type="pct"/>
                  <w:tcBorders>
                    <w:tl2br w:val="nil"/>
                    <w:tr2bl w:val="nil"/>
                  </w:tcBorders>
                  <w:vAlign w:val="center"/>
                </w:tcPr>
                <w:p w14:paraId="68C67A0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不达标</w:t>
                  </w:r>
                </w:p>
              </w:tc>
            </w:tr>
            <w:tr w14:paraId="1EB94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6B99C93A">
                  <w:pPr>
                    <w:spacing w:line="240" w:lineRule="auto"/>
                    <w:ind w:firstLine="0" w:firstLineChars="0"/>
                    <w:jc w:val="center"/>
                    <w:rPr>
                      <w:color w:val="000000" w:themeColor="text1"/>
                      <w:sz w:val="21"/>
                      <w14:textFill>
                        <w14:solidFill>
                          <w14:schemeClr w14:val="tx1"/>
                        </w14:solidFill>
                      </w14:textFill>
                    </w:rPr>
                  </w:pPr>
                </w:p>
              </w:tc>
              <w:tc>
                <w:tcPr>
                  <w:tcW w:w="1780" w:type="pct"/>
                  <w:tcBorders>
                    <w:tl2br w:val="nil"/>
                    <w:tr2bl w:val="nil"/>
                  </w:tcBorders>
                  <w:vAlign w:val="center"/>
                </w:tcPr>
                <w:p w14:paraId="05C9A0C6">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第95百分位数日平均浓度</w:t>
                  </w:r>
                </w:p>
              </w:tc>
              <w:tc>
                <w:tcPr>
                  <w:tcW w:w="678" w:type="pct"/>
                  <w:tcBorders>
                    <w:tl2br w:val="nil"/>
                    <w:tr2bl w:val="nil"/>
                  </w:tcBorders>
                  <w:vAlign w:val="center"/>
                </w:tcPr>
                <w:p w14:paraId="2329723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382</w:t>
                  </w:r>
                </w:p>
              </w:tc>
              <w:tc>
                <w:tcPr>
                  <w:tcW w:w="612" w:type="pct"/>
                  <w:tcBorders>
                    <w:tl2br w:val="nil"/>
                    <w:tr2bl w:val="nil"/>
                  </w:tcBorders>
                  <w:vAlign w:val="center"/>
                </w:tcPr>
                <w:p w14:paraId="080FA138">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120</w:t>
                  </w:r>
                </w:p>
              </w:tc>
              <w:tc>
                <w:tcPr>
                  <w:tcW w:w="489" w:type="pct"/>
                  <w:tcBorders>
                    <w:tl2br w:val="nil"/>
                    <w:tr2bl w:val="nil"/>
                  </w:tcBorders>
                  <w:vAlign w:val="center"/>
                </w:tcPr>
                <w:p w14:paraId="5AA890C6">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318.33</w:t>
                  </w:r>
                </w:p>
              </w:tc>
              <w:tc>
                <w:tcPr>
                  <w:tcW w:w="423" w:type="pct"/>
                  <w:tcBorders>
                    <w:tl2br w:val="nil"/>
                    <w:tr2bl w:val="nil"/>
                  </w:tcBorders>
                  <w:vAlign w:val="center"/>
                </w:tcPr>
                <w:p w14:paraId="0FC6D4F3">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2.18</w:t>
                  </w:r>
                </w:p>
              </w:tc>
              <w:tc>
                <w:tcPr>
                  <w:tcW w:w="549" w:type="pct"/>
                  <w:tcBorders>
                    <w:tl2br w:val="nil"/>
                    <w:tr2bl w:val="nil"/>
                  </w:tcBorders>
                  <w:vAlign w:val="center"/>
                </w:tcPr>
                <w:p w14:paraId="59E419A9">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不达标</w:t>
                  </w:r>
                </w:p>
              </w:tc>
            </w:tr>
            <w:tr w14:paraId="22DE24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restart"/>
                  <w:tcBorders>
                    <w:tl2br w:val="nil"/>
                    <w:tr2bl w:val="nil"/>
                  </w:tcBorders>
                  <w:vAlign w:val="center"/>
                </w:tcPr>
                <w:p w14:paraId="4528DE3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PM</w:t>
                  </w:r>
                  <w:r>
                    <w:rPr>
                      <w:color w:val="000000" w:themeColor="text1"/>
                      <w:sz w:val="21"/>
                      <w:vertAlign w:val="subscript"/>
                      <w14:textFill>
                        <w14:solidFill>
                          <w14:schemeClr w14:val="tx1"/>
                        </w14:solidFill>
                      </w14:textFill>
                    </w:rPr>
                    <w:t>2.5</w:t>
                  </w:r>
                </w:p>
              </w:tc>
              <w:tc>
                <w:tcPr>
                  <w:tcW w:w="1780" w:type="pct"/>
                  <w:tcBorders>
                    <w:tl2br w:val="nil"/>
                    <w:tr2bl w:val="nil"/>
                  </w:tcBorders>
                  <w:vAlign w:val="center"/>
                </w:tcPr>
                <w:p w14:paraId="4BE1D67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年平均质量浓度</w:t>
                  </w:r>
                </w:p>
              </w:tc>
              <w:tc>
                <w:tcPr>
                  <w:tcW w:w="678" w:type="pct"/>
                  <w:tcBorders>
                    <w:tl2br w:val="nil"/>
                    <w:tr2bl w:val="nil"/>
                  </w:tcBorders>
                  <w:vAlign w:val="center"/>
                </w:tcPr>
                <w:p w14:paraId="31EDA86A">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36</w:t>
                  </w:r>
                </w:p>
              </w:tc>
              <w:tc>
                <w:tcPr>
                  <w:tcW w:w="612" w:type="pct"/>
                  <w:tcBorders>
                    <w:tl2br w:val="nil"/>
                    <w:tr2bl w:val="nil"/>
                  </w:tcBorders>
                  <w:vAlign w:val="center"/>
                </w:tcPr>
                <w:p w14:paraId="0562B6C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30</w:t>
                  </w:r>
                </w:p>
              </w:tc>
              <w:tc>
                <w:tcPr>
                  <w:tcW w:w="489" w:type="pct"/>
                  <w:tcBorders>
                    <w:tl2br w:val="nil"/>
                    <w:tr2bl w:val="nil"/>
                  </w:tcBorders>
                  <w:vAlign w:val="center"/>
                </w:tcPr>
                <w:p w14:paraId="370B136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120.00</w:t>
                  </w:r>
                </w:p>
              </w:tc>
              <w:tc>
                <w:tcPr>
                  <w:tcW w:w="423" w:type="pct"/>
                  <w:tcBorders>
                    <w:tl2br w:val="nil"/>
                    <w:tr2bl w:val="nil"/>
                  </w:tcBorders>
                  <w:vAlign w:val="center"/>
                </w:tcPr>
                <w:p w14:paraId="3EF48D8B">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0.20</w:t>
                  </w:r>
                </w:p>
              </w:tc>
              <w:tc>
                <w:tcPr>
                  <w:tcW w:w="549" w:type="pct"/>
                  <w:tcBorders>
                    <w:tl2br w:val="nil"/>
                    <w:tr2bl w:val="nil"/>
                  </w:tcBorders>
                  <w:vAlign w:val="center"/>
                </w:tcPr>
                <w:p w14:paraId="46E6E4A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不达标</w:t>
                  </w:r>
                </w:p>
              </w:tc>
            </w:tr>
            <w:tr w14:paraId="60C80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5" w:hRule="atLeast"/>
                <w:jc w:val="center"/>
              </w:trPr>
              <w:tc>
                <w:tcPr>
                  <w:tcW w:w="466" w:type="pct"/>
                  <w:vMerge w:val="continue"/>
                  <w:tcBorders>
                    <w:tl2br w:val="nil"/>
                    <w:tr2bl w:val="nil"/>
                  </w:tcBorders>
                  <w:vAlign w:val="center"/>
                </w:tcPr>
                <w:p w14:paraId="3F2DC955">
                  <w:pPr>
                    <w:spacing w:line="240" w:lineRule="auto"/>
                    <w:ind w:firstLine="0" w:firstLineChars="0"/>
                    <w:jc w:val="center"/>
                    <w:rPr>
                      <w:color w:val="000000" w:themeColor="text1"/>
                      <w:sz w:val="21"/>
                      <w14:textFill>
                        <w14:solidFill>
                          <w14:schemeClr w14:val="tx1"/>
                        </w14:solidFill>
                      </w14:textFill>
                    </w:rPr>
                  </w:pPr>
                </w:p>
              </w:tc>
              <w:tc>
                <w:tcPr>
                  <w:tcW w:w="1780" w:type="pct"/>
                  <w:tcBorders>
                    <w:tl2br w:val="nil"/>
                    <w:tr2bl w:val="nil"/>
                  </w:tcBorders>
                  <w:vAlign w:val="center"/>
                </w:tcPr>
                <w:p w14:paraId="5A91A8FB">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第95百分位数日平均浓度</w:t>
                  </w:r>
                </w:p>
              </w:tc>
              <w:tc>
                <w:tcPr>
                  <w:tcW w:w="678" w:type="pct"/>
                  <w:tcBorders>
                    <w:tl2br w:val="nil"/>
                    <w:tr2bl w:val="nil"/>
                  </w:tcBorders>
                  <w:vAlign w:val="center"/>
                </w:tcPr>
                <w:p w14:paraId="210C7CA1">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79</w:t>
                  </w:r>
                </w:p>
              </w:tc>
              <w:tc>
                <w:tcPr>
                  <w:tcW w:w="612" w:type="pct"/>
                  <w:tcBorders>
                    <w:tl2br w:val="nil"/>
                    <w:tr2bl w:val="nil"/>
                  </w:tcBorders>
                  <w:vAlign w:val="center"/>
                </w:tcPr>
                <w:p w14:paraId="7715DEFD">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60</w:t>
                  </w:r>
                </w:p>
              </w:tc>
              <w:tc>
                <w:tcPr>
                  <w:tcW w:w="489" w:type="pct"/>
                  <w:tcBorders>
                    <w:tl2br w:val="nil"/>
                    <w:tr2bl w:val="nil"/>
                  </w:tcBorders>
                  <w:vAlign w:val="center"/>
                </w:tcPr>
                <w:p w14:paraId="1D187A16">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131.67</w:t>
                  </w:r>
                </w:p>
              </w:tc>
              <w:tc>
                <w:tcPr>
                  <w:tcW w:w="423" w:type="pct"/>
                  <w:tcBorders>
                    <w:tl2br w:val="nil"/>
                    <w:tr2bl w:val="nil"/>
                  </w:tcBorders>
                  <w:vAlign w:val="center"/>
                </w:tcPr>
                <w:p w14:paraId="4F10604E">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0.32</w:t>
                  </w:r>
                </w:p>
              </w:tc>
              <w:tc>
                <w:tcPr>
                  <w:tcW w:w="549" w:type="pct"/>
                  <w:tcBorders>
                    <w:tl2br w:val="nil"/>
                    <w:tr2bl w:val="nil"/>
                  </w:tcBorders>
                  <w:vAlign w:val="center"/>
                </w:tcPr>
                <w:p w14:paraId="424B60A9">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不达标</w:t>
                  </w:r>
                </w:p>
              </w:tc>
            </w:tr>
          </w:tbl>
          <w:p w14:paraId="74129B17">
            <w:pPr>
              <w:ind w:firstLine="480"/>
            </w:pPr>
            <w:r>
              <w:rPr>
                <w:rFonts w:hint="eastAsia"/>
              </w:rPr>
              <w:t>根据上述评价结果，库尔勒经济技术开发区国控空气自动监测站2024年</w:t>
            </w:r>
            <w:r>
              <w:rPr>
                <w:kern w:val="0"/>
              </w:rPr>
              <w:t>各项污染物除PM</w:t>
            </w:r>
            <w:r>
              <w:rPr>
                <w:kern w:val="0"/>
                <w:vertAlign w:val="subscript"/>
              </w:rPr>
              <w:t>10</w:t>
            </w:r>
            <w:r>
              <w:rPr>
                <w:kern w:val="0"/>
              </w:rPr>
              <w:t>、PM</w:t>
            </w:r>
            <w:r>
              <w:rPr>
                <w:kern w:val="0"/>
                <w:vertAlign w:val="subscript"/>
              </w:rPr>
              <w:t>2.5</w:t>
            </w:r>
            <w:r>
              <w:rPr>
                <w:kern w:val="0"/>
              </w:rPr>
              <w:t>外，SO</w:t>
            </w:r>
            <w:r>
              <w:rPr>
                <w:kern w:val="0"/>
                <w:vertAlign w:val="subscript"/>
              </w:rPr>
              <w:t>2</w:t>
            </w:r>
            <w:r>
              <w:rPr>
                <w:kern w:val="0"/>
              </w:rPr>
              <w:t>日均浓度、NO</w:t>
            </w:r>
            <w:r>
              <w:rPr>
                <w:kern w:val="0"/>
                <w:vertAlign w:val="subscript"/>
              </w:rPr>
              <w:t>2</w:t>
            </w:r>
            <w:r>
              <w:rPr>
                <w:kern w:val="0"/>
              </w:rPr>
              <w:t>日均浓度及CO日平均第95百分位数浓度、O</w:t>
            </w:r>
            <w:r>
              <w:rPr>
                <w:kern w:val="0"/>
                <w:vertAlign w:val="subscript"/>
              </w:rPr>
              <w:t>3</w:t>
            </w:r>
            <w:r>
              <w:rPr>
                <w:rFonts w:hint="eastAsia"/>
                <w:kern w:val="0"/>
              </w:rPr>
              <w:t>-</w:t>
            </w:r>
            <w:r>
              <w:rPr>
                <w:kern w:val="0"/>
              </w:rPr>
              <w:t>8小时第90百分位数浓度满足《环境空气质量标准》（GB3095-20</w:t>
            </w:r>
            <w:r>
              <w:rPr>
                <w:rFonts w:hint="eastAsia"/>
                <w:kern w:val="0"/>
              </w:rPr>
              <w:t>26</w:t>
            </w:r>
            <w:r>
              <w:rPr>
                <w:kern w:val="0"/>
              </w:rPr>
              <w:t>）中二级标准限值要求，除PM</w:t>
            </w:r>
            <w:r>
              <w:rPr>
                <w:kern w:val="0"/>
                <w:vertAlign w:val="subscript"/>
              </w:rPr>
              <w:t>10</w:t>
            </w:r>
            <w:r>
              <w:rPr>
                <w:kern w:val="0"/>
              </w:rPr>
              <w:t>、PM</w:t>
            </w:r>
            <w:r>
              <w:rPr>
                <w:kern w:val="0"/>
                <w:vertAlign w:val="subscript"/>
              </w:rPr>
              <w:t>2.5</w:t>
            </w:r>
            <w:r>
              <w:rPr>
                <w:kern w:val="0"/>
              </w:rPr>
              <w:t>外，</w:t>
            </w:r>
            <w:r>
              <w:rPr>
                <w:rFonts w:hint="eastAsia"/>
                <w:kern w:val="0"/>
              </w:rPr>
              <w:t>SO</w:t>
            </w:r>
            <w:r>
              <w:rPr>
                <w:rFonts w:hint="eastAsia"/>
                <w:kern w:val="0"/>
                <w:vertAlign w:val="subscript"/>
              </w:rPr>
              <w:t>2</w:t>
            </w:r>
            <w:r>
              <w:rPr>
                <w:rFonts w:hint="eastAsia"/>
                <w:kern w:val="0"/>
              </w:rPr>
              <w:t>、NO</w:t>
            </w:r>
            <w:r>
              <w:rPr>
                <w:rFonts w:hint="eastAsia"/>
                <w:kern w:val="0"/>
                <w:vertAlign w:val="subscript"/>
              </w:rPr>
              <w:t>2</w:t>
            </w:r>
            <w:r>
              <w:rPr>
                <w:kern w:val="0"/>
              </w:rPr>
              <w:t>年平均值浓度满足《环境空气质量标准》（GB3095-20</w:t>
            </w:r>
            <w:r>
              <w:rPr>
                <w:rFonts w:hint="eastAsia"/>
                <w:kern w:val="0"/>
              </w:rPr>
              <w:t>26</w:t>
            </w:r>
            <w:r>
              <w:rPr>
                <w:kern w:val="0"/>
              </w:rPr>
              <w:t>）</w:t>
            </w:r>
            <w:r>
              <w:t>中</w:t>
            </w:r>
            <w:r>
              <w:rPr>
                <w:rFonts w:hint="eastAsia"/>
              </w:rPr>
              <w:t>过渡阶段</w:t>
            </w:r>
            <w:r>
              <w:t>二级标准</w:t>
            </w:r>
            <w:r>
              <w:rPr>
                <w:rFonts w:hint="eastAsia"/>
              </w:rPr>
              <w:t>浓度限制</w:t>
            </w:r>
            <w:r>
              <w:rPr>
                <w:kern w:val="0"/>
              </w:rPr>
              <w:t>，超标原因主要为当地干旱、大风、扬尘等气候原因，统计数据未扣除沙尘天气的监测值。</w:t>
            </w:r>
          </w:p>
          <w:p w14:paraId="702B75BA">
            <w:pPr>
              <w:pStyle w:val="3"/>
              <w:rPr>
                <w:color w:val="000000" w:themeColor="text1"/>
                <w14:textFill>
                  <w14:solidFill>
                    <w14:schemeClr w14:val="tx1"/>
                  </w14:solidFill>
                </w14:textFill>
              </w:rPr>
            </w:pPr>
            <w:r>
              <w:rPr>
                <w:color w:val="000000" w:themeColor="text1"/>
                <w14:textFill>
                  <w14:solidFill>
                    <w14:schemeClr w14:val="tx1"/>
                  </w14:solidFill>
                </w14:textFill>
              </w:rPr>
              <w:t>3.1.1</w:t>
            </w:r>
            <w:r>
              <w:rPr>
                <w:rFonts w:hint="eastAsia"/>
                <w:color w:val="000000" w:themeColor="text1"/>
                <w14:textFill>
                  <w14:solidFill>
                    <w14:schemeClr w14:val="tx1"/>
                  </w14:solidFill>
                </w14:textFill>
              </w:rPr>
              <w:t>其他污染物质量现状评价</w:t>
            </w:r>
          </w:p>
          <w:p w14:paraId="4E504E44">
            <w:pPr>
              <w:numPr>
                <w:ilvl w:val="0"/>
                <w:numId w:val="1"/>
              </w:num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监测布点</w:t>
            </w:r>
          </w:p>
          <w:p w14:paraId="79D75D8B">
            <w:pPr>
              <w:ind w:firstLine="480"/>
              <w:textAlignment w:val="auto"/>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大气环境现状监测依据《建设项目环境影响报告表编制技术指南（污染影响类）（试行）》中监测点设置要求，本次评价选择《库尔勒经济技术开发区国土空间总体规划（2021</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2035年）》环境影响评价现状监测报告中的监测数据，作为本项目环境空气现状评价基本污染物的数据来源。监测点位于本项目东</w:t>
            </w:r>
            <w:r>
              <w:rPr>
                <w:rFonts w:hint="eastAsia" w:cs="Times New Roman"/>
                <w:color w:val="000000" w:themeColor="text1"/>
                <w14:textFill>
                  <w14:solidFill>
                    <w14:schemeClr w14:val="tx1"/>
                  </w14:solidFill>
                </w14:textFill>
              </w:rPr>
              <w:t>南</w:t>
            </w:r>
            <w:r>
              <w:rPr>
                <w:rFonts w:cs="Times New Roman"/>
                <w:color w:val="000000" w:themeColor="text1"/>
                <w14:textFill>
                  <w14:solidFill>
                    <w14:schemeClr w14:val="tx1"/>
                  </w14:solidFill>
                </w14:textFill>
              </w:rPr>
              <w:t>侧，距离约为4.9公里，坐标：经度86.124743°、纬度41.586413°。</w:t>
            </w:r>
          </w:p>
          <w:p w14:paraId="562C8B57">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 xml:space="preserve">3-2  </w:t>
            </w:r>
            <w:r>
              <w:rPr>
                <w:rFonts w:hint="eastAsia"/>
                <w:b/>
                <w:color w:val="000000" w:themeColor="text1"/>
                <w:sz w:val="21"/>
                <w14:textFill>
                  <w14:solidFill>
                    <w14:schemeClr w14:val="tx1"/>
                  </w14:solidFill>
                </w14:textFill>
              </w:rPr>
              <w:t>特征污染物监测点位基本信息</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72"/>
              <w:gridCol w:w="1121"/>
              <w:gridCol w:w="1757"/>
              <w:gridCol w:w="1368"/>
              <w:gridCol w:w="1390"/>
              <w:gridCol w:w="1367"/>
            </w:tblGrid>
            <w:tr w14:paraId="54EF3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3" w:hRule="atLeast"/>
              </w:trPr>
              <w:tc>
                <w:tcPr>
                  <w:tcW w:w="819" w:type="pct"/>
                  <w:vAlign w:val="center"/>
                </w:tcPr>
                <w:p w14:paraId="05EA6D8A">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监测点名称</w:t>
                  </w:r>
                </w:p>
              </w:tc>
              <w:tc>
                <w:tcPr>
                  <w:tcW w:w="669" w:type="pct"/>
                  <w:vAlign w:val="center"/>
                </w:tcPr>
                <w:p w14:paraId="0D78EDF3">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监测因子</w:t>
                  </w:r>
                </w:p>
              </w:tc>
              <w:tc>
                <w:tcPr>
                  <w:tcW w:w="1049" w:type="pct"/>
                  <w:vAlign w:val="center"/>
                </w:tcPr>
                <w:p w14:paraId="734D3A3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监测时段</w:t>
                  </w:r>
                </w:p>
              </w:tc>
              <w:tc>
                <w:tcPr>
                  <w:tcW w:w="817" w:type="pct"/>
                  <w:vAlign w:val="center"/>
                </w:tcPr>
                <w:p w14:paraId="74BE95D5">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相对方位</w:t>
                  </w:r>
                </w:p>
              </w:tc>
              <w:tc>
                <w:tcPr>
                  <w:tcW w:w="830" w:type="pct"/>
                  <w:vAlign w:val="center"/>
                </w:tcPr>
                <w:p w14:paraId="4E870E61">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相对距离</w:t>
                  </w:r>
                  <w:r>
                    <w:rPr>
                      <w:color w:val="000000" w:themeColor="text1"/>
                      <w:sz w:val="21"/>
                      <w14:textFill>
                        <w14:solidFill>
                          <w14:schemeClr w14:val="tx1"/>
                        </w14:solidFill>
                      </w14:textFill>
                    </w:rPr>
                    <w:t>/m</w:t>
                  </w:r>
                </w:p>
              </w:tc>
              <w:tc>
                <w:tcPr>
                  <w:tcW w:w="817" w:type="pct"/>
                  <w:vAlign w:val="center"/>
                </w:tcPr>
                <w:p w14:paraId="2E3F7EC6">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数据来源</w:t>
                  </w:r>
                </w:p>
              </w:tc>
            </w:tr>
            <w:tr w14:paraId="2E33D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19" w:type="pct"/>
                  <w:vAlign w:val="center"/>
                </w:tcPr>
                <w:p w14:paraId="78E1D144">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项目区东南侧</w:t>
                  </w:r>
                  <w:r>
                    <w:rPr>
                      <w:color w:val="000000" w:themeColor="text1"/>
                      <w:sz w:val="21"/>
                      <w14:textFill>
                        <w14:solidFill>
                          <w14:schemeClr w14:val="tx1"/>
                        </w14:solidFill>
                      </w14:textFill>
                    </w:rPr>
                    <w:t>4900m</w:t>
                  </w:r>
                </w:p>
              </w:tc>
              <w:tc>
                <w:tcPr>
                  <w:tcW w:w="669" w:type="pct"/>
                  <w:vAlign w:val="center"/>
                </w:tcPr>
                <w:p w14:paraId="0A26086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1049" w:type="pct"/>
                  <w:vAlign w:val="center"/>
                </w:tcPr>
                <w:p w14:paraId="701D2411">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24小时均值</w:t>
                  </w:r>
                </w:p>
              </w:tc>
              <w:tc>
                <w:tcPr>
                  <w:tcW w:w="817" w:type="pct"/>
                  <w:vAlign w:val="center"/>
                </w:tcPr>
                <w:p w14:paraId="28FD9969">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东南</w:t>
                  </w:r>
                </w:p>
              </w:tc>
              <w:tc>
                <w:tcPr>
                  <w:tcW w:w="830" w:type="pct"/>
                  <w:vAlign w:val="center"/>
                </w:tcPr>
                <w:p w14:paraId="23F3271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4900</w:t>
                  </w:r>
                </w:p>
              </w:tc>
              <w:tc>
                <w:tcPr>
                  <w:tcW w:w="817" w:type="pct"/>
                  <w:vAlign w:val="center"/>
                </w:tcPr>
                <w:p w14:paraId="422F5DF2">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引用数据</w:t>
                  </w:r>
                </w:p>
              </w:tc>
            </w:tr>
          </w:tbl>
          <w:p w14:paraId="15B5A7FB">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w:t>
            </w:r>
            <w:r>
              <w:rPr>
                <w:rFonts w:hint="eastAsia" w:cs="Times New Roman"/>
                <w:color w:val="000000" w:themeColor="text1"/>
                <w14:textFill>
                  <w14:solidFill>
                    <w14:schemeClr w14:val="tx1"/>
                  </w14:solidFill>
                </w14:textFill>
              </w:rPr>
              <w:t>）监测时间及频率</w:t>
            </w:r>
          </w:p>
          <w:p w14:paraId="74FA0B3E">
            <w:pPr>
              <w:ind w:firstLine="480"/>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监测时间：</w:t>
            </w:r>
            <w:r>
              <w:rPr>
                <w:rFonts w:cs="Times New Roman"/>
                <w:color w:val="000000" w:themeColor="text1"/>
                <w14:textFill>
                  <w14:solidFill>
                    <w14:schemeClr w14:val="tx1"/>
                  </w14:solidFill>
                </w14:textFill>
              </w:rPr>
              <w:t>2025</w:t>
            </w:r>
            <w:r>
              <w:rPr>
                <w:rFonts w:hint="eastAsia" w:cs="Times New Roman"/>
                <w:color w:val="000000" w:themeColor="text1"/>
                <w14:textFill>
                  <w14:solidFill>
                    <w14:schemeClr w14:val="tx1"/>
                  </w14:solidFill>
                </w14:textFill>
              </w:rPr>
              <w:t>年</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日至</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月</w:t>
            </w:r>
            <w:r>
              <w:rPr>
                <w:rFonts w:cs="Times New Roman"/>
                <w:color w:val="000000" w:themeColor="text1"/>
                <w14:textFill>
                  <w14:solidFill>
                    <w14:schemeClr w14:val="tx1"/>
                  </w14:solidFill>
                </w14:textFill>
              </w:rPr>
              <w:t>10</w:t>
            </w:r>
            <w:r>
              <w:rPr>
                <w:rFonts w:hint="eastAsia" w:cs="Times New Roman"/>
                <w:color w:val="000000" w:themeColor="text1"/>
                <w14:textFill>
                  <w14:solidFill>
                    <w14:schemeClr w14:val="tx1"/>
                  </w14:solidFill>
                </w14:textFill>
              </w:rPr>
              <w:t>日，</w:t>
            </w:r>
            <w:r>
              <w:rPr>
                <w:rFonts w:hint="eastAsia"/>
                <w:color w:val="000000" w:themeColor="text1"/>
                <w14:textFill>
                  <w14:solidFill>
                    <w14:schemeClr w14:val="tx1"/>
                  </w14:solidFill>
                </w14:textFill>
              </w:rPr>
              <w:t>连续采样监测7天，由新疆中测测试有限责任公司完成。</w:t>
            </w:r>
          </w:p>
          <w:p w14:paraId="378E392B">
            <w:pPr>
              <w:ind w:firstLine="480"/>
              <w:rPr>
                <w:color w:val="000000" w:themeColor="text1"/>
                <w14:textFill>
                  <w14:solidFill>
                    <w14:schemeClr w14:val="tx1"/>
                  </w14:solidFill>
                </w14:textFill>
              </w:rPr>
            </w:pPr>
            <w:r>
              <w:rPr>
                <w:color w:val="000000" w:themeColor="text1"/>
                <w14:textFill>
                  <w14:solidFill>
                    <w14:schemeClr w14:val="tx1"/>
                  </w14:solidFill>
                </w14:textFill>
              </w:rPr>
              <w:t>TSP</w:t>
            </w:r>
            <w:r>
              <w:rPr>
                <w:rFonts w:hint="eastAsia"/>
                <w:color w:val="000000" w:themeColor="text1"/>
                <w14:textFill>
                  <w14:solidFill>
                    <w14:schemeClr w14:val="tx1"/>
                  </w14:solidFill>
                </w14:textFill>
              </w:rPr>
              <w:t>每日监测</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次日均值。</w:t>
            </w:r>
          </w:p>
          <w:p w14:paraId="6633F2F9">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）监测结果及评价</w:t>
            </w:r>
          </w:p>
          <w:p w14:paraId="71FD17D1">
            <w:pPr>
              <w:ind w:firstLine="480"/>
              <w:textAlignment w:val="auto"/>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特征污染物环境质量现状监测结果见表</w:t>
            </w:r>
            <w:r>
              <w:rPr>
                <w:rFonts w:cs="Times New Roman"/>
                <w:color w:val="000000" w:themeColor="text1"/>
                <w14:textFill>
                  <w14:solidFill>
                    <w14:schemeClr w14:val="tx1"/>
                  </w14:solidFill>
                </w14:textFill>
              </w:rPr>
              <w:t>3-3</w:t>
            </w:r>
            <w:r>
              <w:rPr>
                <w:rFonts w:hint="eastAsia" w:cs="Times New Roman"/>
                <w:color w:val="000000" w:themeColor="text1"/>
                <w14:textFill>
                  <w14:solidFill>
                    <w14:schemeClr w14:val="tx1"/>
                  </w14:solidFill>
                </w14:textFill>
              </w:rPr>
              <w:t>。</w:t>
            </w:r>
          </w:p>
          <w:p w14:paraId="15879335">
            <w:pPr>
              <w:spacing w:before="163" w:beforeLines="50" w:line="240" w:lineRule="auto"/>
              <w:ind w:firstLine="0" w:firstLineChars="0"/>
              <w:jc w:val="center"/>
              <w:rPr>
                <w:b/>
                <w:color w:val="000000" w:themeColor="text1"/>
                <w:sz w:val="21"/>
                <w14:textFill>
                  <w14:solidFill>
                    <w14:schemeClr w14:val="tx1"/>
                  </w14:solidFill>
                </w14:textFill>
              </w:rPr>
            </w:pPr>
            <w:r>
              <w:rPr>
                <w:rFonts w:hint="eastAsia"/>
                <w:b/>
                <w:color w:val="000000" w:themeColor="text1"/>
                <w:sz w:val="21"/>
                <w14:textFill>
                  <w14:solidFill>
                    <w14:schemeClr w14:val="tx1"/>
                  </w14:solidFill>
                </w14:textFill>
              </w:rPr>
              <w:t>表</w:t>
            </w:r>
            <w:r>
              <w:rPr>
                <w:b/>
                <w:color w:val="000000" w:themeColor="text1"/>
                <w:sz w:val="21"/>
                <w14:textFill>
                  <w14:solidFill>
                    <w14:schemeClr w14:val="tx1"/>
                  </w14:solidFill>
                </w14:textFill>
              </w:rPr>
              <w:t>3-3</w:t>
            </w:r>
            <w:r>
              <w:rPr>
                <w:rFonts w:hint="eastAsia"/>
                <w:b/>
                <w:color w:val="000000" w:themeColor="text1"/>
                <w:sz w:val="21"/>
                <w14:textFill>
                  <w14:solidFill>
                    <w14:schemeClr w14:val="tx1"/>
                  </w14:solidFill>
                </w14:textFill>
              </w:rPr>
              <w:t xml:space="preserve">  特征污染物环境质量现状监测结果</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51"/>
              <w:gridCol w:w="799"/>
              <w:gridCol w:w="1040"/>
              <w:gridCol w:w="1255"/>
              <w:gridCol w:w="1630"/>
              <w:gridCol w:w="1161"/>
              <w:gridCol w:w="846"/>
              <w:gridCol w:w="893"/>
            </w:tblGrid>
            <w:tr w14:paraId="53F6A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49" w:type="pct"/>
                  <w:vAlign w:val="center"/>
                </w:tcPr>
                <w:p w14:paraId="0D27097C">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w:t>
                  </w:r>
                </w:p>
                <w:p w14:paraId="2DA39A7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点位</w:t>
                  </w:r>
                </w:p>
              </w:tc>
              <w:tc>
                <w:tcPr>
                  <w:tcW w:w="477" w:type="pct"/>
                  <w:vAlign w:val="center"/>
                </w:tcPr>
                <w:p w14:paraId="786A68FA">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污染物</w:t>
                  </w:r>
                </w:p>
              </w:tc>
              <w:tc>
                <w:tcPr>
                  <w:tcW w:w="621" w:type="pct"/>
                  <w:vAlign w:val="center"/>
                </w:tcPr>
                <w:p w14:paraId="254A282C">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平均</w:t>
                  </w:r>
                </w:p>
                <w:p w14:paraId="28F3E273">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时间</w:t>
                  </w:r>
                </w:p>
              </w:tc>
              <w:tc>
                <w:tcPr>
                  <w:tcW w:w="749" w:type="pct"/>
                  <w:vAlign w:val="center"/>
                </w:tcPr>
                <w:p w14:paraId="2F430DAD">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评价标准</w:t>
                  </w:r>
                  <w:r>
                    <w:rPr>
                      <w:rFonts w:cs="Times New Roman"/>
                      <w:color w:val="000000" w:themeColor="text1"/>
                      <w:sz w:val="21"/>
                      <w14:textFill>
                        <w14:solidFill>
                          <w14:schemeClr w14:val="tx1"/>
                        </w14:solidFill>
                      </w14:textFill>
                    </w:rPr>
                    <w:t>（mg/m</w:t>
                  </w:r>
                  <w:r>
                    <w:rPr>
                      <w:rFonts w:cs="Times New Roman"/>
                      <w:color w:val="000000" w:themeColor="text1"/>
                      <w:sz w:val="21"/>
                      <w:vertAlign w:val="superscript"/>
                      <w14:textFill>
                        <w14:solidFill>
                          <w14:schemeClr w14:val="tx1"/>
                        </w14:solidFill>
                      </w14:textFill>
                    </w:rPr>
                    <w:t>3</w:t>
                  </w:r>
                  <w:r>
                    <w:rPr>
                      <w:rFonts w:cs="Times New Roman"/>
                      <w:color w:val="000000" w:themeColor="text1"/>
                      <w:sz w:val="21"/>
                      <w14:textFill>
                        <w14:solidFill>
                          <w14:schemeClr w14:val="tx1"/>
                        </w14:solidFill>
                      </w14:textFill>
                    </w:rPr>
                    <w:t>）</w:t>
                  </w:r>
                </w:p>
              </w:tc>
              <w:tc>
                <w:tcPr>
                  <w:tcW w:w="973" w:type="pct"/>
                  <w:vAlign w:val="center"/>
                </w:tcPr>
                <w:p w14:paraId="3A706CA8">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监测浓度范围（mg/m</w:t>
                  </w:r>
                  <w:r>
                    <w:rPr>
                      <w:color w:val="000000" w:themeColor="text1"/>
                      <w:sz w:val="21"/>
                      <w:vertAlign w:val="superscript"/>
                      <w14:textFill>
                        <w14:solidFill>
                          <w14:schemeClr w14:val="tx1"/>
                        </w14:solidFill>
                      </w14:textFill>
                    </w:rPr>
                    <w:t>3</w:t>
                  </w:r>
                  <w:r>
                    <w:rPr>
                      <w:color w:val="000000" w:themeColor="text1"/>
                      <w:sz w:val="21"/>
                      <w14:textFill>
                        <w14:solidFill>
                          <w14:schemeClr w14:val="tx1"/>
                        </w14:solidFill>
                      </w14:textFill>
                    </w:rPr>
                    <w:t>）</w:t>
                  </w:r>
                </w:p>
              </w:tc>
              <w:tc>
                <w:tcPr>
                  <w:tcW w:w="693" w:type="pct"/>
                  <w:vAlign w:val="center"/>
                </w:tcPr>
                <w:p w14:paraId="06053576">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最大浓度占标率%</w:t>
                  </w:r>
                </w:p>
              </w:tc>
              <w:tc>
                <w:tcPr>
                  <w:tcW w:w="505" w:type="pct"/>
                  <w:vAlign w:val="center"/>
                </w:tcPr>
                <w:p w14:paraId="10E0ADD6">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超标率%</w:t>
                  </w:r>
                </w:p>
              </w:tc>
              <w:tc>
                <w:tcPr>
                  <w:tcW w:w="533" w:type="pct"/>
                  <w:vAlign w:val="center"/>
                </w:tcPr>
                <w:p w14:paraId="1679A68A">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达标情况</w:t>
                  </w:r>
                </w:p>
              </w:tc>
            </w:tr>
            <w:tr w14:paraId="04D8C7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7" w:hRule="atLeast"/>
              </w:trPr>
              <w:tc>
                <w:tcPr>
                  <w:tcW w:w="449" w:type="pct"/>
                  <w:vAlign w:val="center"/>
                </w:tcPr>
                <w:p w14:paraId="397108B5">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01</w:t>
                  </w:r>
                </w:p>
              </w:tc>
              <w:tc>
                <w:tcPr>
                  <w:tcW w:w="477" w:type="pct"/>
                  <w:vAlign w:val="center"/>
                </w:tcPr>
                <w:p w14:paraId="4067D934">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TSP</w:t>
                  </w:r>
                </w:p>
              </w:tc>
              <w:tc>
                <w:tcPr>
                  <w:tcW w:w="621" w:type="pct"/>
                  <w:vAlign w:val="center"/>
                </w:tcPr>
                <w:p w14:paraId="6B04645F">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24小时</w:t>
                  </w:r>
                </w:p>
              </w:tc>
              <w:tc>
                <w:tcPr>
                  <w:tcW w:w="749" w:type="pct"/>
                  <w:vAlign w:val="center"/>
                </w:tcPr>
                <w:p w14:paraId="228B917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0.3</w:t>
                  </w:r>
                </w:p>
              </w:tc>
              <w:tc>
                <w:tcPr>
                  <w:tcW w:w="973" w:type="pct"/>
                  <w:vAlign w:val="center"/>
                </w:tcPr>
                <w:p w14:paraId="5F584CEF">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0.217</w:t>
                  </w:r>
                  <w:r>
                    <w:rPr>
                      <w:rFonts w:hint="eastAsia"/>
                      <w:color w:val="000000" w:themeColor="text1"/>
                      <w:sz w:val="21"/>
                      <w14:textFill>
                        <w14:solidFill>
                          <w14:schemeClr w14:val="tx1"/>
                        </w14:solidFill>
                      </w14:textFill>
                    </w:rPr>
                    <w:t>~</w:t>
                  </w:r>
                  <w:r>
                    <w:rPr>
                      <w:color w:val="000000" w:themeColor="text1"/>
                      <w:sz w:val="21"/>
                      <w14:textFill>
                        <w14:solidFill>
                          <w14:schemeClr w14:val="tx1"/>
                        </w14:solidFill>
                      </w14:textFill>
                    </w:rPr>
                    <w:t>0.701</w:t>
                  </w:r>
                </w:p>
              </w:tc>
              <w:tc>
                <w:tcPr>
                  <w:tcW w:w="693" w:type="pct"/>
                  <w:vAlign w:val="center"/>
                </w:tcPr>
                <w:p w14:paraId="598C4A55">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233.7</w:t>
                  </w:r>
                </w:p>
              </w:tc>
              <w:tc>
                <w:tcPr>
                  <w:tcW w:w="505" w:type="pct"/>
                  <w:vAlign w:val="center"/>
                </w:tcPr>
                <w:p w14:paraId="760C9317">
                  <w:pPr>
                    <w:spacing w:line="240" w:lineRule="auto"/>
                    <w:ind w:firstLine="0" w:firstLineChars="0"/>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42.9</w:t>
                  </w:r>
                </w:p>
              </w:tc>
              <w:tc>
                <w:tcPr>
                  <w:tcW w:w="533" w:type="pct"/>
                  <w:vAlign w:val="center"/>
                </w:tcPr>
                <w:p w14:paraId="5B73CEFE">
                  <w:pPr>
                    <w:spacing w:line="240" w:lineRule="auto"/>
                    <w:ind w:firstLine="0" w:firstLineChars="0"/>
                    <w:jc w:val="center"/>
                    <w:rPr>
                      <w:color w:val="000000" w:themeColor="text1"/>
                      <w:sz w:val="21"/>
                      <w14:textFill>
                        <w14:solidFill>
                          <w14:schemeClr w14:val="tx1"/>
                        </w14:solidFill>
                      </w14:textFill>
                    </w:rPr>
                  </w:pPr>
                  <w:r>
                    <w:rPr>
                      <w:rFonts w:hint="eastAsia"/>
                      <w:color w:val="000000" w:themeColor="text1"/>
                      <w:sz w:val="21"/>
                      <w14:textFill>
                        <w14:solidFill>
                          <w14:schemeClr w14:val="tx1"/>
                        </w14:solidFill>
                      </w14:textFill>
                    </w:rPr>
                    <w:t>不</w:t>
                  </w:r>
                  <w:r>
                    <w:rPr>
                      <w:color w:val="000000" w:themeColor="text1"/>
                      <w:sz w:val="21"/>
                      <w14:textFill>
                        <w14:solidFill>
                          <w14:schemeClr w14:val="tx1"/>
                        </w14:solidFill>
                      </w14:textFill>
                    </w:rPr>
                    <w:t>达标</w:t>
                  </w:r>
                </w:p>
              </w:tc>
            </w:tr>
          </w:tbl>
          <w:p w14:paraId="0B575E50">
            <w:pPr>
              <w:ind w:firstLine="480"/>
              <w:rPr>
                <w:b/>
                <w:color w:val="000000" w:themeColor="text1"/>
                <w14:textFill>
                  <w14:solidFill>
                    <w14:schemeClr w14:val="tx1"/>
                  </w14:solidFill>
                </w14:textFill>
              </w:rPr>
            </w:pPr>
            <w:r>
              <w:rPr>
                <w:rFonts w:hint="eastAsia" w:cs="Times New Roman"/>
                <w:color w:val="000000" w:themeColor="text1"/>
                <w:kern w:val="0"/>
                <w14:textFill>
                  <w14:solidFill>
                    <w14:schemeClr w14:val="tx1"/>
                  </w14:solidFill>
                </w14:textFill>
              </w:rPr>
              <w:t>从监测结果可知，</w:t>
            </w:r>
            <w:r>
              <w:rPr>
                <w:rFonts w:cs="Times New Roman"/>
                <w:color w:val="000000" w:themeColor="text1"/>
                <w14:textFill>
                  <w14:solidFill>
                    <w14:schemeClr w14:val="tx1"/>
                  </w14:solidFill>
                </w14:textFill>
              </w:rPr>
              <w:t>TSP</w:t>
            </w:r>
            <w:r>
              <w:rPr>
                <w:rFonts w:hint="eastAsia" w:cs="Times New Roman"/>
                <w:color w:val="000000" w:themeColor="text1"/>
                <w14:textFill>
                  <w14:solidFill>
                    <w14:schemeClr w14:val="tx1"/>
                  </w14:solidFill>
                </w14:textFill>
              </w:rPr>
              <w:t>超过《环境空气质量标准》（</w:t>
            </w:r>
            <w:r>
              <w:rPr>
                <w:rFonts w:cs="Times New Roman"/>
                <w:color w:val="000000" w:themeColor="text1"/>
                <w14:textFill>
                  <w14:solidFill>
                    <w14:schemeClr w14:val="tx1"/>
                  </w14:solidFill>
                </w14:textFill>
              </w:rPr>
              <w:t>GB3095</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2026</w:t>
            </w:r>
            <w:r>
              <w:rPr>
                <w:rFonts w:hint="eastAsia" w:cs="Times New Roman"/>
                <w:color w:val="000000" w:themeColor="text1"/>
                <w14:textFill>
                  <w14:solidFill>
                    <w14:schemeClr w14:val="tx1"/>
                  </w14:solidFill>
                </w14:textFill>
              </w:rPr>
              <w:t>）中的二级标准限值要求，最大浓度占标率为</w:t>
            </w:r>
            <w:r>
              <w:rPr>
                <w:rFonts w:cs="Times New Roman"/>
                <w:color w:val="000000" w:themeColor="text1"/>
                <w14:textFill>
                  <w14:solidFill>
                    <w14:schemeClr w14:val="tx1"/>
                  </w14:solidFill>
                </w14:textFill>
              </w:rPr>
              <w:t>233.7%</w:t>
            </w:r>
            <w:r>
              <w:rPr>
                <w:rFonts w:hint="eastAsia" w:cs="Times New Roman"/>
                <w:color w:val="000000" w:themeColor="text1"/>
                <w14:textFill>
                  <w14:solidFill>
                    <w14:schemeClr w14:val="tx1"/>
                  </w14:solidFill>
                </w14:textFill>
              </w:rPr>
              <w:t>，最大超标率为</w:t>
            </w:r>
            <w:r>
              <w:rPr>
                <w:rFonts w:cs="Times New Roman"/>
                <w:color w:val="000000" w:themeColor="text1"/>
                <w14:textFill>
                  <w14:solidFill>
                    <w14:schemeClr w14:val="tx1"/>
                  </w14:solidFill>
                </w14:textFill>
              </w:rPr>
              <w:t>42.9%</w:t>
            </w:r>
            <w:r>
              <w:rPr>
                <w:rFonts w:hint="eastAsia" w:cs="Times New Roman"/>
                <w:color w:val="000000" w:themeColor="text1"/>
                <w14:textFill>
                  <w14:solidFill>
                    <w14:schemeClr w14:val="tx1"/>
                  </w14:solidFill>
                </w14:textFill>
              </w:rPr>
              <w:t>，</w:t>
            </w:r>
            <w:r>
              <w:rPr>
                <w:rFonts w:hint="eastAsia" w:cs="Times New Roman"/>
                <w:color w:val="000000" w:themeColor="text1"/>
                <w:kern w:val="0"/>
                <w:szCs w:val="24"/>
                <w14:textFill>
                  <w14:solidFill>
                    <w14:schemeClr w14:val="tx1"/>
                  </w14:solidFill>
                </w14:textFill>
              </w:rPr>
              <w:t>季节性沙尘天气对环境空气质量影响很大，是造成</w:t>
            </w:r>
            <w:r>
              <w:rPr>
                <w:rFonts w:cs="Times New Roman"/>
                <w:color w:val="000000" w:themeColor="text1"/>
                <w:kern w:val="0"/>
                <w:szCs w:val="24"/>
                <w14:textFill>
                  <w14:solidFill>
                    <w14:schemeClr w14:val="tx1"/>
                  </w14:solidFill>
                </w14:textFill>
              </w:rPr>
              <w:t>TSP</w:t>
            </w:r>
            <w:r>
              <w:rPr>
                <w:rFonts w:hint="eastAsia" w:cs="Times New Roman"/>
                <w:color w:val="000000" w:themeColor="text1"/>
                <w:kern w:val="0"/>
                <w:szCs w:val="24"/>
                <w14:textFill>
                  <w14:solidFill>
                    <w14:schemeClr w14:val="tx1"/>
                  </w14:solidFill>
                </w14:textFill>
              </w:rPr>
              <w:t>空气质量不达标的主要因素。</w:t>
            </w:r>
          </w:p>
          <w:p w14:paraId="31C9DA96">
            <w:pPr>
              <w:ind w:firstLine="0" w:firstLineChars="0"/>
              <w:rPr>
                <w:color w:val="000000" w:themeColor="text1"/>
                <w14:textFill>
                  <w14:solidFill>
                    <w14:schemeClr w14:val="tx1"/>
                  </w14:solidFill>
                </w14:textFill>
              </w:rPr>
            </w:pPr>
            <w:r>
              <w:rPr>
                <w:rFonts w:hint="eastAsia"/>
                <w:b/>
                <w:color w:val="000000" w:themeColor="text1"/>
                <w14:textFill>
                  <w14:solidFill>
                    <w14:schemeClr w14:val="tx1"/>
                  </w14:solidFill>
                </w14:textFill>
              </w:rPr>
              <w:t>3.2地表水环境质量现状</w:t>
            </w:r>
          </w:p>
          <w:p w14:paraId="27D376D3">
            <w:pPr>
              <w:ind w:firstLine="480"/>
              <w:rPr>
                <w:szCs w:val="24"/>
              </w:rPr>
            </w:pPr>
            <w:bookmarkStart w:id="14" w:name="_Hlk97245670"/>
            <w:r>
              <w:rPr>
                <w:rFonts w:cs="Times New Roman"/>
                <w:color w:val="000000"/>
              </w:rPr>
              <w:t>根据《巴音郭楞蒙古自治州2024年生态环境状况公报》，2024年，全州地表水监测的31个考核断面（点位）中，Ⅰ~Ⅲ类优良水质断面（点位）占比90.3%，无Ⅳ类水质。6条主要河流19个监测断面中Ⅰ~Ⅲ类优良水质断面占100%，3个重要湖泊（水库）12个监测点位中Ⅰ~Ⅲ类优良水质断面占75%，无劣Ⅴ类水体，湖泊水质影响因子为化学需氧量</w:t>
            </w:r>
            <w:r>
              <w:rPr>
                <w:szCs w:val="24"/>
              </w:rPr>
              <w:t>。</w:t>
            </w:r>
          </w:p>
          <w:p w14:paraId="76823751">
            <w:pPr>
              <w:ind w:firstLine="480"/>
              <w:rPr>
                <w:rFonts w:cs="Times New Roman"/>
                <w:bCs/>
              </w:rPr>
            </w:pPr>
            <w:r>
              <w:rPr>
                <w:rFonts w:hint="eastAsia"/>
              </w:rPr>
              <w:t>本项目北距孔雀河13km</w:t>
            </w:r>
            <w:r>
              <w:rPr>
                <w:rFonts w:cs="Times New Roman"/>
                <w:bCs/>
              </w:rPr>
              <w:t>，</w:t>
            </w:r>
            <w:r>
              <w:rPr>
                <w:rFonts w:cs="Times New Roman"/>
                <w:color w:val="000000"/>
              </w:rPr>
              <w:t>根据《巴音郭楞蒙古自治州2024年生态环境状况公报》，6条主要河流19个监测断面中Ⅰ~Ⅲ类优良水质断面占100%，水质状况良好</w:t>
            </w:r>
            <w:r>
              <w:rPr>
                <w:rFonts w:hint="eastAsia" w:cs="Times New Roman"/>
                <w:color w:val="000000"/>
              </w:rPr>
              <w:t>，</w:t>
            </w:r>
            <w:r>
              <w:rPr>
                <w:rFonts w:cs="Times New Roman"/>
                <w:color w:val="000000"/>
              </w:rPr>
              <w:t>孔雀河水环境质量可达到《地表水环境质量标准》（GB3838-2002）Ⅲ类水质标准。</w:t>
            </w:r>
          </w:p>
          <w:bookmarkEnd w:id="14"/>
          <w:p w14:paraId="7C91273E">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3.3声环境质量现状</w:t>
            </w:r>
          </w:p>
          <w:p w14:paraId="679B696F">
            <w:pPr>
              <w:ind w:firstLine="480"/>
              <w:rPr>
                <w:rFonts w:cs="Times New Roman"/>
                <w:color w:val="000000"/>
              </w:rPr>
            </w:pPr>
            <w:r>
              <w:rPr>
                <w:rFonts w:hint="eastAsia" w:cs="Times New Roman"/>
                <w:color w:val="000000"/>
              </w:rPr>
              <w:t>根据</w:t>
            </w:r>
            <w:r>
              <w:rPr>
                <w:rFonts w:hint="eastAsia" w:cs="Times New Roman"/>
                <w:color w:val="000000"/>
                <w:lang w:val="zh-CN"/>
              </w:rPr>
              <w:t>《建设项目环境影响报告表编制技术指南（污染影响类）（试行）》</w:t>
            </w:r>
            <w:r>
              <w:rPr>
                <w:rFonts w:hint="eastAsia" w:cs="Times New Roman"/>
                <w:color w:val="000000"/>
              </w:rPr>
              <w:t>要求，本项目厂界外50m范围内无声环境敏感目标，以废旧物资回收企业为主，无需开展保护目标声环境质量现状监测。</w:t>
            </w:r>
          </w:p>
          <w:p w14:paraId="5028C787">
            <w:pPr>
              <w:pStyle w:val="4"/>
            </w:pPr>
            <w:r>
              <w:rPr>
                <w:rFonts w:hint="eastAsia"/>
              </w:rPr>
              <w:t>3.4地下水、土壤环境</w:t>
            </w:r>
          </w:p>
          <w:p w14:paraId="477B57B7">
            <w:pPr>
              <w:ind w:firstLine="480"/>
              <w:textAlignment w:val="auto"/>
              <w:rPr>
                <w:rFonts w:cs="Times New Roman"/>
                <w:color w:val="000000" w:themeColor="text1"/>
                <w14:textFill>
                  <w14:solidFill>
                    <w14:schemeClr w14:val="tx1"/>
                  </w14:solidFill>
                </w14:textFill>
              </w:rPr>
            </w:pPr>
            <w:r>
              <w:rPr>
                <w:rFonts w:hint="eastAsia" w:cs="Times New Roman"/>
              </w:rPr>
              <w:t>根据《建设项目环境影响报告表编制技术指南（污染影响类）（试行）》的相关要求：报告表原则上不开展地下水环境和土壤环境质量现状评价，建设项目存在地下水环境污染途径的，应结合污染源、保护目标分布情况开展现</w:t>
            </w:r>
            <w:r>
              <w:rPr>
                <w:rFonts w:cs="Times New Roman"/>
              </w:rPr>
              <w:t>状调查以留作背景值。</w:t>
            </w:r>
            <w:r>
              <w:rPr>
                <w:rFonts w:hint="eastAsia" w:cs="Times New Roman"/>
              </w:rPr>
              <w:t>本项目生产废水经沉淀池处理后回用，沉淀池满足一般防渗区的防渗要求，危险废物贮存点满足《危险废物贮存污染控制标准》（GB18597-2023）中关于防渗防腐的相关规定。在正常工况下，无地下水环境污染途径，因此无需开展地下水环境现状调查，亦不进行土壤和地下水环境质量现状评价</w:t>
            </w:r>
            <w:r>
              <w:rPr>
                <w:rFonts w:hint="eastAsia" w:cs="Times New Roman"/>
                <w:color w:val="000000" w:themeColor="text1"/>
                <w14:textFill>
                  <w14:solidFill>
                    <w14:schemeClr w14:val="tx1"/>
                  </w14:solidFill>
                </w14:textFill>
              </w:rPr>
              <w:t>。</w:t>
            </w:r>
          </w:p>
          <w:p w14:paraId="61E0E0DE">
            <w:pPr>
              <w:pStyle w:val="4"/>
            </w:pPr>
            <w:r>
              <w:rPr>
                <w:rFonts w:hint="eastAsia"/>
              </w:rPr>
              <w:t>3.5生态环境</w:t>
            </w:r>
          </w:p>
          <w:p w14:paraId="0B1F993E">
            <w:pPr>
              <w:ind w:firstLine="48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本项目位于库尔勒市哈拉玉宫乡废旧物资回收加工产业园</w:t>
            </w:r>
            <w:r>
              <w:rPr>
                <w:rFonts w:hint="eastAsia" w:cs="Times New Roman"/>
                <w:color w:val="000000" w:themeColor="text1"/>
                <w14:textFill>
                  <w14:solidFill>
                    <w14:schemeClr w14:val="tx1"/>
                  </w14:solidFill>
                </w14:textFill>
              </w:rPr>
              <w:t>内</w:t>
            </w:r>
            <w:r>
              <w:rPr>
                <w:rFonts w:hint="eastAsia"/>
                <w:color w:val="000000" w:themeColor="text1"/>
                <w14:textFill>
                  <w14:solidFill>
                    <w14:schemeClr w14:val="tx1"/>
                  </w14:solidFill>
                </w14:textFill>
              </w:rPr>
              <w:t>，占地范围内不涉及生态保护红线、饮用水水源保护区、风景名胜区、文物古迹等生态敏感区，区域内无珍稀濒危野生动植物存在，无生态环境保护目标存在。</w:t>
            </w:r>
          </w:p>
        </w:tc>
      </w:tr>
      <w:tr w14:paraId="62029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jc w:val="center"/>
        </w:trPr>
        <w:tc>
          <w:tcPr>
            <w:tcW w:w="233" w:type="pct"/>
            <w:vAlign w:val="center"/>
          </w:tcPr>
          <w:p w14:paraId="6A65D0FC">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环境</w:t>
            </w:r>
          </w:p>
          <w:p w14:paraId="5F0F346D">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保护</w:t>
            </w:r>
          </w:p>
          <w:p w14:paraId="655B347A">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目标</w:t>
            </w:r>
          </w:p>
        </w:tc>
        <w:tc>
          <w:tcPr>
            <w:tcW w:w="4767" w:type="pct"/>
          </w:tcPr>
          <w:p w14:paraId="76F92853">
            <w:pPr>
              <w:ind w:firstLine="0" w:firstLineChars="0"/>
              <w:rPr>
                <w:b/>
                <w:bCs/>
              </w:rPr>
            </w:pPr>
            <w:r>
              <w:rPr>
                <w:rFonts w:hint="eastAsia"/>
                <w:b/>
                <w:bCs/>
              </w:rPr>
              <w:t>1.大气环境</w:t>
            </w:r>
          </w:p>
          <w:p w14:paraId="4F8CE998">
            <w:pPr>
              <w:ind w:firstLine="480"/>
            </w:pPr>
            <w:r>
              <w:rPr>
                <w:rFonts w:hint="eastAsia"/>
              </w:rPr>
              <w:t>本项目场界外</w:t>
            </w:r>
            <w:r>
              <w:t>500m</w:t>
            </w:r>
            <w:r>
              <w:rPr>
                <w:rFonts w:hint="eastAsia"/>
              </w:rPr>
              <w:t>范围内无自然保护区、风景名胜区、居住区、文化区和农村地区中人群较集中的区域等大气环境保护目标；</w:t>
            </w:r>
          </w:p>
          <w:p w14:paraId="6BEA465B">
            <w:pPr>
              <w:ind w:firstLine="0" w:firstLineChars="0"/>
              <w:rPr>
                <w:b/>
                <w:bCs/>
              </w:rPr>
            </w:pPr>
            <w:r>
              <w:rPr>
                <w:rFonts w:hint="eastAsia"/>
                <w:b/>
                <w:bCs/>
              </w:rPr>
              <w:t>2.声环境</w:t>
            </w:r>
          </w:p>
          <w:p w14:paraId="1599FE9B">
            <w:pPr>
              <w:ind w:firstLine="480"/>
            </w:pPr>
            <w:r>
              <w:rPr>
                <w:rFonts w:hint="eastAsia"/>
              </w:rPr>
              <w:t>根据《环境影响评价技术导则 声环境》（HJ2.4-2021），声环境敏感目标指医院、学校、机关、科研单位、住宅、自然保护区等对噪声敏感的建筑物或区域。本项目场界外50m范围内无声环境保护目标；</w:t>
            </w:r>
          </w:p>
          <w:p w14:paraId="4FC9495D">
            <w:pPr>
              <w:ind w:firstLine="0" w:firstLineChars="0"/>
              <w:rPr>
                <w:b/>
                <w:bCs/>
              </w:rPr>
            </w:pPr>
            <w:r>
              <w:rPr>
                <w:rFonts w:hint="eastAsia"/>
                <w:b/>
                <w:bCs/>
              </w:rPr>
              <w:t>3.地下水环境</w:t>
            </w:r>
          </w:p>
          <w:p w14:paraId="78105271">
            <w:pPr>
              <w:ind w:firstLine="480"/>
            </w:pPr>
            <w:r>
              <w:rPr>
                <w:rFonts w:hint="eastAsia"/>
              </w:rPr>
              <w:t>本项目厂界外500m范围内无地下水集中式饮用水水源和热水、矿泉水、温泉等特殊地下水资源；</w:t>
            </w:r>
          </w:p>
          <w:p w14:paraId="2537BB34">
            <w:pPr>
              <w:ind w:firstLine="0" w:firstLineChars="0"/>
              <w:rPr>
                <w:b/>
                <w:bCs/>
              </w:rPr>
            </w:pPr>
            <w:r>
              <w:rPr>
                <w:rFonts w:hint="eastAsia"/>
                <w:b/>
                <w:bCs/>
              </w:rPr>
              <w:t>4.生态环境</w:t>
            </w:r>
          </w:p>
          <w:p w14:paraId="661580FF">
            <w:pPr>
              <w:ind w:firstLine="480"/>
              <w:rPr>
                <w:color w:val="000000" w:themeColor="text1"/>
                <w14:textFill>
                  <w14:solidFill>
                    <w14:schemeClr w14:val="tx1"/>
                  </w14:solidFill>
                </w14:textFill>
              </w:rPr>
            </w:pPr>
            <w:r>
              <w:rPr>
                <w:rFonts w:hint="eastAsia"/>
              </w:rPr>
              <w:t>本项目位于</w:t>
            </w:r>
            <w:r>
              <w:rPr>
                <w:rFonts w:hint="eastAsia" w:hAnsi="宋体" w:cs="宋体"/>
                <w:szCs w:val="21"/>
              </w:rPr>
              <w:t>库尔勒市哈拉玉宫</w:t>
            </w:r>
            <w:r>
              <w:rPr>
                <w:rFonts w:hint="eastAsia"/>
                <w:color w:val="000000" w:themeColor="text1"/>
                <w14:textFill>
                  <w14:solidFill>
                    <w14:schemeClr w14:val="tx1"/>
                  </w14:solidFill>
                </w14:textFill>
              </w:rPr>
              <w:t>乡</w:t>
            </w:r>
            <w:r>
              <w:rPr>
                <w:rFonts w:hint="eastAsia" w:hAnsi="宋体" w:cs="宋体"/>
                <w:szCs w:val="21"/>
              </w:rPr>
              <w:t>废旧物资回收加工产业园</w:t>
            </w:r>
            <w:r>
              <w:rPr>
                <w:rFonts w:hint="eastAsia"/>
              </w:rPr>
              <w:t>内，用地范围内及周边不涉及生态环境保护目标。</w:t>
            </w:r>
          </w:p>
        </w:tc>
      </w:tr>
      <w:tr w14:paraId="5C7C0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233" w:type="pct"/>
            <w:tcMar>
              <w:left w:w="28" w:type="dxa"/>
              <w:right w:w="28" w:type="dxa"/>
            </w:tcMar>
            <w:vAlign w:val="center"/>
          </w:tcPr>
          <w:p w14:paraId="19983109">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污染</w:t>
            </w:r>
          </w:p>
          <w:p w14:paraId="7E9DE38F">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物排</w:t>
            </w:r>
          </w:p>
          <w:p w14:paraId="0A2FD51F">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放控</w:t>
            </w:r>
          </w:p>
          <w:p w14:paraId="680FB697">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制标</w:t>
            </w:r>
          </w:p>
          <w:p w14:paraId="3DDC9EC4">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准</w:t>
            </w:r>
          </w:p>
        </w:tc>
        <w:tc>
          <w:tcPr>
            <w:tcW w:w="4767" w:type="pct"/>
          </w:tcPr>
          <w:p w14:paraId="53C38BDC">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1.大气污染物排放标准</w:t>
            </w:r>
          </w:p>
          <w:p w14:paraId="0FD95BC7">
            <w:pPr>
              <w:ind w:firstLine="480"/>
              <w:rPr>
                <w:rFonts w:cs="Times New Roman"/>
                <w:kern w:val="0"/>
              </w:rPr>
            </w:pPr>
            <w:r>
              <w:rPr>
                <w:rFonts w:hint="eastAsia"/>
                <w:color w:val="000000" w:themeColor="text1"/>
                <w14:textFill>
                  <w14:solidFill>
                    <w14:schemeClr w14:val="tx1"/>
                  </w14:solidFill>
                </w14:textFill>
              </w:rPr>
              <w:t>本项目颗粒物执行《大气污染物综合排放标准》（GB16297-1996）中表2的排放限值。臭气浓度执行《恶臭污染物排放标准》（GB14554-93）表1恶臭污染物厂界标准值新扩改建项目二级标准。</w:t>
            </w:r>
          </w:p>
          <w:p w14:paraId="20A2A781">
            <w:pPr>
              <w:pStyle w:val="37"/>
              <w:spacing w:before="163"/>
              <w:ind w:firstLine="480"/>
            </w:pPr>
            <w:r>
              <w:rPr>
                <w:rFonts w:hint="eastAsia"/>
              </w:rPr>
              <w:t>表3</w:t>
            </w:r>
            <w:r>
              <w:t>-4  大气污染物</w:t>
            </w:r>
            <w:r>
              <w:rPr>
                <w:rFonts w:hint="eastAsia"/>
              </w:rPr>
              <w:t>有</w:t>
            </w:r>
            <w:r>
              <w:t>组织排放限值</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621"/>
              <w:gridCol w:w="2164"/>
              <w:gridCol w:w="2017"/>
            </w:tblGrid>
            <w:tr w14:paraId="1B1D5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 w:hRule="atLeast"/>
              </w:trPr>
              <w:tc>
                <w:tcPr>
                  <w:tcW w:w="939" w:type="pct"/>
                  <w:vAlign w:val="center"/>
                </w:tcPr>
                <w:p w14:paraId="1B00BAE9">
                  <w:pPr>
                    <w:pStyle w:val="32"/>
                  </w:pPr>
                  <w:r>
                    <w:rPr>
                      <w:rFonts w:hint="eastAsia"/>
                    </w:rPr>
                    <w:t>污染物</w:t>
                  </w:r>
                </w:p>
              </w:tc>
              <w:tc>
                <w:tcPr>
                  <w:tcW w:w="1565" w:type="pct"/>
                  <w:vAlign w:val="center"/>
                </w:tcPr>
                <w:p w14:paraId="060F3538">
                  <w:pPr>
                    <w:pStyle w:val="32"/>
                  </w:pPr>
                  <w:r>
                    <w:rPr>
                      <w:rFonts w:hint="eastAsia"/>
                    </w:rPr>
                    <w:t>最高允许排放浓度m</w:t>
                  </w:r>
                  <w:r>
                    <w:t>g/m</w:t>
                  </w:r>
                  <w:r>
                    <w:rPr>
                      <w:vertAlign w:val="superscript"/>
                    </w:rPr>
                    <w:t>3</w:t>
                  </w:r>
                </w:p>
              </w:tc>
              <w:tc>
                <w:tcPr>
                  <w:tcW w:w="2496" w:type="pct"/>
                  <w:gridSpan w:val="2"/>
                  <w:vAlign w:val="center"/>
                </w:tcPr>
                <w:p w14:paraId="10795E25">
                  <w:pPr>
                    <w:pStyle w:val="32"/>
                  </w:pPr>
                  <w:r>
                    <w:rPr>
                      <w:rFonts w:hint="eastAsia"/>
                    </w:rPr>
                    <w:t>最高允许排放速率k</w:t>
                  </w:r>
                  <w:r>
                    <w:t>g/h</w:t>
                  </w:r>
                </w:p>
              </w:tc>
            </w:tr>
            <w:tr w14:paraId="7FB85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39" w:type="pct"/>
                  <w:vMerge w:val="restart"/>
                  <w:vAlign w:val="center"/>
                </w:tcPr>
                <w:p w14:paraId="4FE3B1FE">
                  <w:pPr>
                    <w:pStyle w:val="32"/>
                  </w:pPr>
                  <w:r>
                    <w:rPr>
                      <w:rFonts w:hint="eastAsia"/>
                    </w:rPr>
                    <w:t>颗粒物</w:t>
                  </w:r>
                </w:p>
              </w:tc>
              <w:tc>
                <w:tcPr>
                  <w:tcW w:w="1565" w:type="pct"/>
                  <w:vMerge w:val="restart"/>
                  <w:vAlign w:val="center"/>
                </w:tcPr>
                <w:p w14:paraId="6D304618">
                  <w:pPr>
                    <w:pStyle w:val="32"/>
                  </w:pPr>
                  <w:r>
                    <w:rPr>
                      <w:rFonts w:hint="eastAsia"/>
                    </w:rPr>
                    <w:t>1</w:t>
                  </w:r>
                  <w:r>
                    <w:t>20</w:t>
                  </w:r>
                </w:p>
              </w:tc>
              <w:tc>
                <w:tcPr>
                  <w:tcW w:w="1292" w:type="pct"/>
                  <w:vAlign w:val="center"/>
                </w:tcPr>
                <w:p w14:paraId="6FFE0B57">
                  <w:pPr>
                    <w:pStyle w:val="32"/>
                  </w:pPr>
                  <w:r>
                    <w:rPr>
                      <w:rFonts w:hint="eastAsia"/>
                    </w:rPr>
                    <w:t>排气筒高度</w:t>
                  </w:r>
                </w:p>
              </w:tc>
              <w:tc>
                <w:tcPr>
                  <w:tcW w:w="1204" w:type="pct"/>
                  <w:vAlign w:val="center"/>
                </w:tcPr>
                <w:p w14:paraId="0005F5EE">
                  <w:pPr>
                    <w:pStyle w:val="32"/>
                  </w:pPr>
                  <w:r>
                    <w:rPr>
                      <w:rFonts w:hint="eastAsia"/>
                    </w:rPr>
                    <w:t>二级</w:t>
                  </w:r>
                </w:p>
              </w:tc>
            </w:tr>
            <w:tr w14:paraId="208876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39" w:type="pct"/>
                  <w:vMerge w:val="continue"/>
                  <w:vAlign w:val="center"/>
                </w:tcPr>
                <w:p w14:paraId="5F35EDD3">
                  <w:pPr>
                    <w:pStyle w:val="32"/>
                  </w:pPr>
                </w:p>
              </w:tc>
              <w:tc>
                <w:tcPr>
                  <w:tcW w:w="1565" w:type="pct"/>
                  <w:vMerge w:val="continue"/>
                  <w:vAlign w:val="center"/>
                </w:tcPr>
                <w:p w14:paraId="32F1A460">
                  <w:pPr>
                    <w:pStyle w:val="32"/>
                  </w:pPr>
                </w:p>
              </w:tc>
              <w:tc>
                <w:tcPr>
                  <w:tcW w:w="1292" w:type="pct"/>
                  <w:vAlign w:val="center"/>
                </w:tcPr>
                <w:p w14:paraId="7B3BBFDA">
                  <w:pPr>
                    <w:pStyle w:val="32"/>
                  </w:pPr>
                  <w:r>
                    <w:rPr>
                      <w:rFonts w:hint="eastAsia"/>
                    </w:rPr>
                    <w:t>1</w:t>
                  </w:r>
                  <w:r>
                    <w:t>5m</w:t>
                  </w:r>
                </w:p>
              </w:tc>
              <w:tc>
                <w:tcPr>
                  <w:tcW w:w="1204" w:type="pct"/>
                  <w:vAlign w:val="center"/>
                </w:tcPr>
                <w:p w14:paraId="3E3C0B40">
                  <w:pPr>
                    <w:pStyle w:val="32"/>
                  </w:pPr>
                  <w:r>
                    <w:rPr>
                      <w:rFonts w:hint="eastAsia"/>
                    </w:rPr>
                    <w:t>3</w:t>
                  </w:r>
                  <w:r>
                    <w:t>.5</w:t>
                  </w:r>
                </w:p>
              </w:tc>
            </w:tr>
          </w:tbl>
          <w:p w14:paraId="2E2CA96D">
            <w:pPr>
              <w:pStyle w:val="37"/>
              <w:spacing w:before="163"/>
            </w:pPr>
            <w:r>
              <w:rPr>
                <w:rFonts w:hint="eastAsia"/>
              </w:rPr>
              <w:t>表3</w:t>
            </w:r>
            <w:r>
              <w:t>-5  大气污染物无组织排放限值</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003"/>
              <w:gridCol w:w="3419"/>
              <w:gridCol w:w="2953"/>
            </w:tblGrid>
            <w:tr w14:paraId="656023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196" w:type="pct"/>
                  <w:vAlign w:val="center"/>
                </w:tcPr>
                <w:p w14:paraId="026C74F9">
                  <w:pPr>
                    <w:pStyle w:val="32"/>
                  </w:pPr>
                  <w:r>
                    <w:rPr>
                      <w:rFonts w:hint="eastAsia"/>
                    </w:rPr>
                    <w:t>污染物</w:t>
                  </w:r>
                </w:p>
              </w:tc>
              <w:tc>
                <w:tcPr>
                  <w:tcW w:w="3804" w:type="pct"/>
                  <w:gridSpan w:val="2"/>
                  <w:vAlign w:val="center"/>
                </w:tcPr>
                <w:p w14:paraId="15D014AE">
                  <w:pPr>
                    <w:pStyle w:val="32"/>
                  </w:pPr>
                  <w:r>
                    <w:rPr>
                      <w:rFonts w:hint="eastAsia"/>
                    </w:rPr>
                    <w:t>无组织排放监控浓度</w:t>
                  </w:r>
                </w:p>
              </w:tc>
            </w:tr>
            <w:tr w14:paraId="16BBD8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1196" w:type="pct"/>
                  <w:vMerge w:val="restart"/>
                  <w:vAlign w:val="center"/>
                </w:tcPr>
                <w:p w14:paraId="3443AF75">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颗粒物</w:t>
                  </w:r>
                </w:p>
              </w:tc>
              <w:tc>
                <w:tcPr>
                  <w:tcW w:w="2041" w:type="pct"/>
                  <w:vAlign w:val="center"/>
                </w:tcPr>
                <w:p w14:paraId="23AED86C">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监控点</w:t>
                  </w:r>
                </w:p>
              </w:tc>
              <w:tc>
                <w:tcPr>
                  <w:tcW w:w="1763" w:type="pct"/>
                  <w:vAlign w:val="center"/>
                </w:tcPr>
                <w:p w14:paraId="05B17490">
                  <w:pPr>
                    <w:pStyle w:val="32"/>
                    <w:rPr>
                      <w:color w:val="000000" w:themeColor="text1"/>
                      <w14:textFill>
                        <w14:solidFill>
                          <w14:schemeClr w14:val="tx1"/>
                        </w14:solidFill>
                      </w14:textFill>
                    </w:rPr>
                  </w:pPr>
                  <w:r>
                    <w:rPr>
                      <w:rFonts w:hint="eastAsia"/>
                      <w:color w:val="000000" w:themeColor="text1"/>
                      <w14:textFill>
                        <w14:solidFill>
                          <w14:schemeClr w14:val="tx1"/>
                        </w14:solidFill>
                      </w14:textFill>
                    </w:rPr>
                    <w:t>浓度</w:t>
                  </w:r>
                  <w:r>
                    <w:rPr>
                      <w:color w:val="000000" w:themeColor="text1"/>
                      <w14:textFill>
                        <w14:solidFill>
                          <w14:schemeClr w14:val="tx1"/>
                        </w14:solidFill>
                      </w14:textFill>
                    </w:rPr>
                    <w:t>mg/m</w:t>
                  </w:r>
                  <w:r>
                    <w:rPr>
                      <w:color w:val="000000" w:themeColor="text1"/>
                      <w:vertAlign w:val="superscript"/>
                      <w14:textFill>
                        <w14:solidFill>
                          <w14:schemeClr w14:val="tx1"/>
                        </w14:solidFill>
                      </w14:textFill>
                    </w:rPr>
                    <w:t>3</w:t>
                  </w:r>
                </w:p>
              </w:tc>
            </w:tr>
            <w:tr w14:paraId="359AD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196" w:type="pct"/>
                  <w:vMerge w:val="continue"/>
                  <w:vAlign w:val="center"/>
                </w:tcPr>
                <w:p w14:paraId="3F5C471C">
                  <w:pPr>
                    <w:pStyle w:val="32"/>
                  </w:pPr>
                </w:p>
              </w:tc>
              <w:tc>
                <w:tcPr>
                  <w:tcW w:w="2041" w:type="pct"/>
                  <w:vAlign w:val="center"/>
                </w:tcPr>
                <w:p w14:paraId="5220D596">
                  <w:pPr>
                    <w:pStyle w:val="32"/>
                  </w:pPr>
                  <w:r>
                    <w:rPr>
                      <w:rFonts w:hint="eastAsia"/>
                    </w:rPr>
                    <w:t>周界外浓度最高点</w:t>
                  </w:r>
                </w:p>
              </w:tc>
              <w:tc>
                <w:tcPr>
                  <w:tcW w:w="1763" w:type="pct"/>
                  <w:vAlign w:val="center"/>
                </w:tcPr>
                <w:p w14:paraId="50AEC238">
                  <w:pPr>
                    <w:pStyle w:val="32"/>
                  </w:pPr>
                  <w:r>
                    <w:rPr>
                      <w:rFonts w:hint="eastAsia"/>
                    </w:rPr>
                    <w:t>1.0</w:t>
                  </w:r>
                </w:p>
              </w:tc>
            </w:tr>
          </w:tbl>
          <w:p w14:paraId="0F961124">
            <w:pPr>
              <w:pStyle w:val="37"/>
              <w:spacing w:before="163"/>
              <w:ind w:firstLine="480"/>
            </w:pPr>
            <w:r>
              <w:rPr>
                <w:rFonts w:hint="eastAsia"/>
              </w:rPr>
              <w:t>表3-</w:t>
            </w:r>
            <w:r>
              <w:t>6</w:t>
            </w:r>
            <w:r>
              <w:rPr>
                <w:rFonts w:hint="eastAsia"/>
              </w:rPr>
              <w:t xml:space="preserve">  恶臭污染物排放标准</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266"/>
              <w:gridCol w:w="2438"/>
              <w:gridCol w:w="3136"/>
            </w:tblGrid>
            <w:tr w14:paraId="48E1EC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915" w:type="pct"/>
                  <w:tcBorders>
                    <w:tl2br w:val="nil"/>
                    <w:tr2bl w:val="nil"/>
                  </w:tcBorders>
                  <w:vAlign w:val="center"/>
                </w:tcPr>
                <w:p w14:paraId="0B1C3F90">
                  <w:pPr>
                    <w:pStyle w:val="32"/>
                    <w:rPr>
                      <w:rFonts w:cs="Times New Roman"/>
                    </w:rPr>
                  </w:pPr>
                  <w:r>
                    <w:rPr>
                      <w:rFonts w:cs="Times New Roman"/>
                    </w:rPr>
                    <w:t>污染物</w:t>
                  </w:r>
                  <w:r>
                    <w:rPr>
                      <w:rFonts w:hint="eastAsia" w:cs="Times New Roman"/>
                    </w:rPr>
                    <w:t>工序</w:t>
                  </w:r>
                </w:p>
              </w:tc>
              <w:tc>
                <w:tcPr>
                  <w:tcW w:w="756" w:type="pct"/>
                  <w:tcBorders>
                    <w:tl2br w:val="nil"/>
                    <w:tr2bl w:val="nil"/>
                  </w:tcBorders>
                  <w:vAlign w:val="center"/>
                </w:tcPr>
                <w:p w14:paraId="55BF349A">
                  <w:pPr>
                    <w:pStyle w:val="32"/>
                    <w:rPr>
                      <w:rFonts w:cs="Times New Roman"/>
                    </w:rPr>
                  </w:pPr>
                  <w:r>
                    <w:rPr>
                      <w:rFonts w:hint="eastAsia" w:cs="Times New Roman"/>
                    </w:rPr>
                    <w:t>污染物</w:t>
                  </w:r>
                </w:p>
              </w:tc>
              <w:tc>
                <w:tcPr>
                  <w:tcW w:w="1456" w:type="pct"/>
                  <w:tcBorders>
                    <w:tl2br w:val="nil"/>
                    <w:tr2bl w:val="nil"/>
                  </w:tcBorders>
                  <w:vAlign w:val="center"/>
                </w:tcPr>
                <w:p w14:paraId="2351E81D">
                  <w:pPr>
                    <w:pStyle w:val="32"/>
                    <w:rPr>
                      <w:rFonts w:cs="Times New Roman"/>
                    </w:rPr>
                  </w:pPr>
                  <w:r>
                    <w:rPr>
                      <w:rFonts w:hint="eastAsia" w:cs="Times New Roman"/>
                    </w:rPr>
                    <w:t>厂界无组织排放标准</w:t>
                  </w:r>
                </w:p>
              </w:tc>
              <w:tc>
                <w:tcPr>
                  <w:tcW w:w="1873" w:type="pct"/>
                  <w:tcBorders>
                    <w:tl2br w:val="nil"/>
                    <w:tr2bl w:val="nil"/>
                  </w:tcBorders>
                  <w:vAlign w:val="center"/>
                </w:tcPr>
                <w:p w14:paraId="18427728">
                  <w:pPr>
                    <w:pStyle w:val="32"/>
                    <w:rPr>
                      <w:rFonts w:cs="Times New Roman"/>
                    </w:rPr>
                  </w:pPr>
                  <w:r>
                    <w:rPr>
                      <w:rFonts w:hint="eastAsia"/>
                    </w:rPr>
                    <w:t>标准来源</w:t>
                  </w:r>
                </w:p>
              </w:tc>
            </w:tr>
            <w:tr w14:paraId="7522B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15" w:type="pct"/>
                  <w:tcBorders>
                    <w:tl2br w:val="nil"/>
                    <w:tr2bl w:val="nil"/>
                  </w:tcBorders>
                  <w:vAlign w:val="center"/>
                </w:tcPr>
                <w:p w14:paraId="1E2BB8F4">
                  <w:pPr>
                    <w:pStyle w:val="32"/>
                    <w:rPr>
                      <w:rFonts w:cs="Times New Roman"/>
                    </w:rPr>
                  </w:pPr>
                  <w:r>
                    <w:rPr>
                      <w:rFonts w:hint="eastAsia" w:cs="Times New Roman"/>
                    </w:rPr>
                    <w:t>预处理</w:t>
                  </w:r>
                </w:p>
              </w:tc>
              <w:tc>
                <w:tcPr>
                  <w:tcW w:w="756" w:type="pct"/>
                  <w:tcBorders>
                    <w:tl2br w:val="nil"/>
                    <w:tr2bl w:val="nil"/>
                  </w:tcBorders>
                  <w:vAlign w:val="center"/>
                </w:tcPr>
                <w:p w14:paraId="0E6326C2">
                  <w:pPr>
                    <w:pStyle w:val="32"/>
                    <w:rPr>
                      <w:rFonts w:cs="Times New Roman"/>
                    </w:rPr>
                  </w:pPr>
                  <w:r>
                    <w:rPr>
                      <w:rFonts w:hint="eastAsia" w:cs="Times New Roman"/>
                    </w:rPr>
                    <w:t>臭气浓度</w:t>
                  </w:r>
                </w:p>
              </w:tc>
              <w:tc>
                <w:tcPr>
                  <w:tcW w:w="1456" w:type="pct"/>
                  <w:tcBorders>
                    <w:tl2br w:val="nil"/>
                    <w:tr2bl w:val="nil"/>
                  </w:tcBorders>
                  <w:vAlign w:val="center"/>
                </w:tcPr>
                <w:p w14:paraId="0CD2AA36">
                  <w:pPr>
                    <w:pStyle w:val="32"/>
                    <w:ind w:firstLine="480"/>
                    <w:rPr>
                      <w:rFonts w:cs="Times New Roman"/>
                    </w:rPr>
                  </w:pPr>
                  <w:r>
                    <w:rPr>
                      <w:rFonts w:hint="eastAsia" w:cs="Times New Roman"/>
                    </w:rPr>
                    <w:t>20（无量纲）</w:t>
                  </w:r>
                </w:p>
              </w:tc>
              <w:tc>
                <w:tcPr>
                  <w:tcW w:w="1873" w:type="pct"/>
                  <w:tcBorders>
                    <w:tl2br w:val="nil"/>
                    <w:tr2bl w:val="nil"/>
                  </w:tcBorders>
                  <w:vAlign w:val="center"/>
                </w:tcPr>
                <w:p w14:paraId="08D882E8">
                  <w:pPr>
                    <w:pStyle w:val="32"/>
                    <w:rPr>
                      <w:rFonts w:cs="Times New Roman"/>
                    </w:rPr>
                  </w:pPr>
                  <w:r>
                    <w:rPr>
                      <w:rFonts w:hint="eastAsia"/>
                    </w:rPr>
                    <w:t>《</w:t>
                  </w:r>
                  <w:bookmarkStart w:id="15" w:name="OLE_LINK3"/>
                  <w:r>
                    <w:rPr>
                      <w:rFonts w:hint="eastAsia"/>
                    </w:rPr>
                    <w:t>恶臭污染物排放标准</w:t>
                  </w:r>
                  <w:bookmarkEnd w:id="15"/>
                  <w:r>
                    <w:rPr>
                      <w:rFonts w:hint="eastAsia"/>
                    </w:rPr>
                    <w:t>》（GB14554-93）</w:t>
                  </w:r>
                </w:p>
              </w:tc>
            </w:tr>
          </w:tbl>
          <w:p w14:paraId="4F85CB96">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2.废水</w:t>
            </w:r>
          </w:p>
          <w:p w14:paraId="5AE02191">
            <w:pPr>
              <w:ind w:firstLine="480"/>
            </w:pPr>
            <w:r>
              <w:rPr>
                <w:rFonts w:hint="eastAsia"/>
                <w:color w:val="000000" w:themeColor="text1"/>
                <w14:textFill>
                  <w14:solidFill>
                    <w14:schemeClr w14:val="tx1"/>
                  </w14:solidFill>
                </w14:textFill>
              </w:rPr>
              <w:t>本项目产生的生产废水经沉淀处理后全部循环利用，不外排。生活污水进入厂区化粪池进行预处理后，定期由吸污车抽运至库尔勒市南市区污水处理厂处理</w:t>
            </w:r>
            <w:r>
              <w:rPr>
                <w:rFonts w:hint="eastAsia"/>
              </w:rPr>
              <w:t>。</w:t>
            </w:r>
          </w:p>
          <w:p w14:paraId="594DAC05">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3.噪声排放标准</w:t>
            </w:r>
          </w:p>
          <w:p w14:paraId="13CD337B">
            <w:pPr>
              <w:ind w:firstLine="480"/>
              <w:rPr>
                <w:color w:val="000000" w:themeColor="text1"/>
                <w14:textFill>
                  <w14:solidFill>
                    <w14:schemeClr w14:val="tx1"/>
                  </w14:solidFill>
                </w14:textFill>
              </w:rPr>
            </w:pPr>
            <w:r>
              <w:rPr>
                <w:color w:val="000000" w:themeColor="text1"/>
                <w14:textFill>
                  <w14:solidFill>
                    <w14:schemeClr w14:val="tx1"/>
                  </w14:solidFill>
                </w14:textFill>
              </w:rPr>
              <w:t>项目施工期噪声执行《</w:t>
            </w:r>
            <w:r>
              <w:rPr>
                <w:rFonts w:hint="eastAsia"/>
                <w:color w:val="000000" w:themeColor="text1"/>
                <w14:textFill>
                  <w14:solidFill>
                    <w14:schemeClr w14:val="tx1"/>
                  </w14:solidFill>
                </w14:textFill>
              </w:rPr>
              <w:t>建筑施工噪声排放标准</w:t>
            </w:r>
            <w:r>
              <w:rPr>
                <w:color w:val="000000" w:themeColor="text1"/>
                <w14:textFill>
                  <w14:solidFill>
                    <w14:schemeClr w14:val="tx1"/>
                  </w14:solidFill>
                </w14:textFill>
              </w:rPr>
              <w:t>》（GB12523-20</w:t>
            </w:r>
            <w:r>
              <w:rPr>
                <w:rFonts w:hint="eastAsia"/>
                <w:color w:val="000000" w:themeColor="text1"/>
                <w14:textFill>
                  <w14:solidFill>
                    <w14:schemeClr w14:val="tx1"/>
                  </w14:solidFill>
                </w14:textFill>
              </w:rPr>
              <w:t>25</w:t>
            </w:r>
            <w:r>
              <w:rPr>
                <w:color w:val="000000" w:themeColor="text1"/>
                <w14:textFill>
                  <w14:solidFill>
                    <w14:schemeClr w14:val="tx1"/>
                  </w14:solidFill>
                </w14:textFill>
              </w:rPr>
              <w:t>），详见表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项目</w:t>
            </w:r>
            <w:r>
              <w:rPr>
                <w:color w:val="000000" w:themeColor="text1"/>
                <w14:textFill>
                  <w14:solidFill>
                    <w14:schemeClr w14:val="tx1"/>
                  </w14:solidFill>
                </w14:textFill>
              </w:rPr>
              <w:t>运营期噪声执行《工业企业厂界环境噪声排放标准》（GB12348-2008）中2类标准，标准值见表</w:t>
            </w:r>
            <w:r>
              <w:rPr>
                <w:rFonts w:hint="eastAsia"/>
                <w:color w:val="000000" w:themeColor="text1"/>
                <w14:textFill>
                  <w14:solidFill>
                    <w14:schemeClr w14:val="tx1"/>
                  </w14:solidFill>
                </w14:textFill>
              </w:rPr>
              <w:t>3</w:t>
            </w:r>
            <w:r>
              <w:rPr>
                <w:color w:val="000000" w:themeColor="text1"/>
                <w14:textFill>
                  <w14:solidFill>
                    <w14:schemeClr w14:val="tx1"/>
                  </w14:solidFill>
                </w14:textFill>
              </w:rPr>
              <w:t>-8。</w:t>
            </w:r>
          </w:p>
          <w:p w14:paraId="423CAC3B">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7</w:t>
            </w:r>
            <w:r>
              <w:rPr>
                <w:rFonts w:hint="eastAsia"/>
                <w:color w:val="000000" w:themeColor="text1"/>
                <w14:textFill>
                  <w14:solidFill>
                    <w14:schemeClr w14:val="tx1"/>
                  </w14:solidFill>
                </w14:textFill>
              </w:rPr>
              <w:t xml:space="preserve">  建筑施工噪声排放限值   单位：dB（A</w:t>
            </w:r>
            <w:r>
              <w:rPr>
                <w:color w:val="000000" w:themeColor="text1"/>
                <w14:textFill>
                  <w14:solidFill>
                    <w14:schemeClr w14:val="tx1"/>
                  </w14:solidFill>
                </w14:textFill>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750"/>
              <w:gridCol w:w="3625"/>
            </w:tblGrid>
            <w:tr w14:paraId="65886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14:paraId="2CA83644">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2164" w:type="pct"/>
                  <w:tcBorders>
                    <w:tl2br w:val="nil"/>
                    <w:tr2bl w:val="nil"/>
                  </w:tcBorders>
                  <w:vAlign w:val="center"/>
                </w:tcPr>
                <w:p w14:paraId="4C369895">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14:paraId="31D0A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trPr>
              <w:tc>
                <w:tcPr>
                  <w:tcW w:w="2836" w:type="pct"/>
                  <w:tcBorders>
                    <w:tl2br w:val="nil"/>
                    <w:tr2bl w:val="nil"/>
                  </w:tcBorders>
                  <w:vAlign w:val="center"/>
                </w:tcPr>
                <w:p w14:paraId="3D4C664D">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70</w:t>
                  </w:r>
                </w:p>
              </w:tc>
              <w:tc>
                <w:tcPr>
                  <w:tcW w:w="2164" w:type="pct"/>
                  <w:tcBorders>
                    <w:tl2br w:val="nil"/>
                    <w:tr2bl w:val="nil"/>
                  </w:tcBorders>
                  <w:vAlign w:val="center"/>
                </w:tcPr>
                <w:p w14:paraId="36FD6320">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55</w:t>
                  </w:r>
                </w:p>
              </w:tc>
            </w:tr>
          </w:tbl>
          <w:p w14:paraId="2C20669E">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表3-</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 xml:space="preserve">  工业企业厂界环境噪声排放标准 等效声级dB（A</w:t>
            </w:r>
            <w:r>
              <w:rPr>
                <w:color w:val="000000" w:themeColor="text1"/>
                <w14:textFill>
                  <w14:solidFill>
                    <w14:schemeClr w14:val="tx1"/>
                  </w14:solidFill>
                </w14:textFill>
              </w:rPr>
              <w:t>）</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921"/>
              <w:gridCol w:w="3662"/>
              <w:gridCol w:w="2792"/>
            </w:tblGrid>
            <w:tr w14:paraId="1C3BE7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 w:hRule="atLeast"/>
              </w:trPr>
              <w:tc>
                <w:tcPr>
                  <w:tcW w:w="1147" w:type="pct"/>
                  <w:tcBorders>
                    <w:tl2br w:val="nil"/>
                    <w:tr2bl w:val="nil"/>
                  </w:tcBorders>
                  <w:vAlign w:val="center"/>
                </w:tcPr>
                <w:p w14:paraId="720D8CEB">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类别</w:t>
                  </w:r>
                </w:p>
              </w:tc>
              <w:tc>
                <w:tcPr>
                  <w:tcW w:w="2186" w:type="pct"/>
                  <w:tcBorders>
                    <w:tl2br w:val="nil"/>
                    <w:tr2bl w:val="nil"/>
                  </w:tcBorders>
                  <w:vAlign w:val="center"/>
                </w:tcPr>
                <w:p w14:paraId="0CE40531">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昼间</w:t>
                  </w:r>
                </w:p>
              </w:tc>
              <w:tc>
                <w:tcPr>
                  <w:tcW w:w="1667" w:type="pct"/>
                  <w:tcBorders>
                    <w:tl2br w:val="nil"/>
                    <w:tr2bl w:val="nil"/>
                  </w:tcBorders>
                  <w:vAlign w:val="center"/>
                </w:tcPr>
                <w:p w14:paraId="22A7D8FB">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夜间</w:t>
                  </w:r>
                </w:p>
              </w:tc>
            </w:tr>
            <w:tr w14:paraId="06358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01" w:hRule="atLeast"/>
              </w:trPr>
              <w:tc>
                <w:tcPr>
                  <w:tcW w:w="1147" w:type="pct"/>
                  <w:tcBorders>
                    <w:tl2br w:val="nil"/>
                    <w:tr2bl w:val="nil"/>
                  </w:tcBorders>
                  <w:vAlign w:val="center"/>
                </w:tcPr>
                <w:p w14:paraId="411FB86E">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2类</w:t>
                  </w:r>
                </w:p>
              </w:tc>
              <w:tc>
                <w:tcPr>
                  <w:tcW w:w="2186" w:type="pct"/>
                  <w:tcBorders>
                    <w:tl2br w:val="nil"/>
                    <w:tr2bl w:val="nil"/>
                  </w:tcBorders>
                  <w:vAlign w:val="center"/>
                </w:tcPr>
                <w:p w14:paraId="78F33810">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60</w:t>
                  </w:r>
                </w:p>
              </w:tc>
              <w:tc>
                <w:tcPr>
                  <w:tcW w:w="1667" w:type="pct"/>
                  <w:tcBorders>
                    <w:tl2br w:val="nil"/>
                    <w:tr2bl w:val="nil"/>
                  </w:tcBorders>
                  <w:vAlign w:val="center"/>
                </w:tcPr>
                <w:p w14:paraId="25BAB16E">
                  <w:pPr>
                    <w:spacing w:line="240" w:lineRule="auto"/>
                    <w:ind w:firstLine="0" w:firstLineChars="0"/>
                    <w:contextualSpacing/>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50</w:t>
                  </w:r>
                </w:p>
              </w:tc>
            </w:tr>
          </w:tbl>
          <w:p w14:paraId="4E861441">
            <w:pPr>
              <w:ind w:firstLine="0" w:firstLineChars="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4.固体废物</w:t>
            </w:r>
          </w:p>
          <w:p w14:paraId="08C3D982">
            <w:pPr>
              <w:ind w:firstLine="480"/>
              <w:rPr>
                <w:color w:val="000000" w:themeColor="text1"/>
                <w14:textFill>
                  <w14:solidFill>
                    <w14:schemeClr w14:val="tx1"/>
                  </w14:solidFill>
                </w14:textFill>
              </w:rPr>
            </w:pPr>
            <w:r>
              <w:rPr>
                <w:rFonts w:hint="eastAsia"/>
              </w:rPr>
              <w:t>一般工业固体废物暂存参照执行《一般工业固体废物贮存和填埋污染控制标准》（GB18599-2020）中的“其贮存过程应满足相应防渗漏、防雨淋、防扬尘等环境保护要求”；危险废物执行《危险废物贮存污染控制标准》（GB18597-2023）中关于贮存点的相关要求。</w:t>
            </w:r>
          </w:p>
        </w:tc>
      </w:tr>
      <w:tr w14:paraId="7C3771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30" w:hRule="atLeast"/>
          <w:jc w:val="center"/>
        </w:trPr>
        <w:tc>
          <w:tcPr>
            <w:tcW w:w="233" w:type="pct"/>
            <w:vAlign w:val="center"/>
          </w:tcPr>
          <w:p w14:paraId="1D05BDCC">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总量</w:t>
            </w:r>
          </w:p>
          <w:p w14:paraId="004EFF99">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控制</w:t>
            </w:r>
          </w:p>
          <w:p w14:paraId="71B044CE">
            <w:pPr>
              <w:adjustRightInd w:val="0"/>
              <w:snapToGrid w:val="0"/>
              <w:spacing w:line="240" w:lineRule="auto"/>
              <w:ind w:firstLine="0" w:firstLineChars="0"/>
              <w:jc w:val="center"/>
              <w:textAlignment w:val="auto"/>
              <w:rPr>
                <w:rFonts w:ascii="宋体" w:hAnsi="宋体" w:cs="宋体"/>
                <w:b/>
                <w:bCs/>
                <w:color w:val="000000" w:themeColor="text1"/>
                <w:kern w:val="0"/>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指标</w:t>
            </w:r>
          </w:p>
        </w:tc>
        <w:tc>
          <w:tcPr>
            <w:tcW w:w="4767" w:type="pct"/>
          </w:tcPr>
          <w:p w14:paraId="124C83D5">
            <w:pPr>
              <w:widowControl/>
              <w:ind w:firstLine="480"/>
              <w:rPr>
                <w:rFonts w:cs="Times New Roman"/>
                <w:color w:val="000000" w:themeColor="text1"/>
                <w:sz w:val="25"/>
                <w:szCs w:val="25"/>
                <w14:textFill>
                  <w14:solidFill>
                    <w14:schemeClr w14:val="tx1"/>
                  </w14:solidFill>
                </w14:textFill>
              </w:rPr>
            </w:pPr>
            <w:r>
              <w:rPr>
                <w:rFonts w:cs="Times New Roman"/>
                <w:color w:val="000000" w:themeColor="text1"/>
                <w:kern w:val="0"/>
                <w:lang w:bidi="ar"/>
                <w14:textFill>
                  <w14:solidFill>
                    <w14:schemeClr w14:val="tx1"/>
                  </w14:solidFill>
                </w14:textFill>
              </w:rPr>
              <w:t>根据</w:t>
            </w:r>
            <w:r>
              <w:rPr>
                <w:rFonts w:hint="eastAsia" w:cs="Times New Roman"/>
                <w:color w:val="000000" w:themeColor="text1"/>
                <w:kern w:val="0"/>
                <w:lang w:bidi="ar"/>
                <w14:textFill>
                  <w14:solidFill>
                    <w14:schemeClr w14:val="tx1"/>
                  </w14:solidFill>
                </w14:textFill>
              </w:rPr>
              <w:t>《</w:t>
            </w:r>
            <w:r>
              <w:rPr>
                <w:rFonts w:cs="Times New Roman"/>
                <w:color w:val="000000" w:themeColor="text1"/>
                <w:kern w:val="0"/>
                <w:lang w:bidi="ar"/>
                <w14:textFill>
                  <w14:solidFill>
                    <w14:schemeClr w14:val="tx1"/>
                  </w14:solidFill>
                </w14:textFill>
              </w:rPr>
              <w:t>“十五五”污染减排工作方案编制技术指南</w:t>
            </w:r>
            <w:r>
              <w:rPr>
                <w:rFonts w:hint="eastAsia" w:cs="Times New Roman"/>
                <w:color w:val="000000" w:themeColor="text1"/>
                <w:kern w:val="0"/>
                <w:lang w:bidi="ar"/>
                <w14:textFill>
                  <w14:solidFill>
                    <w14:schemeClr w14:val="tx1"/>
                  </w14:solidFill>
                </w14:textFill>
              </w:rPr>
              <w:t>》</w:t>
            </w:r>
            <w:r>
              <w:rPr>
                <w:rFonts w:cs="Times New Roman"/>
                <w:color w:val="000000" w:themeColor="text1"/>
                <w:kern w:val="0"/>
                <w:lang w:bidi="ar"/>
                <w14:textFill>
                  <w14:solidFill>
                    <w14:schemeClr w14:val="tx1"/>
                  </w14:solidFill>
                </w14:textFill>
              </w:rPr>
              <w:t>，确定废气污染物总量控制因子为NOX、VOCs，废水污染物总量控制因子为COD、总磷</w:t>
            </w:r>
            <w:r>
              <w:rPr>
                <w:rFonts w:cs="Times New Roman"/>
                <w:color w:val="000000" w:themeColor="text1"/>
                <w:sz w:val="25"/>
                <w:szCs w:val="25"/>
                <w14:textFill>
                  <w14:solidFill>
                    <w14:schemeClr w14:val="tx1"/>
                  </w14:solidFill>
                </w14:textFill>
              </w:rPr>
              <w:t>。</w:t>
            </w:r>
          </w:p>
          <w:p w14:paraId="1C6A40F2">
            <w:pPr>
              <w:ind w:firstLine="480"/>
              <w:textAlignment w:val="auto"/>
              <w:rPr>
                <w:rFonts w:cs="Times New Roman"/>
                <w:szCs w:val="24"/>
              </w:rPr>
            </w:pPr>
            <w:r>
              <w:rPr>
                <w:rFonts w:cs="Times New Roman"/>
                <w:color w:val="000000" w:themeColor="text1"/>
                <w:szCs w:val="24"/>
                <w14:textFill>
                  <w14:solidFill>
                    <w14:schemeClr w14:val="tx1"/>
                  </w14:solidFill>
                </w14:textFill>
              </w:rPr>
              <w:t>根据</w:t>
            </w:r>
            <w:r>
              <w:rPr>
                <w:rFonts w:hint="eastAsia" w:cs="Times New Roman"/>
                <w:color w:val="000000" w:themeColor="text1"/>
                <w:szCs w:val="24"/>
                <w14:textFill>
                  <w14:solidFill>
                    <w14:schemeClr w14:val="tx1"/>
                  </w14:solidFill>
                </w14:textFill>
              </w:rPr>
              <w:t>项目</w:t>
            </w:r>
            <w:r>
              <w:rPr>
                <w:rFonts w:cs="Times New Roman"/>
                <w:color w:val="000000" w:themeColor="text1"/>
                <w:szCs w:val="24"/>
                <w14:textFill>
                  <w14:solidFill>
                    <w14:schemeClr w14:val="tx1"/>
                  </w14:solidFill>
                </w14:textFill>
              </w:rPr>
              <w:t>分析，营运期不涉及大气总量控制指标。</w:t>
            </w:r>
            <w:r>
              <w:rPr>
                <w:rFonts w:hint="eastAsia"/>
                <w:color w:val="000000" w:themeColor="text1"/>
                <w:szCs w:val="24"/>
                <w14:textFill>
                  <w14:solidFill>
                    <w14:schemeClr w14:val="tx1"/>
                  </w14:solidFill>
                </w14:textFill>
              </w:rPr>
              <w:t>项目产生的生产废水经沉淀处理后全部循环利用，不外排。生活污水经化粪池处理后，定期由吸污车抽运至库尔勒市南市区污水处理厂处理。</w:t>
            </w:r>
            <w:r>
              <w:t>故不设总量控制指标。</w:t>
            </w:r>
          </w:p>
          <w:p w14:paraId="334A5117">
            <w:pPr>
              <w:adjustRightInd w:val="0"/>
              <w:snapToGrid w:val="0"/>
              <w:spacing w:line="500" w:lineRule="exact"/>
              <w:ind w:firstLine="500"/>
              <w:rPr>
                <w:rFonts w:cs="Times New Roman"/>
                <w:color w:val="000000" w:themeColor="text1"/>
                <w:sz w:val="25"/>
                <w:szCs w:val="25"/>
                <w14:textFill>
                  <w14:solidFill>
                    <w14:schemeClr w14:val="tx1"/>
                  </w14:solidFill>
                </w14:textFill>
              </w:rPr>
            </w:pPr>
          </w:p>
          <w:p w14:paraId="4515BCA4">
            <w:pPr>
              <w:ind w:firstLine="480"/>
              <w:rPr>
                <w:color w:val="000000" w:themeColor="text1"/>
                <w14:textFill>
                  <w14:solidFill>
                    <w14:schemeClr w14:val="tx1"/>
                  </w14:solidFill>
                </w14:textFill>
              </w:rPr>
            </w:pPr>
          </w:p>
          <w:p w14:paraId="6DF2BEE2">
            <w:pPr>
              <w:ind w:firstLine="480"/>
              <w:rPr>
                <w:color w:val="000000" w:themeColor="text1"/>
                <w14:textFill>
                  <w14:solidFill>
                    <w14:schemeClr w14:val="tx1"/>
                  </w14:solidFill>
                </w14:textFill>
              </w:rPr>
            </w:pPr>
          </w:p>
          <w:p w14:paraId="1491E61B">
            <w:pPr>
              <w:pStyle w:val="23"/>
            </w:pPr>
          </w:p>
          <w:p w14:paraId="3C3552FB">
            <w:pPr>
              <w:ind w:firstLine="480"/>
            </w:pPr>
          </w:p>
          <w:p w14:paraId="64BD315C">
            <w:pPr>
              <w:ind w:firstLine="480"/>
            </w:pPr>
          </w:p>
          <w:p w14:paraId="491B8FE1">
            <w:pPr>
              <w:ind w:firstLine="480"/>
            </w:pPr>
          </w:p>
          <w:p w14:paraId="416B9570">
            <w:pPr>
              <w:ind w:firstLine="480"/>
            </w:pPr>
          </w:p>
          <w:p w14:paraId="5750B657">
            <w:pPr>
              <w:ind w:firstLine="480"/>
            </w:pPr>
          </w:p>
          <w:p w14:paraId="4E6FFA7A">
            <w:pPr>
              <w:ind w:firstLine="480"/>
            </w:pPr>
          </w:p>
          <w:p w14:paraId="3CDC87D9">
            <w:pPr>
              <w:ind w:firstLine="480"/>
            </w:pPr>
          </w:p>
          <w:p w14:paraId="09DF4C38">
            <w:pPr>
              <w:ind w:firstLine="480"/>
            </w:pPr>
          </w:p>
          <w:p w14:paraId="62359664">
            <w:pPr>
              <w:ind w:firstLine="480"/>
            </w:pPr>
          </w:p>
          <w:p w14:paraId="389661EC">
            <w:pPr>
              <w:ind w:firstLine="0" w:firstLineChars="0"/>
              <w:rPr>
                <w:color w:val="000000" w:themeColor="text1"/>
                <w14:textFill>
                  <w14:solidFill>
                    <w14:schemeClr w14:val="tx1"/>
                  </w14:solidFill>
                </w14:textFill>
              </w:rPr>
            </w:pPr>
          </w:p>
        </w:tc>
      </w:tr>
    </w:tbl>
    <w:p w14:paraId="75FBC305">
      <w:pPr>
        <w:pStyle w:val="2"/>
        <w:numPr>
          <w:ilvl w:val="0"/>
          <w:numId w:val="2"/>
        </w:numPr>
        <w:rPr>
          <w:color w:val="000000" w:themeColor="text1"/>
          <w14:textFill>
            <w14:solidFill>
              <w14:schemeClr w14:val="tx1"/>
            </w14:solidFill>
          </w14:textFill>
        </w:rPr>
      </w:pPr>
      <w:r>
        <w:rPr>
          <w:rFonts w:hint="eastAsia"/>
          <w:color w:val="000000" w:themeColor="text1"/>
          <w14:textFill>
            <w14:solidFill>
              <w14:schemeClr w14:val="tx1"/>
            </w14:solidFill>
          </w14:textFill>
        </w:rPr>
        <w:t>主要环境影响和保护措施</w:t>
      </w:r>
    </w:p>
    <w:tbl>
      <w:tblPr>
        <w:tblStyle w:val="24"/>
        <w:tblW w:w="4983"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1"/>
        <w:gridCol w:w="8925"/>
      </w:tblGrid>
      <w:tr w14:paraId="234CC5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8" w:type="pct"/>
            <w:tcMar>
              <w:left w:w="28" w:type="dxa"/>
              <w:right w:w="28" w:type="dxa"/>
            </w:tcMar>
            <w:vAlign w:val="center"/>
          </w:tcPr>
          <w:p w14:paraId="56759452">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施工</w:t>
            </w:r>
          </w:p>
          <w:p w14:paraId="77C7F137">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期环</w:t>
            </w:r>
          </w:p>
          <w:p w14:paraId="4C7DCC9B">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境保</w:t>
            </w:r>
          </w:p>
          <w:p w14:paraId="111F3971">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szCs w:val="24"/>
              </w:rPr>
              <w:t>护措</w:t>
            </w:r>
          </w:p>
          <w:p w14:paraId="75EB6370">
            <w:pPr>
              <w:widowControl/>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szCs w:val="24"/>
              </w:rPr>
              <w:t>施</w:t>
            </w:r>
          </w:p>
        </w:tc>
        <w:tc>
          <w:tcPr>
            <w:tcW w:w="4841" w:type="pct"/>
          </w:tcPr>
          <w:p w14:paraId="6252B326">
            <w:pPr>
              <w:adjustRightInd w:val="0"/>
              <w:snapToGrid w:val="0"/>
              <w:ind w:firstLine="0" w:firstLineChars="0"/>
              <w:textAlignment w:val="auto"/>
              <w:rPr>
                <w:rFonts w:cs="Times New Roman"/>
                <w:b/>
                <w:bCs/>
                <w:snapToGrid w:val="0"/>
                <w:color w:val="000000"/>
                <w:kern w:val="0"/>
                <w:szCs w:val="24"/>
                <w:lang w:bidi="ar"/>
              </w:rPr>
            </w:pPr>
            <w:bookmarkStart w:id="16" w:name="_Toc517195126"/>
            <w:r>
              <w:rPr>
                <w:rFonts w:cs="Times New Roman"/>
                <w:b/>
                <w:bCs/>
                <w:snapToGrid w:val="0"/>
                <w:color w:val="000000"/>
                <w:kern w:val="0"/>
                <w:szCs w:val="24"/>
                <w:lang w:bidi="ar"/>
              </w:rPr>
              <w:t>4.1施工期环境保护措施</w:t>
            </w:r>
          </w:p>
          <w:p w14:paraId="19AFB590">
            <w:pPr>
              <w:adjustRightInd w:val="0"/>
              <w:snapToGrid w:val="0"/>
              <w:ind w:firstLine="480"/>
              <w:textAlignment w:val="auto"/>
              <w:rPr>
                <w:rFonts w:cs="Times New Roman"/>
                <w:bCs/>
                <w:szCs w:val="24"/>
              </w:rPr>
            </w:pPr>
            <w:r>
              <w:rPr>
                <w:rFonts w:ascii="Segoe UI" w:hAnsi="Segoe UI" w:cs="Segoe UI"/>
                <w:color w:val="0F1115"/>
                <w:shd w:val="clear" w:color="auto" w:fill="FFFFFF"/>
              </w:rPr>
              <w:t>本项目建设厂房等主体工程，以及原料堆场、成品堆场、沉淀池等配套辅助设施</w:t>
            </w:r>
            <w:r>
              <w:rPr>
                <w:rFonts w:hint="eastAsia" w:ascii="宋体" w:hAnsi="宋体" w:cs="宋体"/>
                <w:snapToGrid w:val="0"/>
                <w:color w:val="000000"/>
                <w:kern w:val="0"/>
                <w:szCs w:val="24"/>
                <w:lang w:bidi="ar"/>
              </w:rPr>
              <w:t>。施工期的环境影响因素主要包括扬尘、噪声、固体废物、废水及少量焊接废气。</w:t>
            </w:r>
          </w:p>
          <w:p w14:paraId="04D5195A">
            <w:pPr>
              <w:adjustRightInd w:val="0"/>
              <w:snapToGrid w:val="0"/>
              <w:ind w:firstLine="0" w:firstLineChars="0"/>
              <w:textAlignment w:val="auto"/>
              <w:rPr>
                <w:rFonts w:cs="Times New Roman"/>
                <w:bCs/>
                <w:szCs w:val="24"/>
              </w:rPr>
            </w:pPr>
            <w:r>
              <w:rPr>
                <w:rFonts w:cs="Times New Roman"/>
                <w:b/>
                <w:szCs w:val="24"/>
              </w:rPr>
              <w:t>4.1.</w:t>
            </w:r>
            <w:r>
              <w:rPr>
                <w:rFonts w:hint="eastAsia" w:cs="Times New Roman"/>
                <w:b/>
                <w:szCs w:val="24"/>
              </w:rPr>
              <w:t>1施工期</w:t>
            </w:r>
            <w:r>
              <w:rPr>
                <w:rFonts w:cs="Times New Roman"/>
                <w:b/>
                <w:szCs w:val="24"/>
              </w:rPr>
              <w:t>废</w:t>
            </w:r>
            <w:r>
              <w:rPr>
                <w:rFonts w:hint="eastAsia" w:cs="Times New Roman"/>
                <w:b/>
                <w:szCs w:val="24"/>
              </w:rPr>
              <w:t>气</w:t>
            </w:r>
            <w:r>
              <w:rPr>
                <w:rFonts w:cs="Times New Roman"/>
                <w:b/>
                <w:szCs w:val="24"/>
              </w:rPr>
              <w:t>污染防治措施</w:t>
            </w:r>
          </w:p>
          <w:p w14:paraId="7E3A4278">
            <w:pPr>
              <w:adjustRightInd w:val="0"/>
              <w:snapToGrid w:val="0"/>
              <w:ind w:firstLine="480"/>
              <w:textAlignment w:val="auto"/>
              <w:rPr>
                <w:rFonts w:cs="Times New Roman"/>
                <w:bCs/>
                <w:szCs w:val="24"/>
              </w:rPr>
            </w:pPr>
            <w:r>
              <w:rPr>
                <w:rFonts w:hint="eastAsia"/>
              </w:rPr>
              <w:t>施工期大气污染源主要包括施工扬尘、运输车辆尾气、施工机械燃油废气等。应采取以下防治措施：</w:t>
            </w:r>
          </w:p>
          <w:p w14:paraId="1C14FF51">
            <w:pPr>
              <w:adjustRightInd w:val="0"/>
              <w:snapToGrid w:val="0"/>
              <w:ind w:firstLine="480"/>
              <w:textAlignment w:val="auto"/>
            </w:pPr>
            <w:r>
              <w:rPr>
                <w:rFonts w:hint="eastAsia"/>
              </w:rPr>
              <w:t>（1）施工机械及运输车辆尾气</w:t>
            </w:r>
          </w:p>
          <w:p w14:paraId="6C937481">
            <w:pPr>
              <w:adjustRightInd w:val="0"/>
              <w:snapToGrid w:val="0"/>
              <w:ind w:firstLine="480"/>
              <w:textAlignment w:val="auto"/>
            </w:pPr>
            <w:r>
              <w:rPr>
                <w:rFonts w:hint="eastAsia"/>
              </w:rPr>
              <w:t>施工机械（如挖掘机、起重机、自卸汽车等）和运输车辆以柴油为燃料，运行过程中会排放</w:t>
            </w:r>
            <w:r>
              <w:t>CO</w:t>
            </w:r>
            <w:r>
              <w:rPr>
                <w:rFonts w:hint="eastAsia"/>
              </w:rPr>
              <w:t>、</w:t>
            </w:r>
            <w:r>
              <w:t>NOx</w:t>
            </w:r>
            <w:r>
              <w:rPr>
                <w:rFonts w:hint="eastAsia"/>
              </w:rPr>
              <w:t>、</w:t>
            </w:r>
            <w:r>
              <w:t>HC</w:t>
            </w:r>
            <w:r>
              <w:rPr>
                <w:rFonts w:hint="eastAsia"/>
              </w:rPr>
              <w:t>、</w:t>
            </w:r>
            <w:r>
              <w:t>SO₂</w:t>
            </w:r>
            <w:r>
              <w:rPr>
                <w:rFonts w:hint="eastAsia"/>
              </w:rPr>
              <w:t>、烟尘等污染物，属间断性无组织排放。项目所在区域地势平坦开阔，空气流通良好，废气易于扩散，对周边环境空气质量影响较小。为减少尾气影响，应采取以下控制措施：严禁使用已淘汰排放标准的非道路移动机械，杜绝“冒黑烟”现象；使用正规渠道油品，严禁使用非标油；合理控制施工车辆进出频次，避免集中作业，最大限度降低尾气累积影响。</w:t>
            </w:r>
          </w:p>
          <w:p w14:paraId="6FE96DE6">
            <w:pPr>
              <w:adjustRightInd w:val="0"/>
              <w:snapToGrid w:val="0"/>
              <w:ind w:firstLine="480"/>
              <w:textAlignment w:val="auto"/>
              <w:rPr>
                <w:rFonts w:cs="Times New Roman"/>
              </w:rPr>
            </w:pPr>
            <w:r>
              <w:rPr>
                <w:rFonts w:cs="Times New Roman"/>
              </w:rPr>
              <w:t>（2）扬尘污染防控</w:t>
            </w:r>
          </w:p>
          <w:p w14:paraId="692A0644">
            <w:pPr>
              <w:adjustRightInd w:val="0"/>
              <w:snapToGrid w:val="0"/>
              <w:ind w:firstLine="480"/>
              <w:textAlignment w:val="auto"/>
              <w:rPr>
                <w:rFonts w:cs="Times New Roman"/>
              </w:rPr>
            </w:pPr>
            <w:r>
              <w:rPr>
                <w:rFonts w:cs="Times New Roman"/>
              </w:rPr>
              <w:t>施工过程中产生的扬尘主要来源于土方开挖与回填、物料搬运、道路运输及露天堆放等环节。</w:t>
            </w:r>
            <w:r>
              <w:rPr>
                <w:rFonts w:cs="Times New Roman"/>
                <w:color w:val="0F1115"/>
                <w:shd w:val="clear" w:color="auto" w:fill="FFFFFF"/>
              </w:rPr>
              <w:t>根据《新疆维吾尔自治区2025年空气质量持续改善行动实施方案》，</w:t>
            </w:r>
            <w:r>
              <w:rPr>
                <w:rFonts w:hint="eastAsia" w:cs="Times New Roman"/>
              </w:rPr>
              <w:t>施工场地严格落实“六个百分百”要求</w:t>
            </w:r>
            <w:r>
              <w:rPr>
                <w:rFonts w:cs="Times New Roman"/>
              </w:rPr>
              <w:t>，落实以下防尘降尘措施：</w:t>
            </w:r>
          </w:p>
          <w:p w14:paraId="0C3F4655">
            <w:pPr>
              <w:adjustRightInd w:val="0"/>
              <w:snapToGrid w:val="0"/>
              <w:ind w:firstLine="480"/>
              <w:textAlignment w:val="auto"/>
            </w:pPr>
            <w:r>
              <w:rPr>
                <w:rFonts w:hint="eastAsia"/>
              </w:rPr>
              <w:t>①落实扬尘管控责任：施工单位应制定《施工扬尘污染防治实施方案》，明确责任人，落实施工全过程扬尘管控要求，确保文明施工、绿色施工。</w:t>
            </w:r>
          </w:p>
          <w:p w14:paraId="16C887B0">
            <w:pPr>
              <w:adjustRightInd w:val="0"/>
              <w:snapToGrid w:val="0"/>
              <w:ind w:firstLine="480"/>
              <w:textAlignment w:val="auto"/>
            </w:pPr>
            <w:r>
              <w:rPr>
                <w:rFonts w:hint="eastAsia"/>
              </w:rPr>
              <w:t>②实行封闭施工：施工现场应设置高度不低于2.5m的硬质围挡，实行全封闭管理。围挡应坚固、稳定、整洁。脚手架外侧应采用符合标准的密目式安全网进行封闭，且封闭高度应高于作业面，并同步搭设。安全网应定期清洗维护，保持清洁完好，防止建筑垃圾和粉尘外溢。</w:t>
            </w:r>
          </w:p>
          <w:p w14:paraId="7279E65F">
            <w:pPr>
              <w:adjustRightInd w:val="0"/>
              <w:snapToGrid w:val="0"/>
              <w:ind w:firstLine="480"/>
              <w:textAlignment w:val="auto"/>
            </w:pPr>
            <w:r>
              <w:rPr>
                <w:rFonts w:hint="eastAsia"/>
              </w:rPr>
              <w:t>③加强物料管理：施工现场建筑材料、构件、料具应按总平面布置分类码放整齐；水泥及其他易产生扬尘的细颗粒物必须密闭存放或采用防尘布全覆盖，防止风力扬散。</w:t>
            </w:r>
          </w:p>
          <w:p w14:paraId="4987ACE4">
            <w:pPr>
              <w:adjustRightInd w:val="0"/>
              <w:snapToGrid w:val="0"/>
              <w:ind w:firstLine="480"/>
              <w:textAlignment w:val="auto"/>
            </w:pPr>
            <w:r>
              <w:rPr>
                <w:rFonts w:hint="eastAsia"/>
              </w:rPr>
              <w:t>④实施湿法作业：土方作业时应采取洒水抑尘措施；主要施工道路应定期清扫并洒水保湿，保持路面湿润；施工现场出入口设置车辆冲洗装置，确保出入车辆冲洗，严禁带泥上路；对撒落渣土及时清理，减少二次扬尘。</w:t>
            </w:r>
          </w:p>
          <w:p w14:paraId="322F10F2">
            <w:pPr>
              <w:adjustRightInd w:val="0"/>
              <w:snapToGrid w:val="0"/>
              <w:ind w:firstLine="480"/>
              <w:textAlignment w:val="auto"/>
            </w:pPr>
            <w:r>
              <w:rPr>
                <w:rFonts w:hint="eastAsia"/>
              </w:rPr>
              <w:t>⑤硬化场地与车辆管理：施工现场主要道路及材料加工区地面应进行硬化处理；裸露地面及临时堆土区应采取覆盖、固化或绿化等防尘措施；渣土车辆必须密闭运输，严禁超载、遗撒；运输车辆限速行驶，禁止鸣笛，减少扰民。</w:t>
            </w:r>
          </w:p>
          <w:p w14:paraId="52A9E25D">
            <w:pPr>
              <w:adjustRightInd w:val="0"/>
              <w:snapToGrid w:val="0"/>
              <w:ind w:firstLine="0" w:firstLineChars="0"/>
              <w:textAlignment w:val="auto"/>
              <w:rPr>
                <w:rFonts w:cs="Times New Roman"/>
                <w:bCs/>
                <w:szCs w:val="24"/>
              </w:rPr>
            </w:pPr>
            <w:r>
              <w:rPr>
                <w:rFonts w:cs="Times New Roman"/>
                <w:b/>
                <w:szCs w:val="24"/>
              </w:rPr>
              <w:t>4.1.2</w:t>
            </w:r>
            <w:r>
              <w:rPr>
                <w:rFonts w:hint="eastAsia" w:cs="Times New Roman"/>
                <w:b/>
                <w:szCs w:val="24"/>
              </w:rPr>
              <w:t>施工期</w:t>
            </w:r>
            <w:r>
              <w:rPr>
                <w:rFonts w:cs="Times New Roman"/>
                <w:b/>
                <w:szCs w:val="24"/>
              </w:rPr>
              <w:t>废水污染防治措施</w:t>
            </w:r>
          </w:p>
          <w:p w14:paraId="5A5DEA71">
            <w:pPr>
              <w:adjustRightInd w:val="0"/>
              <w:snapToGrid w:val="0"/>
              <w:ind w:firstLine="480"/>
              <w:textAlignment w:val="auto"/>
              <w:rPr>
                <w:rFonts w:cs="Times New Roman"/>
                <w:bCs/>
                <w:szCs w:val="24"/>
              </w:rPr>
            </w:pPr>
            <w:r>
              <w:rPr>
                <w:rFonts w:cs="Times New Roman"/>
                <w:bCs/>
                <w:szCs w:val="24"/>
              </w:rPr>
              <w:t>（1）施工废水</w:t>
            </w:r>
          </w:p>
          <w:p w14:paraId="5FF7D707">
            <w:pPr>
              <w:adjustRightInd w:val="0"/>
              <w:snapToGrid w:val="0"/>
              <w:ind w:firstLine="480"/>
              <w:textAlignment w:val="auto"/>
              <w:rPr>
                <w:rFonts w:cs="Times New Roman"/>
                <w:bCs/>
                <w:szCs w:val="24"/>
              </w:rPr>
            </w:pPr>
            <w:r>
              <w:rPr>
                <w:rFonts w:hint="eastAsia"/>
                <w:bCs/>
              </w:rPr>
              <w:t>施工废水主要为混凝土养护废水和设备、工具清洗废水，产生量较小，主要污染物为悬浮物。工地应设置临时沉淀池，少量施工废水不得直接排放，需集中收集，并经过沉淀池沉淀处理后，用于洒水抑尘。施工结束后，应及时拆除临时沉淀池。通过以上措施，可确保施工期废水无乱排现象</w:t>
            </w:r>
            <w:r>
              <w:rPr>
                <w:rFonts w:cs="Times New Roman"/>
                <w:bCs/>
                <w:szCs w:val="24"/>
              </w:rPr>
              <w:t>。</w:t>
            </w:r>
          </w:p>
          <w:p w14:paraId="4201098D">
            <w:pPr>
              <w:adjustRightInd w:val="0"/>
              <w:snapToGrid w:val="0"/>
              <w:ind w:firstLine="480"/>
              <w:textAlignment w:val="auto"/>
              <w:rPr>
                <w:rFonts w:cs="Times New Roman"/>
                <w:bCs/>
                <w:szCs w:val="24"/>
              </w:rPr>
            </w:pPr>
            <w:r>
              <w:rPr>
                <w:rFonts w:cs="Times New Roman"/>
                <w:bCs/>
                <w:szCs w:val="24"/>
              </w:rPr>
              <w:t>（2）</w:t>
            </w:r>
            <w:r>
              <w:rPr>
                <w:rFonts w:hint="eastAsia" w:cs="Times New Roman"/>
                <w:bCs/>
                <w:szCs w:val="24"/>
              </w:rPr>
              <w:t>生活污水</w:t>
            </w:r>
          </w:p>
          <w:p w14:paraId="3CD8302D">
            <w:pPr>
              <w:adjustRightInd w:val="0"/>
              <w:snapToGrid w:val="0"/>
              <w:ind w:firstLine="480"/>
              <w:textAlignment w:val="auto"/>
              <w:rPr>
                <w:rFonts w:cs="Times New Roman"/>
                <w:szCs w:val="24"/>
              </w:rPr>
            </w:pPr>
            <w:r>
              <w:rPr>
                <w:rFonts w:cs="Times New Roman"/>
                <w:szCs w:val="24"/>
              </w:rPr>
              <w:t>项目施工人员不在项目区住宿，不设置施工生活区，无施工生活</w:t>
            </w:r>
            <w:r>
              <w:rPr>
                <w:rFonts w:hint="eastAsia" w:cs="Times New Roman"/>
                <w:szCs w:val="24"/>
              </w:rPr>
              <w:t>污水</w:t>
            </w:r>
            <w:r>
              <w:rPr>
                <w:rFonts w:cs="Times New Roman"/>
                <w:szCs w:val="24"/>
              </w:rPr>
              <w:t>产生。</w:t>
            </w:r>
          </w:p>
          <w:p w14:paraId="4CBD12E7">
            <w:pPr>
              <w:adjustRightInd w:val="0"/>
              <w:snapToGrid w:val="0"/>
              <w:ind w:firstLine="0" w:firstLineChars="0"/>
              <w:textAlignment w:val="auto"/>
              <w:rPr>
                <w:rFonts w:cs="Times New Roman"/>
                <w:b/>
                <w:bCs/>
                <w:szCs w:val="24"/>
              </w:rPr>
            </w:pPr>
            <w:r>
              <w:rPr>
                <w:rFonts w:cs="Times New Roman"/>
                <w:b/>
                <w:bCs/>
                <w:szCs w:val="24"/>
              </w:rPr>
              <w:t>4.1.3</w:t>
            </w:r>
            <w:r>
              <w:rPr>
                <w:rFonts w:hint="eastAsia" w:cs="Times New Roman"/>
                <w:b/>
                <w:bCs/>
                <w:szCs w:val="24"/>
              </w:rPr>
              <w:t>施工期</w:t>
            </w:r>
            <w:r>
              <w:rPr>
                <w:rFonts w:cs="Times New Roman"/>
                <w:b/>
                <w:bCs/>
                <w:szCs w:val="24"/>
              </w:rPr>
              <w:t>噪声防治措施</w:t>
            </w:r>
          </w:p>
          <w:p w14:paraId="0C8AF89F">
            <w:pPr>
              <w:adjustRightInd w:val="0"/>
              <w:snapToGrid w:val="0"/>
              <w:ind w:firstLine="480"/>
              <w:textAlignment w:val="auto"/>
              <w:rPr>
                <w:rFonts w:cs="Times New Roman"/>
                <w:bCs/>
                <w:szCs w:val="24"/>
              </w:rPr>
            </w:pPr>
            <w:r>
              <w:rPr>
                <w:rFonts w:hint="eastAsia" w:cs="Times New Roman"/>
                <w:bCs/>
                <w:szCs w:val="24"/>
              </w:rPr>
              <w:t>施工噪声主要来自机械设备运行及运输车辆进出。为减轻噪声影响，应采取以下措施：</w:t>
            </w:r>
          </w:p>
          <w:p w14:paraId="4A7090ED">
            <w:pPr>
              <w:adjustRightInd w:val="0"/>
              <w:snapToGrid w:val="0"/>
              <w:ind w:firstLine="480"/>
              <w:textAlignment w:val="auto"/>
              <w:rPr>
                <w:rFonts w:cs="Times New Roman"/>
                <w:bCs/>
                <w:szCs w:val="24"/>
              </w:rPr>
            </w:pPr>
            <w:r>
              <w:rPr>
                <w:rFonts w:cs="Times New Roman"/>
                <w:bCs/>
                <w:szCs w:val="24"/>
              </w:rPr>
              <w:t>（1）合理安排施工时间，应尽可能避免大量高噪声设备同时施工，使用高噪声设备的施工阶段应尽量安排在白天，无特殊施工要求，夜间不施工；</w:t>
            </w:r>
          </w:p>
          <w:p w14:paraId="5B74B188">
            <w:pPr>
              <w:adjustRightInd w:val="0"/>
              <w:snapToGrid w:val="0"/>
              <w:ind w:firstLine="480"/>
              <w:textAlignment w:val="auto"/>
              <w:rPr>
                <w:rFonts w:cs="Times New Roman"/>
                <w:bCs/>
                <w:szCs w:val="24"/>
              </w:rPr>
            </w:pPr>
            <w:r>
              <w:rPr>
                <w:rFonts w:cs="Times New Roman"/>
                <w:bCs/>
                <w:szCs w:val="24"/>
              </w:rPr>
              <w:t>（2）合理布置施工现场，应避免在施工现场的同一地点安排大量的高噪声设备，造成局部声级过高</w:t>
            </w:r>
            <w:r>
              <w:rPr>
                <w:rFonts w:hint="eastAsia" w:cs="Times New Roman"/>
                <w:bCs/>
                <w:szCs w:val="24"/>
              </w:rPr>
              <w:t>；</w:t>
            </w:r>
          </w:p>
          <w:p w14:paraId="26CB9BA7">
            <w:pPr>
              <w:adjustRightInd w:val="0"/>
              <w:snapToGrid w:val="0"/>
              <w:ind w:firstLine="480"/>
              <w:textAlignment w:val="auto"/>
              <w:rPr>
                <w:rFonts w:cs="Times New Roman"/>
                <w:bCs/>
                <w:szCs w:val="24"/>
              </w:rPr>
            </w:pPr>
            <w:r>
              <w:rPr>
                <w:rFonts w:cs="Times New Roman"/>
                <w:bCs/>
                <w:szCs w:val="24"/>
              </w:rPr>
              <w:t>（3）施工设备选型时尽量采用低噪声设备，如振捣器采用高频振捣器等；</w:t>
            </w:r>
          </w:p>
          <w:p w14:paraId="6C1F2910">
            <w:pPr>
              <w:adjustRightInd w:val="0"/>
              <w:snapToGrid w:val="0"/>
              <w:ind w:firstLine="480"/>
              <w:textAlignment w:val="auto"/>
              <w:rPr>
                <w:rFonts w:cs="Times New Roman"/>
                <w:bCs/>
                <w:szCs w:val="24"/>
              </w:rPr>
            </w:pPr>
            <w:r>
              <w:rPr>
                <w:rFonts w:cs="Times New Roman"/>
                <w:bCs/>
                <w:szCs w:val="24"/>
              </w:rPr>
              <w:t>（4）对动力机械设备定期进行维修和养护，避免因松动部件振动或消声器损坏而加大设备工作时的声级；</w:t>
            </w:r>
          </w:p>
          <w:p w14:paraId="02772B06">
            <w:pPr>
              <w:adjustRightInd w:val="0"/>
              <w:snapToGrid w:val="0"/>
              <w:ind w:firstLine="480"/>
              <w:textAlignment w:val="auto"/>
              <w:rPr>
                <w:rFonts w:cs="Times New Roman"/>
                <w:bCs/>
                <w:szCs w:val="24"/>
              </w:rPr>
            </w:pPr>
            <w:r>
              <w:rPr>
                <w:rFonts w:cs="Times New Roman"/>
                <w:bCs/>
                <w:szCs w:val="24"/>
              </w:rPr>
              <w:t>（5）模板、支架拆卸过程中，遵守作业规定，减少碰撞</w:t>
            </w:r>
            <w:r>
              <w:rPr>
                <w:rFonts w:hint="eastAsia" w:cs="Times New Roman"/>
                <w:bCs/>
                <w:szCs w:val="24"/>
              </w:rPr>
              <w:t>噪声</w:t>
            </w:r>
            <w:r>
              <w:rPr>
                <w:rFonts w:cs="Times New Roman"/>
                <w:bCs/>
                <w:szCs w:val="24"/>
              </w:rPr>
              <w:t>；尽量少用哨子、喇叭、笛等指挥作业，减少人为噪声；</w:t>
            </w:r>
          </w:p>
          <w:p w14:paraId="30BA4159">
            <w:pPr>
              <w:adjustRightInd w:val="0"/>
              <w:snapToGrid w:val="0"/>
              <w:ind w:firstLine="480"/>
              <w:textAlignment w:val="auto"/>
              <w:rPr>
                <w:rFonts w:cs="Times New Roman"/>
                <w:bCs/>
                <w:szCs w:val="24"/>
              </w:rPr>
            </w:pPr>
            <w:r>
              <w:rPr>
                <w:rFonts w:cs="Times New Roman"/>
                <w:bCs/>
                <w:szCs w:val="24"/>
              </w:rPr>
              <w:t>（6）尽量减少运输车辆夜间的运输量，运输车辆在进入施工区附近区域后，要适当降低车速，避免或杜绝鸣笛。</w:t>
            </w:r>
          </w:p>
          <w:p w14:paraId="7469C7B3">
            <w:pPr>
              <w:ind w:firstLine="0" w:firstLineChars="0"/>
              <w:rPr>
                <w:rFonts w:cs="Times New Roman"/>
                <w:bCs/>
                <w:kern w:val="0"/>
                <w:szCs w:val="24"/>
              </w:rPr>
            </w:pPr>
            <w:r>
              <w:rPr>
                <w:rFonts w:cs="Times New Roman"/>
                <w:b/>
                <w:szCs w:val="24"/>
              </w:rPr>
              <w:t>4.1.4</w:t>
            </w:r>
            <w:r>
              <w:rPr>
                <w:rFonts w:hint="eastAsia" w:cs="Times New Roman"/>
                <w:b/>
                <w:szCs w:val="24"/>
              </w:rPr>
              <w:t>施工期固体废物</w:t>
            </w:r>
            <w:r>
              <w:rPr>
                <w:rFonts w:cs="Times New Roman"/>
                <w:b/>
                <w:szCs w:val="24"/>
              </w:rPr>
              <w:t>污染防治措施</w:t>
            </w:r>
          </w:p>
          <w:p w14:paraId="191F231A">
            <w:pPr>
              <w:ind w:firstLine="480"/>
              <w:textAlignment w:val="auto"/>
              <w:rPr>
                <w:rFonts w:cs="Times New Roman"/>
                <w:szCs w:val="24"/>
              </w:rPr>
            </w:pPr>
            <w:r>
              <w:rPr>
                <w:rFonts w:hint="eastAsia" w:cs="Times New Roman"/>
                <w:szCs w:val="24"/>
              </w:rPr>
              <w:t>施工期产生的固体废物主要包括建筑垃圾和施工人员生活垃圾。</w:t>
            </w:r>
          </w:p>
          <w:p w14:paraId="5A9266B3">
            <w:pPr>
              <w:ind w:firstLine="480"/>
              <w:textAlignment w:val="auto"/>
              <w:rPr>
                <w:rFonts w:cs="Times New Roman"/>
                <w:szCs w:val="24"/>
              </w:rPr>
            </w:pPr>
            <w:r>
              <w:rPr>
                <w:rFonts w:hint="eastAsia" w:cs="Times New Roman"/>
                <w:szCs w:val="24"/>
              </w:rPr>
              <w:t>（1）建筑垃圾</w:t>
            </w:r>
          </w:p>
          <w:p w14:paraId="286847EF">
            <w:pPr>
              <w:ind w:firstLine="480"/>
              <w:textAlignment w:val="auto"/>
              <w:rPr>
                <w:rFonts w:cs="Times New Roman"/>
                <w:szCs w:val="24"/>
              </w:rPr>
            </w:pPr>
            <w:r>
              <w:rPr>
                <w:rFonts w:hint="eastAsia" w:cs="Times New Roman"/>
                <w:szCs w:val="24"/>
              </w:rPr>
              <w:t>建筑垃圾主要包括碎砖块、废混凝土、废弃包装材料、边角料等。各施工队伍应对建筑垃圾分类收集，及时清运至当地环卫部门指定场所处置。施工过程中产生的土方主要用于后期回填及场地平整，多余弃土应及时清运。在厂区北侧设置临时土方堆存区，堆存期间应使用防尘网全覆盖，并配合洒水降尘措施，防止扬尘和土方流失。</w:t>
            </w:r>
          </w:p>
          <w:p w14:paraId="439C68DA">
            <w:pPr>
              <w:ind w:firstLine="480"/>
              <w:textAlignment w:val="auto"/>
              <w:rPr>
                <w:rFonts w:cs="Times New Roman"/>
                <w:szCs w:val="24"/>
              </w:rPr>
            </w:pPr>
            <w:r>
              <w:rPr>
                <w:rFonts w:hint="eastAsia" w:cs="Times New Roman"/>
                <w:szCs w:val="24"/>
              </w:rPr>
              <w:t>（2）生活垃圾</w:t>
            </w:r>
          </w:p>
          <w:p w14:paraId="626F428B">
            <w:pPr>
              <w:ind w:firstLine="480"/>
              <w:textAlignment w:val="auto"/>
              <w:rPr>
                <w:rFonts w:cs="Times New Roman"/>
                <w:szCs w:val="24"/>
              </w:rPr>
            </w:pPr>
            <w:r>
              <w:rPr>
                <w:rFonts w:hint="eastAsia" w:cs="Times New Roman"/>
                <w:szCs w:val="24"/>
              </w:rPr>
              <w:t>施工高峰期日均施工人数约10人，人均生活垃圾产生量按0.5kg/人·d计，则日产生量约为5kg（即0.005t），整个施工期（按</w:t>
            </w:r>
            <w:r>
              <w:rPr>
                <w:rFonts w:cs="Times New Roman"/>
                <w:szCs w:val="24"/>
              </w:rPr>
              <w:t>5</w:t>
            </w:r>
            <w:r>
              <w:rPr>
                <w:rFonts w:hint="eastAsia" w:cs="Times New Roman"/>
                <w:szCs w:val="24"/>
              </w:rPr>
              <w:t>个月计，共</w:t>
            </w:r>
            <w:r>
              <w:rPr>
                <w:rFonts w:cs="Times New Roman"/>
                <w:szCs w:val="24"/>
              </w:rPr>
              <w:t>150</w:t>
            </w:r>
            <w:r>
              <w:rPr>
                <w:rFonts w:hint="eastAsia" w:cs="Times New Roman"/>
                <w:szCs w:val="24"/>
              </w:rPr>
              <w:t>天）生活垃圾总产生量约为</w:t>
            </w:r>
            <w:r>
              <w:rPr>
                <w:rFonts w:cs="Times New Roman"/>
                <w:szCs w:val="24"/>
              </w:rPr>
              <w:t>0.75</w:t>
            </w:r>
            <w:r>
              <w:rPr>
                <w:rFonts w:hint="eastAsia" w:cs="Times New Roman"/>
                <w:szCs w:val="24"/>
              </w:rPr>
              <w:t>t。</w:t>
            </w:r>
          </w:p>
          <w:p w14:paraId="6158B60C">
            <w:pPr>
              <w:ind w:firstLine="480"/>
              <w:rPr>
                <w:snapToGrid w:val="0"/>
              </w:rPr>
            </w:pPr>
            <w:r>
              <w:rPr>
                <w:rFonts w:hint="eastAsia" w:cs="Times New Roman"/>
                <w:szCs w:val="24"/>
              </w:rPr>
              <w:t>施工单位应在现场设置带盖生活垃圾收集箱，集中收集后委托当地环卫部门定期清运处理，做到日产日清，防止蚊蝇滋生和异味扩散</w:t>
            </w:r>
            <w:bookmarkEnd w:id="16"/>
            <w:r>
              <w:rPr>
                <w:rFonts w:hint="eastAsia"/>
                <w:snapToGrid w:val="0"/>
              </w:rPr>
              <w:t>。</w:t>
            </w:r>
          </w:p>
        </w:tc>
      </w:tr>
      <w:tr w14:paraId="4650ED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158" w:type="pct"/>
            <w:tcMar>
              <w:left w:w="28" w:type="dxa"/>
              <w:right w:w="28" w:type="dxa"/>
            </w:tcMar>
            <w:vAlign w:val="center"/>
          </w:tcPr>
          <w:p w14:paraId="5337E863">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运营</w:t>
            </w:r>
          </w:p>
          <w:p w14:paraId="22DB0A63">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期环</w:t>
            </w:r>
          </w:p>
          <w:p w14:paraId="482A4B6F">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境影</w:t>
            </w:r>
          </w:p>
          <w:p w14:paraId="199CC881">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响和</w:t>
            </w:r>
          </w:p>
          <w:p w14:paraId="2EC4B4E9">
            <w:pPr>
              <w:adjustRightInd w:val="0"/>
              <w:snapToGrid w:val="0"/>
              <w:spacing w:line="240" w:lineRule="auto"/>
              <w:ind w:firstLine="0" w:firstLineChars="0"/>
              <w:jc w:val="center"/>
              <w:textAlignment w:val="auto"/>
              <w:rPr>
                <w:rFonts w:ascii="宋体" w:hAnsi="宋体" w:cs="宋体"/>
                <w:bCs/>
                <w:szCs w:val="24"/>
              </w:rPr>
            </w:pPr>
            <w:r>
              <w:rPr>
                <w:rFonts w:hint="eastAsia" w:ascii="宋体" w:hAnsi="宋体" w:cs="宋体"/>
                <w:bCs/>
                <w:szCs w:val="24"/>
              </w:rPr>
              <w:t>保护</w:t>
            </w:r>
          </w:p>
          <w:p w14:paraId="4B5D2363">
            <w:pPr>
              <w:widowControl/>
              <w:adjustRightInd w:val="0"/>
              <w:snapToGrid w:val="0"/>
              <w:spacing w:line="240" w:lineRule="auto"/>
              <w:ind w:firstLine="0" w:firstLineChars="0"/>
              <w:jc w:val="center"/>
              <w:textAlignment w:val="auto"/>
              <w:rPr>
                <w:rFonts w:ascii="宋体" w:hAnsi="宋体" w:cs="宋体"/>
                <w:szCs w:val="24"/>
              </w:rPr>
            </w:pPr>
            <w:r>
              <w:rPr>
                <w:rFonts w:hint="eastAsia" w:ascii="宋体" w:hAnsi="宋体" w:cs="宋体"/>
                <w:bCs/>
                <w:szCs w:val="24"/>
              </w:rPr>
              <w:t>措施</w:t>
            </w:r>
          </w:p>
        </w:tc>
        <w:tc>
          <w:tcPr>
            <w:tcW w:w="4841" w:type="pct"/>
          </w:tcPr>
          <w:p w14:paraId="4F237783">
            <w:pPr>
              <w:pStyle w:val="3"/>
            </w:pPr>
            <w:r>
              <w:rPr>
                <w:rFonts w:hint="eastAsia"/>
              </w:rPr>
              <w:t>4</w:t>
            </w:r>
            <w:r>
              <w:t>.2</w:t>
            </w:r>
            <w:r>
              <w:rPr>
                <w:rFonts w:hint="eastAsia"/>
              </w:rPr>
              <w:t>运营期环境影响和保护措施</w:t>
            </w:r>
          </w:p>
          <w:p w14:paraId="1EACC1AC">
            <w:pPr>
              <w:pStyle w:val="3"/>
            </w:pPr>
            <w:r>
              <w:t>4.2.1</w:t>
            </w:r>
            <w:r>
              <w:rPr>
                <w:rFonts w:hint="eastAsia"/>
              </w:rPr>
              <w:t>大气环境影响分析及保护措施</w:t>
            </w:r>
          </w:p>
          <w:p w14:paraId="648E983B">
            <w:pPr>
              <w:ind w:firstLine="0" w:firstLineChars="0"/>
              <w:rPr>
                <w:b/>
                <w:bCs/>
              </w:rPr>
            </w:pPr>
            <w:r>
              <w:rPr>
                <w:rFonts w:hint="eastAsia"/>
                <w:b/>
                <w:bCs/>
              </w:rPr>
              <w:t>4</w:t>
            </w:r>
            <w:r>
              <w:rPr>
                <w:b/>
                <w:bCs/>
              </w:rPr>
              <w:t>.2.1.1</w:t>
            </w:r>
            <w:r>
              <w:rPr>
                <w:rFonts w:hint="eastAsia"/>
                <w:b/>
                <w:bCs/>
              </w:rPr>
              <w:t>废气源强分析</w:t>
            </w:r>
          </w:p>
          <w:p w14:paraId="4D730AD7">
            <w:pPr>
              <w:ind w:firstLine="480"/>
              <w:rPr>
                <w:rFonts w:cs="Times New Roman"/>
              </w:rPr>
            </w:pPr>
            <w:r>
              <w:rPr>
                <w:rFonts w:hint="eastAsia" w:cs="Times New Roman"/>
              </w:rPr>
              <w:t>本项目主要废气产生环节为原料破碎过程中产生的粉尘、原料堆场扬尘，以及废塑料预处理过程中产生的少量恶臭气体。</w:t>
            </w:r>
          </w:p>
          <w:p w14:paraId="5173BA2A">
            <w:pPr>
              <w:ind w:firstLine="480"/>
            </w:pPr>
            <w:r>
              <w:rPr>
                <w:rFonts w:hint="eastAsia" w:cs="Times New Roman"/>
              </w:rPr>
              <w:t>（1）</w:t>
            </w:r>
            <w:r>
              <w:rPr>
                <w:rFonts w:hint="eastAsia"/>
              </w:rPr>
              <w:t>破碎粉尘</w:t>
            </w:r>
          </w:p>
          <w:p w14:paraId="5FB9B1DA">
            <w:pPr>
              <w:ind w:firstLine="480"/>
              <w:rPr>
                <w:lang w:val="zh-CN"/>
              </w:rPr>
            </w:pPr>
            <w:r>
              <w:rPr>
                <w:rFonts w:hint="eastAsia"/>
                <w:lang w:val="zh-CN"/>
              </w:rPr>
              <w:t>本项目对回收的废塑料混合料采用湿法破碎。由于废塑料携带一定量的泥沙、尘土等杂质，因此在破碎过程中会产生一定量的粉尘。</w:t>
            </w:r>
          </w:p>
          <w:p w14:paraId="5304EE5F">
            <w:pPr>
              <w:ind w:firstLine="480"/>
              <w:rPr>
                <w:rFonts w:cs="Times New Roman"/>
              </w:rPr>
            </w:pPr>
            <w:r>
              <w:rPr>
                <w:rFonts w:cs="Times New Roman"/>
              </w:rPr>
              <w:t>根据《排放源统计调查产排污核算方法和系数手册》：</w:t>
            </w:r>
          </w:p>
          <w:p w14:paraId="61847F6E">
            <w:pPr>
              <w:ind w:firstLine="480"/>
              <w:rPr>
                <w:rFonts w:cs="Times New Roman"/>
              </w:rPr>
            </w:pPr>
            <w:r>
              <w:rPr>
                <w:rFonts w:cs="Times New Roman"/>
              </w:rPr>
              <w:t>“4220非金属废料和碎屑加工处理”行业系数表，废PE/PP采用干法破碎工艺时，颗粒物产污系数为375克/吨-原料；</w:t>
            </w:r>
          </w:p>
          <w:p w14:paraId="7A5FA8F6">
            <w:pPr>
              <w:ind w:firstLine="480"/>
              <w:rPr>
                <w:rFonts w:cs="Times New Roman"/>
              </w:rPr>
            </w:pPr>
            <w:r>
              <w:rPr>
                <w:rFonts w:cs="Times New Roman"/>
              </w:rPr>
              <w:t>“4210金属废料和碎屑加工处理”行业系数表，废塑料、废有色金属采用破碎+风选工艺时，颗粒物产污系数为247克/吨-原料。</w:t>
            </w:r>
          </w:p>
          <w:p w14:paraId="093A4E20">
            <w:pPr>
              <w:ind w:firstLine="480"/>
              <w:rPr>
                <w:rFonts w:cs="Times New Roman"/>
              </w:rPr>
            </w:pPr>
            <w:r>
              <w:rPr>
                <w:rFonts w:cs="Times New Roman"/>
              </w:rPr>
              <w:t>本项目年处理废塑料混合料30000吨，其中废塑料约29700吨，金属残留约300吨。废塑料与金属分别采用上述对应系数进行核算。</w:t>
            </w:r>
          </w:p>
          <w:p w14:paraId="0DAF1CA5">
            <w:pPr>
              <w:ind w:firstLine="480"/>
              <w:rPr>
                <w:rFonts w:cs="Times New Roman"/>
              </w:rPr>
            </w:pPr>
            <w:r>
              <w:rPr>
                <w:rFonts w:cs="Times New Roman"/>
                <w:color w:val="0F1115"/>
                <w:shd w:val="clear" w:color="auto" w:fill="FFFFFF"/>
              </w:rPr>
              <w:t>本项目采用湿法破碎工艺，通过在产尘点喷水，利用润湿、增重效应从源头抑制粉尘。根据行业工程经验，湿法破碎对粉尘的抑制效率可达90%以上。本次评价按90%抑尘效率进行核算。</w:t>
            </w:r>
          </w:p>
          <w:p w14:paraId="51DEE58C">
            <w:pPr>
              <w:ind w:firstLine="480"/>
              <w:rPr>
                <w:rFonts w:cs="Times New Roman"/>
              </w:rPr>
            </w:pPr>
            <w:r>
              <w:rPr>
                <w:rFonts w:hint="eastAsia" w:cs="Times New Roman"/>
              </w:rPr>
              <w:t>粉尘产生量计算如下：</w:t>
            </w:r>
          </w:p>
          <w:p w14:paraId="78DD8479">
            <w:pPr>
              <w:ind w:firstLine="480"/>
              <w:rPr>
                <w:rFonts w:cs="Times New Roman"/>
              </w:rPr>
            </w:pPr>
            <w:r>
              <w:rPr>
                <w:rFonts w:cs="Times New Roman"/>
              </w:rPr>
              <w:t>废塑料部分：29700t×0.375kg/t×（1-90%）=1.114t/a；金属部分：300t×0.247kg/t×（1-90%）=0.00741t/a；合计：1.12t/a。</w:t>
            </w:r>
          </w:p>
          <w:p w14:paraId="091A77CD">
            <w:pPr>
              <w:ind w:firstLine="480"/>
              <w:rPr>
                <w:rFonts w:cs="Times New Roman"/>
                <w:lang w:val="zh-CN"/>
              </w:rPr>
            </w:pPr>
            <w:r>
              <w:rPr>
                <w:rFonts w:cs="Times New Roman"/>
                <w:lang w:val="zh-CN"/>
              </w:rPr>
              <w:t>本项目破碎工序粉尘产生量约为1.12t/a（其中废塑料破碎1.114t/a，金属破碎0.0074t/a）。</w:t>
            </w:r>
            <w:r>
              <w:rPr>
                <w:rFonts w:hint="eastAsia" w:cs="Times New Roman"/>
                <w:lang w:val="zh-CN"/>
              </w:rPr>
              <w:t>项目生产线全部在全封闭车间内，破碎、粉碎、分选粉尘经集气罩+布袋除尘器处理后，由15m高排气筒排放</w:t>
            </w:r>
            <w:r>
              <w:rPr>
                <w:rFonts w:cs="Times New Roman"/>
                <w:lang w:val="zh-CN"/>
              </w:rPr>
              <w:t>。</w:t>
            </w:r>
            <w:r>
              <w:rPr>
                <w:rFonts w:hint="eastAsia"/>
                <w:szCs w:val="21"/>
              </w:rPr>
              <w:t>根据《主要污染物总量减排核算技术指南》（2022年修订），密闭式集气罩8</w:t>
            </w:r>
            <w:r>
              <w:rPr>
                <w:szCs w:val="21"/>
              </w:rPr>
              <w:t>0</w:t>
            </w:r>
            <w:r>
              <w:rPr>
                <w:rFonts w:hint="eastAsia"/>
                <w:szCs w:val="21"/>
              </w:rPr>
              <w:t>%</w:t>
            </w:r>
            <w:r>
              <w:rPr>
                <w:rFonts w:cs="Times New Roman"/>
                <w:lang w:val="zh-CN"/>
              </w:rPr>
              <w:t>，剩余20%废气呈无组织排放。根据《42废弃资源综合利用行业系数手册》，袋式除尘末端治理技术平均去除效率为95%。设计年生产时间2400h，配套风机风量为3000m³/h。</w:t>
            </w:r>
          </w:p>
          <w:p w14:paraId="7A9668F7">
            <w:pPr>
              <w:ind w:firstLine="480"/>
              <w:rPr>
                <w:rFonts w:cs="Times New Roman"/>
              </w:rPr>
            </w:pPr>
            <w:r>
              <w:rPr>
                <w:rFonts w:cs="Times New Roman"/>
                <w:lang w:val="zh-CN"/>
              </w:rPr>
              <w:t>经核算，本项目破碎粉尘有组织排放量约为0.045t/a（0.02kg/h，6.7mg/m³），无组织粉尘排放量约为0.224t/a（0.09kg/h）。</w:t>
            </w:r>
          </w:p>
          <w:p w14:paraId="7745D525">
            <w:pPr>
              <w:ind w:firstLine="480"/>
            </w:pPr>
            <w:r>
              <w:rPr>
                <w:rFonts w:hint="eastAsia" w:cs="Times New Roman"/>
              </w:rPr>
              <w:t>（</w:t>
            </w:r>
            <w:r>
              <w:rPr>
                <w:rFonts w:cs="Times New Roman"/>
              </w:rPr>
              <w:t>2</w:t>
            </w:r>
            <w:r>
              <w:rPr>
                <w:rFonts w:hint="eastAsia" w:cs="Times New Roman"/>
              </w:rPr>
              <w:t>）</w:t>
            </w:r>
            <w:r>
              <w:rPr>
                <w:rFonts w:hint="eastAsia"/>
              </w:rPr>
              <w:t>物料堆场装卸起尘量</w:t>
            </w:r>
          </w:p>
          <w:p w14:paraId="4D0EF1BD">
            <w:pPr>
              <w:ind w:firstLine="480"/>
              <w:jc w:val="left"/>
            </w:pPr>
            <w:r>
              <w:rPr>
                <w:rFonts w:hint="eastAsia"/>
              </w:rPr>
              <w:t>根据《排放源统计调查产排污核算方法和系数手册》的公告（公告</w:t>
            </w:r>
            <w:r>
              <w:t>2021</w:t>
            </w:r>
            <w:r>
              <w:rPr>
                <w:rFonts w:hint="eastAsia"/>
              </w:rPr>
              <w:t>年第</w:t>
            </w:r>
            <w:r>
              <w:t>24</w:t>
            </w:r>
            <w:r>
              <w:rPr>
                <w:rFonts w:hint="eastAsia"/>
              </w:rPr>
              <w:t>号）中《固体物料堆存颗粒物产排污核算系数手册》，堆场装卸起尘量的计算公式如下：</w:t>
            </w:r>
          </w:p>
          <w:p w14:paraId="515CBEE5">
            <w:pPr>
              <w:ind w:firstLine="480"/>
              <w:jc w:val="center"/>
              <w:rPr>
                <w:rFonts w:cs="Times New Roman"/>
              </w:rPr>
            </w:pPr>
            <w:r>
              <w:drawing>
                <wp:inline distT="0" distB="0" distL="0" distR="0">
                  <wp:extent cx="4253865" cy="48196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4319801" cy="489609"/>
                          </a:xfrm>
                          <a:prstGeom prst="rect">
                            <a:avLst/>
                          </a:prstGeom>
                        </pic:spPr>
                      </pic:pic>
                    </a:graphicData>
                  </a:graphic>
                </wp:inline>
              </w:drawing>
            </w:r>
          </w:p>
          <w:p w14:paraId="6E142BDC">
            <w:pPr>
              <w:ind w:firstLine="480"/>
            </w:pPr>
            <w:r>
              <w:rPr>
                <w:rFonts w:hint="eastAsia"/>
              </w:rPr>
              <w:t>式中：</w:t>
            </w:r>
          </w:p>
          <w:p w14:paraId="16E37A81">
            <w:pPr>
              <w:ind w:firstLine="1080" w:firstLineChars="450"/>
            </w:pPr>
            <w:r>
              <w:t>P</w:t>
            </w:r>
            <w:r>
              <w:rPr>
                <w:rFonts w:hint="eastAsia"/>
              </w:rPr>
              <w:t>——指颗粒物产生量（单位：吨）；</w:t>
            </w:r>
          </w:p>
          <w:p w14:paraId="2FDF69C7">
            <w:pPr>
              <w:ind w:firstLine="1080" w:firstLineChars="450"/>
            </w:pPr>
            <w:r>
              <w:t>ZCy</w:t>
            </w:r>
            <w:r>
              <w:rPr>
                <w:rFonts w:hint="eastAsia"/>
              </w:rPr>
              <w:t>——指装卸扬尘产生量（单位：吨）；</w:t>
            </w:r>
          </w:p>
          <w:p w14:paraId="28E9B2A3">
            <w:pPr>
              <w:ind w:firstLine="1080" w:firstLineChars="450"/>
            </w:pPr>
            <w:r>
              <w:t>FCy</w:t>
            </w:r>
            <w:r>
              <w:rPr>
                <w:rFonts w:hint="eastAsia"/>
              </w:rPr>
              <w:t>——指风蚀扬尘产生量（单位：吨）；</w:t>
            </w:r>
          </w:p>
          <w:p w14:paraId="2876EBA9">
            <w:pPr>
              <w:ind w:firstLine="1080" w:firstLineChars="450"/>
            </w:pPr>
            <w:r>
              <w:t>Nc</w:t>
            </w:r>
            <w:r>
              <w:rPr>
                <w:rFonts w:hint="eastAsia"/>
              </w:rPr>
              <w:t>——指年物料运载车次（单位：车）；项目年运送废塑料混合料3</w:t>
            </w:r>
            <w:r>
              <w:t>0000</w:t>
            </w:r>
            <w:r>
              <w:rPr>
                <w:rFonts w:hint="eastAsia"/>
              </w:rPr>
              <w:t>吨，由载重</w:t>
            </w:r>
            <w:r>
              <w:t>20t</w:t>
            </w:r>
            <w:r>
              <w:rPr>
                <w:rFonts w:hint="eastAsia"/>
              </w:rPr>
              <w:t>的自卸汽车完成，年运送车次</w:t>
            </w:r>
            <w:r>
              <w:t>1500</w:t>
            </w:r>
            <w:r>
              <w:rPr>
                <w:rFonts w:hint="eastAsia"/>
              </w:rPr>
              <w:t>次。</w:t>
            </w:r>
          </w:p>
          <w:p w14:paraId="753B8111">
            <w:pPr>
              <w:ind w:firstLine="1080" w:firstLineChars="450"/>
            </w:pPr>
            <w:r>
              <w:t>D</w:t>
            </w:r>
            <w:r>
              <w:rPr>
                <w:rFonts w:hint="eastAsia"/>
              </w:rPr>
              <w:t>——指单车平均运载量（单位：吨</w:t>
            </w:r>
            <w:r>
              <w:t>/</w:t>
            </w:r>
            <w:r>
              <w:rPr>
                <w:rFonts w:hint="eastAsia"/>
              </w:rPr>
              <w:t>车）；取值</w:t>
            </w:r>
            <w:r>
              <w:t>20t</w:t>
            </w:r>
            <w:r>
              <w:rPr>
                <w:rFonts w:hint="eastAsia"/>
              </w:rPr>
              <w:t>。</w:t>
            </w:r>
          </w:p>
          <w:p w14:paraId="06D35EBE">
            <w:pPr>
              <w:ind w:firstLine="1080" w:firstLineChars="450"/>
            </w:pPr>
            <w:r>
              <w:rPr>
                <w:rFonts w:hint="eastAsia"/>
              </w:rPr>
              <w:t>（</w:t>
            </w:r>
            <w:r>
              <w:rPr>
                <w:rFonts w:ascii="Cambria Math" w:hAnsi="Cambria Math" w:cs="Cambria Math"/>
              </w:rPr>
              <w:t>𝑎</w:t>
            </w:r>
            <w:r>
              <w:t>/</w:t>
            </w:r>
            <w:r>
              <w:rPr>
                <w:rFonts w:ascii="Cambria Math" w:hAnsi="Cambria Math" w:cs="Cambria Math"/>
              </w:rPr>
              <w:t>𝑏</w:t>
            </w:r>
            <w:r>
              <w:rPr>
                <w:rFonts w:hint="eastAsia"/>
              </w:rPr>
              <w:t>）指装卸扬尘概化系数（单位：千克</w:t>
            </w:r>
            <w:r>
              <w:t>/</w:t>
            </w:r>
            <w:r>
              <w:rPr>
                <w:rFonts w:hint="eastAsia"/>
              </w:rPr>
              <w:t>吨），</w:t>
            </w:r>
            <w:r>
              <w:t>a</w:t>
            </w:r>
            <w:r>
              <w:rPr>
                <w:rFonts w:hint="eastAsia"/>
              </w:rPr>
              <w:t>指各省风速概化系数，见附录1；</w:t>
            </w:r>
            <w:r>
              <w:t>b</w:t>
            </w:r>
            <w:r>
              <w:rPr>
                <w:rFonts w:hint="eastAsia"/>
              </w:rPr>
              <w:t>指物料含水率概化系数，见附录</w:t>
            </w:r>
            <w:r>
              <w:t>2</w:t>
            </w:r>
            <w:r>
              <w:rPr>
                <w:rFonts w:hint="eastAsia"/>
              </w:rPr>
              <w:t>；</w:t>
            </w:r>
            <w:r>
              <w:t>a</w:t>
            </w:r>
            <w:r>
              <w:rPr>
                <w:rFonts w:hint="eastAsia"/>
              </w:rPr>
              <w:t>取值</w:t>
            </w:r>
            <w:r>
              <w:t>0.0011</w:t>
            </w:r>
            <w:r>
              <w:rPr>
                <w:rFonts w:hint="eastAsia"/>
              </w:rPr>
              <w:t>，</w:t>
            </w:r>
            <w:r>
              <w:t>b</w:t>
            </w:r>
            <w:r>
              <w:rPr>
                <w:rFonts w:hint="eastAsia"/>
              </w:rPr>
              <w:t>取值</w:t>
            </w:r>
            <w:r>
              <w:t>0.0005</w:t>
            </w:r>
            <w:r>
              <w:rPr>
                <w:rFonts w:hint="eastAsia"/>
              </w:rPr>
              <w:t>。</w:t>
            </w:r>
          </w:p>
          <w:p w14:paraId="75E65259">
            <w:pPr>
              <w:ind w:firstLine="1080" w:firstLineChars="450"/>
            </w:pPr>
            <w:r>
              <w:t>Ef</w:t>
            </w:r>
            <w:r>
              <w:rPr>
                <w:rFonts w:hint="eastAsia"/>
              </w:rPr>
              <w:t>——指堆场风蚀扬尘概化系数，，见附录</w:t>
            </w:r>
            <w:r>
              <w:t>3</w:t>
            </w:r>
            <w:r>
              <w:rPr>
                <w:rFonts w:hint="eastAsia"/>
              </w:rPr>
              <w:t>（单位：千克</w:t>
            </w:r>
            <w:r>
              <w:t>/</w:t>
            </w:r>
            <w:r>
              <w:rPr>
                <w:rFonts w:hint="eastAsia"/>
              </w:rPr>
              <w:t>平方米），取值</w:t>
            </w:r>
            <w:r>
              <w:t>0</w:t>
            </w:r>
            <w:r>
              <w:rPr>
                <w:rFonts w:hint="eastAsia"/>
              </w:rPr>
              <w:t>（参照芯球）；</w:t>
            </w:r>
          </w:p>
          <w:p w14:paraId="1FF20A6F">
            <w:pPr>
              <w:ind w:firstLine="1080" w:firstLineChars="450"/>
            </w:pPr>
            <w:r>
              <w:t>S</w:t>
            </w:r>
            <w:r>
              <w:rPr>
                <w:rFonts w:hint="eastAsia"/>
              </w:rPr>
              <w:t>指堆场占地面积（单位：平方米）；取值</w:t>
            </w:r>
            <w:r>
              <w:t>300m</w:t>
            </w:r>
            <w:r>
              <w:rPr>
                <w:vertAlign w:val="superscript"/>
              </w:rPr>
              <w:t>2</w:t>
            </w:r>
            <w:r>
              <w:rPr>
                <w:rFonts w:hint="eastAsia"/>
              </w:rPr>
              <w:t>。</w:t>
            </w:r>
          </w:p>
          <w:p w14:paraId="2386FF98">
            <w:pPr>
              <w:ind w:firstLine="480"/>
            </w:pPr>
            <w:r>
              <w:rPr>
                <w:rFonts w:hint="eastAsia"/>
              </w:rPr>
              <w:t>经计算堆场粉尘产量</w:t>
            </w:r>
            <w:r>
              <w:t>P=66.002t/a</w:t>
            </w:r>
            <w:r>
              <w:rPr>
                <w:rFonts w:hint="eastAsia"/>
              </w:rPr>
              <w:t>。</w:t>
            </w:r>
          </w:p>
          <w:p w14:paraId="0D0837B3">
            <w:pPr>
              <w:ind w:firstLine="480"/>
              <w:jc w:val="center"/>
            </w:pPr>
            <w:r>
              <w:drawing>
                <wp:inline distT="0" distB="0" distL="0" distR="0">
                  <wp:extent cx="3649345" cy="573405"/>
                  <wp:effectExtent l="0" t="0" r="825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3679754" cy="578338"/>
                          </a:xfrm>
                          <a:prstGeom prst="rect">
                            <a:avLst/>
                          </a:prstGeom>
                        </pic:spPr>
                      </pic:pic>
                    </a:graphicData>
                  </a:graphic>
                </wp:inline>
              </w:drawing>
            </w:r>
          </w:p>
          <w:p w14:paraId="0F4D7A77">
            <w:pPr>
              <w:ind w:firstLine="480"/>
            </w:pPr>
            <w:r>
              <w:rPr>
                <w:rFonts w:hint="eastAsia"/>
              </w:rPr>
              <w:t>式中：</w:t>
            </w:r>
            <w:r>
              <w:t>P</w:t>
            </w:r>
            <w:r>
              <w:rPr>
                <w:rFonts w:hint="eastAsia"/>
              </w:rPr>
              <w:t>颗粒物产生量（单位：吨）；</w:t>
            </w:r>
          </w:p>
          <w:p w14:paraId="2A5FCFB2">
            <w:pPr>
              <w:ind w:firstLine="480"/>
            </w:pPr>
            <w:r>
              <w:t>U</w:t>
            </w:r>
            <w:r>
              <w:rPr>
                <w:vertAlign w:val="subscript"/>
              </w:rPr>
              <w:t>c</w:t>
            </w:r>
            <w:r>
              <w:rPr>
                <w:rFonts w:hint="eastAsia"/>
              </w:rPr>
              <w:t>——指颗粒物排放量（单位：吨）；</w:t>
            </w:r>
          </w:p>
          <w:p w14:paraId="38AF9670">
            <w:pPr>
              <w:ind w:firstLine="480"/>
            </w:pPr>
            <w:r>
              <w:t>C</w:t>
            </w:r>
            <w:r>
              <w:rPr>
                <w:vertAlign w:val="subscript"/>
              </w:rPr>
              <w:t>m</w:t>
            </w:r>
            <w:r>
              <w:t>——颗粒物控制措施控制效率</w:t>
            </w:r>
            <w:r>
              <w:rPr>
                <w:rFonts w:hint="eastAsia"/>
              </w:rPr>
              <w:t>（</w:t>
            </w:r>
            <w:r>
              <w:t>单位：%</w:t>
            </w:r>
            <w:r>
              <w:rPr>
                <w:rFonts w:hint="eastAsia"/>
              </w:rPr>
              <w:t>）</w:t>
            </w:r>
            <w:r>
              <w:t>；</w:t>
            </w:r>
            <w:r>
              <w:rPr>
                <w:rFonts w:hint="eastAsia"/>
              </w:rPr>
              <w:t>本项目采用篷布全面遮盖和洒水降尘两项措施抑制扬尘。根据《固体物料堆存颗粒物产生排污系数核算手册》附录4，篷布遮盖的抑尘效率为86%，洒水降尘的抑尘效率为74%。两项措施协同作用，综合控制效率可达到9</w:t>
            </w:r>
            <w:r>
              <w:t>6</w:t>
            </w:r>
            <w:r>
              <w:rPr>
                <w:rFonts w:hint="eastAsia"/>
              </w:rPr>
              <w:t>%；</w:t>
            </w:r>
          </w:p>
          <w:p w14:paraId="432B180F">
            <w:pPr>
              <w:ind w:firstLine="480"/>
            </w:pPr>
            <w:r>
              <w:t>Tm</w:t>
            </w:r>
            <w:r>
              <w:rPr>
                <w:rFonts w:hint="eastAsia"/>
              </w:rPr>
              <w:t>——堆场类型控制效率（单位：</w:t>
            </w:r>
            <w:r>
              <w:t>%</w:t>
            </w:r>
            <w:r>
              <w:rPr>
                <w:rFonts w:hint="eastAsia"/>
              </w:rPr>
              <w:t>），本项目物料堆场属于敞开式，根据附录</w:t>
            </w:r>
            <w:r>
              <w:t>5</w:t>
            </w:r>
            <w:r>
              <w:rPr>
                <w:rFonts w:hint="eastAsia"/>
              </w:rPr>
              <w:t>，抑尘效率为</w:t>
            </w:r>
            <w:r>
              <w:t>0%</w:t>
            </w:r>
            <w:r>
              <w:rPr>
                <w:rFonts w:hint="eastAsia"/>
              </w:rPr>
              <w:t>。</w:t>
            </w:r>
          </w:p>
          <w:p w14:paraId="6746DB54">
            <w:pPr>
              <w:ind w:firstLine="480"/>
            </w:pPr>
            <w:r>
              <w:rPr>
                <w:rFonts w:hint="eastAsia"/>
              </w:rPr>
              <w:t>经计算，本项目颗粒物排放量为2</w:t>
            </w:r>
            <w:r>
              <w:t>.64</w:t>
            </w:r>
            <w:r>
              <w:rPr>
                <w:rFonts w:hint="eastAsia"/>
              </w:rPr>
              <w:t>t</w:t>
            </w:r>
            <w:r>
              <w:t>/a</w:t>
            </w:r>
            <w:r>
              <w:rPr>
                <w:rFonts w:hint="eastAsia"/>
              </w:rPr>
              <w:t>。</w:t>
            </w:r>
          </w:p>
          <w:p w14:paraId="2459043A">
            <w:pPr>
              <w:ind w:firstLine="480"/>
            </w:pPr>
            <w:r>
              <w:t>（3）臭气浓度</w:t>
            </w:r>
          </w:p>
          <w:p w14:paraId="0603EF54">
            <w:pPr>
              <w:ind w:firstLine="480"/>
            </w:pPr>
            <w:r>
              <w:t>本项目在废塑料预处理过程（如破碎、</w:t>
            </w:r>
            <w:r>
              <w:rPr>
                <w:rFonts w:hint="eastAsia"/>
              </w:rPr>
              <w:t>清洗</w:t>
            </w:r>
            <w:r>
              <w:t>等）中会产生少量恶臭气体。根据同类项目竣工验收监测结果，厂界臭气浓度最高均值为12（无量纲）；另据《新疆淋闰沣吉再生资源有限公司瓶片加工利用基地建设项目》的预测结果，臭气浓度贡献值为1.1671（无量纲）。综合考虑，本项目以实测最大值12作为厂界臭气浓度预测值</w:t>
            </w:r>
            <w:r>
              <w:rPr>
                <w:rFonts w:hint="eastAsia"/>
              </w:rPr>
              <w:t>，满足</w:t>
            </w:r>
            <w:r>
              <w:t>《恶臭污染物排放标准》（GB14554-93）表1规定的</w:t>
            </w:r>
            <w:r>
              <w:rPr>
                <w:rFonts w:hint="eastAsia"/>
              </w:rPr>
              <w:t>“</w:t>
            </w:r>
            <w:r>
              <w:t>新扩改建项目二级标准限值</w:t>
            </w:r>
            <w:r>
              <w:rPr>
                <w:rFonts w:hint="eastAsia"/>
              </w:rPr>
              <w:t>”</w:t>
            </w:r>
            <w:r>
              <w:t>（臭气浓度≤20）。</w:t>
            </w:r>
          </w:p>
          <w:p w14:paraId="60011D37">
            <w:pPr>
              <w:adjustRightInd w:val="0"/>
              <w:snapToGrid w:val="0"/>
              <w:spacing w:line="240" w:lineRule="auto"/>
              <w:ind w:firstLine="0" w:firstLineChars="0"/>
              <w:jc w:val="center"/>
              <w:textAlignment w:val="auto"/>
              <w:rPr>
                <w:rFonts w:cs="Times New Roman"/>
                <w:b/>
                <w:sz w:val="21"/>
                <w:szCs w:val="21"/>
              </w:rPr>
            </w:pPr>
            <w:r>
              <w:rPr>
                <w:rFonts w:cs="Times New Roman"/>
                <w:b/>
                <w:sz w:val="21"/>
                <w:szCs w:val="21"/>
              </w:rPr>
              <w:t>表4-1  项目废气产生及排放情况表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84"/>
              <w:gridCol w:w="777"/>
              <w:gridCol w:w="426"/>
              <w:gridCol w:w="1249"/>
              <w:gridCol w:w="829"/>
              <w:gridCol w:w="1695"/>
              <w:gridCol w:w="954"/>
              <w:gridCol w:w="755"/>
              <w:gridCol w:w="1505"/>
            </w:tblGrid>
            <w:tr w14:paraId="23AB08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292" w:type="pct"/>
                  <w:vAlign w:val="center"/>
                </w:tcPr>
                <w:p w14:paraId="25CAAD8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序号</w:t>
                  </w:r>
                </w:p>
              </w:tc>
              <w:tc>
                <w:tcPr>
                  <w:tcW w:w="461" w:type="pct"/>
                  <w:vAlign w:val="center"/>
                </w:tcPr>
                <w:p w14:paraId="6B7113F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产污环节</w:t>
                  </w:r>
                </w:p>
              </w:tc>
              <w:tc>
                <w:tcPr>
                  <w:tcW w:w="141" w:type="pct"/>
                  <w:vAlign w:val="center"/>
                </w:tcPr>
                <w:p w14:paraId="6C182D2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14:paraId="7689B23E">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种类</w:t>
                  </w:r>
                </w:p>
              </w:tc>
              <w:tc>
                <w:tcPr>
                  <w:tcW w:w="733" w:type="pct"/>
                  <w:vAlign w:val="center"/>
                </w:tcPr>
                <w:p w14:paraId="1B87FCD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w:t>
                  </w:r>
                </w:p>
                <w:p w14:paraId="4AFAC75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产生量</w:t>
                  </w:r>
                </w:p>
              </w:tc>
              <w:tc>
                <w:tcPr>
                  <w:tcW w:w="491" w:type="pct"/>
                  <w:vAlign w:val="center"/>
                </w:tcPr>
                <w:p w14:paraId="11BE90F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排放</w:t>
                  </w:r>
                </w:p>
                <w:p w14:paraId="56CC9305">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形式</w:t>
                  </w:r>
                </w:p>
              </w:tc>
              <w:tc>
                <w:tcPr>
                  <w:tcW w:w="990" w:type="pct"/>
                  <w:vAlign w:val="center"/>
                </w:tcPr>
                <w:p w14:paraId="01311C9C">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治理措施</w:t>
                  </w:r>
                </w:p>
              </w:tc>
              <w:tc>
                <w:tcPr>
                  <w:tcW w:w="563" w:type="pct"/>
                  <w:vAlign w:val="center"/>
                </w:tcPr>
                <w:p w14:paraId="54232E77">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处理效率</w:t>
                  </w:r>
                </w:p>
              </w:tc>
              <w:tc>
                <w:tcPr>
                  <w:tcW w:w="448" w:type="pct"/>
                  <w:vAlign w:val="center"/>
                </w:tcPr>
                <w:p w14:paraId="64BA61F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是否为可行技术</w:t>
                  </w:r>
                </w:p>
              </w:tc>
              <w:tc>
                <w:tcPr>
                  <w:tcW w:w="880" w:type="pct"/>
                  <w:vAlign w:val="center"/>
                </w:tcPr>
                <w:p w14:paraId="5D4E65F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污染物排放量、速率</w:t>
                  </w:r>
                </w:p>
              </w:tc>
            </w:tr>
            <w:tr w14:paraId="7E414F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292" w:type="pct"/>
                  <w:vAlign w:val="center"/>
                </w:tcPr>
                <w:p w14:paraId="7379B5E8">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p>
              </w:tc>
              <w:tc>
                <w:tcPr>
                  <w:tcW w:w="461" w:type="pct"/>
                  <w:vMerge w:val="restart"/>
                  <w:vAlign w:val="center"/>
                </w:tcPr>
                <w:p w14:paraId="1F44814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破碎</w:t>
                  </w:r>
                </w:p>
              </w:tc>
              <w:tc>
                <w:tcPr>
                  <w:tcW w:w="141" w:type="pct"/>
                  <w:vMerge w:val="restart"/>
                  <w:vAlign w:val="center"/>
                </w:tcPr>
                <w:p w14:paraId="2220BF0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颗粒物</w:t>
                  </w:r>
                </w:p>
              </w:tc>
              <w:tc>
                <w:tcPr>
                  <w:tcW w:w="733" w:type="pct"/>
                  <w:vAlign w:val="center"/>
                </w:tcPr>
                <w:p w14:paraId="5D4D9D3A">
                  <w:pPr>
                    <w:adjustRightInd w:val="0"/>
                    <w:snapToGrid w:val="0"/>
                    <w:spacing w:line="240" w:lineRule="auto"/>
                    <w:ind w:firstLine="0" w:firstLineChars="0"/>
                    <w:jc w:val="center"/>
                    <w:textAlignment w:val="auto"/>
                    <w:rPr>
                      <w:rFonts w:cs="Times New Roman"/>
                      <w:sz w:val="21"/>
                      <w:szCs w:val="21"/>
                    </w:rPr>
                  </w:pPr>
                  <w:bookmarkStart w:id="17" w:name="_Hlk219310327"/>
                  <w:r>
                    <w:rPr>
                      <w:rFonts w:cs="Times New Roman"/>
                      <w:sz w:val="21"/>
                      <w:szCs w:val="21"/>
                    </w:rPr>
                    <w:t>1.12t/a</w:t>
                  </w:r>
                </w:p>
                <w:p w14:paraId="05959590">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w:t>
                  </w:r>
                  <w:r>
                    <w:rPr>
                      <w:rFonts w:cs="Times New Roman"/>
                      <w:sz w:val="21"/>
                      <w:szCs w:val="21"/>
                    </w:rPr>
                    <w:t>47</w:t>
                  </w:r>
                  <w:r>
                    <w:rPr>
                      <w:rFonts w:hint="eastAsia" w:cs="Times New Roman"/>
                      <w:sz w:val="21"/>
                      <w:szCs w:val="21"/>
                    </w:rPr>
                    <w:t>kg/h</w:t>
                  </w:r>
                </w:p>
                <w:p w14:paraId="56976078">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56.7mg/m</w:t>
                  </w:r>
                  <w:r>
                    <w:rPr>
                      <w:rFonts w:cs="Times New Roman"/>
                      <w:sz w:val="21"/>
                      <w:szCs w:val="21"/>
                      <w:vertAlign w:val="superscript"/>
                    </w:rPr>
                    <w:t>3</w:t>
                  </w:r>
                  <w:bookmarkEnd w:id="17"/>
                </w:p>
              </w:tc>
              <w:tc>
                <w:tcPr>
                  <w:tcW w:w="491" w:type="pct"/>
                  <w:vAlign w:val="center"/>
                </w:tcPr>
                <w:p w14:paraId="085CCD6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有</w:t>
                  </w:r>
                  <w:r>
                    <w:rPr>
                      <w:rFonts w:cs="Times New Roman"/>
                      <w:sz w:val="21"/>
                      <w:szCs w:val="21"/>
                    </w:rPr>
                    <w:t>组织</w:t>
                  </w:r>
                </w:p>
              </w:tc>
              <w:tc>
                <w:tcPr>
                  <w:tcW w:w="990" w:type="pct"/>
                  <w:vAlign w:val="center"/>
                </w:tcPr>
                <w:p w14:paraId="6B410B9C">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项目生产线全部在全封闭车间内，上料、破碎粉尘经集气罩+布袋除尘器处理后，由15m高排气筒排放</w:t>
                  </w:r>
                </w:p>
              </w:tc>
              <w:tc>
                <w:tcPr>
                  <w:tcW w:w="563" w:type="pct"/>
                  <w:vAlign w:val="center"/>
                </w:tcPr>
                <w:p w14:paraId="3967510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95</w:t>
                  </w:r>
                  <w:r>
                    <w:rPr>
                      <w:rFonts w:hint="eastAsia" w:cs="Times New Roman"/>
                      <w:sz w:val="21"/>
                      <w:szCs w:val="21"/>
                    </w:rPr>
                    <w:t>%</w:t>
                  </w:r>
                </w:p>
              </w:tc>
              <w:tc>
                <w:tcPr>
                  <w:tcW w:w="448" w:type="pct"/>
                  <w:vAlign w:val="center"/>
                </w:tcPr>
                <w:p w14:paraId="4B9CBFBA">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是</w:t>
                  </w:r>
                </w:p>
              </w:tc>
              <w:tc>
                <w:tcPr>
                  <w:tcW w:w="880" w:type="pct"/>
                  <w:vAlign w:val="center"/>
                </w:tcPr>
                <w:p w14:paraId="57742D44">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0.045t/a</w:t>
                  </w:r>
                </w:p>
                <w:p w14:paraId="1EF97CB8">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w:t>
                  </w:r>
                  <w:r>
                    <w:rPr>
                      <w:rFonts w:cs="Times New Roman"/>
                      <w:sz w:val="21"/>
                      <w:szCs w:val="21"/>
                    </w:rPr>
                    <w:t>02</w:t>
                  </w:r>
                  <w:r>
                    <w:rPr>
                      <w:rFonts w:hint="eastAsia" w:cs="Times New Roman"/>
                      <w:sz w:val="21"/>
                      <w:szCs w:val="21"/>
                    </w:rPr>
                    <w:t>kg/h</w:t>
                  </w:r>
                </w:p>
                <w:p w14:paraId="643271B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6.67mg/m</w:t>
                  </w:r>
                  <w:r>
                    <w:rPr>
                      <w:rFonts w:cs="Times New Roman"/>
                      <w:sz w:val="21"/>
                      <w:szCs w:val="21"/>
                      <w:vertAlign w:val="superscript"/>
                    </w:rPr>
                    <w:t>3</w:t>
                  </w:r>
                </w:p>
              </w:tc>
            </w:tr>
            <w:tr w14:paraId="6B26D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 w:hRule="atLeast"/>
                <w:jc w:val="center"/>
              </w:trPr>
              <w:tc>
                <w:tcPr>
                  <w:tcW w:w="292" w:type="pct"/>
                  <w:vAlign w:val="center"/>
                </w:tcPr>
                <w:p w14:paraId="2A8B0972">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2</w:t>
                  </w:r>
                </w:p>
              </w:tc>
              <w:tc>
                <w:tcPr>
                  <w:tcW w:w="461" w:type="pct"/>
                  <w:vMerge w:val="continue"/>
                  <w:vAlign w:val="center"/>
                </w:tcPr>
                <w:p w14:paraId="32F62C29">
                  <w:pPr>
                    <w:adjustRightInd w:val="0"/>
                    <w:snapToGrid w:val="0"/>
                    <w:spacing w:line="240" w:lineRule="auto"/>
                    <w:ind w:firstLine="0" w:firstLineChars="0"/>
                    <w:jc w:val="center"/>
                    <w:textAlignment w:val="auto"/>
                    <w:rPr>
                      <w:rFonts w:cs="Times New Roman"/>
                      <w:sz w:val="21"/>
                      <w:szCs w:val="21"/>
                    </w:rPr>
                  </w:pPr>
                </w:p>
              </w:tc>
              <w:tc>
                <w:tcPr>
                  <w:tcW w:w="141" w:type="pct"/>
                  <w:vMerge w:val="continue"/>
                  <w:vAlign w:val="center"/>
                </w:tcPr>
                <w:p w14:paraId="29090141">
                  <w:pPr>
                    <w:adjustRightInd w:val="0"/>
                    <w:snapToGrid w:val="0"/>
                    <w:spacing w:line="240" w:lineRule="auto"/>
                    <w:ind w:firstLine="0" w:firstLineChars="0"/>
                    <w:jc w:val="center"/>
                    <w:textAlignment w:val="auto"/>
                    <w:rPr>
                      <w:rFonts w:cs="Times New Roman"/>
                      <w:sz w:val="21"/>
                      <w:szCs w:val="21"/>
                    </w:rPr>
                  </w:pPr>
                </w:p>
              </w:tc>
              <w:tc>
                <w:tcPr>
                  <w:tcW w:w="733" w:type="pct"/>
                  <w:vAlign w:val="center"/>
                </w:tcPr>
                <w:p w14:paraId="5981E4B7">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w:t>
                  </w:r>
                  <w:r>
                    <w:rPr>
                      <w:rFonts w:cs="Times New Roman"/>
                      <w:sz w:val="21"/>
                      <w:szCs w:val="21"/>
                    </w:rPr>
                    <w:t>224</w:t>
                  </w:r>
                  <w:r>
                    <w:rPr>
                      <w:rFonts w:hint="eastAsia" w:cs="Times New Roman"/>
                      <w:sz w:val="21"/>
                      <w:szCs w:val="21"/>
                    </w:rPr>
                    <w:t>t/a</w:t>
                  </w:r>
                </w:p>
                <w:p w14:paraId="673032F8">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0.0</w:t>
                  </w:r>
                  <w:r>
                    <w:rPr>
                      <w:rFonts w:cs="Times New Roman"/>
                      <w:sz w:val="21"/>
                      <w:szCs w:val="21"/>
                    </w:rPr>
                    <w:t>9</w:t>
                  </w:r>
                  <w:r>
                    <w:rPr>
                      <w:rFonts w:hint="eastAsia" w:cs="Times New Roman"/>
                      <w:sz w:val="21"/>
                      <w:szCs w:val="21"/>
                    </w:rPr>
                    <w:t>kg/h</w:t>
                  </w:r>
                </w:p>
              </w:tc>
              <w:tc>
                <w:tcPr>
                  <w:tcW w:w="491" w:type="pct"/>
                  <w:vAlign w:val="center"/>
                </w:tcPr>
                <w:p w14:paraId="3F2042E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无</w:t>
                  </w:r>
                  <w:r>
                    <w:rPr>
                      <w:rFonts w:cs="Times New Roman"/>
                      <w:sz w:val="21"/>
                      <w:szCs w:val="21"/>
                    </w:rPr>
                    <w:t>组织</w:t>
                  </w:r>
                </w:p>
              </w:tc>
              <w:tc>
                <w:tcPr>
                  <w:tcW w:w="990" w:type="pct"/>
                  <w:vAlign w:val="center"/>
                </w:tcPr>
                <w:p w14:paraId="53B3D749">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密闭厂房</w:t>
                  </w:r>
                </w:p>
              </w:tc>
              <w:tc>
                <w:tcPr>
                  <w:tcW w:w="563" w:type="pct"/>
                  <w:vAlign w:val="center"/>
                </w:tcPr>
                <w:p w14:paraId="3556E1E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448" w:type="pct"/>
                  <w:vAlign w:val="center"/>
                </w:tcPr>
                <w:p w14:paraId="6125920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880" w:type="pct"/>
                  <w:vAlign w:val="center"/>
                </w:tcPr>
                <w:p w14:paraId="7960872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0.224</w:t>
                  </w:r>
                  <w:r>
                    <w:rPr>
                      <w:rFonts w:hint="eastAsia" w:cs="Times New Roman"/>
                      <w:sz w:val="21"/>
                      <w:szCs w:val="21"/>
                    </w:rPr>
                    <w:t>t/a</w:t>
                  </w:r>
                </w:p>
                <w:p w14:paraId="072D2D13">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0.0</w:t>
                  </w:r>
                  <w:r>
                    <w:rPr>
                      <w:rFonts w:cs="Times New Roman"/>
                      <w:sz w:val="21"/>
                      <w:szCs w:val="21"/>
                    </w:rPr>
                    <w:t>9</w:t>
                  </w:r>
                  <w:r>
                    <w:rPr>
                      <w:rFonts w:hint="eastAsia" w:cs="Times New Roman"/>
                      <w:sz w:val="21"/>
                      <w:szCs w:val="21"/>
                    </w:rPr>
                    <w:t>kg/h</w:t>
                  </w:r>
                </w:p>
              </w:tc>
            </w:tr>
            <w:tr w14:paraId="36997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31" w:hRule="atLeast"/>
                <w:jc w:val="center"/>
              </w:trPr>
              <w:tc>
                <w:tcPr>
                  <w:tcW w:w="292" w:type="pct"/>
                  <w:vAlign w:val="center"/>
                </w:tcPr>
                <w:p w14:paraId="4D6B9539">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3</w:t>
                  </w:r>
                </w:p>
              </w:tc>
              <w:tc>
                <w:tcPr>
                  <w:tcW w:w="461" w:type="pct"/>
                  <w:vAlign w:val="center"/>
                </w:tcPr>
                <w:p w14:paraId="33487B0F">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厂界</w:t>
                  </w:r>
                </w:p>
              </w:tc>
              <w:tc>
                <w:tcPr>
                  <w:tcW w:w="141" w:type="pct"/>
                  <w:vAlign w:val="center"/>
                </w:tcPr>
                <w:p w14:paraId="7EA5AFA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颗粒物</w:t>
                  </w:r>
                </w:p>
              </w:tc>
              <w:tc>
                <w:tcPr>
                  <w:tcW w:w="733" w:type="pct"/>
                  <w:vAlign w:val="center"/>
                </w:tcPr>
                <w:p w14:paraId="354FDB1B">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66.002t/a</w:t>
                  </w:r>
                </w:p>
              </w:tc>
              <w:tc>
                <w:tcPr>
                  <w:tcW w:w="491" w:type="pct"/>
                  <w:vAlign w:val="center"/>
                </w:tcPr>
                <w:p w14:paraId="53955B05">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无</w:t>
                  </w:r>
                  <w:r>
                    <w:rPr>
                      <w:rFonts w:cs="Times New Roman"/>
                      <w:sz w:val="21"/>
                      <w:szCs w:val="21"/>
                    </w:rPr>
                    <w:t>组织</w:t>
                  </w:r>
                </w:p>
              </w:tc>
              <w:tc>
                <w:tcPr>
                  <w:tcW w:w="990" w:type="pct"/>
                  <w:vAlign w:val="center"/>
                </w:tcPr>
                <w:p w14:paraId="23D1C235">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生产车间全封闭，物料皮带采用封闭的方式进行物料运输，破碎工序采用湿法破碎工艺，防止粉尘逸散。原料堆场采用篷布全覆盖，并定期洒水抑尘；产品采用吨袋封装后堆放于成品堆场，有效防止粉尘逸散；运输扬尘采取路面硬化、道路洒水降尘、加强对车辆的管理等措施</w:t>
                  </w:r>
                </w:p>
              </w:tc>
              <w:tc>
                <w:tcPr>
                  <w:tcW w:w="563" w:type="pct"/>
                  <w:vAlign w:val="center"/>
                </w:tcPr>
                <w:p w14:paraId="41143A9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448" w:type="pct"/>
                  <w:vAlign w:val="center"/>
                </w:tcPr>
                <w:p w14:paraId="40190D7F">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880" w:type="pct"/>
                  <w:vAlign w:val="center"/>
                </w:tcPr>
                <w:p w14:paraId="1C279C07">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2</w:t>
                  </w:r>
                  <w:r>
                    <w:rPr>
                      <w:rFonts w:cs="Times New Roman"/>
                      <w:sz w:val="21"/>
                      <w:szCs w:val="21"/>
                    </w:rPr>
                    <w:t>.64t/a</w:t>
                  </w:r>
                </w:p>
              </w:tc>
            </w:tr>
            <w:tr w14:paraId="5198A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292" w:type="pct"/>
                  <w:vAlign w:val="center"/>
                </w:tcPr>
                <w:p w14:paraId="38B797A2">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4</w:t>
                  </w:r>
                </w:p>
              </w:tc>
              <w:tc>
                <w:tcPr>
                  <w:tcW w:w="461" w:type="pct"/>
                  <w:vAlign w:val="center"/>
                </w:tcPr>
                <w:p w14:paraId="7640F552">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预处理</w:t>
                  </w:r>
                </w:p>
              </w:tc>
              <w:tc>
                <w:tcPr>
                  <w:tcW w:w="141" w:type="pct"/>
                  <w:vAlign w:val="center"/>
                </w:tcPr>
                <w:p w14:paraId="351031F7">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臭气浓度</w:t>
                  </w:r>
                </w:p>
              </w:tc>
              <w:tc>
                <w:tcPr>
                  <w:tcW w:w="733" w:type="pct"/>
                  <w:vAlign w:val="center"/>
                </w:tcPr>
                <w:p w14:paraId="4959AF37">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491" w:type="pct"/>
                  <w:vAlign w:val="center"/>
                </w:tcPr>
                <w:p w14:paraId="10A3ACB2">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无</w:t>
                  </w:r>
                  <w:r>
                    <w:rPr>
                      <w:rFonts w:cs="Times New Roman"/>
                      <w:sz w:val="21"/>
                      <w:szCs w:val="21"/>
                    </w:rPr>
                    <w:t>组织</w:t>
                  </w:r>
                </w:p>
              </w:tc>
              <w:tc>
                <w:tcPr>
                  <w:tcW w:w="990" w:type="pct"/>
                  <w:vAlign w:val="center"/>
                </w:tcPr>
                <w:p w14:paraId="7224E8BA">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加强设备维护及管理</w:t>
                  </w:r>
                </w:p>
              </w:tc>
              <w:tc>
                <w:tcPr>
                  <w:tcW w:w="563" w:type="pct"/>
                  <w:vAlign w:val="center"/>
                </w:tcPr>
                <w:p w14:paraId="0D010D07">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448" w:type="pct"/>
                  <w:vAlign w:val="center"/>
                </w:tcPr>
                <w:p w14:paraId="7C5D76EB">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w:t>
                  </w:r>
                </w:p>
              </w:tc>
              <w:tc>
                <w:tcPr>
                  <w:tcW w:w="880" w:type="pct"/>
                  <w:vAlign w:val="center"/>
                </w:tcPr>
                <w:p w14:paraId="28A80A1C">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r>
          </w:tbl>
          <w:p w14:paraId="69587AC2">
            <w:pPr>
              <w:ind w:firstLine="0" w:firstLineChars="0"/>
              <w:rPr>
                <w:b/>
                <w:bCs/>
              </w:rPr>
            </w:pPr>
            <w:r>
              <w:rPr>
                <w:rFonts w:hint="eastAsia"/>
                <w:b/>
                <w:bCs/>
              </w:rPr>
              <w:t>4.2.1.2排放口基本情况</w:t>
            </w:r>
          </w:p>
          <w:p w14:paraId="026A643C">
            <w:pPr>
              <w:ind w:firstLine="480"/>
            </w:pPr>
            <w:r>
              <w:rPr>
                <w:rFonts w:hint="eastAsia"/>
              </w:rPr>
              <w:t>该项目建成运营期间，有组织污染源排放口基本情况及排放标准见表4</w:t>
            </w:r>
            <w:r>
              <w:t>-2</w:t>
            </w:r>
            <w:r>
              <w:rPr>
                <w:rFonts w:hint="eastAsia"/>
              </w:rPr>
              <w:t>。</w:t>
            </w:r>
          </w:p>
          <w:p w14:paraId="4693F9A9">
            <w:pPr>
              <w:pStyle w:val="8"/>
              <w:spacing w:line="240" w:lineRule="auto"/>
              <w:ind w:firstLine="198" w:firstLineChars="94"/>
              <w:jc w:val="center"/>
            </w:pPr>
            <w:r>
              <w:rPr>
                <w:rFonts w:hint="eastAsia"/>
                <w:b/>
                <w:bCs/>
                <w:sz w:val="21"/>
                <w:szCs w:val="21"/>
              </w:rPr>
              <w:t>表4-</w:t>
            </w:r>
            <w:r>
              <w:rPr>
                <w:b/>
                <w:bCs/>
                <w:sz w:val="21"/>
                <w:szCs w:val="21"/>
              </w:rPr>
              <w:t>2</w:t>
            </w:r>
            <w:r>
              <w:rPr>
                <w:rFonts w:hint="eastAsia"/>
                <w:b/>
                <w:bCs/>
                <w:sz w:val="21"/>
                <w:szCs w:val="21"/>
              </w:rPr>
              <w:t xml:space="preserve">  排放口基本情况一览表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435"/>
              <w:gridCol w:w="835"/>
              <w:gridCol w:w="585"/>
              <w:gridCol w:w="1281"/>
              <w:gridCol w:w="1050"/>
              <w:gridCol w:w="829"/>
              <w:gridCol w:w="829"/>
              <w:gridCol w:w="884"/>
              <w:gridCol w:w="435"/>
              <w:gridCol w:w="1536"/>
            </w:tblGrid>
            <w:tr w14:paraId="135DDD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330" w:hRule="atLeast"/>
                <w:jc w:val="center"/>
              </w:trPr>
              <w:tc>
                <w:tcPr>
                  <w:tcW w:w="676" w:type="pct"/>
                  <w:gridSpan w:val="2"/>
                  <w:tcBorders>
                    <w:top w:val="single" w:color="auto" w:sz="12" w:space="0"/>
                    <w:left w:val="single" w:color="auto" w:sz="12" w:space="0"/>
                    <w:bottom w:val="single" w:color="auto" w:sz="6" w:space="0"/>
                    <w:right w:val="single" w:color="auto" w:sz="6" w:space="0"/>
                  </w:tcBorders>
                  <w:vAlign w:val="center"/>
                </w:tcPr>
                <w:p w14:paraId="35DD9426">
                  <w:pPr>
                    <w:spacing w:line="240" w:lineRule="auto"/>
                    <w:ind w:firstLine="0" w:firstLineChars="0"/>
                    <w:jc w:val="center"/>
                    <w:rPr>
                      <w:rFonts w:cs="Times New Roman"/>
                      <w:sz w:val="21"/>
                      <w:szCs w:val="21"/>
                    </w:rPr>
                  </w:pPr>
                  <w:r>
                    <w:rPr>
                      <w:rFonts w:cs="Times New Roman"/>
                      <w:sz w:val="21"/>
                      <w:szCs w:val="21"/>
                    </w:rPr>
                    <w:t>污染源</w:t>
                  </w:r>
                </w:p>
              </w:tc>
              <w:tc>
                <w:tcPr>
                  <w:tcW w:w="343" w:type="pct"/>
                  <w:vMerge w:val="restart"/>
                  <w:tcBorders>
                    <w:top w:val="single" w:color="auto" w:sz="12" w:space="0"/>
                    <w:left w:val="single" w:color="auto" w:sz="6" w:space="0"/>
                    <w:bottom w:val="single" w:color="auto" w:sz="6" w:space="0"/>
                    <w:right w:val="single" w:color="auto" w:sz="6" w:space="0"/>
                  </w:tcBorders>
                  <w:vAlign w:val="center"/>
                </w:tcPr>
                <w:p w14:paraId="108958CA">
                  <w:pPr>
                    <w:spacing w:line="240" w:lineRule="auto"/>
                    <w:ind w:firstLine="0" w:firstLineChars="0"/>
                    <w:jc w:val="center"/>
                    <w:rPr>
                      <w:rFonts w:cs="Times New Roman"/>
                      <w:sz w:val="21"/>
                      <w:szCs w:val="21"/>
                    </w:rPr>
                  </w:pPr>
                  <w:r>
                    <w:rPr>
                      <w:rFonts w:cs="Times New Roman"/>
                      <w:sz w:val="21"/>
                      <w:szCs w:val="21"/>
                    </w:rPr>
                    <w:t>污染物</w:t>
                  </w:r>
                </w:p>
              </w:tc>
              <w:tc>
                <w:tcPr>
                  <w:tcW w:w="743" w:type="pct"/>
                  <w:vMerge w:val="restart"/>
                  <w:tcBorders>
                    <w:top w:val="single" w:color="auto" w:sz="12" w:space="0"/>
                    <w:left w:val="single" w:color="auto" w:sz="6" w:space="0"/>
                    <w:bottom w:val="single" w:color="auto" w:sz="6" w:space="0"/>
                    <w:right w:val="single" w:color="auto" w:sz="6" w:space="0"/>
                  </w:tcBorders>
                  <w:vAlign w:val="center"/>
                </w:tcPr>
                <w:p w14:paraId="001FEED7">
                  <w:pPr>
                    <w:spacing w:line="240" w:lineRule="auto"/>
                    <w:ind w:firstLine="0" w:firstLineChars="0"/>
                    <w:rPr>
                      <w:rFonts w:cs="Times New Roman"/>
                      <w:sz w:val="21"/>
                      <w:szCs w:val="21"/>
                    </w:rPr>
                  </w:pPr>
                  <w:r>
                    <w:rPr>
                      <w:rFonts w:cs="Times New Roman"/>
                      <w:sz w:val="21"/>
                      <w:szCs w:val="21"/>
                    </w:rPr>
                    <w:t>排放标准（mg/m</w:t>
                  </w:r>
                  <w:r>
                    <w:rPr>
                      <w:rFonts w:cs="Times New Roman"/>
                      <w:sz w:val="21"/>
                      <w:szCs w:val="21"/>
                      <w:vertAlign w:val="superscript"/>
                    </w:rPr>
                    <w:t>3</w:t>
                  </w:r>
                  <w:r>
                    <w:rPr>
                      <w:rFonts w:cs="Times New Roman"/>
                      <w:sz w:val="21"/>
                      <w:szCs w:val="21"/>
                    </w:rPr>
                    <w:t>）</w:t>
                  </w:r>
                </w:p>
              </w:tc>
              <w:tc>
                <w:tcPr>
                  <w:tcW w:w="610" w:type="pct"/>
                  <w:vMerge w:val="restart"/>
                  <w:tcBorders>
                    <w:top w:val="single" w:color="auto" w:sz="12" w:space="0"/>
                    <w:left w:val="single" w:color="auto" w:sz="6" w:space="0"/>
                    <w:bottom w:val="single" w:color="auto" w:sz="6" w:space="0"/>
                    <w:right w:val="single" w:color="auto" w:sz="6" w:space="0"/>
                  </w:tcBorders>
                  <w:vAlign w:val="center"/>
                </w:tcPr>
                <w:p w14:paraId="641A5D15">
                  <w:pPr>
                    <w:spacing w:line="240" w:lineRule="auto"/>
                    <w:ind w:firstLine="0" w:firstLineChars="0"/>
                    <w:rPr>
                      <w:rFonts w:cs="Times New Roman"/>
                      <w:sz w:val="21"/>
                      <w:szCs w:val="21"/>
                    </w:rPr>
                  </w:pPr>
                  <w:r>
                    <w:rPr>
                      <w:rFonts w:cs="Times New Roman"/>
                      <w:sz w:val="21"/>
                      <w:szCs w:val="21"/>
                    </w:rPr>
                    <w:t>排放速率限值（kg/h）</w:t>
                  </w:r>
                </w:p>
              </w:tc>
              <w:tc>
                <w:tcPr>
                  <w:tcW w:w="1481" w:type="pct"/>
                  <w:gridSpan w:val="3"/>
                  <w:tcBorders>
                    <w:top w:val="single" w:color="auto" w:sz="12" w:space="0"/>
                    <w:left w:val="single" w:color="auto" w:sz="6" w:space="0"/>
                    <w:bottom w:val="single" w:color="auto" w:sz="6" w:space="0"/>
                    <w:right w:val="single" w:color="auto" w:sz="6" w:space="0"/>
                  </w:tcBorders>
                  <w:vAlign w:val="center"/>
                </w:tcPr>
                <w:p w14:paraId="6271EA8F">
                  <w:pPr>
                    <w:spacing w:line="240" w:lineRule="auto"/>
                    <w:ind w:firstLine="0" w:firstLineChars="0"/>
                    <w:jc w:val="center"/>
                    <w:rPr>
                      <w:rFonts w:cs="Times New Roman"/>
                      <w:sz w:val="21"/>
                      <w:szCs w:val="21"/>
                    </w:rPr>
                  </w:pPr>
                  <w:r>
                    <w:rPr>
                      <w:rFonts w:cs="Times New Roman"/>
                      <w:sz w:val="21"/>
                      <w:szCs w:val="21"/>
                    </w:rPr>
                    <w:t>排气筒参数</w:t>
                  </w:r>
                </w:p>
              </w:tc>
              <w:tc>
                <w:tcPr>
                  <w:tcW w:w="257" w:type="pct"/>
                  <w:vMerge w:val="restart"/>
                  <w:tcBorders>
                    <w:top w:val="single" w:color="auto" w:sz="12" w:space="0"/>
                    <w:left w:val="single" w:color="auto" w:sz="6" w:space="0"/>
                    <w:bottom w:val="single" w:color="auto" w:sz="6" w:space="0"/>
                    <w:right w:val="single" w:color="auto" w:sz="6" w:space="0"/>
                  </w:tcBorders>
                  <w:vAlign w:val="center"/>
                </w:tcPr>
                <w:p w14:paraId="474068CF">
                  <w:pPr>
                    <w:spacing w:line="240" w:lineRule="auto"/>
                    <w:ind w:firstLine="0" w:firstLineChars="0"/>
                    <w:jc w:val="center"/>
                    <w:rPr>
                      <w:rFonts w:cs="Times New Roman"/>
                      <w:sz w:val="21"/>
                      <w:szCs w:val="21"/>
                    </w:rPr>
                  </w:pPr>
                  <w:r>
                    <w:rPr>
                      <w:rFonts w:cs="Times New Roman"/>
                      <w:sz w:val="21"/>
                      <w:szCs w:val="21"/>
                    </w:rPr>
                    <w:t>排气筒类型</w:t>
                  </w:r>
                </w:p>
              </w:tc>
              <w:tc>
                <w:tcPr>
                  <w:tcW w:w="889" w:type="pct"/>
                  <w:vMerge w:val="restart"/>
                  <w:tcBorders>
                    <w:top w:val="single" w:color="auto" w:sz="12" w:space="0"/>
                    <w:left w:val="single" w:color="auto" w:sz="6" w:space="0"/>
                    <w:bottom w:val="single" w:color="auto" w:sz="6" w:space="0"/>
                    <w:right w:val="single" w:color="auto" w:sz="12" w:space="0"/>
                  </w:tcBorders>
                  <w:vAlign w:val="center"/>
                </w:tcPr>
                <w:p w14:paraId="0D01A684">
                  <w:pPr>
                    <w:spacing w:line="240" w:lineRule="auto"/>
                    <w:ind w:firstLine="0" w:firstLineChars="0"/>
                    <w:jc w:val="center"/>
                    <w:rPr>
                      <w:rFonts w:cs="Times New Roman"/>
                      <w:sz w:val="21"/>
                      <w:szCs w:val="21"/>
                    </w:rPr>
                  </w:pPr>
                  <w:r>
                    <w:rPr>
                      <w:rFonts w:cs="Times New Roman"/>
                      <w:sz w:val="21"/>
                      <w:szCs w:val="21"/>
                    </w:rPr>
                    <w:t>排气筒坐标</w:t>
                  </w:r>
                </w:p>
              </w:tc>
            </w:tr>
            <w:tr w14:paraId="0C5F160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112" w:hRule="atLeast"/>
                <w:jc w:val="center"/>
              </w:trPr>
              <w:tc>
                <w:tcPr>
                  <w:tcW w:w="257" w:type="pct"/>
                  <w:tcBorders>
                    <w:top w:val="single" w:color="auto" w:sz="6" w:space="0"/>
                    <w:left w:val="single" w:color="auto" w:sz="12" w:space="0"/>
                    <w:bottom w:val="single" w:color="auto" w:sz="6" w:space="0"/>
                    <w:right w:val="single" w:color="auto" w:sz="6" w:space="0"/>
                  </w:tcBorders>
                  <w:vAlign w:val="center"/>
                </w:tcPr>
                <w:p w14:paraId="12FC307E">
                  <w:pPr>
                    <w:spacing w:line="240" w:lineRule="auto"/>
                    <w:ind w:firstLine="0" w:firstLineChars="0"/>
                    <w:jc w:val="center"/>
                    <w:rPr>
                      <w:rFonts w:cs="Times New Roman"/>
                      <w:sz w:val="21"/>
                      <w:szCs w:val="21"/>
                    </w:rPr>
                  </w:pPr>
                  <w:r>
                    <w:rPr>
                      <w:rFonts w:cs="Times New Roman"/>
                      <w:sz w:val="21"/>
                      <w:szCs w:val="21"/>
                    </w:rPr>
                    <w:t>名称</w:t>
                  </w:r>
                </w:p>
              </w:tc>
              <w:tc>
                <w:tcPr>
                  <w:tcW w:w="419" w:type="pct"/>
                  <w:tcBorders>
                    <w:top w:val="single" w:color="auto" w:sz="6" w:space="0"/>
                    <w:left w:val="single" w:color="auto" w:sz="6" w:space="0"/>
                    <w:bottom w:val="single" w:color="auto" w:sz="6" w:space="0"/>
                    <w:right w:val="single" w:color="auto" w:sz="6" w:space="0"/>
                  </w:tcBorders>
                  <w:vAlign w:val="center"/>
                </w:tcPr>
                <w:p w14:paraId="6FDD1D60">
                  <w:pPr>
                    <w:spacing w:line="240" w:lineRule="auto"/>
                    <w:ind w:firstLine="0" w:firstLineChars="0"/>
                    <w:jc w:val="center"/>
                    <w:rPr>
                      <w:rFonts w:cs="Times New Roman"/>
                      <w:sz w:val="21"/>
                      <w:szCs w:val="21"/>
                    </w:rPr>
                  </w:pPr>
                  <w:r>
                    <w:rPr>
                      <w:rFonts w:cs="Times New Roman"/>
                      <w:sz w:val="21"/>
                      <w:szCs w:val="21"/>
                    </w:rPr>
                    <w:t>编号</w:t>
                  </w:r>
                </w:p>
              </w:tc>
              <w:tc>
                <w:tcPr>
                  <w:tcW w:w="343" w:type="pct"/>
                  <w:vMerge w:val="continue"/>
                  <w:tcBorders>
                    <w:top w:val="single" w:color="auto" w:sz="4" w:space="0"/>
                    <w:left w:val="single" w:color="auto" w:sz="6" w:space="0"/>
                    <w:bottom w:val="single" w:color="auto" w:sz="6" w:space="0"/>
                    <w:right w:val="single" w:color="auto" w:sz="6" w:space="0"/>
                  </w:tcBorders>
                  <w:vAlign w:val="center"/>
                </w:tcPr>
                <w:p w14:paraId="10BCD048">
                  <w:pPr>
                    <w:widowControl/>
                    <w:spacing w:line="240" w:lineRule="auto"/>
                    <w:ind w:firstLine="0" w:firstLineChars="0"/>
                    <w:jc w:val="left"/>
                    <w:rPr>
                      <w:rFonts w:cs="Times New Roman"/>
                      <w:sz w:val="21"/>
                      <w:szCs w:val="21"/>
                    </w:rPr>
                  </w:pPr>
                </w:p>
              </w:tc>
              <w:tc>
                <w:tcPr>
                  <w:tcW w:w="743" w:type="pct"/>
                  <w:vMerge w:val="continue"/>
                  <w:tcBorders>
                    <w:top w:val="single" w:color="auto" w:sz="4" w:space="0"/>
                    <w:left w:val="single" w:color="auto" w:sz="6" w:space="0"/>
                    <w:bottom w:val="single" w:color="auto" w:sz="6" w:space="0"/>
                    <w:right w:val="single" w:color="auto" w:sz="6" w:space="0"/>
                  </w:tcBorders>
                  <w:vAlign w:val="center"/>
                </w:tcPr>
                <w:p w14:paraId="368F1CEB">
                  <w:pPr>
                    <w:widowControl/>
                    <w:spacing w:line="240" w:lineRule="auto"/>
                    <w:ind w:firstLine="0" w:firstLineChars="0"/>
                    <w:jc w:val="left"/>
                    <w:rPr>
                      <w:rFonts w:cs="Times New Roman"/>
                      <w:sz w:val="21"/>
                      <w:szCs w:val="21"/>
                    </w:rPr>
                  </w:pPr>
                </w:p>
              </w:tc>
              <w:tc>
                <w:tcPr>
                  <w:tcW w:w="610" w:type="pct"/>
                  <w:vMerge w:val="continue"/>
                  <w:tcBorders>
                    <w:top w:val="single" w:color="auto" w:sz="4" w:space="0"/>
                    <w:left w:val="single" w:color="auto" w:sz="6" w:space="0"/>
                    <w:bottom w:val="single" w:color="auto" w:sz="6" w:space="0"/>
                    <w:right w:val="single" w:color="auto" w:sz="6" w:space="0"/>
                  </w:tcBorders>
                  <w:vAlign w:val="center"/>
                </w:tcPr>
                <w:p w14:paraId="2B553724">
                  <w:pPr>
                    <w:widowControl/>
                    <w:spacing w:line="240" w:lineRule="auto"/>
                    <w:ind w:firstLine="0" w:firstLineChars="0"/>
                    <w:jc w:val="left"/>
                    <w:rPr>
                      <w:rFonts w:cs="Times New Roman"/>
                      <w:sz w:val="21"/>
                      <w:szCs w:val="21"/>
                    </w:rPr>
                  </w:pPr>
                </w:p>
              </w:tc>
              <w:tc>
                <w:tcPr>
                  <w:tcW w:w="483" w:type="pct"/>
                  <w:tcBorders>
                    <w:top w:val="single" w:color="auto" w:sz="6" w:space="0"/>
                    <w:left w:val="single" w:color="auto" w:sz="6" w:space="0"/>
                    <w:bottom w:val="single" w:color="auto" w:sz="6" w:space="0"/>
                    <w:right w:val="single" w:color="auto" w:sz="6" w:space="0"/>
                  </w:tcBorders>
                  <w:vAlign w:val="center"/>
                </w:tcPr>
                <w:p w14:paraId="7F313CC3">
                  <w:pPr>
                    <w:spacing w:line="240" w:lineRule="auto"/>
                    <w:ind w:firstLine="0" w:firstLineChars="0"/>
                    <w:rPr>
                      <w:rFonts w:cs="Times New Roman"/>
                      <w:sz w:val="21"/>
                      <w:szCs w:val="21"/>
                    </w:rPr>
                  </w:pPr>
                  <w:r>
                    <w:rPr>
                      <w:rFonts w:cs="Times New Roman"/>
                      <w:sz w:val="21"/>
                      <w:szCs w:val="21"/>
                    </w:rPr>
                    <w:t>高（m）</w:t>
                  </w:r>
                </w:p>
              </w:tc>
              <w:tc>
                <w:tcPr>
                  <w:tcW w:w="483" w:type="pct"/>
                  <w:tcBorders>
                    <w:top w:val="single" w:color="auto" w:sz="6" w:space="0"/>
                    <w:left w:val="single" w:color="auto" w:sz="6" w:space="0"/>
                    <w:bottom w:val="single" w:color="auto" w:sz="6" w:space="0"/>
                    <w:right w:val="single" w:color="auto" w:sz="6" w:space="0"/>
                  </w:tcBorders>
                  <w:vAlign w:val="center"/>
                </w:tcPr>
                <w:p w14:paraId="1EF4F922">
                  <w:pPr>
                    <w:spacing w:line="240" w:lineRule="auto"/>
                    <w:ind w:firstLine="0" w:firstLineChars="0"/>
                    <w:rPr>
                      <w:rFonts w:cs="Times New Roman"/>
                      <w:sz w:val="21"/>
                      <w:szCs w:val="21"/>
                    </w:rPr>
                  </w:pPr>
                  <w:r>
                    <w:rPr>
                      <w:rFonts w:cs="Times New Roman"/>
                      <w:sz w:val="21"/>
                      <w:szCs w:val="21"/>
                    </w:rPr>
                    <w:t>内径（m）</w:t>
                  </w:r>
                </w:p>
              </w:tc>
              <w:tc>
                <w:tcPr>
                  <w:tcW w:w="515" w:type="pct"/>
                  <w:tcBorders>
                    <w:top w:val="single" w:color="auto" w:sz="6" w:space="0"/>
                    <w:left w:val="single" w:color="auto" w:sz="6" w:space="0"/>
                    <w:bottom w:val="single" w:color="auto" w:sz="6" w:space="0"/>
                    <w:right w:val="single" w:color="auto" w:sz="6" w:space="0"/>
                  </w:tcBorders>
                  <w:vAlign w:val="center"/>
                </w:tcPr>
                <w:p w14:paraId="37063D3B">
                  <w:pPr>
                    <w:spacing w:line="240" w:lineRule="auto"/>
                    <w:ind w:firstLine="0" w:firstLineChars="0"/>
                    <w:rPr>
                      <w:rFonts w:cs="Times New Roman"/>
                      <w:sz w:val="21"/>
                      <w:szCs w:val="21"/>
                    </w:rPr>
                  </w:pPr>
                  <w:r>
                    <w:rPr>
                      <w:rFonts w:cs="Times New Roman"/>
                      <w:sz w:val="21"/>
                      <w:szCs w:val="21"/>
                    </w:rPr>
                    <w:t>温度（℃）</w:t>
                  </w:r>
                </w:p>
              </w:tc>
              <w:tc>
                <w:tcPr>
                  <w:tcW w:w="257" w:type="pct"/>
                  <w:vMerge w:val="continue"/>
                  <w:tcBorders>
                    <w:top w:val="single" w:color="auto" w:sz="4" w:space="0"/>
                    <w:left w:val="single" w:color="auto" w:sz="6" w:space="0"/>
                    <w:bottom w:val="single" w:color="auto" w:sz="6" w:space="0"/>
                    <w:right w:val="single" w:color="auto" w:sz="6" w:space="0"/>
                  </w:tcBorders>
                  <w:vAlign w:val="center"/>
                </w:tcPr>
                <w:p w14:paraId="0567DCE6">
                  <w:pPr>
                    <w:widowControl/>
                    <w:spacing w:line="240" w:lineRule="auto"/>
                    <w:ind w:firstLine="0" w:firstLineChars="0"/>
                    <w:jc w:val="left"/>
                    <w:rPr>
                      <w:rFonts w:cs="Times New Roman"/>
                      <w:sz w:val="21"/>
                      <w:szCs w:val="21"/>
                    </w:rPr>
                  </w:pPr>
                </w:p>
              </w:tc>
              <w:tc>
                <w:tcPr>
                  <w:tcW w:w="889" w:type="pct"/>
                  <w:vMerge w:val="continue"/>
                  <w:tcBorders>
                    <w:top w:val="single" w:color="auto" w:sz="4" w:space="0"/>
                    <w:left w:val="single" w:color="auto" w:sz="6" w:space="0"/>
                    <w:bottom w:val="single" w:color="auto" w:sz="6" w:space="0"/>
                    <w:right w:val="single" w:color="auto" w:sz="12" w:space="0"/>
                  </w:tcBorders>
                  <w:vAlign w:val="center"/>
                </w:tcPr>
                <w:p w14:paraId="7C921C92">
                  <w:pPr>
                    <w:widowControl/>
                    <w:spacing w:line="240" w:lineRule="auto"/>
                    <w:ind w:firstLine="0" w:firstLineChars="0"/>
                    <w:jc w:val="left"/>
                    <w:rPr>
                      <w:rFonts w:cs="Times New Roman"/>
                      <w:sz w:val="21"/>
                      <w:szCs w:val="21"/>
                    </w:rPr>
                  </w:pPr>
                </w:p>
              </w:tc>
            </w:tr>
            <w:tr w14:paraId="06A7AF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653" w:hRule="atLeast"/>
                <w:jc w:val="center"/>
              </w:trPr>
              <w:tc>
                <w:tcPr>
                  <w:tcW w:w="257" w:type="pct"/>
                  <w:tcBorders>
                    <w:top w:val="single" w:color="auto" w:sz="6" w:space="0"/>
                    <w:left w:val="single" w:color="auto" w:sz="12" w:space="0"/>
                    <w:bottom w:val="single" w:color="auto" w:sz="12" w:space="0"/>
                    <w:right w:val="single" w:color="auto" w:sz="6" w:space="0"/>
                  </w:tcBorders>
                  <w:vAlign w:val="center"/>
                </w:tcPr>
                <w:p w14:paraId="36DC2611">
                  <w:pPr>
                    <w:spacing w:line="240" w:lineRule="auto"/>
                    <w:ind w:firstLine="0" w:firstLineChars="0"/>
                    <w:jc w:val="center"/>
                    <w:rPr>
                      <w:rFonts w:cs="Times New Roman"/>
                      <w:sz w:val="21"/>
                      <w:szCs w:val="21"/>
                    </w:rPr>
                  </w:pPr>
                  <w:r>
                    <w:rPr>
                      <w:rFonts w:cs="Times New Roman"/>
                      <w:sz w:val="21"/>
                      <w:szCs w:val="21"/>
                    </w:rPr>
                    <w:t>破碎粉尘排气筒</w:t>
                  </w:r>
                </w:p>
              </w:tc>
              <w:tc>
                <w:tcPr>
                  <w:tcW w:w="419" w:type="pct"/>
                  <w:tcBorders>
                    <w:top w:val="single" w:color="auto" w:sz="6" w:space="0"/>
                    <w:left w:val="single" w:color="auto" w:sz="6" w:space="0"/>
                    <w:bottom w:val="single" w:color="auto" w:sz="12" w:space="0"/>
                    <w:right w:val="single" w:color="auto" w:sz="6" w:space="0"/>
                  </w:tcBorders>
                  <w:vAlign w:val="center"/>
                </w:tcPr>
                <w:p w14:paraId="36AD1DC3">
                  <w:pPr>
                    <w:spacing w:line="240" w:lineRule="auto"/>
                    <w:ind w:firstLine="0" w:firstLineChars="0"/>
                    <w:jc w:val="center"/>
                    <w:rPr>
                      <w:rFonts w:cs="Times New Roman"/>
                      <w:sz w:val="21"/>
                      <w:szCs w:val="21"/>
                    </w:rPr>
                  </w:pPr>
                  <w:r>
                    <w:rPr>
                      <w:rFonts w:cs="Times New Roman"/>
                      <w:sz w:val="21"/>
                      <w:szCs w:val="21"/>
                    </w:rPr>
                    <w:t>DA001</w:t>
                  </w:r>
                </w:p>
              </w:tc>
              <w:tc>
                <w:tcPr>
                  <w:tcW w:w="343" w:type="pct"/>
                  <w:tcBorders>
                    <w:top w:val="single" w:color="auto" w:sz="6" w:space="0"/>
                    <w:left w:val="single" w:color="auto" w:sz="6" w:space="0"/>
                    <w:bottom w:val="single" w:color="auto" w:sz="12" w:space="0"/>
                    <w:right w:val="single" w:color="auto" w:sz="6" w:space="0"/>
                  </w:tcBorders>
                  <w:vAlign w:val="center"/>
                </w:tcPr>
                <w:p w14:paraId="2A5B9589">
                  <w:pPr>
                    <w:spacing w:line="240" w:lineRule="auto"/>
                    <w:ind w:firstLine="0" w:firstLineChars="0"/>
                    <w:jc w:val="center"/>
                    <w:rPr>
                      <w:rFonts w:cs="Times New Roman"/>
                      <w:sz w:val="21"/>
                      <w:szCs w:val="21"/>
                    </w:rPr>
                  </w:pPr>
                  <w:r>
                    <w:rPr>
                      <w:rFonts w:cs="Times New Roman"/>
                      <w:sz w:val="21"/>
                      <w:szCs w:val="21"/>
                    </w:rPr>
                    <w:t>颗粒物</w:t>
                  </w:r>
                </w:p>
              </w:tc>
              <w:tc>
                <w:tcPr>
                  <w:tcW w:w="743" w:type="pct"/>
                  <w:tcBorders>
                    <w:top w:val="single" w:color="auto" w:sz="6" w:space="0"/>
                    <w:left w:val="single" w:color="auto" w:sz="6" w:space="0"/>
                    <w:bottom w:val="single" w:color="auto" w:sz="12" w:space="0"/>
                    <w:right w:val="single" w:color="auto" w:sz="6" w:space="0"/>
                  </w:tcBorders>
                  <w:vAlign w:val="center"/>
                </w:tcPr>
                <w:p w14:paraId="16847E7E">
                  <w:pPr>
                    <w:spacing w:line="240" w:lineRule="auto"/>
                    <w:ind w:firstLine="0" w:firstLineChars="0"/>
                    <w:jc w:val="center"/>
                    <w:rPr>
                      <w:rFonts w:cs="Times New Roman"/>
                      <w:sz w:val="21"/>
                      <w:szCs w:val="21"/>
                    </w:rPr>
                  </w:pPr>
                  <w:r>
                    <w:rPr>
                      <w:rFonts w:cs="Times New Roman"/>
                      <w:sz w:val="21"/>
                      <w:szCs w:val="21"/>
                    </w:rPr>
                    <w:t>120</w:t>
                  </w:r>
                </w:p>
              </w:tc>
              <w:tc>
                <w:tcPr>
                  <w:tcW w:w="610" w:type="pct"/>
                  <w:tcBorders>
                    <w:top w:val="single" w:color="auto" w:sz="6" w:space="0"/>
                    <w:left w:val="single" w:color="auto" w:sz="6" w:space="0"/>
                    <w:bottom w:val="single" w:color="auto" w:sz="12" w:space="0"/>
                    <w:right w:val="single" w:color="auto" w:sz="6" w:space="0"/>
                  </w:tcBorders>
                  <w:vAlign w:val="center"/>
                </w:tcPr>
                <w:p w14:paraId="73F55374">
                  <w:pPr>
                    <w:spacing w:line="240" w:lineRule="auto"/>
                    <w:ind w:firstLine="0" w:firstLineChars="0"/>
                    <w:jc w:val="center"/>
                    <w:rPr>
                      <w:rFonts w:cs="Times New Roman"/>
                      <w:sz w:val="21"/>
                      <w:szCs w:val="21"/>
                    </w:rPr>
                  </w:pPr>
                  <w:r>
                    <w:rPr>
                      <w:rFonts w:cs="Times New Roman"/>
                      <w:sz w:val="21"/>
                      <w:szCs w:val="21"/>
                    </w:rPr>
                    <w:t>3.5</w:t>
                  </w:r>
                </w:p>
              </w:tc>
              <w:tc>
                <w:tcPr>
                  <w:tcW w:w="483" w:type="pct"/>
                  <w:tcBorders>
                    <w:top w:val="single" w:color="auto" w:sz="6" w:space="0"/>
                    <w:left w:val="single" w:color="auto" w:sz="6" w:space="0"/>
                    <w:bottom w:val="single" w:color="auto" w:sz="12" w:space="0"/>
                    <w:right w:val="single" w:color="auto" w:sz="6" w:space="0"/>
                  </w:tcBorders>
                  <w:vAlign w:val="center"/>
                </w:tcPr>
                <w:p w14:paraId="258F8560">
                  <w:pPr>
                    <w:spacing w:line="240" w:lineRule="auto"/>
                    <w:ind w:firstLine="0" w:firstLineChars="0"/>
                    <w:jc w:val="center"/>
                    <w:rPr>
                      <w:rFonts w:cs="Times New Roman"/>
                      <w:sz w:val="21"/>
                      <w:szCs w:val="21"/>
                    </w:rPr>
                  </w:pPr>
                  <w:r>
                    <w:rPr>
                      <w:rFonts w:cs="Times New Roman"/>
                      <w:sz w:val="21"/>
                      <w:szCs w:val="21"/>
                    </w:rPr>
                    <w:t>15</w:t>
                  </w:r>
                </w:p>
              </w:tc>
              <w:tc>
                <w:tcPr>
                  <w:tcW w:w="483" w:type="pct"/>
                  <w:tcBorders>
                    <w:top w:val="single" w:color="auto" w:sz="6" w:space="0"/>
                    <w:left w:val="single" w:color="auto" w:sz="6" w:space="0"/>
                    <w:bottom w:val="single" w:color="auto" w:sz="12" w:space="0"/>
                    <w:right w:val="single" w:color="auto" w:sz="6" w:space="0"/>
                  </w:tcBorders>
                  <w:vAlign w:val="center"/>
                </w:tcPr>
                <w:p w14:paraId="0DFC6DA6">
                  <w:pPr>
                    <w:spacing w:line="240" w:lineRule="auto"/>
                    <w:ind w:firstLine="0" w:firstLineChars="0"/>
                    <w:jc w:val="center"/>
                    <w:rPr>
                      <w:rFonts w:cs="Times New Roman"/>
                      <w:sz w:val="21"/>
                      <w:szCs w:val="21"/>
                    </w:rPr>
                  </w:pPr>
                  <w:r>
                    <w:rPr>
                      <w:rFonts w:cs="Times New Roman"/>
                      <w:sz w:val="21"/>
                      <w:szCs w:val="21"/>
                    </w:rPr>
                    <w:t>0.3</w:t>
                  </w:r>
                </w:p>
              </w:tc>
              <w:tc>
                <w:tcPr>
                  <w:tcW w:w="515" w:type="pct"/>
                  <w:tcBorders>
                    <w:top w:val="single" w:color="auto" w:sz="6" w:space="0"/>
                    <w:left w:val="single" w:color="auto" w:sz="6" w:space="0"/>
                    <w:bottom w:val="single" w:color="auto" w:sz="12" w:space="0"/>
                    <w:right w:val="single" w:color="auto" w:sz="6" w:space="0"/>
                  </w:tcBorders>
                  <w:vAlign w:val="center"/>
                </w:tcPr>
                <w:p w14:paraId="28072E81">
                  <w:pPr>
                    <w:spacing w:line="240" w:lineRule="auto"/>
                    <w:ind w:firstLine="0" w:firstLineChars="0"/>
                    <w:jc w:val="center"/>
                    <w:rPr>
                      <w:rFonts w:cs="Times New Roman"/>
                      <w:sz w:val="21"/>
                      <w:szCs w:val="21"/>
                    </w:rPr>
                  </w:pPr>
                  <w:r>
                    <w:rPr>
                      <w:rFonts w:cs="Times New Roman"/>
                      <w:sz w:val="21"/>
                      <w:szCs w:val="21"/>
                    </w:rPr>
                    <w:t>常温</w:t>
                  </w:r>
                </w:p>
              </w:tc>
              <w:tc>
                <w:tcPr>
                  <w:tcW w:w="257" w:type="pct"/>
                  <w:tcBorders>
                    <w:top w:val="single" w:color="auto" w:sz="6" w:space="0"/>
                    <w:left w:val="single" w:color="auto" w:sz="6" w:space="0"/>
                    <w:bottom w:val="single" w:color="auto" w:sz="12" w:space="0"/>
                    <w:right w:val="single" w:color="auto" w:sz="6" w:space="0"/>
                  </w:tcBorders>
                  <w:vAlign w:val="center"/>
                </w:tcPr>
                <w:p w14:paraId="368FE35B">
                  <w:pPr>
                    <w:spacing w:line="240" w:lineRule="auto"/>
                    <w:ind w:firstLine="0" w:firstLineChars="0"/>
                    <w:jc w:val="center"/>
                    <w:rPr>
                      <w:rFonts w:cs="Times New Roman"/>
                      <w:sz w:val="21"/>
                      <w:szCs w:val="21"/>
                    </w:rPr>
                  </w:pPr>
                  <w:r>
                    <w:rPr>
                      <w:rFonts w:cs="Times New Roman"/>
                      <w:sz w:val="21"/>
                      <w:szCs w:val="21"/>
                    </w:rPr>
                    <w:t>一般排放口</w:t>
                  </w:r>
                </w:p>
              </w:tc>
              <w:tc>
                <w:tcPr>
                  <w:tcW w:w="889" w:type="pct"/>
                  <w:tcBorders>
                    <w:top w:val="single" w:color="auto" w:sz="6" w:space="0"/>
                    <w:left w:val="single" w:color="auto" w:sz="6" w:space="0"/>
                    <w:bottom w:val="single" w:color="auto" w:sz="12" w:space="0"/>
                    <w:right w:val="single" w:color="auto" w:sz="12" w:space="0"/>
                  </w:tcBorders>
                  <w:vAlign w:val="center"/>
                </w:tcPr>
                <w:p w14:paraId="4911E164">
                  <w:pPr>
                    <w:spacing w:line="240" w:lineRule="auto"/>
                    <w:ind w:firstLine="0" w:firstLineChars="0"/>
                    <w:jc w:val="center"/>
                    <w:rPr>
                      <w:rFonts w:cs="Times New Roman"/>
                      <w:sz w:val="21"/>
                      <w:szCs w:val="21"/>
                    </w:rPr>
                  </w:pPr>
                  <w:r>
                    <w:rPr>
                      <w:rFonts w:cs="Times New Roman"/>
                      <w:sz w:val="21"/>
                      <w:szCs w:val="21"/>
                    </w:rPr>
                    <w:t>E86.093816°</w:t>
                  </w:r>
                </w:p>
                <w:p w14:paraId="4E00902B">
                  <w:pPr>
                    <w:spacing w:line="240" w:lineRule="auto"/>
                    <w:ind w:firstLine="0" w:firstLineChars="0"/>
                    <w:jc w:val="center"/>
                    <w:rPr>
                      <w:rFonts w:cs="Times New Roman"/>
                      <w:sz w:val="21"/>
                      <w:szCs w:val="21"/>
                    </w:rPr>
                  </w:pPr>
                  <w:r>
                    <w:rPr>
                      <w:rFonts w:cs="Times New Roman"/>
                      <w:sz w:val="21"/>
                      <w:szCs w:val="21"/>
                    </w:rPr>
                    <w:t>N41.632023°</w:t>
                  </w:r>
                </w:p>
              </w:tc>
            </w:tr>
          </w:tbl>
          <w:p w14:paraId="6A034D02">
            <w:pPr>
              <w:ind w:firstLine="0" w:firstLineChars="0"/>
              <w:rPr>
                <w:b/>
                <w:bCs/>
              </w:rPr>
            </w:pPr>
            <w:r>
              <w:rPr>
                <w:rFonts w:hint="eastAsia"/>
                <w:b/>
                <w:bCs/>
              </w:rPr>
              <w:t>4</w:t>
            </w:r>
            <w:r>
              <w:rPr>
                <w:b/>
                <w:bCs/>
              </w:rPr>
              <w:t>.2.1.3</w:t>
            </w:r>
            <w:r>
              <w:rPr>
                <w:rFonts w:hint="eastAsia"/>
                <w:b/>
                <w:bCs/>
              </w:rPr>
              <w:t>达标分析</w:t>
            </w:r>
          </w:p>
          <w:p w14:paraId="1BAE2B55">
            <w:pPr>
              <w:ind w:firstLine="480"/>
              <w:rPr>
                <w:rFonts w:cs="Times New Roman"/>
              </w:rPr>
            </w:pPr>
            <w:r>
              <w:rPr>
                <w:rFonts w:hint="eastAsia"/>
              </w:rPr>
              <w:t>本项目破碎、粉碎及筛分工序采用湿式作业，产生的粉尘经集气罩收集后通过布袋除尘器处理达标由1</w:t>
            </w:r>
            <w:r>
              <w:t>5</w:t>
            </w:r>
            <w:r>
              <w:rPr>
                <w:rFonts w:hint="eastAsia"/>
              </w:rPr>
              <w:t>m高排气筒排放，采取以上措施后破碎颗粒物对周围的环境影响较小</w:t>
            </w:r>
            <w:r>
              <w:rPr>
                <w:rFonts w:cs="Times New Roman"/>
              </w:rPr>
              <w:t>。</w:t>
            </w:r>
          </w:p>
          <w:p w14:paraId="03C11B0C">
            <w:pPr>
              <w:ind w:firstLine="480"/>
              <w:rPr>
                <w:rFonts w:cs="Times New Roman"/>
              </w:rPr>
            </w:pPr>
            <w:r>
              <w:rPr>
                <w:rFonts w:hint="eastAsia"/>
              </w:rPr>
              <w:t>根据《排污许可证申请与核发技术规范 废弃资源加工工业》（HJ1034-2019）“4.7.3废塑料加工-产排污环节、污染物及污染防治设施”及附录A“废弃资源加工工业排污单位废气污染防治可行技术参考表”，预处理单元产生的颗粒物可采取“喷淋降尘，布袋除尘，喷淋降尘+布袋除尘”中的一种技术，本项目采用湿法破碎工艺，通过布袋除尘后可有效降尘。</w:t>
            </w:r>
          </w:p>
          <w:p w14:paraId="2237538F">
            <w:pPr>
              <w:ind w:firstLine="480"/>
              <w:rPr>
                <w:rFonts w:cs="Times New Roman"/>
              </w:rPr>
            </w:pPr>
            <w:r>
              <w:rPr>
                <w:rFonts w:hint="eastAsia"/>
              </w:rPr>
              <w:t>本项目原料堆场采用篷布全覆盖和洒水降尘等措施抑制扬尘。根据《固体物料堆存颗粒物产生排污系数核算手册》，采取篷布遮盖与洒水降尘技术可显著降低颗粒物逸散，降尘效果明显。因此，对周边大气环境的影响较小</w:t>
            </w:r>
            <w:r>
              <w:rPr>
                <w:rFonts w:cs="Times New Roman"/>
              </w:rPr>
              <w:t>。</w:t>
            </w:r>
          </w:p>
          <w:p w14:paraId="3F8D5144">
            <w:pPr>
              <w:ind w:firstLine="0" w:firstLineChars="0"/>
              <w:rPr>
                <w:rFonts w:cs="Times New Roman"/>
              </w:rPr>
            </w:pPr>
            <w:r>
              <w:rPr>
                <w:rFonts w:hint="eastAsia"/>
                <w:b/>
                <w:bCs/>
              </w:rPr>
              <w:t>4</w:t>
            </w:r>
            <w:r>
              <w:rPr>
                <w:b/>
                <w:bCs/>
              </w:rPr>
              <w:t>.2.1.3</w:t>
            </w:r>
            <w:r>
              <w:rPr>
                <w:rFonts w:hint="eastAsia"/>
                <w:b/>
                <w:bCs/>
              </w:rPr>
              <w:t>非正常工况污染源强分析</w:t>
            </w:r>
          </w:p>
          <w:p w14:paraId="2B738003">
            <w:pPr>
              <w:ind w:firstLine="480"/>
              <w:rPr>
                <w:color w:val="000000"/>
              </w:rPr>
            </w:pPr>
            <w:r>
              <w:rPr>
                <w:rFonts w:hint="eastAsia"/>
              </w:rPr>
              <w:t>本项目营运期非正常工况主要包括：①主要产污设备开停机时，环保设施未运转或者未达到应有处理效率等状况，废气未得到有效处理；②废气处理设施集气系统故障，停机检修，废气未得到有效收集，反而呈无组织排放；③</w:t>
            </w:r>
            <w:r>
              <w:rPr>
                <w:rFonts w:hint="eastAsia"/>
                <w:color w:val="000000"/>
              </w:rPr>
              <w:t>湿法破碎系统故障（如供水管路或喷嘴堵塞/损坏），导致抑尘功能失效，致使破碎工序粉尘无组织排放量显著增加。</w:t>
            </w:r>
          </w:p>
          <w:p w14:paraId="0902B28F">
            <w:pPr>
              <w:ind w:firstLine="480"/>
            </w:pPr>
            <w:r>
              <w:rPr>
                <w:rFonts w:hint="eastAsia"/>
              </w:rPr>
              <w:t>本次评价从最不利环境影响分析非正常工况下污染物的排放情况，如下表所示。</w:t>
            </w:r>
          </w:p>
          <w:p w14:paraId="4788C5A8">
            <w:pPr>
              <w:spacing w:before="163" w:beforeLines="50" w:line="240" w:lineRule="auto"/>
              <w:ind w:firstLine="480" w:firstLineChars="0"/>
              <w:jc w:val="center"/>
              <w:rPr>
                <w:b/>
                <w:bCs/>
                <w:sz w:val="21"/>
                <w:szCs w:val="21"/>
              </w:rPr>
            </w:pPr>
            <w:r>
              <w:rPr>
                <w:rFonts w:hint="eastAsia"/>
                <w:b/>
                <w:bCs/>
                <w:sz w:val="21"/>
                <w:szCs w:val="21"/>
              </w:rPr>
              <w:t>表4-</w:t>
            </w:r>
            <w:r>
              <w:rPr>
                <w:b/>
                <w:bCs/>
                <w:sz w:val="21"/>
                <w:szCs w:val="21"/>
              </w:rPr>
              <w:t>3</w:t>
            </w:r>
            <w:r>
              <w:rPr>
                <w:rFonts w:hint="eastAsia"/>
                <w:b/>
                <w:bCs/>
                <w:sz w:val="21"/>
                <w:szCs w:val="21"/>
              </w:rPr>
              <w:t xml:space="preserve">  项目生产设施开停炉机（机）等非正常情况</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32"/>
              <w:gridCol w:w="727"/>
              <w:gridCol w:w="792"/>
              <w:gridCol w:w="906"/>
              <w:gridCol w:w="805"/>
              <w:gridCol w:w="949"/>
              <w:gridCol w:w="805"/>
              <w:gridCol w:w="802"/>
              <w:gridCol w:w="810"/>
            </w:tblGrid>
            <w:tr w14:paraId="5CF0F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0" w:type="pct"/>
                  <w:tcBorders>
                    <w:top w:val="single" w:color="auto" w:sz="12" w:space="0"/>
                    <w:left w:val="single" w:color="auto" w:sz="12" w:space="0"/>
                    <w:bottom w:val="single" w:color="auto" w:sz="4" w:space="0"/>
                    <w:right w:val="single" w:color="auto" w:sz="4" w:space="0"/>
                  </w:tcBorders>
                  <w:vAlign w:val="center"/>
                </w:tcPr>
                <w:p w14:paraId="6513903A">
                  <w:pPr>
                    <w:spacing w:line="240" w:lineRule="auto"/>
                    <w:ind w:firstLine="0" w:firstLineChars="0"/>
                    <w:jc w:val="center"/>
                    <w:textAlignment w:val="auto"/>
                    <w:rPr>
                      <w:sz w:val="21"/>
                      <w:szCs w:val="21"/>
                    </w:rPr>
                  </w:pPr>
                  <w:r>
                    <w:rPr>
                      <w:rFonts w:hint="eastAsia"/>
                      <w:sz w:val="21"/>
                      <w:szCs w:val="21"/>
                    </w:rPr>
                    <w:t>污染源</w:t>
                  </w:r>
                </w:p>
              </w:tc>
              <w:tc>
                <w:tcPr>
                  <w:tcW w:w="710" w:type="pct"/>
                  <w:tcBorders>
                    <w:top w:val="single" w:color="auto" w:sz="12" w:space="0"/>
                    <w:left w:val="single" w:color="auto" w:sz="4" w:space="0"/>
                    <w:bottom w:val="single" w:color="auto" w:sz="4" w:space="0"/>
                    <w:right w:val="single" w:color="auto" w:sz="4" w:space="0"/>
                  </w:tcBorders>
                  <w:vAlign w:val="center"/>
                </w:tcPr>
                <w:p w14:paraId="3A90E4E0">
                  <w:pPr>
                    <w:spacing w:line="240" w:lineRule="auto"/>
                    <w:ind w:firstLine="0" w:firstLineChars="0"/>
                    <w:jc w:val="center"/>
                    <w:textAlignment w:val="auto"/>
                    <w:rPr>
                      <w:sz w:val="21"/>
                      <w:szCs w:val="21"/>
                    </w:rPr>
                  </w:pPr>
                  <w:r>
                    <w:rPr>
                      <w:rFonts w:hint="eastAsia"/>
                      <w:sz w:val="21"/>
                      <w:szCs w:val="21"/>
                    </w:rPr>
                    <w:t>污染因子</w:t>
                  </w:r>
                </w:p>
              </w:tc>
              <w:tc>
                <w:tcPr>
                  <w:tcW w:w="875" w:type="pct"/>
                  <w:gridSpan w:val="2"/>
                  <w:tcBorders>
                    <w:top w:val="single" w:color="auto" w:sz="12" w:space="0"/>
                    <w:left w:val="single" w:color="auto" w:sz="4" w:space="0"/>
                    <w:bottom w:val="single" w:color="auto" w:sz="4" w:space="0"/>
                    <w:right w:val="single" w:color="auto" w:sz="4" w:space="0"/>
                  </w:tcBorders>
                  <w:vAlign w:val="center"/>
                </w:tcPr>
                <w:p w14:paraId="63A93D1D">
                  <w:pPr>
                    <w:spacing w:line="240" w:lineRule="auto"/>
                    <w:ind w:firstLine="0" w:firstLineChars="0"/>
                    <w:jc w:val="center"/>
                    <w:textAlignment w:val="auto"/>
                    <w:rPr>
                      <w:sz w:val="21"/>
                      <w:szCs w:val="21"/>
                    </w:rPr>
                  </w:pPr>
                  <w:r>
                    <w:rPr>
                      <w:rFonts w:hint="eastAsia"/>
                      <w:sz w:val="21"/>
                      <w:szCs w:val="21"/>
                    </w:rPr>
                    <w:t>产生情况</w:t>
                  </w:r>
                </w:p>
              </w:tc>
              <w:tc>
                <w:tcPr>
                  <w:tcW w:w="522" w:type="pct"/>
                  <w:vMerge w:val="restart"/>
                  <w:tcBorders>
                    <w:top w:val="single" w:color="auto" w:sz="12" w:space="0"/>
                    <w:left w:val="single" w:color="auto" w:sz="4" w:space="0"/>
                    <w:bottom w:val="single" w:color="auto" w:sz="4" w:space="0"/>
                    <w:right w:val="single" w:color="auto" w:sz="4" w:space="0"/>
                  </w:tcBorders>
                  <w:vAlign w:val="center"/>
                </w:tcPr>
                <w:p w14:paraId="6E9A7645">
                  <w:pPr>
                    <w:spacing w:line="240" w:lineRule="auto"/>
                    <w:ind w:firstLine="0" w:firstLineChars="0"/>
                    <w:jc w:val="center"/>
                    <w:textAlignment w:val="auto"/>
                    <w:rPr>
                      <w:sz w:val="21"/>
                      <w:szCs w:val="21"/>
                    </w:rPr>
                  </w:pPr>
                  <w:r>
                    <w:rPr>
                      <w:rFonts w:hint="eastAsia"/>
                      <w:sz w:val="21"/>
                      <w:szCs w:val="21"/>
                    </w:rPr>
                    <w:t>治理措施及治理效率</w:t>
                  </w:r>
                </w:p>
              </w:tc>
              <w:tc>
                <w:tcPr>
                  <w:tcW w:w="1010" w:type="pct"/>
                  <w:gridSpan w:val="2"/>
                  <w:tcBorders>
                    <w:top w:val="single" w:color="auto" w:sz="12" w:space="0"/>
                    <w:left w:val="single" w:color="auto" w:sz="4" w:space="0"/>
                    <w:bottom w:val="single" w:color="auto" w:sz="4" w:space="0"/>
                    <w:right w:val="single" w:color="auto" w:sz="4" w:space="0"/>
                  </w:tcBorders>
                  <w:vAlign w:val="center"/>
                </w:tcPr>
                <w:p w14:paraId="36B8351F">
                  <w:pPr>
                    <w:spacing w:line="240" w:lineRule="auto"/>
                    <w:ind w:firstLine="0" w:firstLineChars="0"/>
                    <w:jc w:val="center"/>
                    <w:textAlignment w:val="auto"/>
                    <w:rPr>
                      <w:sz w:val="21"/>
                      <w:szCs w:val="21"/>
                    </w:rPr>
                  </w:pPr>
                  <w:r>
                    <w:rPr>
                      <w:rFonts w:hint="eastAsia"/>
                      <w:sz w:val="21"/>
                      <w:szCs w:val="21"/>
                    </w:rPr>
                    <w:t>排放情况</w:t>
                  </w:r>
                </w:p>
              </w:tc>
              <w:tc>
                <w:tcPr>
                  <w:tcW w:w="925" w:type="pct"/>
                  <w:gridSpan w:val="2"/>
                  <w:tcBorders>
                    <w:top w:val="single" w:color="auto" w:sz="12" w:space="0"/>
                    <w:left w:val="single" w:color="auto" w:sz="4" w:space="0"/>
                    <w:bottom w:val="single" w:color="auto" w:sz="4" w:space="0"/>
                    <w:right w:val="single" w:color="auto" w:sz="4" w:space="0"/>
                  </w:tcBorders>
                  <w:vAlign w:val="center"/>
                </w:tcPr>
                <w:p w14:paraId="53DAAA12">
                  <w:pPr>
                    <w:spacing w:line="240" w:lineRule="auto"/>
                    <w:ind w:firstLine="0" w:firstLineChars="0"/>
                    <w:jc w:val="center"/>
                    <w:textAlignment w:val="auto"/>
                    <w:rPr>
                      <w:sz w:val="21"/>
                      <w:szCs w:val="21"/>
                    </w:rPr>
                  </w:pPr>
                  <w:r>
                    <w:rPr>
                      <w:rFonts w:hint="eastAsia"/>
                      <w:sz w:val="21"/>
                      <w:szCs w:val="21"/>
                    </w:rPr>
                    <w:t>标准值</w:t>
                  </w:r>
                </w:p>
              </w:tc>
              <w:tc>
                <w:tcPr>
                  <w:tcW w:w="468" w:type="pct"/>
                  <w:tcBorders>
                    <w:top w:val="single" w:color="auto" w:sz="12" w:space="0"/>
                    <w:left w:val="single" w:color="auto" w:sz="4" w:space="0"/>
                    <w:bottom w:val="single" w:color="auto" w:sz="4" w:space="0"/>
                    <w:right w:val="single" w:color="auto" w:sz="12" w:space="0"/>
                  </w:tcBorders>
                  <w:vAlign w:val="center"/>
                </w:tcPr>
                <w:p w14:paraId="06BB5D25">
                  <w:pPr>
                    <w:spacing w:line="240" w:lineRule="auto"/>
                    <w:ind w:firstLine="0" w:firstLineChars="0"/>
                    <w:jc w:val="center"/>
                    <w:textAlignment w:val="auto"/>
                    <w:rPr>
                      <w:sz w:val="21"/>
                      <w:szCs w:val="21"/>
                    </w:rPr>
                  </w:pPr>
                  <w:r>
                    <w:rPr>
                      <w:rFonts w:hint="eastAsia"/>
                      <w:sz w:val="21"/>
                      <w:szCs w:val="21"/>
                    </w:rPr>
                    <w:t>达标情况</w:t>
                  </w:r>
                </w:p>
              </w:tc>
            </w:tr>
            <w:tr w14:paraId="610C26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0" w:type="pct"/>
                  <w:vMerge w:val="restart"/>
                  <w:tcBorders>
                    <w:top w:val="single" w:color="auto" w:sz="4" w:space="0"/>
                    <w:left w:val="single" w:color="auto" w:sz="12" w:space="0"/>
                    <w:bottom w:val="single" w:color="auto" w:sz="4" w:space="0"/>
                    <w:right w:val="single" w:color="auto" w:sz="4" w:space="0"/>
                  </w:tcBorders>
                  <w:vAlign w:val="center"/>
                </w:tcPr>
                <w:p w14:paraId="2351307F">
                  <w:pPr>
                    <w:spacing w:line="240" w:lineRule="auto"/>
                    <w:ind w:firstLine="0" w:firstLineChars="0"/>
                    <w:jc w:val="center"/>
                    <w:textAlignment w:val="auto"/>
                    <w:rPr>
                      <w:sz w:val="21"/>
                      <w:szCs w:val="21"/>
                    </w:rPr>
                  </w:pPr>
                  <w:r>
                    <w:rPr>
                      <w:sz w:val="21"/>
                      <w:szCs w:val="21"/>
                    </w:rPr>
                    <w:t>DA001</w:t>
                  </w:r>
                </w:p>
              </w:tc>
              <w:tc>
                <w:tcPr>
                  <w:tcW w:w="710" w:type="pct"/>
                  <w:vMerge w:val="restart"/>
                  <w:tcBorders>
                    <w:top w:val="single" w:color="auto" w:sz="4" w:space="0"/>
                    <w:left w:val="single" w:color="auto" w:sz="4" w:space="0"/>
                    <w:bottom w:val="single" w:color="auto" w:sz="4" w:space="0"/>
                    <w:right w:val="single" w:color="auto" w:sz="4" w:space="0"/>
                  </w:tcBorders>
                  <w:vAlign w:val="center"/>
                </w:tcPr>
                <w:p w14:paraId="7CBE4370">
                  <w:pPr>
                    <w:spacing w:line="240" w:lineRule="auto"/>
                    <w:ind w:firstLine="0" w:firstLineChars="0"/>
                    <w:jc w:val="center"/>
                    <w:textAlignment w:val="auto"/>
                    <w:rPr>
                      <w:sz w:val="21"/>
                      <w:szCs w:val="21"/>
                    </w:rPr>
                  </w:pPr>
                  <w:r>
                    <w:rPr>
                      <w:rFonts w:hint="eastAsia"/>
                      <w:sz w:val="21"/>
                      <w:szCs w:val="21"/>
                    </w:rPr>
                    <w:t>颗粒物</w:t>
                  </w:r>
                </w:p>
              </w:tc>
              <w:tc>
                <w:tcPr>
                  <w:tcW w:w="419" w:type="pct"/>
                  <w:tcBorders>
                    <w:top w:val="single" w:color="auto" w:sz="4" w:space="0"/>
                    <w:left w:val="single" w:color="auto" w:sz="4" w:space="0"/>
                    <w:bottom w:val="single" w:color="auto" w:sz="4" w:space="0"/>
                    <w:right w:val="single" w:color="auto" w:sz="4" w:space="0"/>
                  </w:tcBorders>
                  <w:vAlign w:val="center"/>
                </w:tcPr>
                <w:p w14:paraId="2A2E0E95">
                  <w:pPr>
                    <w:spacing w:line="240" w:lineRule="auto"/>
                    <w:ind w:firstLine="0" w:firstLineChars="0"/>
                    <w:jc w:val="center"/>
                    <w:textAlignment w:val="auto"/>
                    <w:rPr>
                      <w:sz w:val="21"/>
                      <w:szCs w:val="21"/>
                    </w:rPr>
                  </w:pPr>
                  <w:r>
                    <w:rPr>
                      <w:rFonts w:hint="eastAsia"/>
                      <w:sz w:val="21"/>
                      <w:szCs w:val="21"/>
                    </w:rPr>
                    <w:t>排放速率</w:t>
                  </w:r>
                  <w:r>
                    <w:rPr>
                      <w:sz w:val="21"/>
                      <w:szCs w:val="21"/>
                    </w:rPr>
                    <w:t>kg/h</w:t>
                  </w:r>
                </w:p>
              </w:tc>
              <w:tc>
                <w:tcPr>
                  <w:tcW w:w="456" w:type="pct"/>
                  <w:tcBorders>
                    <w:top w:val="single" w:color="auto" w:sz="4" w:space="0"/>
                    <w:left w:val="single" w:color="auto" w:sz="4" w:space="0"/>
                    <w:bottom w:val="single" w:color="auto" w:sz="4" w:space="0"/>
                    <w:right w:val="single" w:color="auto" w:sz="4" w:space="0"/>
                  </w:tcBorders>
                  <w:vAlign w:val="center"/>
                </w:tcPr>
                <w:p w14:paraId="43F23D60">
                  <w:pPr>
                    <w:spacing w:line="240" w:lineRule="auto"/>
                    <w:ind w:firstLine="0" w:firstLineChars="0"/>
                    <w:textAlignment w:val="auto"/>
                    <w:rPr>
                      <w:sz w:val="21"/>
                      <w:szCs w:val="21"/>
                    </w:rPr>
                  </w:pPr>
                  <w:r>
                    <w:rPr>
                      <w:rFonts w:hint="eastAsia"/>
                      <w:sz w:val="21"/>
                      <w:szCs w:val="21"/>
                    </w:rPr>
                    <w:t>产生浓度</w:t>
                  </w:r>
                  <w:r>
                    <w:rPr>
                      <w:sz w:val="21"/>
                      <w:szCs w:val="21"/>
                    </w:rPr>
                    <w:t>mg/m</w:t>
                  </w:r>
                  <w:r>
                    <w:rPr>
                      <w:sz w:val="21"/>
                      <w:szCs w:val="21"/>
                      <w:vertAlign w:val="superscript"/>
                    </w:rPr>
                    <w:t>3</w:t>
                  </w:r>
                </w:p>
              </w:tc>
              <w:tc>
                <w:tcPr>
                  <w:tcW w:w="0" w:type="auto"/>
                  <w:vMerge w:val="continue"/>
                  <w:tcBorders>
                    <w:top w:val="single" w:color="auto" w:sz="12" w:space="0"/>
                    <w:left w:val="single" w:color="auto" w:sz="4" w:space="0"/>
                    <w:bottom w:val="single" w:color="auto" w:sz="4" w:space="0"/>
                    <w:right w:val="single" w:color="auto" w:sz="4" w:space="0"/>
                  </w:tcBorders>
                  <w:vAlign w:val="center"/>
                </w:tcPr>
                <w:p w14:paraId="3F295E26">
                  <w:pPr>
                    <w:widowControl/>
                    <w:spacing w:line="240" w:lineRule="auto"/>
                    <w:ind w:firstLine="0" w:firstLineChars="0"/>
                    <w:jc w:val="left"/>
                    <w:textAlignment w:val="auto"/>
                    <w:rPr>
                      <w:sz w:val="21"/>
                      <w:szCs w:val="21"/>
                    </w:rPr>
                  </w:pPr>
                </w:p>
              </w:tc>
              <w:tc>
                <w:tcPr>
                  <w:tcW w:w="464" w:type="pct"/>
                  <w:tcBorders>
                    <w:top w:val="single" w:color="auto" w:sz="4" w:space="0"/>
                    <w:left w:val="single" w:color="auto" w:sz="4" w:space="0"/>
                    <w:bottom w:val="single" w:color="auto" w:sz="4" w:space="0"/>
                    <w:right w:val="single" w:color="auto" w:sz="4" w:space="0"/>
                  </w:tcBorders>
                  <w:vAlign w:val="center"/>
                </w:tcPr>
                <w:p w14:paraId="310D9C37">
                  <w:pPr>
                    <w:spacing w:line="240" w:lineRule="auto"/>
                    <w:ind w:firstLine="0" w:firstLineChars="0"/>
                    <w:jc w:val="center"/>
                    <w:textAlignment w:val="auto"/>
                    <w:rPr>
                      <w:sz w:val="21"/>
                      <w:szCs w:val="21"/>
                    </w:rPr>
                  </w:pPr>
                  <w:r>
                    <w:rPr>
                      <w:rFonts w:hint="eastAsia"/>
                      <w:sz w:val="21"/>
                      <w:szCs w:val="21"/>
                    </w:rPr>
                    <w:t>排放速率</w:t>
                  </w:r>
                  <w:r>
                    <w:rPr>
                      <w:sz w:val="21"/>
                      <w:szCs w:val="21"/>
                    </w:rPr>
                    <w:t>kg/h</w:t>
                  </w:r>
                </w:p>
              </w:tc>
              <w:tc>
                <w:tcPr>
                  <w:tcW w:w="547" w:type="pct"/>
                  <w:tcBorders>
                    <w:top w:val="single" w:color="auto" w:sz="4" w:space="0"/>
                    <w:left w:val="single" w:color="auto" w:sz="4" w:space="0"/>
                    <w:bottom w:val="single" w:color="auto" w:sz="4" w:space="0"/>
                    <w:right w:val="single" w:color="auto" w:sz="4" w:space="0"/>
                  </w:tcBorders>
                  <w:vAlign w:val="center"/>
                </w:tcPr>
                <w:p w14:paraId="722EBD99">
                  <w:pPr>
                    <w:spacing w:line="240" w:lineRule="auto"/>
                    <w:ind w:firstLine="0" w:firstLineChars="0"/>
                    <w:jc w:val="center"/>
                    <w:textAlignment w:val="auto"/>
                    <w:rPr>
                      <w:sz w:val="21"/>
                      <w:szCs w:val="21"/>
                    </w:rPr>
                  </w:pPr>
                  <w:r>
                    <w:rPr>
                      <w:rFonts w:hint="eastAsia"/>
                      <w:sz w:val="21"/>
                      <w:szCs w:val="21"/>
                    </w:rPr>
                    <w:t>排放</w:t>
                  </w:r>
                </w:p>
                <w:p w14:paraId="062C8BB3">
                  <w:pPr>
                    <w:spacing w:line="240" w:lineRule="auto"/>
                    <w:ind w:firstLine="0" w:firstLineChars="0"/>
                    <w:jc w:val="center"/>
                    <w:textAlignment w:val="auto"/>
                    <w:rPr>
                      <w:sz w:val="21"/>
                      <w:szCs w:val="21"/>
                    </w:rPr>
                  </w:pPr>
                  <w:r>
                    <w:rPr>
                      <w:rFonts w:hint="eastAsia"/>
                      <w:sz w:val="21"/>
                      <w:szCs w:val="21"/>
                    </w:rPr>
                    <w:t>浓度</w:t>
                  </w:r>
                  <w:r>
                    <w:rPr>
                      <w:sz w:val="21"/>
                      <w:szCs w:val="21"/>
                    </w:rPr>
                    <w:t>mg/m</w:t>
                  </w:r>
                  <w:r>
                    <w:rPr>
                      <w:rFonts w:hint="eastAsia"/>
                      <w:sz w:val="21"/>
                      <w:szCs w:val="21"/>
                      <w:vertAlign w:val="superscript"/>
                    </w:rPr>
                    <w:t>3</w:t>
                  </w:r>
                </w:p>
              </w:tc>
              <w:tc>
                <w:tcPr>
                  <w:tcW w:w="464" w:type="pct"/>
                  <w:tcBorders>
                    <w:top w:val="single" w:color="auto" w:sz="4" w:space="0"/>
                    <w:left w:val="single" w:color="auto" w:sz="4" w:space="0"/>
                    <w:bottom w:val="single" w:color="auto" w:sz="4" w:space="0"/>
                    <w:right w:val="single" w:color="auto" w:sz="4" w:space="0"/>
                  </w:tcBorders>
                  <w:vAlign w:val="center"/>
                </w:tcPr>
                <w:p w14:paraId="75F801E7">
                  <w:pPr>
                    <w:spacing w:line="240" w:lineRule="auto"/>
                    <w:ind w:firstLine="0" w:firstLineChars="0"/>
                    <w:jc w:val="center"/>
                    <w:textAlignment w:val="auto"/>
                    <w:rPr>
                      <w:sz w:val="21"/>
                      <w:szCs w:val="21"/>
                    </w:rPr>
                  </w:pPr>
                  <w:r>
                    <w:rPr>
                      <w:rFonts w:hint="eastAsia"/>
                      <w:sz w:val="21"/>
                      <w:szCs w:val="21"/>
                    </w:rPr>
                    <w:t>排放速率</w:t>
                  </w:r>
                  <w:r>
                    <w:rPr>
                      <w:sz w:val="21"/>
                      <w:szCs w:val="21"/>
                    </w:rPr>
                    <w:t>kg/h</w:t>
                  </w:r>
                </w:p>
              </w:tc>
              <w:tc>
                <w:tcPr>
                  <w:tcW w:w="462" w:type="pct"/>
                  <w:tcBorders>
                    <w:top w:val="single" w:color="auto" w:sz="4" w:space="0"/>
                    <w:left w:val="single" w:color="auto" w:sz="4" w:space="0"/>
                    <w:bottom w:val="single" w:color="auto" w:sz="4" w:space="0"/>
                    <w:right w:val="single" w:color="auto" w:sz="4" w:space="0"/>
                  </w:tcBorders>
                  <w:vAlign w:val="center"/>
                </w:tcPr>
                <w:p w14:paraId="466DFDBE">
                  <w:pPr>
                    <w:spacing w:line="240" w:lineRule="auto"/>
                    <w:ind w:firstLine="0" w:firstLineChars="0"/>
                    <w:jc w:val="center"/>
                    <w:textAlignment w:val="auto"/>
                    <w:rPr>
                      <w:sz w:val="21"/>
                      <w:szCs w:val="21"/>
                    </w:rPr>
                  </w:pPr>
                  <w:r>
                    <w:rPr>
                      <w:rFonts w:hint="eastAsia"/>
                      <w:sz w:val="21"/>
                      <w:szCs w:val="21"/>
                    </w:rPr>
                    <w:t>排放</w:t>
                  </w:r>
                </w:p>
                <w:p w14:paraId="04AC4190">
                  <w:pPr>
                    <w:spacing w:line="240" w:lineRule="auto"/>
                    <w:ind w:firstLine="0" w:firstLineChars="0"/>
                    <w:jc w:val="center"/>
                    <w:textAlignment w:val="auto"/>
                    <w:rPr>
                      <w:sz w:val="21"/>
                      <w:szCs w:val="21"/>
                    </w:rPr>
                  </w:pPr>
                  <w:r>
                    <w:rPr>
                      <w:rFonts w:hint="eastAsia"/>
                      <w:sz w:val="21"/>
                      <w:szCs w:val="21"/>
                    </w:rPr>
                    <w:t>浓度</w:t>
                  </w:r>
                  <w:r>
                    <w:rPr>
                      <w:sz w:val="21"/>
                      <w:szCs w:val="21"/>
                    </w:rPr>
                    <w:t>mg/m</w:t>
                  </w:r>
                  <w:r>
                    <w:rPr>
                      <w:sz w:val="21"/>
                      <w:szCs w:val="21"/>
                      <w:vertAlign w:val="superscript"/>
                    </w:rPr>
                    <w:t>3</w:t>
                  </w:r>
                </w:p>
              </w:tc>
              <w:tc>
                <w:tcPr>
                  <w:tcW w:w="468" w:type="pct"/>
                  <w:vMerge w:val="restart"/>
                  <w:tcBorders>
                    <w:top w:val="single" w:color="auto" w:sz="4" w:space="0"/>
                    <w:left w:val="single" w:color="auto" w:sz="4" w:space="0"/>
                    <w:bottom w:val="single" w:color="auto" w:sz="4" w:space="0"/>
                    <w:right w:val="single" w:color="auto" w:sz="12" w:space="0"/>
                  </w:tcBorders>
                  <w:vAlign w:val="center"/>
                </w:tcPr>
                <w:p w14:paraId="5F5BD520">
                  <w:pPr>
                    <w:spacing w:line="240" w:lineRule="auto"/>
                    <w:ind w:firstLine="0" w:firstLineChars="0"/>
                    <w:jc w:val="center"/>
                    <w:textAlignment w:val="auto"/>
                    <w:rPr>
                      <w:sz w:val="21"/>
                      <w:szCs w:val="21"/>
                    </w:rPr>
                  </w:pPr>
                  <w:r>
                    <w:rPr>
                      <w:rFonts w:hint="eastAsia"/>
                      <w:sz w:val="21"/>
                      <w:szCs w:val="21"/>
                    </w:rPr>
                    <w:t>超标</w:t>
                  </w:r>
                </w:p>
              </w:tc>
            </w:tr>
            <w:tr w14:paraId="14F10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7" w:hRule="atLeast"/>
              </w:trPr>
              <w:tc>
                <w:tcPr>
                  <w:tcW w:w="490" w:type="pct"/>
                  <w:vMerge w:val="continue"/>
                  <w:tcBorders>
                    <w:top w:val="single" w:color="auto" w:sz="4" w:space="0"/>
                    <w:left w:val="single" w:color="auto" w:sz="12" w:space="0"/>
                    <w:bottom w:val="single" w:color="auto" w:sz="4" w:space="0"/>
                    <w:right w:val="single" w:color="auto" w:sz="4" w:space="0"/>
                  </w:tcBorders>
                  <w:vAlign w:val="center"/>
                </w:tcPr>
                <w:p w14:paraId="2A1DDE54">
                  <w:pPr>
                    <w:widowControl/>
                    <w:spacing w:line="240" w:lineRule="auto"/>
                    <w:ind w:firstLine="0" w:firstLineChars="0"/>
                    <w:jc w:val="left"/>
                    <w:textAlignment w:val="auto"/>
                    <w:rPr>
                      <w:sz w:val="21"/>
                      <w:szCs w:val="21"/>
                    </w:rPr>
                  </w:pPr>
                </w:p>
              </w:tc>
              <w:tc>
                <w:tcPr>
                  <w:tcW w:w="710" w:type="pct"/>
                  <w:vMerge w:val="continue"/>
                  <w:tcBorders>
                    <w:top w:val="single" w:color="auto" w:sz="4" w:space="0"/>
                    <w:left w:val="single" w:color="auto" w:sz="4" w:space="0"/>
                    <w:bottom w:val="single" w:color="auto" w:sz="4" w:space="0"/>
                    <w:right w:val="single" w:color="auto" w:sz="4" w:space="0"/>
                  </w:tcBorders>
                  <w:vAlign w:val="center"/>
                </w:tcPr>
                <w:p w14:paraId="56E7092B">
                  <w:pPr>
                    <w:widowControl/>
                    <w:spacing w:line="240" w:lineRule="auto"/>
                    <w:ind w:firstLine="0" w:firstLineChars="0"/>
                    <w:jc w:val="left"/>
                    <w:textAlignment w:val="auto"/>
                    <w:rPr>
                      <w:sz w:val="21"/>
                      <w:szCs w:val="21"/>
                    </w:rPr>
                  </w:pPr>
                </w:p>
              </w:tc>
              <w:tc>
                <w:tcPr>
                  <w:tcW w:w="419" w:type="pct"/>
                  <w:tcBorders>
                    <w:top w:val="single" w:color="auto" w:sz="4" w:space="0"/>
                    <w:left w:val="single" w:color="auto" w:sz="4" w:space="0"/>
                    <w:bottom w:val="single" w:color="auto" w:sz="4" w:space="0"/>
                    <w:right w:val="single" w:color="auto" w:sz="4" w:space="0"/>
                  </w:tcBorders>
                  <w:vAlign w:val="center"/>
                </w:tcPr>
                <w:p w14:paraId="7857897D">
                  <w:pPr>
                    <w:spacing w:line="240" w:lineRule="auto"/>
                    <w:ind w:firstLine="0" w:firstLineChars="0"/>
                    <w:jc w:val="center"/>
                    <w:textAlignment w:val="auto"/>
                    <w:rPr>
                      <w:sz w:val="21"/>
                      <w:szCs w:val="21"/>
                    </w:rPr>
                  </w:pPr>
                  <w:r>
                    <w:rPr>
                      <w:sz w:val="21"/>
                      <w:szCs w:val="21"/>
                    </w:rPr>
                    <w:t>0.47</w:t>
                  </w:r>
                </w:p>
              </w:tc>
              <w:tc>
                <w:tcPr>
                  <w:tcW w:w="456" w:type="pct"/>
                  <w:tcBorders>
                    <w:top w:val="single" w:color="auto" w:sz="4" w:space="0"/>
                    <w:left w:val="single" w:color="auto" w:sz="4" w:space="0"/>
                    <w:bottom w:val="single" w:color="auto" w:sz="4" w:space="0"/>
                    <w:right w:val="single" w:color="auto" w:sz="4" w:space="0"/>
                  </w:tcBorders>
                  <w:vAlign w:val="center"/>
                </w:tcPr>
                <w:p w14:paraId="51427C91">
                  <w:pPr>
                    <w:spacing w:line="240" w:lineRule="auto"/>
                    <w:ind w:firstLine="0" w:firstLineChars="0"/>
                    <w:jc w:val="center"/>
                    <w:textAlignment w:val="auto"/>
                    <w:rPr>
                      <w:sz w:val="21"/>
                      <w:szCs w:val="21"/>
                    </w:rPr>
                  </w:pPr>
                  <w:r>
                    <w:rPr>
                      <w:sz w:val="21"/>
                      <w:szCs w:val="21"/>
                    </w:rPr>
                    <w:t>156.7</w:t>
                  </w:r>
                </w:p>
              </w:tc>
              <w:tc>
                <w:tcPr>
                  <w:tcW w:w="522" w:type="pct"/>
                  <w:tcBorders>
                    <w:top w:val="single" w:color="auto" w:sz="4" w:space="0"/>
                    <w:left w:val="single" w:color="auto" w:sz="4" w:space="0"/>
                    <w:bottom w:val="single" w:color="auto" w:sz="4" w:space="0"/>
                    <w:right w:val="single" w:color="auto" w:sz="4" w:space="0"/>
                  </w:tcBorders>
                  <w:vAlign w:val="center"/>
                </w:tcPr>
                <w:p w14:paraId="7EB19FC3">
                  <w:pPr>
                    <w:spacing w:line="240" w:lineRule="auto"/>
                    <w:ind w:firstLine="0" w:firstLineChars="0"/>
                    <w:textAlignment w:val="auto"/>
                    <w:rPr>
                      <w:sz w:val="21"/>
                      <w:szCs w:val="21"/>
                    </w:rPr>
                  </w:pPr>
                  <w:r>
                    <w:rPr>
                      <w:rFonts w:hint="eastAsia"/>
                      <w:sz w:val="21"/>
                      <w:szCs w:val="21"/>
                    </w:rPr>
                    <w:t>布袋除尘器</w:t>
                  </w:r>
                  <w:r>
                    <w:rPr>
                      <w:sz w:val="21"/>
                      <w:szCs w:val="21"/>
                    </w:rPr>
                    <w:t>+15</w:t>
                  </w:r>
                  <w:r>
                    <w:rPr>
                      <w:rFonts w:hint="eastAsia"/>
                      <w:sz w:val="21"/>
                      <w:szCs w:val="21"/>
                    </w:rPr>
                    <w:t>米高排气筒（除尘效率</w:t>
                  </w:r>
                  <w:r>
                    <w:rPr>
                      <w:sz w:val="21"/>
                      <w:szCs w:val="21"/>
                    </w:rPr>
                    <w:t>0</w:t>
                  </w:r>
                  <w:r>
                    <w:rPr>
                      <w:rFonts w:hint="eastAsia"/>
                      <w:sz w:val="21"/>
                      <w:szCs w:val="21"/>
                    </w:rPr>
                    <w:t>）</w:t>
                  </w:r>
                </w:p>
              </w:tc>
              <w:tc>
                <w:tcPr>
                  <w:tcW w:w="464" w:type="pct"/>
                  <w:tcBorders>
                    <w:top w:val="single" w:color="auto" w:sz="4" w:space="0"/>
                    <w:left w:val="single" w:color="auto" w:sz="4" w:space="0"/>
                    <w:bottom w:val="single" w:color="auto" w:sz="4" w:space="0"/>
                    <w:right w:val="single" w:color="auto" w:sz="4" w:space="0"/>
                  </w:tcBorders>
                  <w:vAlign w:val="center"/>
                </w:tcPr>
                <w:p w14:paraId="7F4AFAEA">
                  <w:pPr>
                    <w:spacing w:line="240" w:lineRule="auto"/>
                    <w:ind w:firstLine="0" w:firstLineChars="0"/>
                    <w:jc w:val="center"/>
                    <w:textAlignment w:val="auto"/>
                    <w:rPr>
                      <w:sz w:val="21"/>
                      <w:szCs w:val="21"/>
                    </w:rPr>
                  </w:pPr>
                  <w:r>
                    <w:rPr>
                      <w:sz w:val="21"/>
                      <w:szCs w:val="21"/>
                    </w:rPr>
                    <w:t>0.47</w:t>
                  </w:r>
                </w:p>
              </w:tc>
              <w:tc>
                <w:tcPr>
                  <w:tcW w:w="547" w:type="pct"/>
                  <w:tcBorders>
                    <w:top w:val="single" w:color="auto" w:sz="4" w:space="0"/>
                    <w:left w:val="single" w:color="auto" w:sz="4" w:space="0"/>
                    <w:bottom w:val="single" w:color="auto" w:sz="4" w:space="0"/>
                    <w:right w:val="single" w:color="auto" w:sz="4" w:space="0"/>
                  </w:tcBorders>
                  <w:vAlign w:val="center"/>
                </w:tcPr>
                <w:p w14:paraId="7A88E59B">
                  <w:pPr>
                    <w:spacing w:line="240" w:lineRule="auto"/>
                    <w:ind w:firstLine="0" w:firstLineChars="0"/>
                    <w:jc w:val="center"/>
                    <w:textAlignment w:val="auto"/>
                    <w:rPr>
                      <w:sz w:val="21"/>
                      <w:szCs w:val="21"/>
                    </w:rPr>
                  </w:pPr>
                  <w:r>
                    <w:rPr>
                      <w:sz w:val="21"/>
                      <w:szCs w:val="21"/>
                    </w:rPr>
                    <w:t>156.7</w:t>
                  </w:r>
                </w:p>
              </w:tc>
              <w:tc>
                <w:tcPr>
                  <w:tcW w:w="464" w:type="pct"/>
                  <w:tcBorders>
                    <w:top w:val="single" w:color="auto" w:sz="4" w:space="0"/>
                    <w:left w:val="single" w:color="auto" w:sz="4" w:space="0"/>
                    <w:bottom w:val="single" w:color="auto" w:sz="4" w:space="0"/>
                    <w:right w:val="single" w:color="auto" w:sz="4" w:space="0"/>
                  </w:tcBorders>
                  <w:vAlign w:val="center"/>
                </w:tcPr>
                <w:p w14:paraId="70DD5C39">
                  <w:pPr>
                    <w:spacing w:line="240" w:lineRule="auto"/>
                    <w:ind w:firstLine="0" w:firstLineChars="0"/>
                    <w:jc w:val="center"/>
                    <w:textAlignment w:val="auto"/>
                    <w:rPr>
                      <w:sz w:val="21"/>
                      <w:szCs w:val="21"/>
                    </w:rPr>
                  </w:pPr>
                  <w:r>
                    <w:rPr>
                      <w:sz w:val="21"/>
                      <w:szCs w:val="21"/>
                    </w:rPr>
                    <w:t>3.5</w:t>
                  </w:r>
                </w:p>
              </w:tc>
              <w:tc>
                <w:tcPr>
                  <w:tcW w:w="462" w:type="pct"/>
                  <w:tcBorders>
                    <w:top w:val="single" w:color="auto" w:sz="4" w:space="0"/>
                    <w:left w:val="single" w:color="auto" w:sz="4" w:space="0"/>
                    <w:bottom w:val="single" w:color="auto" w:sz="4" w:space="0"/>
                    <w:right w:val="single" w:color="auto" w:sz="4" w:space="0"/>
                  </w:tcBorders>
                  <w:vAlign w:val="center"/>
                </w:tcPr>
                <w:p w14:paraId="7727ECB7">
                  <w:pPr>
                    <w:spacing w:line="240" w:lineRule="auto"/>
                    <w:ind w:firstLine="0" w:firstLineChars="0"/>
                    <w:jc w:val="center"/>
                    <w:textAlignment w:val="auto"/>
                    <w:rPr>
                      <w:sz w:val="21"/>
                      <w:szCs w:val="21"/>
                    </w:rPr>
                  </w:pPr>
                  <w:r>
                    <w:rPr>
                      <w:sz w:val="21"/>
                      <w:szCs w:val="21"/>
                    </w:rPr>
                    <w:t>120</w:t>
                  </w:r>
                </w:p>
              </w:tc>
              <w:tc>
                <w:tcPr>
                  <w:tcW w:w="0" w:type="auto"/>
                  <w:vMerge w:val="continue"/>
                  <w:tcBorders>
                    <w:top w:val="single" w:color="auto" w:sz="4" w:space="0"/>
                    <w:left w:val="single" w:color="auto" w:sz="4" w:space="0"/>
                    <w:bottom w:val="single" w:color="auto" w:sz="4" w:space="0"/>
                    <w:right w:val="single" w:color="auto" w:sz="12" w:space="0"/>
                  </w:tcBorders>
                  <w:vAlign w:val="center"/>
                </w:tcPr>
                <w:p w14:paraId="51B12BFB">
                  <w:pPr>
                    <w:widowControl/>
                    <w:spacing w:line="240" w:lineRule="auto"/>
                    <w:ind w:firstLine="0" w:firstLineChars="0"/>
                    <w:jc w:val="left"/>
                    <w:textAlignment w:val="auto"/>
                    <w:rPr>
                      <w:sz w:val="21"/>
                      <w:szCs w:val="21"/>
                    </w:rPr>
                  </w:pPr>
                </w:p>
              </w:tc>
            </w:tr>
            <w:tr w14:paraId="120CF1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5000" w:type="pct"/>
                  <w:gridSpan w:val="10"/>
                  <w:tcBorders>
                    <w:top w:val="single" w:color="auto" w:sz="4" w:space="0"/>
                    <w:left w:val="single" w:color="auto" w:sz="12" w:space="0"/>
                    <w:bottom w:val="single" w:color="auto" w:sz="12" w:space="0"/>
                    <w:right w:val="single" w:color="auto" w:sz="12" w:space="0"/>
                  </w:tcBorders>
                  <w:vAlign w:val="center"/>
                </w:tcPr>
                <w:p w14:paraId="7EA4C455">
                  <w:pPr>
                    <w:spacing w:line="240" w:lineRule="auto"/>
                    <w:ind w:firstLine="0" w:firstLineChars="0"/>
                    <w:textAlignment w:val="auto"/>
                    <w:rPr>
                      <w:sz w:val="21"/>
                      <w:szCs w:val="21"/>
                    </w:rPr>
                  </w:pPr>
                  <w:r>
                    <w:rPr>
                      <w:rFonts w:hint="eastAsia"/>
                      <w:b/>
                      <w:bCs/>
                      <w:sz w:val="18"/>
                      <w:szCs w:val="18"/>
                    </w:rPr>
                    <w:t>备注：按单次故障持续时间0.5h，每年发生3次估算非正常排放量</w:t>
                  </w:r>
                </w:p>
              </w:tc>
            </w:tr>
          </w:tbl>
          <w:p w14:paraId="15A64316">
            <w:pPr>
              <w:ind w:firstLine="480"/>
              <w:rPr>
                <w:color w:val="000000"/>
              </w:rPr>
            </w:pPr>
            <w:r>
              <w:rPr>
                <w:rFonts w:hint="eastAsia"/>
                <w:color w:val="000000"/>
              </w:rPr>
              <w:t>根据上表可知，当布袋除尘器净化效率</w:t>
            </w:r>
            <w:r>
              <w:rPr>
                <w:color w:val="000000"/>
              </w:rPr>
              <w:t>0</w:t>
            </w:r>
            <w:r>
              <w:rPr>
                <w:rFonts w:hint="eastAsia"/>
                <w:color w:val="000000"/>
              </w:rPr>
              <w:t>时，项目</w:t>
            </w:r>
            <w:r>
              <w:rPr>
                <w:color w:val="000000"/>
              </w:rPr>
              <w:t>DA001</w:t>
            </w:r>
            <w:r>
              <w:rPr>
                <w:rFonts w:hint="eastAsia"/>
                <w:color w:val="000000"/>
              </w:rPr>
              <w:t>排气筒排放的颗粒物不能达标排放，因此为了避免出现非正常排放情况，本次环评提出以下废气非正常排放的对策措施：</w:t>
            </w:r>
          </w:p>
          <w:p w14:paraId="26685A24">
            <w:pPr>
              <w:ind w:firstLine="480"/>
              <w:rPr>
                <w:color w:val="000000"/>
              </w:rPr>
            </w:pPr>
            <w:r>
              <w:rPr>
                <w:rFonts w:hint="eastAsia"/>
                <w:color w:val="000000"/>
              </w:rPr>
              <w:t>①设备巡检与即时停产制度</w:t>
            </w:r>
          </w:p>
          <w:p w14:paraId="0C56E4EF">
            <w:pPr>
              <w:ind w:firstLine="480"/>
              <w:rPr>
                <w:color w:val="000000"/>
              </w:rPr>
            </w:pPr>
            <w:r>
              <w:rPr>
                <w:rFonts w:hint="eastAsia"/>
                <w:color w:val="000000"/>
              </w:rPr>
              <w:t>建立废气治理设施（布袋除尘+湿法喷淋系统）的定期巡检与维护制度；一旦发现喷淋系统破损、堵塞或密封不严，导致粉尘逸散量异常增大，必须立即停止相关生产作业，并及时组织检修与更换；待系统修复完毕，经确认抑尘功能恢复正常后，方可恢复生产。</w:t>
            </w:r>
          </w:p>
          <w:p w14:paraId="7C994DBB">
            <w:pPr>
              <w:ind w:firstLine="480"/>
              <w:rPr>
                <w:color w:val="000000"/>
              </w:rPr>
            </w:pPr>
            <w:r>
              <w:rPr>
                <w:rFonts w:hint="eastAsia"/>
                <w:color w:val="000000"/>
              </w:rPr>
              <w:t>②规范操作与人员培训</w:t>
            </w:r>
          </w:p>
          <w:p w14:paraId="204805E2">
            <w:pPr>
              <w:ind w:firstLine="480"/>
              <w:rPr>
                <w:color w:val="000000"/>
              </w:rPr>
            </w:pPr>
            <w:r>
              <w:rPr>
                <w:rFonts w:hint="eastAsia"/>
                <w:color w:val="000000"/>
              </w:rPr>
              <w:t>对废气治理设施及主要产污设备实行规范化、制度化管理；操作人员必须经过系统培训，熟悉湿法抑尘原理与故障识别，严格执行操作规程，从源头降低因操作失误导致事故性排放的概率。</w:t>
            </w:r>
          </w:p>
          <w:p w14:paraId="061667D3">
            <w:pPr>
              <w:ind w:firstLine="480"/>
              <w:rPr>
                <w:color w:val="000000"/>
              </w:rPr>
            </w:pPr>
            <w:r>
              <w:rPr>
                <w:rFonts w:hint="eastAsia"/>
                <w:color w:val="000000"/>
              </w:rPr>
              <w:t>③制定事故及时处理计划</w:t>
            </w:r>
          </w:p>
          <w:p w14:paraId="2499D063">
            <w:pPr>
              <w:ind w:firstLine="480"/>
              <w:rPr>
                <w:color w:val="000000"/>
              </w:rPr>
            </w:pPr>
            <w:r>
              <w:rPr>
                <w:rFonts w:hint="eastAsia"/>
                <w:color w:val="000000"/>
              </w:rPr>
              <w:t>制定事故处理应急计划，建立事故处理机构，落实各部门、各岗位、各操作管理人员的责任，一旦发生事故，及时采取处理措施并通知环保等管理部门在最短时间内排除故障。</w:t>
            </w:r>
          </w:p>
          <w:p w14:paraId="3BDC2B6D">
            <w:pPr>
              <w:ind w:firstLine="480"/>
              <w:rPr>
                <w:color w:val="000000"/>
              </w:rPr>
            </w:pPr>
            <w:r>
              <w:rPr>
                <w:rFonts w:hint="eastAsia"/>
                <w:color w:val="000000"/>
              </w:rPr>
              <w:t>综上所述，项目运营期加强废气治理设施运行管理，定期维护加强对操作人员的岗位培训，确保废气稳定达标排放，杜绝事故性排放，建立健全环保管理机制和各项环保规章制度，落实岗位环保责任制，加强环境风险防范工作，防止事故排放导致环境问题。</w:t>
            </w:r>
          </w:p>
          <w:p w14:paraId="087AB6B0">
            <w:pPr>
              <w:pStyle w:val="3"/>
            </w:pPr>
            <w:r>
              <w:t>4.2.2废水</w:t>
            </w:r>
            <w:r>
              <w:rPr>
                <w:rFonts w:hint="eastAsia"/>
              </w:rPr>
              <w:t>环境影响分析及保护措施</w:t>
            </w:r>
          </w:p>
          <w:p w14:paraId="5EAF685A">
            <w:pPr>
              <w:ind w:firstLine="480"/>
              <w:rPr>
                <w:rFonts w:cs="Times New Roman"/>
              </w:rPr>
            </w:pPr>
            <w:r>
              <w:rPr>
                <w:rFonts w:hint="eastAsia" w:cs="Times New Roman"/>
              </w:rPr>
              <w:t>本项目产生的废水主要包括原料清洗废水和生活污水</w:t>
            </w:r>
            <w:r>
              <w:rPr>
                <w:rFonts w:cs="Times New Roman"/>
              </w:rPr>
              <w:t>。</w:t>
            </w:r>
          </w:p>
          <w:p w14:paraId="0A433F0F">
            <w:pPr>
              <w:ind w:firstLine="480"/>
              <w:rPr>
                <w:rFonts w:cs="Times New Roman"/>
              </w:rPr>
            </w:pPr>
            <w:r>
              <w:rPr>
                <w:rFonts w:hint="eastAsia" w:ascii="宋体" w:hAnsi="宋体" w:cs="宋体"/>
                <w:color w:val="000000"/>
              </w:rPr>
              <w:t>①</w:t>
            </w:r>
            <w:r>
              <w:rPr>
                <w:rFonts w:cs="Times New Roman"/>
                <w:color w:val="000000"/>
              </w:rPr>
              <w:t>清洗废水</w:t>
            </w:r>
          </w:p>
          <w:p w14:paraId="50D6C750">
            <w:pPr>
              <w:ind w:firstLine="480"/>
              <w:rPr>
                <w:rFonts w:cs="Times New Roman"/>
                <w:color w:val="000000"/>
              </w:rPr>
            </w:pPr>
            <w:r>
              <w:rPr>
                <w:rFonts w:cs="Times New Roman"/>
                <w:color w:val="000000"/>
              </w:rPr>
              <w:t>参考《排放源统计调查产排污核算方法和系数手册-42废弃资源综合利用行业系数手册》“</w:t>
            </w:r>
            <w:r>
              <w:rPr>
                <w:rFonts w:eastAsia="TimesNewRomanPSMT" w:cs="Times New Roman"/>
                <w:color w:val="000000"/>
              </w:rPr>
              <w:t>4220</w:t>
            </w:r>
            <w:r>
              <w:rPr>
                <w:rFonts w:cs="Times New Roman"/>
                <w:color w:val="000000"/>
              </w:rPr>
              <w:t>非金属废料和碎屑加工处理行业”中</w:t>
            </w:r>
            <w:r>
              <w:rPr>
                <w:rFonts w:cs="Times New Roman"/>
                <w:szCs w:val="24"/>
              </w:rPr>
              <w:t>清洗或湿法破碎+清洗</w:t>
            </w:r>
            <w:r>
              <w:rPr>
                <w:rFonts w:cs="Times New Roman"/>
                <w:color w:val="000000"/>
              </w:rPr>
              <w:t>废水量（废</w:t>
            </w:r>
            <w:r>
              <w:rPr>
                <w:rFonts w:eastAsia="TimesNewRomanPSMT" w:cs="Times New Roman"/>
                <w:color w:val="000000"/>
              </w:rPr>
              <w:t>PE/PP</w:t>
            </w:r>
            <w:r>
              <w:rPr>
                <w:rFonts w:cs="Times New Roman"/>
                <w:color w:val="000000"/>
              </w:rPr>
              <w:t>：</w:t>
            </w:r>
            <w:r>
              <w:rPr>
                <w:rFonts w:eastAsia="TimesNewRomanPSMT" w:cs="Times New Roman"/>
                <w:color w:val="000000"/>
              </w:rPr>
              <w:t>1.0t/t-</w:t>
            </w:r>
            <w:r>
              <w:rPr>
                <w:rFonts w:cs="Times New Roman"/>
                <w:color w:val="000000"/>
              </w:rPr>
              <w:t>原料）</w:t>
            </w:r>
            <w:r>
              <w:rPr>
                <w:rFonts w:hint="eastAsia" w:cs="Times New Roman"/>
                <w:color w:val="000000"/>
              </w:rPr>
              <w:t>。</w:t>
            </w:r>
          </w:p>
          <w:p w14:paraId="5AA92FFD">
            <w:pPr>
              <w:ind w:firstLine="480"/>
              <w:rPr>
                <w:rFonts w:cs="Times New Roman"/>
                <w:color w:val="000000"/>
              </w:rPr>
            </w:pPr>
            <w:r>
              <w:rPr>
                <w:rFonts w:hint="eastAsia" w:cs="Times New Roman"/>
                <w:color w:val="000000"/>
              </w:rPr>
              <w:t>本项目实际进入湿法破碎与清洗工序的塑料原料量为</w:t>
            </w:r>
            <w:r>
              <w:rPr>
                <w:rFonts w:cs="Times New Roman"/>
                <w:color w:val="000000"/>
              </w:rPr>
              <w:t>30000</w:t>
            </w:r>
            <w:r>
              <w:rPr>
                <w:rFonts w:hint="eastAsia" w:cs="Times New Roman"/>
                <w:color w:val="000000"/>
              </w:rPr>
              <w:t>t/a，核算清洗及破碎工序废水产生量为</w:t>
            </w:r>
            <w:r>
              <w:rPr>
                <w:rFonts w:cs="Times New Roman"/>
                <w:color w:val="000000"/>
              </w:rPr>
              <w:t>125</w:t>
            </w:r>
            <w:r>
              <w:rPr>
                <w:rFonts w:hint="eastAsia" w:cs="Times New Roman"/>
                <w:color w:val="000000"/>
              </w:rPr>
              <w:t>m³/d（即</w:t>
            </w:r>
            <w:r>
              <w:rPr>
                <w:rFonts w:cs="Times New Roman"/>
                <w:color w:val="000000"/>
              </w:rPr>
              <w:t>30000</w:t>
            </w:r>
            <w:r>
              <w:rPr>
                <w:rFonts w:hint="eastAsia" w:cs="Times New Roman"/>
                <w:color w:val="000000"/>
              </w:rPr>
              <w:t>m³/a）。</w:t>
            </w:r>
          </w:p>
          <w:p w14:paraId="27A2D447">
            <w:pPr>
              <w:pStyle w:val="7"/>
              <w:ind w:firstLine="480"/>
              <w:jc w:val="both"/>
              <w:rPr>
                <w:rFonts w:cs="Times New Roman"/>
              </w:rPr>
            </w:pPr>
            <w:r>
              <w:rPr>
                <w:rFonts w:hint="eastAsia" w:cs="Times New Roman"/>
              </w:rPr>
              <w:t>项目生产废水全部经沉淀后进入清水池回用于破碎、清洗工序，循环使用，无生产废水外排。</w:t>
            </w:r>
          </w:p>
          <w:p w14:paraId="2CB679B1">
            <w:pPr>
              <w:ind w:firstLine="480"/>
              <w:rPr>
                <w:rFonts w:cs="Times New Roman"/>
              </w:rPr>
            </w:pPr>
            <w:r>
              <w:rPr>
                <w:rFonts w:hint="eastAsia" w:cs="Times New Roman"/>
              </w:rPr>
              <w:t>②</w:t>
            </w:r>
            <w:r>
              <w:rPr>
                <w:rFonts w:hint="eastAsia"/>
                <w:color w:val="000000" w:themeColor="text1"/>
                <w14:textFill>
                  <w14:solidFill>
                    <w14:schemeClr w14:val="tx1"/>
                  </w14:solidFill>
                </w14:textFill>
              </w:rPr>
              <w:t>生活污水</w:t>
            </w:r>
          </w:p>
          <w:p w14:paraId="6F67433B">
            <w:pPr>
              <w:ind w:firstLine="480"/>
              <w:rPr>
                <w:color w:val="000000" w:themeColor="text1"/>
                <w14:textFill>
                  <w14:solidFill>
                    <w14:schemeClr w14:val="tx1"/>
                  </w14:solidFill>
                </w14:textFill>
              </w:rPr>
            </w:pPr>
            <w:r>
              <w:rPr>
                <w:rFonts w:hint="eastAsia"/>
              </w:rPr>
              <w:t>污水产生量按照产生系数0.8计，则生活污水排放量为</w:t>
            </w:r>
            <w:r>
              <w:t>0.192</w:t>
            </w:r>
            <w:r>
              <w:rPr>
                <w:rFonts w:hint="eastAsia"/>
              </w:rPr>
              <w:t>m</w:t>
            </w:r>
            <w:r>
              <w:rPr>
                <w:rFonts w:hint="eastAsia"/>
                <w:vertAlign w:val="superscript"/>
              </w:rPr>
              <w:t>3</w:t>
            </w:r>
            <w:r>
              <w:rPr>
                <w:rFonts w:hint="eastAsia"/>
              </w:rPr>
              <w:t>/d，</w:t>
            </w:r>
            <w:r>
              <w:t>46.08</w:t>
            </w:r>
            <w:r>
              <w:rPr>
                <w:rFonts w:hint="eastAsia"/>
              </w:rPr>
              <w:t>m</w:t>
            </w:r>
            <w:r>
              <w:rPr>
                <w:rFonts w:hint="eastAsia"/>
                <w:vertAlign w:val="superscript"/>
              </w:rPr>
              <w:t>3</w:t>
            </w:r>
            <w:r>
              <w:rPr>
                <w:rFonts w:hint="eastAsia"/>
              </w:rPr>
              <w:t>/a</w:t>
            </w:r>
            <w:r>
              <w:rPr>
                <w:rFonts w:hint="eastAsia"/>
                <w:color w:val="000000" w:themeColor="text1"/>
                <w14:textFill>
                  <w14:solidFill>
                    <w14:schemeClr w14:val="tx1"/>
                  </w14:solidFill>
                </w14:textFill>
              </w:rPr>
              <w:t>。</w:t>
            </w:r>
          </w:p>
          <w:p w14:paraId="678B16A8">
            <w:pPr>
              <w:ind w:firstLine="480"/>
            </w:pPr>
            <w:r>
              <w:rPr>
                <w:rFonts w:hint="eastAsia"/>
              </w:rPr>
              <w:t>生活污水进入厂区化粪池进行预处理后，定期由吸污车抽运至库尔勒市南市区污水处理厂处理。</w:t>
            </w:r>
          </w:p>
          <w:p w14:paraId="7A7355D3">
            <w:pPr>
              <w:ind w:firstLine="480"/>
            </w:pPr>
            <w:r>
              <w:rPr>
                <w:rFonts w:hint="eastAsia"/>
              </w:rPr>
              <w:t>主要污染物为COD</w:t>
            </w:r>
            <w:r>
              <w:rPr>
                <w:color w:val="000000" w:themeColor="text1"/>
                <w:sz w:val="21"/>
                <w:szCs w:val="21"/>
                <w14:textFill>
                  <w14:solidFill>
                    <w14:schemeClr w14:val="tx1"/>
                  </w14:solidFill>
                </w14:textFill>
              </w:rPr>
              <w:t>cr</w:t>
            </w:r>
            <w:r>
              <w:rPr>
                <w:rFonts w:hint="eastAsia"/>
              </w:rPr>
              <w:t>、BOD</w:t>
            </w:r>
            <w:r>
              <w:rPr>
                <w:rFonts w:hint="eastAsia"/>
                <w:vertAlign w:val="subscript"/>
              </w:rPr>
              <w:t>5</w:t>
            </w:r>
            <w:r>
              <w:rPr>
                <w:rFonts w:hint="eastAsia"/>
              </w:rPr>
              <w:t>、氨氮、SS等。典型生活污水主要污染物产生浓度COD</w:t>
            </w:r>
            <w:r>
              <w:rPr>
                <w:color w:val="000000" w:themeColor="text1"/>
                <w:sz w:val="21"/>
                <w:szCs w:val="21"/>
                <w14:textFill>
                  <w14:solidFill>
                    <w14:schemeClr w14:val="tx1"/>
                  </w14:solidFill>
                </w14:textFill>
              </w:rPr>
              <w:t>cr</w:t>
            </w:r>
            <w:r>
              <w:rPr>
                <w:rFonts w:hint="eastAsia"/>
              </w:rPr>
              <w:t>400mg</w:t>
            </w:r>
            <w:r>
              <w:t>/</w:t>
            </w:r>
            <w:r>
              <w:rPr>
                <w:rFonts w:hint="eastAsia"/>
              </w:rPr>
              <w:t>L、BOD</w:t>
            </w:r>
            <w:r>
              <w:rPr>
                <w:vertAlign w:val="subscript"/>
              </w:rPr>
              <w:t>5</w:t>
            </w:r>
            <w:r>
              <w:rPr>
                <w:rFonts w:hint="eastAsia"/>
              </w:rPr>
              <w:t>200mg</w:t>
            </w:r>
            <w:r>
              <w:t>/</w:t>
            </w:r>
            <w:r>
              <w:rPr>
                <w:rFonts w:hint="eastAsia"/>
              </w:rPr>
              <w:t>L、SS220mg/L、NH</w:t>
            </w:r>
            <w:r>
              <w:rPr>
                <w:vertAlign w:val="subscript"/>
              </w:rPr>
              <w:t>3</w:t>
            </w:r>
            <w:r>
              <w:rPr>
                <w:rFonts w:hint="eastAsia"/>
              </w:rPr>
              <w:t>-N25mg</w:t>
            </w:r>
            <w:r>
              <w:t>/L</w:t>
            </w:r>
            <w:r>
              <w:rPr>
                <w:rFonts w:hint="eastAsia"/>
              </w:rPr>
              <w:t>。污染物的产生情况见下表。</w:t>
            </w:r>
          </w:p>
          <w:p w14:paraId="35B07AD6">
            <w:pPr>
              <w:spacing w:before="163" w:beforeLines="50" w:line="240" w:lineRule="auto"/>
              <w:ind w:firstLine="0" w:firstLineChars="0"/>
              <w:jc w:val="center"/>
              <w:rPr>
                <w:b/>
                <w:sz w:val="21"/>
              </w:rPr>
            </w:pPr>
            <w:r>
              <w:rPr>
                <w:rFonts w:hint="eastAsia"/>
                <w:b/>
                <w:sz w:val="21"/>
              </w:rPr>
              <w:t>表</w:t>
            </w:r>
            <w:r>
              <w:rPr>
                <w:b/>
                <w:sz w:val="21"/>
              </w:rPr>
              <w:t xml:space="preserve">4-4  </w:t>
            </w:r>
            <w:r>
              <w:rPr>
                <w:rFonts w:hint="eastAsia"/>
                <w:b/>
                <w:sz w:val="21"/>
              </w:rPr>
              <w:t>项目生活污水排放量一览表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572"/>
              <w:gridCol w:w="976"/>
              <w:gridCol w:w="1131"/>
              <w:gridCol w:w="1077"/>
              <w:gridCol w:w="846"/>
              <w:gridCol w:w="1152"/>
              <w:gridCol w:w="1091"/>
              <w:gridCol w:w="966"/>
              <w:gridCol w:w="868"/>
            </w:tblGrid>
            <w:tr w14:paraId="745946C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restart"/>
                  <w:vAlign w:val="center"/>
                </w:tcPr>
                <w:p w14:paraId="4E652EE5">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污染源</w:t>
                  </w:r>
                </w:p>
              </w:tc>
              <w:tc>
                <w:tcPr>
                  <w:tcW w:w="567" w:type="pct"/>
                  <w:vMerge w:val="restart"/>
                  <w:vAlign w:val="center"/>
                </w:tcPr>
                <w:p w14:paraId="1AC4E827">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污染物</w:t>
                  </w:r>
                </w:p>
              </w:tc>
              <w:tc>
                <w:tcPr>
                  <w:tcW w:w="1281" w:type="pct"/>
                  <w:gridSpan w:val="2"/>
                  <w:vAlign w:val="center"/>
                </w:tcPr>
                <w:p w14:paraId="0F0AD54C">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进水</w:t>
                  </w:r>
                </w:p>
              </w:tc>
              <w:tc>
                <w:tcPr>
                  <w:tcW w:w="492" w:type="pct"/>
                  <w:vMerge w:val="restart"/>
                  <w:vAlign w:val="center"/>
                </w:tcPr>
                <w:p w14:paraId="2DA56FC5">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治理措施</w:t>
                  </w:r>
                </w:p>
              </w:tc>
              <w:tc>
                <w:tcPr>
                  <w:tcW w:w="668" w:type="pct"/>
                  <w:vMerge w:val="restart"/>
                  <w:vAlign w:val="center"/>
                </w:tcPr>
                <w:p w14:paraId="3EBDA405">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去除</w:t>
                  </w:r>
                </w:p>
                <w:p w14:paraId="0C4A2A4A">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效率（</w:t>
                  </w:r>
                  <w:r>
                    <w:rPr>
                      <w:color w:val="000000" w:themeColor="text1"/>
                      <w:sz w:val="21"/>
                      <w:szCs w:val="21"/>
                      <w14:textFill>
                        <w14:solidFill>
                          <w14:schemeClr w14:val="tx1"/>
                        </w14:solidFill>
                      </w14:textFill>
                    </w:rPr>
                    <w:t>%</w:t>
                  </w:r>
                  <w:r>
                    <w:rPr>
                      <w:rFonts w:hint="eastAsia"/>
                      <w:color w:val="000000" w:themeColor="text1"/>
                      <w:sz w:val="21"/>
                      <w:szCs w:val="21"/>
                      <w14:textFill>
                        <w14:solidFill>
                          <w14:schemeClr w14:val="tx1"/>
                        </w14:solidFill>
                      </w14:textFill>
                    </w:rPr>
                    <w:t>）</w:t>
                  </w:r>
                </w:p>
              </w:tc>
              <w:tc>
                <w:tcPr>
                  <w:tcW w:w="1154" w:type="pct"/>
                  <w:gridSpan w:val="2"/>
                  <w:vAlign w:val="center"/>
                </w:tcPr>
                <w:p w14:paraId="1444FD87">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出水</w:t>
                  </w:r>
                </w:p>
              </w:tc>
              <w:tc>
                <w:tcPr>
                  <w:tcW w:w="504" w:type="pct"/>
                  <w:vMerge w:val="restart"/>
                  <w:vAlign w:val="center"/>
                </w:tcPr>
                <w:p w14:paraId="35BED0B4">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是否为可行技术</w:t>
                  </w:r>
                </w:p>
              </w:tc>
            </w:tr>
            <w:tr w14:paraId="0707AC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14:paraId="1FFC5140">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Merge w:val="continue"/>
                  <w:vAlign w:val="center"/>
                </w:tcPr>
                <w:p w14:paraId="2DC5D6E6">
                  <w:pPr>
                    <w:spacing w:line="240" w:lineRule="auto"/>
                    <w:ind w:firstLine="0" w:firstLineChars="0"/>
                    <w:contextualSpacing/>
                    <w:jc w:val="center"/>
                    <w:rPr>
                      <w:color w:val="000000" w:themeColor="text1"/>
                      <w:sz w:val="21"/>
                      <w:szCs w:val="21"/>
                      <w14:textFill>
                        <w14:solidFill>
                          <w14:schemeClr w14:val="tx1"/>
                        </w14:solidFill>
                      </w14:textFill>
                    </w:rPr>
                  </w:pPr>
                </w:p>
              </w:tc>
              <w:tc>
                <w:tcPr>
                  <w:tcW w:w="656" w:type="pct"/>
                  <w:vAlign w:val="center"/>
                </w:tcPr>
                <w:p w14:paraId="19D1F672">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625" w:type="pct"/>
                  <w:vAlign w:val="center"/>
                </w:tcPr>
                <w:p w14:paraId="26E8326E">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w:t>
                  </w:r>
                  <w:r>
                    <w:rPr>
                      <w:color w:val="000000" w:themeColor="text1"/>
                      <w:sz w:val="21"/>
                      <w:szCs w:val="21"/>
                      <w14:textFill>
                        <w14:solidFill>
                          <w14:schemeClr w14:val="tx1"/>
                        </w14:solidFill>
                      </w14:textFill>
                    </w:rPr>
                    <w:t>t/a</w:t>
                  </w:r>
                  <w:r>
                    <w:rPr>
                      <w:rFonts w:hint="eastAsia"/>
                      <w:color w:val="000000" w:themeColor="text1"/>
                      <w:sz w:val="21"/>
                      <w:szCs w:val="21"/>
                      <w14:textFill>
                        <w14:solidFill>
                          <w14:schemeClr w14:val="tx1"/>
                        </w14:solidFill>
                      </w14:textFill>
                    </w:rPr>
                    <w:t>）</w:t>
                  </w:r>
                </w:p>
              </w:tc>
              <w:tc>
                <w:tcPr>
                  <w:tcW w:w="492" w:type="pct"/>
                  <w:vMerge w:val="continue"/>
                  <w:vAlign w:val="center"/>
                </w:tcPr>
                <w:p w14:paraId="34E37696">
                  <w:pPr>
                    <w:spacing w:line="240" w:lineRule="auto"/>
                    <w:ind w:firstLine="0" w:firstLineChars="0"/>
                    <w:contextualSpacing/>
                    <w:jc w:val="center"/>
                    <w:rPr>
                      <w:color w:val="000000" w:themeColor="text1"/>
                      <w:sz w:val="21"/>
                      <w:szCs w:val="21"/>
                      <w14:textFill>
                        <w14:solidFill>
                          <w14:schemeClr w14:val="tx1"/>
                        </w14:solidFill>
                      </w14:textFill>
                    </w:rPr>
                  </w:pPr>
                </w:p>
              </w:tc>
              <w:tc>
                <w:tcPr>
                  <w:tcW w:w="668" w:type="pct"/>
                  <w:vMerge w:val="continue"/>
                  <w:vAlign w:val="center"/>
                </w:tcPr>
                <w:p w14:paraId="15491D0E">
                  <w:pPr>
                    <w:spacing w:line="240" w:lineRule="auto"/>
                    <w:ind w:firstLine="0" w:firstLineChars="0"/>
                    <w:contextualSpacing/>
                    <w:jc w:val="center"/>
                    <w:rPr>
                      <w:color w:val="000000" w:themeColor="text1"/>
                      <w:sz w:val="21"/>
                      <w:szCs w:val="21"/>
                      <w14:textFill>
                        <w14:solidFill>
                          <w14:schemeClr w14:val="tx1"/>
                        </w14:solidFill>
                      </w14:textFill>
                    </w:rPr>
                  </w:pPr>
                </w:p>
              </w:tc>
              <w:tc>
                <w:tcPr>
                  <w:tcW w:w="593" w:type="pct"/>
                  <w:vAlign w:val="center"/>
                </w:tcPr>
                <w:p w14:paraId="30EC5D48">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浓度（</w:t>
                  </w:r>
                  <w:r>
                    <w:rPr>
                      <w:color w:val="000000" w:themeColor="text1"/>
                      <w:sz w:val="21"/>
                      <w:szCs w:val="21"/>
                      <w14:textFill>
                        <w14:solidFill>
                          <w14:schemeClr w14:val="tx1"/>
                        </w14:solidFill>
                      </w14:textFill>
                    </w:rPr>
                    <w:t>mg/L</w:t>
                  </w:r>
                  <w:r>
                    <w:rPr>
                      <w:rFonts w:hint="eastAsia"/>
                      <w:color w:val="000000" w:themeColor="text1"/>
                      <w:sz w:val="21"/>
                      <w:szCs w:val="21"/>
                      <w14:textFill>
                        <w14:solidFill>
                          <w14:schemeClr w14:val="tx1"/>
                        </w14:solidFill>
                      </w14:textFill>
                    </w:rPr>
                    <w:t>）</w:t>
                  </w:r>
                </w:p>
              </w:tc>
              <w:tc>
                <w:tcPr>
                  <w:tcW w:w="560" w:type="pct"/>
                  <w:vAlign w:val="center"/>
                </w:tcPr>
                <w:p w14:paraId="76C359A9">
                  <w:pPr>
                    <w:spacing w:line="240" w:lineRule="auto"/>
                    <w:ind w:firstLine="0" w:firstLineChars="0"/>
                    <w:contextualSpacing/>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发生量（</w:t>
                  </w:r>
                  <w:r>
                    <w:rPr>
                      <w:color w:val="000000" w:themeColor="text1"/>
                      <w:sz w:val="21"/>
                      <w:szCs w:val="21"/>
                      <w14:textFill>
                        <w14:solidFill>
                          <w14:schemeClr w14:val="tx1"/>
                        </w14:solidFill>
                      </w14:textFill>
                    </w:rPr>
                    <w:t>t/a</w:t>
                  </w:r>
                  <w:r>
                    <w:rPr>
                      <w:rFonts w:hint="eastAsia"/>
                      <w:color w:val="000000" w:themeColor="text1"/>
                      <w:sz w:val="21"/>
                      <w:szCs w:val="21"/>
                      <w14:textFill>
                        <w14:solidFill>
                          <w14:schemeClr w14:val="tx1"/>
                        </w14:solidFill>
                      </w14:textFill>
                    </w:rPr>
                    <w:t>）</w:t>
                  </w:r>
                </w:p>
              </w:tc>
              <w:tc>
                <w:tcPr>
                  <w:tcW w:w="504" w:type="pct"/>
                  <w:vMerge w:val="continue"/>
                  <w:vAlign w:val="center"/>
                </w:tcPr>
                <w:p w14:paraId="3F53A5AD">
                  <w:pPr>
                    <w:spacing w:line="240" w:lineRule="auto"/>
                    <w:ind w:firstLine="0" w:firstLineChars="0"/>
                    <w:contextualSpacing/>
                    <w:jc w:val="center"/>
                    <w:rPr>
                      <w:color w:val="000000" w:themeColor="text1"/>
                      <w:sz w:val="21"/>
                      <w:szCs w:val="21"/>
                      <w14:textFill>
                        <w14:solidFill>
                          <w14:schemeClr w14:val="tx1"/>
                        </w14:solidFill>
                      </w14:textFill>
                    </w:rPr>
                  </w:pPr>
                </w:p>
              </w:tc>
            </w:tr>
            <w:tr w14:paraId="2C2CD9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restart"/>
                  <w:vAlign w:val="center"/>
                </w:tcPr>
                <w:p w14:paraId="4C69C044">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生活污水</w:t>
                  </w:r>
                </w:p>
              </w:tc>
              <w:tc>
                <w:tcPr>
                  <w:tcW w:w="567" w:type="pct"/>
                  <w:vAlign w:val="center"/>
                </w:tcPr>
                <w:p w14:paraId="1001D6AF">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废水</w:t>
                  </w:r>
                </w:p>
              </w:tc>
              <w:tc>
                <w:tcPr>
                  <w:tcW w:w="656" w:type="pct"/>
                  <w:vAlign w:val="center"/>
                </w:tcPr>
                <w:p w14:paraId="3195B338">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625" w:type="pct"/>
                  <w:vAlign w:val="center"/>
                </w:tcPr>
                <w:p w14:paraId="5709354C">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492" w:type="pct"/>
                  <w:vMerge w:val="restart"/>
                  <w:vAlign w:val="center"/>
                </w:tcPr>
                <w:p w14:paraId="174E892A">
                  <w:pPr>
                    <w:spacing w:line="240" w:lineRule="auto"/>
                    <w:ind w:firstLine="0" w:firstLineChars="0"/>
                    <w:contextualSpacing/>
                    <w:jc w:val="center"/>
                    <w:rPr>
                      <w:color w:val="000000" w:themeColor="text1"/>
                      <w:sz w:val="21"/>
                      <w:szCs w:val="21"/>
                      <w14:textFill>
                        <w14:solidFill>
                          <w14:schemeClr w14:val="tx1"/>
                        </w14:solidFill>
                      </w14:textFill>
                    </w:rPr>
                  </w:pPr>
                  <w:r>
                    <w:rPr>
                      <w:rFonts w:cs="Times New Roman"/>
                      <w:snapToGrid w:val="0"/>
                      <w:kern w:val="0"/>
                      <w:sz w:val="21"/>
                      <w:szCs w:val="24"/>
                    </w:rPr>
                    <w:t>化粪池</w:t>
                  </w:r>
                </w:p>
              </w:tc>
              <w:tc>
                <w:tcPr>
                  <w:tcW w:w="668" w:type="pct"/>
                  <w:vAlign w:val="center"/>
                </w:tcPr>
                <w:p w14:paraId="3AF0E0F5">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w:t>
                  </w:r>
                </w:p>
              </w:tc>
              <w:tc>
                <w:tcPr>
                  <w:tcW w:w="593" w:type="pct"/>
                  <w:vAlign w:val="center"/>
                </w:tcPr>
                <w:p w14:paraId="45F2E288">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w:t>
                  </w:r>
                </w:p>
              </w:tc>
              <w:tc>
                <w:tcPr>
                  <w:tcW w:w="560" w:type="pct"/>
                  <w:vAlign w:val="center"/>
                </w:tcPr>
                <w:p w14:paraId="11E958D8">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46.08</w:t>
                  </w:r>
                </w:p>
              </w:tc>
              <w:tc>
                <w:tcPr>
                  <w:tcW w:w="504" w:type="pct"/>
                  <w:vMerge w:val="restart"/>
                  <w:vAlign w:val="center"/>
                </w:tcPr>
                <w:p w14:paraId="40021D5A">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是</w:t>
                  </w:r>
                </w:p>
              </w:tc>
            </w:tr>
            <w:tr w14:paraId="10521E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14:paraId="4F912790">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14:paraId="0EA7A1D9">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CODcr</w:t>
                  </w:r>
                </w:p>
              </w:tc>
              <w:tc>
                <w:tcPr>
                  <w:tcW w:w="656" w:type="pct"/>
                  <w:vAlign w:val="center"/>
                </w:tcPr>
                <w:p w14:paraId="4FF8AFD6">
                  <w:pPr>
                    <w:spacing w:line="240" w:lineRule="auto"/>
                    <w:ind w:firstLine="0" w:firstLineChars="0"/>
                    <w:contextualSpacing/>
                    <w:jc w:val="cente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400</w:t>
                  </w:r>
                </w:p>
              </w:tc>
              <w:tc>
                <w:tcPr>
                  <w:tcW w:w="625" w:type="pct"/>
                  <w:vAlign w:val="center"/>
                </w:tcPr>
                <w:p w14:paraId="127E92D1">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0.018</w:t>
                  </w:r>
                </w:p>
              </w:tc>
              <w:tc>
                <w:tcPr>
                  <w:tcW w:w="492" w:type="pct"/>
                  <w:vMerge w:val="continue"/>
                  <w:vAlign w:val="center"/>
                </w:tcPr>
                <w:p w14:paraId="1CD308E3">
                  <w:pPr>
                    <w:spacing w:line="240" w:lineRule="auto"/>
                    <w:ind w:firstLine="0" w:firstLineChars="0"/>
                    <w:contextualSpacing/>
                    <w:jc w:val="center"/>
                    <w:rPr>
                      <w:color w:val="FF0000"/>
                      <w:sz w:val="21"/>
                      <w:szCs w:val="21"/>
                    </w:rPr>
                  </w:pPr>
                </w:p>
              </w:tc>
              <w:tc>
                <w:tcPr>
                  <w:tcW w:w="668" w:type="pct"/>
                  <w:vAlign w:val="center"/>
                </w:tcPr>
                <w:p w14:paraId="67089F57">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10</w:t>
                  </w:r>
                </w:p>
              </w:tc>
              <w:tc>
                <w:tcPr>
                  <w:tcW w:w="593" w:type="pct"/>
                  <w:vAlign w:val="center"/>
                </w:tcPr>
                <w:p w14:paraId="50D5B342">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360</w:t>
                  </w:r>
                </w:p>
              </w:tc>
              <w:tc>
                <w:tcPr>
                  <w:tcW w:w="560" w:type="pct"/>
                  <w:vAlign w:val="center"/>
                </w:tcPr>
                <w:p w14:paraId="314ABEF9">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0.017</w:t>
                  </w:r>
                </w:p>
              </w:tc>
              <w:tc>
                <w:tcPr>
                  <w:tcW w:w="504" w:type="pct"/>
                  <w:vMerge w:val="continue"/>
                  <w:vAlign w:val="center"/>
                </w:tcPr>
                <w:p w14:paraId="1B8D21B0">
                  <w:pPr>
                    <w:spacing w:line="240" w:lineRule="auto"/>
                    <w:ind w:firstLine="0" w:firstLineChars="0"/>
                    <w:contextualSpacing/>
                    <w:jc w:val="center"/>
                    <w:rPr>
                      <w:color w:val="FF0000"/>
                      <w:sz w:val="21"/>
                      <w:szCs w:val="21"/>
                    </w:rPr>
                  </w:pPr>
                </w:p>
              </w:tc>
            </w:tr>
            <w:tr w14:paraId="45D251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14:paraId="3968EBDE">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14:paraId="092D758C">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BOD</w:t>
                  </w:r>
                  <w:r>
                    <w:rPr>
                      <w:color w:val="000000" w:themeColor="text1"/>
                      <w:sz w:val="21"/>
                      <w:szCs w:val="21"/>
                      <w:vertAlign w:val="subscript"/>
                      <w14:textFill>
                        <w14:solidFill>
                          <w14:schemeClr w14:val="tx1"/>
                        </w14:solidFill>
                      </w14:textFill>
                    </w:rPr>
                    <w:t>5</w:t>
                  </w:r>
                </w:p>
              </w:tc>
              <w:tc>
                <w:tcPr>
                  <w:tcW w:w="656" w:type="pct"/>
                  <w:vAlign w:val="center"/>
                </w:tcPr>
                <w:p w14:paraId="300343CB">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r>
                    <w:rPr>
                      <w:rFonts w:hint="eastAsia"/>
                      <w:color w:val="000000" w:themeColor="text1"/>
                      <w:sz w:val="21"/>
                      <w:szCs w:val="21"/>
                      <w14:textFill>
                        <w14:solidFill>
                          <w14:schemeClr w14:val="tx1"/>
                        </w14:solidFill>
                      </w14:textFill>
                    </w:rPr>
                    <w:t>00</w:t>
                  </w:r>
                </w:p>
              </w:tc>
              <w:tc>
                <w:tcPr>
                  <w:tcW w:w="625" w:type="pct"/>
                  <w:vAlign w:val="center"/>
                </w:tcPr>
                <w:p w14:paraId="084C849D">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0.009</w:t>
                  </w:r>
                </w:p>
              </w:tc>
              <w:tc>
                <w:tcPr>
                  <w:tcW w:w="492" w:type="pct"/>
                  <w:vMerge w:val="continue"/>
                  <w:vAlign w:val="center"/>
                </w:tcPr>
                <w:p w14:paraId="7A88218C">
                  <w:pPr>
                    <w:spacing w:line="240" w:lineRule="auto"/>
                    <w:ind w:firstLine="0" w:firstLineChars="0"/>
                    <w:contextualSpacing/>
                    <w:jc w:val="center"/>
                    <w:rPr>
                      <w:color w:val="FF0000"/>
                      <w:sz w:val="21"/>
                      <w:szCs w:val="21"/>
                    </w:rPr>
                  </w:pPr>
                </w:p>
              </w:tc>
              <w:tc>
                <w:tcPr>
                  <w:tcW w:w="668" w:type="pct"/>
                  <w:vAlign w:val="center"/>
                </w:tcPr>
                <w:p w14:paraId="537BDFA2">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9</w:t>
                  </w:r>
                </w:p>
              </w:tc>
              <w:tc>
                <w:tcPr>
                  <w:tcW w:w="593" w:type="pct"/>
                  <w:vAlign w:val="center"/>
                </w:tcPr>
                <w:p w14:paraId="523F39B8">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180</w:t>
                  </w:r>
                </w:p>
              </w:tc>
              <w:tc>
                <w:tcPr>
                  <w:tcW w:w="560" w:type="pct"/>
                  <w:vAlign w:val="center"/>
                </w:tcPr>
                <w:p w14:paraId="5E9628F3">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14:paraId="41ADDBB4">
                  <w:pPr>
                    <w:spacing w:line="240" w:lineRule="auto"/>
                    <w:ind w:firstLine="0" w:firstLineChars="0"/>
                    <w:contextualSpacing/>
                    <w:jc w:val="center"/>
                    <w:rPr>
                      <w:color w:val="FF0000"/>
                      <w:sz w:val="21"/>
                      <w:szCs w:val="21"/>
                    </w:rPr>
                  </w:pPr>
                </w:p>
              </w:tc>
            </w:tr>
            <w:tr w14:paraId="734D1CD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14:paraId="3093FFB0">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14:paraId="38C4D25D">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SS</w:t>
                  </w:r>
                </w:p>
              </w:tc>
              <w:tc>
                <w:tcPr>
                  <w:tcW w:w="656" w:type="pct"/>
                  <w:vAlign w:val="center"/>
                </w:tcPr>
                <w:p w14:paraId="71C701F0">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220</w:t>
                  </w:r>
                </w:p>
              </w:tc>
              <w:tc>
                <w:tcPr>
                  <w:tcW w:w="625" w:type="pct"/>
                  <w:vAlign w:val="center"/>
                </w:tcPr>
                <w:p w14:paraId="7AA25151">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0.010</w:t>
                  </w:r>
                </w:p>
              </w:tc>
              <w:tc>
                <w:tcPr>
                  <w:tcW w:w="492" w:type="pct"/>
                  <w:vMerge w:val="continue"/>
                  <w:vAlign w:val="center"/>
                </w:tcPr>
                <w:p w14:paraId="40167774">
                  <w:pPr>
                    <w:spacing w:line="240" w:lineRule="auto"/>
                    <w:ind w:firstLine="0" w:firstLineChars="0"/>
                    <w:contextualSpacing/>
                    <w:jc w:val="center"/>
                    <w:rPr>
                      <w:color w:val="FF0000"/>
                      <w:sz w:val="21"/>
                      <w:szCs w:val="21"/>
                    </w:rPr>
                  </w:pPr>
                </w:p>
              </w:tc>
              <w:tc>
                <w:tcPr>
                  <w:tcW w:w="668" w:type="pct"/>
                  <w:vAlign w:val="center"/>
                </w:tcPr>
                <w:p w14:paraId="38F16DB0">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593" w:type="pct"/>
                  <w:vAlign w:val="center"/>
                </w:tcPr>
                <w:p w14:paraId="2109DCE5">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165</w:t>
                  </w:r>
                </w:p>
              </w:tc>
              <w:tc>
                <w:tcPr>
                  <w:tcW w:w="560" w:type="pct"/>
                  <w:vAlign w:val="center"/>
                </w:tcPr>
                <w:p w14:paraId="126BFC82">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0.008</w:t>
                  </w:r>
                </w:p>
              </w:tc>
              <w:tc>
                <w:tcPr>
                  <w:tcW w:w="504" w:type="pct"/>
                  <w:vMerge w:val="continue"/>
                  <w:vAlign w:val="center"/>
                </w:tcPr>
                <w:p w14:paraId="53C2CD5C">
                  <w:pPr>
                    <w:spacing w:line="240" w:lineRule="auto"/>
                    <w:ind w:firstLine="0" w:firstLineChars="0"/>
                    <w:contextualSpacing/>
                    <w:jc w:val="center"/>
                    <w:rPr>
                      <w:color w:val="FF0000"/>
                      <w:sz w:val="21"/>
                      <w:szCs w:val="21"/>
                    </w:rPr>
                  </w:pPr>
                </w:p>
              </w:tc>
            </w:tr>
            <w:tr w14:paraId="3B43BBF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40" w:hRule="atLeast"/>
              </w:trPr>
              <w:tc>
                <w:tcPr>
                  <w:tcW w:w="334" w:type="pct"/>
                  <w:vMerge w:val="continue"/>
                  <w:vAlign w:val="center"/>
                </w:tcPr>
                <w:p w14:paraId="705906F9">
                  <w:pPr>
                    <w:spacing w:line="240" w:lineRule="auto"/>
                    <w:ind w:firstLine="0" w:firstLineChars="0"/>
                    <w:contextualSpacing/>
                    <w:jc w:val="center"/>
                    <w:rPr>
                      <w:color w:val="000000" w:themeColor="text1"/>
                      <w:sz w:val="21"/>
                      <w:szCs w:val="21"/>
                      <w14:textFill>
                        <w14:solidFill>
                          <w14:schemeClr w14:val="tx1"/>
                        </w14:solidFill>
                      </w14:textFill>
                    </w:rPr>
                  </w:pPr>
                </w:p>
              </w:tc>
              <w:tc>
                <w:tcPr>
                  <w:tcW w:w="567" w:type="pct"/>
                  <w:vAlign w:val="center"/>
                </w:tcPr>
                <w:p w14:paraId="226D83C2">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NH</w:t>
                  </w:r>
                  <w:r>
                    <w:rPr>
                      <w:color w:val="000000" w:themeColor="text1"/>
                      <w:sz w:val="21"/>
                      <w:szCs w:val="21"/>
                      <w:vertAlign w:val="subscript"/>
                      <w14:textFill>
                        <w14:solidFill>
                          <w14:schemeClr w14:val="tx1"/>
                        </w14:solidFill>
                      </w14:textFill>
                    </w:rPr>
                    <w:t>3</w:t>
                  </w:r>
                  <w:r>
                    <w:rPr>
                      <w:color w:val="000000" w:themeColor="text1"/>
                      <w:sz w:val="21"/>
                      <w:szCs w:val="21"/>
                      <w14:textFill>
                        <w14:solidFill>
                          <w14:schemeClr w14:val="tx1"/>
                        </w14:solidFill>
                      </w14:textFill>
                    </w:rPr>
                    <w:t>-N</w:t>
                  </w:r>
                </w:p>
              </w:tc>
              <w:tc>
                <w:tcPr>
                  <w:tcW w:w="656" w:type="pct"/>
                  <w:vAlign w:val="center"/>
                </w:tcPr>
                <w:p w14:paraId="5E646258">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25</w:t>
                  </w:r>
                </w:p>
              </w:tc>
              <w:tc>
                <w:tcPr>
                  <w:tcW w:w="625" w:type="pct"/>
                  <w:vAlign w:val="center"/>
                </w:tcPr>
                <w:p w14:paraId="4C1DC500">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492" w:type="pct"/>
                  <w:vMerge w:val="continue"/>
                  <w:vAlign w:val="center"/>
                </w:tcPr>
                <w:p w14:paraId="2D1B7495">
                  <w:pPr>
                    <w:spacing w:line="240" w:lineRule="auto"/>
                    <w:ind w:firstLine="0" w:firstLineChars="0"/>
                    <w:contextualSpacing/>
                    <w:jc w:val="center"/>
                    <w:rPr>
                      <w:color w:val="FF0000"/>
                      <w:sz w:val="21"/>
                      <w:szCs w:val="21"/>
                    </w:rPr>
                  </w:pPr>
                </w:p>
              </w:tc>
              <w:tc>
                <w:tcPr>
                  <w:tcW w:w="668" w:type="pct"/>
                  <w:vAlign w:val="center"/>
                </w:tcPr>
                <w:p w14:paraId="11543AF8">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3</w:t>
                  </w:r>
                </w:p>
              </w:tc>
              <w:tc>
                <w:tcPr>
                  <w:tcW w:w="593" w:type="pct"/>
                  <w:vAlign w:val="center"/>
                </w:tcPr>
                <w:p w14:paraId="6766F077">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24.25</w:t>
                  </w:r>
                </w:p>
              </w:tc>
              <w:tc>
                <w:tcPr>
                  <w:tcW w:w="560" w:type="pct"/>
                  <w:vAlign w:val="center"/>
                </w:tcPr>
                <w:p w14:paraId="73240428">
                  <w:pPr>
                    <w:spacing w:line="240" w:lineRule="auto"/>
                    <w:ind w:firstLine="0" w:firstLineChars="0"/>
                    <w:contextualSpacing/>
                    <w:jc w:val="cente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0.001</w:t>
                  </w:r>
                </w:p>
              </w:tc>
              <w:tc>
                <w:tcPr>
                  <w:tcW w:w="504" w:type="pct"/>
                  <w:vMerge w:val="continue"/>
                  <w:vAlign w:val="center"/>
                </w:tcPr>
                <w:p w14:paraId="47C06732">
                  <w:pPr>
                    <w:spacing w:line="240" w:lineRule="auto"/>
                    <w:ind w:firstLine="0" w:firstLineChars="0"/>
                    <w:contextualSpacing/>
                    <w:jc w:val="center"/>
                    <w:rPr>
                      <w:color w:val="FF0000"/>
                      <w:sz w:val="21"/>
                      <w:szCs w:val="21"/>
                    </w:rPr>
                  </w:pPr>
                </w:p>
              </w:tc>
            </w:tr>
          </w:tbl>
          <w:p w14:paraId="308E9B31">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表4-5</w:t>
            </w:r>
            <w:r>
              <w:rPr>
                <w:rFonts w:hint="eastAsia" w:cs="Times New Roman"/>
                <w:b/>
                <w:bCs/>
                <w:sz w:val="21"/>
                <w:szCs w:val="21"/>
              </w:rPr>
              <w:t xml:space="preserve">  </w:t>
            </w:r>
            <w:r>
              <w:rPr>
                <w:rFonts w:cs="Times New Roman"/>
                <w:b/>
                <w:bCs/>
                <w:sz w:val="21"/>
                <w:szCs w:val="21"/>
              </w:rPr>
              <w:t>废水间接排放基本情况表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1019"/>
              <w:gridCol w:w="1372"/>
              <w:gridCol w:w="1585"/>
              <w:gridCol w:w="822"/>
              <w:gridCol w:w="1070"/>
              <w:gridCol w:w="839"/>
              <w:gridCol w:w="1518"/>
            </w:tblGrid>
            <w:tr w14:paraId="5BBA2F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64" w:type="pct"/>
                  <w:vMerge w:val="restart"/>
                  <w:tcBorders>
                    <w:tl2br w:val="nil"/>
                    <w:tr2bl w:val="nil"/>
                  </w:tcBorders>
                  <w:vAlign w:val="center"/>
                </w:tcPr>
                <w:p w14:paraId="69E483EF">
                  <w:pPr>
                    <w:spacing w:line="240" w:lineRule="auto"/>
                    <w:ind w:firstLine="0" w:firstLineChars="0"/>
                    <w:jc w:val="center"/>
                    <w:textAlignment w:val="auto"/>
                    <w:rPr>
                      <w:rFonts w:cs="Times New Roman"/>
                      <w:sz w:val="21"/>
                      <w:szCs w:val="21"/>
                    </w:rPr>
                  </w:pPr>
                  <w:r>
                    <w:rPr>
                      <w:rFonts w:cs="Times New Roman"/>
                      <w:sz w:val="21"/>
                      <w:szCs w:val="21"/>
                    </w:rPr>
                    <w:t>序号</w:t>
                  </w:r>
                </w:p>
              </w:tc>
              <w:tc>
                <w:tcPr>
                  <w:tcW w:w="563" w:type="pct"/>
                  <w:vMerge w:val="restart"/>
                  <w:tcBorders>
                    <w:tl2br w:val="nil"/>
                    <w:tr2bl w:val="nil"/>
                  </w:tcBorders>
                  <w:vAlign w:val="center"/>
                </w:tcPr>
                <w:p w14:paraId="7EA65F8E">
                  <w:pPr>
                    <w:spacing w:line="240" w:lineRule="auto"/>
                    <w:ind w:firstLine="0" w:firstLineChars="0"/>
                    <w:jc w:val="center"/>
                    <w:textAlignment w:val="auto"/>
                    <w:rPr>
                      <w:rFonts w:cs="Times New Roman"/>
                      <w:sz w:val="21"/>
                      <w:szCs w:val="21"/>
                    </w:rPr>
                  </w:pPr>
                  <w:r>
                    <w:rPr>
                      <w:rFonts w:cs="Times New Roman"/>
                      <w:sz w:val="21"/>
                      <w:szCs w:val="21"/>
                    </w:rPr>
                    <w:t>废水排放量/（</w:t>
                  </w:r>
                  <w:r>
                    <w:rPr>
                      <w:rFonts w:hint="eastAsia"/>
                      <w:color w:val="000000" w:themeColor="text1"/>
                      <w:sz w:val="21"/>
                      <w:szCs w:val="21"/>
                      <w14:textFill>
                        <w14:solidFill>
                          <w14:schemeClr w14:val="tx1"/>
                        </w14:solidFill>
                      </w14:textFill>
                    </w:rPr>
                    <w:t>m</w:t>
                  </w:r>
                  <w:r>
                    <w:rPr>
                      <w:rFonts w:hint="eastAsia"/>
                      <w:color w:val="000000" w:themeColor="text1"/>
                      <w:sz w:val="21"/>
                      <w:szCs w:val="21"/>
                      <w:vertAlign w:val="superscript"/>
                      <w14:textFill>
                        <w14:solidFill>
                          <w14:schemeClr w14:val="tx1"/>
                        </w14:solidFill>
                      </w14:textFill>
                    </w:rPr>
                    <w:t>3</w:t>
                  </w:r>
                  <w:r>
                    <w:rPr>
                      <w:color w:val="000000" w:themeColor="text1"/>
                      <w:sz w:val="21"/>
                      <w:szCs w:val="21"/>
                      <w14:textFill>
                        <w14:solidFill>
                          <w14:schemeClr w14:val="tx1"/>
                        </w14:solidFill>
                      </w14:textFill>
                    </w:rPr>
                    <w:t>/a</w:t>
                  </w:r>
                  <w:r>
                    <w:rPr>
                      <w:rFonts w:cs="Times New Roman"/>
                      <w:sz w:val="21"/>
                      <w:szCs w:val="21"/>
                    </w:rPr>
                    <w:t>）</w:t>
                  </w:r>
                </w:p>
              </w:tc>
              <w:tc>
                <w:tcPr>
                  <w:tcW w:w="794" w:type="pct"/>
                  <w:vMerge w:val="restart"/>
                  <w:tcBorders>
                    <w:tl2br w:val="nil"/>
                    <w:tr2bl w:val="nil"/>
                  </w:tcBorders>
                  <w:vAlign w:val="center"/>
                </w:tcPr>
                <w:p w14:paraId="4FACD4D4">
                  <w:pPr>
                    <w:spacing w:line="240" w:lineRule="auto"/>
                    <w:ind w:firstLine="0" w:firstLineChars="0"/>
                    <w:jc w:val="center"/>
                    <w:textAlignment w:val="auto"/>
                    <w:rPr>
                      <w:rFonts w:cs="Times New Roman"/>
                      <w:sz w:val="21"/>
                      <w:szCs w:val="21"/>
                    </w:rPr>
                  </w:pPr>
                  <w:r>
                    <w:rPr>
                      <w:rFonts w:cs="Times New Roman"/>
                      <w:sz w:val="21"/>
                      <w:szCs w:val="21"/>
                    </w:rPr>
                    <w:t>排放去向</w:t>
                  </w:r>
                </w:p>
              </w:tc>
              <w:tc>
                <w:tcPr>
                  <w:tcW w:w="917" w:type="pct"/>
                  <w:vMerge w:val="restart"/>
                  <w:tcBorders>
                    <w:tl2br w:val="nil"/>
                    <w:tr2bl w:val="nil"/>
                  </w:tcBorders>
                  <w:vAlign w:val="center"/>
                </w:tcPr>
                <w:p w14:paraId="346DA7CD">
                  <w:pPr>
                    <w:spacing w:line="240" w:lineRule="auto"/>
                    <w:ind w:firstLine="0" w:firstLineChars="0"/>
                    <w:jc w:val="center"/>
                    <w:textAlignment w:val="auto"/>
                    <w:rPr>
                      <w:rFonts w:cs="Times New Roman"/>
                      <w:sz w:val="21"/>
                      <w:szCs w:val="21"/>
                    </w:rPr>
                  </w:pPr>
                  <w:r>
                    <w:rPr>
                      <w:rFonts w:cs="Times New Roman"/>
                      <w:sz w:val="21"/>
                      <w:szCs w:val="21"/>
                    </w:rPr>
                    <w:t>排放规律</w:t>
                  </w:r>
                </w:p>
              </w:tc>
              <w:tc>
                <w:tcPr>
                  <w:tcW w:w="477" w:type="pct"/>
                  <w:vMerge w:val="restart"/>
                  <w:tcBorders>
                    <w:tl2br w:val="nil"/>
                    <w:tr2bl w:val="nil"/>
                  </w:tcBorders>
                  <w:vAlign w:val="center"/>
                </w:tcPr>
                <w:p w14:paraId="6DCB34B1">
                  <w:pPr>
                    <w:spacing w:line="240" w:lineRule="auto"/>
                    <w:ind w:firstLine="0" w:firstLineChars="0"/>
                    <w:jc w:val="center"/>
                    <w:textAlignment w:val="auto"/>
                    <w:rPr>
                      <w:rFonts w:cs="Times New Roman"/>
                      <w:sz w:val="21"/>
                      <w:szCs w:val="21"/>
                    </w:rPr>
                  </w:pPr>
                  <w:r>
                    <w:rPr>
                      <w:rFonts w:cs="Times New Roman"/>
                      <w:sz w:val="21"/>
                      <w:szCs w:val="21"/>
                    </w:rPr>
                    <w:t>间歇排放时段</w:t>
                  </w:r>
                </w:p>
              </w:tc>
              <w:tc>
                <w:tcPr>
                  <w:tcW w:w="1985" w:type="pct"/>
                  <w:gridSpan w:val="3"/>
                  <w:tcBorders>
                    <w:tl2br w:val="nil"/>
                    <w:tr2bl w:val="nil"/>
                  </w:tcBorders>
                  <w:vAlign w:val="center"/>
                </w:tcPr>
                <w:p w14:paraId="27B1669C">
                  <w:pPr>
                    <w:spacing w:line="240" w:lineRule="auto"/>
                    <w:ind w:firstLine="0" w:firstLineChars="0"/>
                    <w:jc w:val="center"/>
                    <w:textAlignment w:val="auto"/>
                    <w:rPr>
                      <w:rFonts w:cs="Times New Roman"/>
                      <w:sz w:val="21"/>
                      <w:szCs w:val="21"/>
                    </w:rPr>
                  </w:pPr>
                  <w:r>
                    <w:rPr>
                      <w:rFonts w:cs="Times New Roman"/>
                      <w:sz w:val="21"/>
                      <w:szCs w:val="21"/>
                    </w:rPr>
                    <w:t>受纳污水处理厂信息</w:t>
                  </w:r>
                </w:p>
              </w:tc>
            </w:tr>
            <w:tr w14:paraId="2D863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264" w:type="pct"/>
                  <w:vMerge w:val="continue"/>
                  <w:tcBorders>
                    <w:tl2br w:val="nil"/>
                    <w:tr2bl w:val="nil"/>
                  </w:tcBorders>
                  <w:vAlign w:val="center"/>
                </w:tcPr>
                <w:p w14:paraId="10B6C6B8">
                  <w:pPr>
                    <w:widowControl/>
                    <w:spacing w:line="240" w:lineRule="auto"/>
                    <w:ind w:firstLine="0" w:firstLineChars="0"/>
                    <w:jc w:val="left"/>
                    <w:textAlignment w:val="auto"/>
                    <w:rPr>
                      <w:rFonts w:cs="Times New Roman"/>
                      <w:sz w:val="21"/>
                      <w:szCs w:val="21"/>
                    </w:rPr>
                  </w:pPr>
                </w:p>
              </w:tc>
              <w:tc>
                <w:tcPr>
                  <w:tcW w:w="563" w:type="pct"/>
                  <w:vMerge w:val="continue"/>
                  <w:tcBorders>
                    <w:tl2br w:val="nil"/>
                    <w:tr2bl w:val="nil"/>
                  </w:tcBorders>
                  <w:vAlign w:val="center"/>
                </w:tcPr>
                <w:p w14:paraId="4EF23777">
                  <w:pPr>
                    <w:widowControl/>
                    <w:spacing w:line="240" w:lineRule="auto"/>
                    <w:ind w:firstLine="0" w:firstLineChars="0"/>
                    <w:jc w:val="left"/>
                    <w:textAlignment w:val="auto"/>
                    <w:rPr>
                      <w:rFonts w:cs="Times New Roman"/>
                      <w:sz w:val="21"/>
                      <w:szCs w:val="21"/>
                    </w:rPr>
                  </w:pPr>
                </w:p>
              </w:tc>
              <w:tc>
                <w:tcPr>
                  <w:tcW w:w="794" w:type="pct"/>
                  <w:vMerge w:val="continue"/>
                  <w:tcBorders>
                    <w:tl2br w:val="nil"/>
                    <w:tr2bl w:val="nil"/>
                  </w:tcBorders>
                  <w:vAlign w:val="center"/>
                </w:tcPr>
                <w:p w14:paraId="3D46BA08">
                  <w:pPr>
                    <w:widowControl/>
                    <w:spacing w:line="240" w:lineRule="auto"/>
                    <w:ind w:firstLine="0" w:firstLineChars="0"/>
                    <w:jc w:val="left"/>
                    <w:textAlignment w:val="auto"/>
                    <w:rPr>
                      <w:rFonts w:cs="Times New Roman"/>
                      <w:sz w:val="21"/>
                      <w:szCs w:val="21"/>
                    </w:rPr>
                  </w:pPr>
                </w:p>
              </w:tc>
              <w:tc>
                <w:tcPr>
                  <w:tcW w:w="917" w:type="pct"/>
                  <w:vMerge w:val="continue"/>
                  <w:tcBorders>
                    <w:tl2br w:val="nil"/>
                    <w:tr2bl w:val="nil"/>
                  </w:tcBorders>
                  <w:vAlign w:val="center"/>
                </w:tcPr>
                <w:p w14:paraId="5D5B8AAA">
                  <w:pPr>
                    <w:widowControl/>
                    <w:spacing w:line="240" w:lineRule="auto"/>
                    <w:ind w:firstLine="0" w:firstLineChars="0"/>
                    <w:jc w:val="left"/>
                    <w:textAlignment w:val="auto"/>
                    <w:rPr>
                      <w:rFonts w:cs="Times New Roman"/>
                      <w:sz w:val="21"/>
                      <w:szCs w:val="21"/>
                    </w:rPr>
                  </w:pPr>
                </w:p>
              </w:tc>
              <w:tc>
                <w:tcPr>
                  <w:tcW w:w="477" w:type="pct"/>
                  <w:vMerge w:val="continue"/>
                  <w:tcBorders>
                    <w:tl2br w:val="nil"/>
                    <w:tr2bl w:val="nil"/>
                  </w:tcBorders>
                  <w:vAlign w:val="center"/>
                </w:tcPr>
                <w:p w14:paraId="1BE379B8">
                  <w:pPr>
                    <w:widowControl/>
                    <w:spacing w:line="240" w:lineRule="auto"/>
                    <w:ind w:firstLine="0" w:firstLineChars="0"/>
                    <w:jc w:val="left"/>
                    <w:textAlignment w:val="auto"/>
                    <w:rPr>
                      <w:rFonts w:cs="Times New Roman"/>
                      <w:sz w:val="21"/>
                      <w:szCs w:val="21"/>
                    </w:rPr>
                  </w:pPr>
                </w:p>
              </w:tc>
              <w:tc>
                <w:tcPr>
                  <w:tcW w:w="620" w:type="pct"/>
                  <w:tcBorders>
                    <w:tl2br w:val="nil"/>
                    <w:tr2bl w:val="nil"/>
                  </w:tcBorders>
                  <w:vAlign w:val="center"/>
                </w:tcPr>
                <w:p w14:paraId="00C15925">
                  <w:pPr>
                    <w:spacing w:line="240" w:lineRule="auto"/>
                    <w:ind w:firstLine="0" w:firstLineChars="0"/>
                    <w:jc w:val="center"/>
                    <w:textAlignment w:val="auto"/>
                    <w:rPr>
                      <w:rFonts w:cs="Times New Roman"/>
                      <w:sz w:val="21"/>
                      <w:szCs w:val="21"/>
                    </w:rPr>
                  </w:pPr>
                  <w:r>
                    <w:rPr>
                      <w:rFonts w:cs="Times New Roman"/>
                      <w:sz w:val="21"/>
                      <w:szCs w:val="21"/>
                    </w:rPr>
                    <w:t>名称</w:t>
                  </w:r>
                </w:p>
              </w:tc>
              <w:tc>
                <w:tcPr>
                  <w:tcW w:w="487" w:type="pct"/>
                  <w:tcBorders>
                    <w:tl2br w:val="nil"/>
                    <w:tr2bl w:val="nil"/>
                  </w:tcBorders>
                  <w:vAlign w:val="center"/>
                </w:tcPr>
                <w:p w14:paraId="148596FE">
                  <w:pPr>
                    <w:spacing w:line="240" w:lineRule="auto"/>
                    <w:ind w:firstLine="0" w:firstLineChars="0"/>
                    <w:jc w:val="center"/>
                    <w:textAlignment w:val="auto"/>
                    <w:rPr>
                      <w:rFonts w:cs="Times New Roman"/>
                      <w:sz w:val="21"/>
                      <w:szCs w:val="21"/>
                    </w:rPr>
                  </w:pPr>
                  <w:r>
                    <w:rPr>
                      <w:rFonts w:cs="Times New Roman"/>
                      <w:sz w:val="21"/>
                      <w:szCs w:val="21"/>
                    </w:rPr>
                    <w:t>污染物种类</w:t>
                  </w:r>
                </w:p>
              </w:tc>
              <w:tc>
                <w:tcPr>
                  <w:tcW w:w="878" w:type="pct"/>
                  <w:tcBorders>
                    <w:tl2br w:val="nil"/>
                    <w:tr2bl w:val="nil"/>
                  </w:tcBorders>
                  <w:vAlign w:val="center"/>
                </w:tcPr>
                <w:p w14:paraId="63FE4ABD">
                  <w:pPr>
                    <w:spacing w:line="240" w:lineRule="auto"/>
                    <w:ind w:firstLine="0" w:firstLineChars="0"/>
                    <w:jc w:val="center"/>
                    <w:textAlignment w:val="auto"/>
                    <w:rPr>
                      <w:rFonts w:cs="Times New Roman"/>
                      <w:sz w:val="21"/>
                      <w:szCs w:val="21"/>
                    </w:rPr>
                  </w:pPr>
                  <w:r>
                    <w:rPr>
                      <w:rFonts w:cs="Times New Roman"/>
                      <w:sz w:val="21"/>
                      <w:szCs w:val="21"/>
                    </w:rPr>
                    <w:t>国家或地方污染物排放标准浓度限值/（mg/L）</w:t>
                  </w:r>
                </w:p>
              </w:tc>
            </w:tr>
            <w:tr w14:paraId="1689A3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64" w:type="pct"/>
                  <w:vMerge w:val="restart"/>
                  <w:tcBorders>
                    <w:tl2br w:val="nil"/>
                    <w:tr2bl w:val="nil"/>
                  </w:tcBorders>
                  <w:vAlign w:val="center"/>
                </w:tcPr>
                <w:p w14:paraId="0FFBCB9E">
                  <w:pPr>
                    <w:spacing w:line="240" w:lineRule="auto"/>
                    <w:ind w:firstLine="0" w:firstLineChars="0"/>
                    <w:jc w:val="center"/>
                    <w:textAlignment w:val="auto"/>
                    <w:rPr>
                      <w:rFonts w:cs="Times New Roman"/>
                      <w:sz w:val="21"/>
                      <w:szCs w:val="21"/>
                    </w:rPr>
                  </w:pPr>
                  <w:r>
                    <w:rPr>
                      <w:rFonts w:cs="Times New Roman"/>
                      <w:sz w:val="21"/>
                      <w:szCs w:val="21"/>
                    </w:rPr>
                    <w:t>1</w:t>
                  </w:r>
                </w:p>
              </w:tc>
              <w:tc>
                <w:tcPr>
                  <w:tcW w:w="563" w:type="pct"/>
                  <w:vMerge w:val="restart"/>
                  <w:tcBorders>
                    <w:tl2br w:val="nil"/>
                    <w:tr2bl w:val="nil"/>
                  </w:tcBorders>
                  <w:vAlign w:val="center"/>
                </w:tcPr>
                <w:p w14:paraId="49BF2AF7">
                  <w:pPr>
                    <w:spacing w:line="240" w:lineRule="auto"/>
                    <w:ind w:firstLine="0" w:firstLineChars="0"/>
                    <w:jc w:val="center"/>
                    <w:textAlignment w:val="auto"/>
                    <w:rPr>
                      <w:rFonts w:cs="Times New Roman"/>
                      <w:sz w:val="21"/>
                      <w:szCs w:val="21"/>
                    </w:rPr>
                  </w:pPr>
                  <w:r>
                    <w:rPr>
                      <w:rFonts w:cs="Times New Roman"/>
                      <w:sz w:val="21"/>
                      <w:szCs w:val="21"/>
                    </w:rPr>
                    <w:t>46.08</w:t>
                  </w:r>
                </w:p>
              </w:tc>
              <w:tc>
                <w:tcPr>
                  <w:tcW w:w="794" w:type="pct"/>
                  <w:vMerge w:val="restart"/>
                  <w:tcBorders>
                    <w:tl2br w:val="nil"/>
                    <w:tr2bl w:val="nil"/>
                  </w:tcBorders>
                  <w:vAlign w:val="center"/>
                </w:tcPr>
                <w:p w14:paraId="45E012E8">
                  <w:pPr>
                    <w:spacing w:line="240" w:lineRule="auto"/>
                    <w:ind w:firstLine="0" w:firstLineChars="0"/>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917" w:type="pct"/>
                  <w:vMerge w:val="restart"/>
                  <w:tcBorders>
                    <w:tl2br w:val="nil"/>
                    <w:tr2bl w:val="nil"/>
                  </w:tcBorders>
                  <w:vAlign w:val="center"/>
                </w:tcPr>
                <w:p w14:paraId="40422B91">
                  <w:pPr>
                    <w:spacing w:line="240" w:lineRule="auto"/>
                    <w:ind w:firstLine="0" w:firstLineChars="0"/>
                    <w:jc w:val="center"/>
                    <w:textAlignment w:val="auto"/>
                    <w:rPr>
                      <w:rFonts w:cs="Times New Roman"/>
                      <w:sz w:val="21"/>
                      <w:szCs w:val="21"/>
                    </w:rPr>
                  </w:pPr>
                  <w:r>
                    <w:rPr>
                      <w:rFonts w:cs="Times New Roman"/>
                      <w:sz w:val="21"/>
                      <w:szCs w:val="21"/>
                    </w:rPr>
                    <w:t>间断排放，排放期间流量不稳定且无规律，但不属于冲击性排放</w:t>
                  </w:r>
                </w:p>
              </w:tc>
              <w:tc>
                <w:tcPr>
                  <w:tcW w:w="477" w:type="pct"/>
                  <w:vMerge w:val="restart"/>
                  <w:tcBorders>
                    <w:tl2br w:val="nil"/>
                    <w:tr2bl w:val="nil"/>
                  </w:tcBorders>
                  <w:vAlign w:val="center"/>
                </w:tcPr>
                <w:p w14:paraId="458E38FC">
                  <w:pPr>
                    <w:spacing w:line="240" w:lineRule="auto"/>
                    <w:ind w:firstLine="0" w:firstLineChars="0"/>
                    <w:jc w:val="center"/>
                    <w:textAlignment w:val="auto"/>
                    <w:rPr>
                      <w:rFonts w:cs="Times New Roman"/>
                      <w:sz w:val="21"/>
                      <w:szCs w:val="21"/>
                    </w:rPr>
                  </w:pPr>
                  <w:r>
                    <w:rPr>
                      <w:rFonts w:cs="Times New Roman"/>
                      <w:sz w:val="21"/>
                      <w:szCs w:val="21"/>
                    </w:rPr>
                    <w:t>/</w:t>
                  </w:r>
                </w:p>
              </w:tc>
              <w:tc>
                <w:tcPr>
                  <w:tcW w:w="620" w:type="pct"/>
                  <w:vMerge w:val="restart"/>
                  <w:tcBorders>
                    <w:tl2br w:val="nil"/>
                    <w:tr2bl w:val="nil"/>
                  </w:tcBorders>
                  <w:vAlign w:val="center"/>
                </w:tcPr>
                <w:p w14:paraId="7C2CF72E">
                  <w:pPr>
                    <w:spacing w:line="240" w:lineRule="auto"/>
                    <w:ind w:firstLine="0" w:firstLineChars="0"/>
                    <w:jc w:val="center"/>
                    <w:textAlignment w:val="auto"/>
                    <w:rPr>
                      <w:rFonts w:cs="Times New Roman"/>
                      <w:sz w:val="21"/>
                      <w:szCs w:val="21"/>
                    </w:rPr>
                  </w:pPr>
                  <w:r>
                    <w:rPr>
                      <w:rFonts w:hint="eastAsia"/>
                      <w:color w:val="000000" w:themeColor="text1"/>
                      <w:sz w:val="21"/>
                      <w:szCs w:val="21"/>
                      <w14:textFill>
                        <w14:solidFill>
                          <w14:schemeClr w14:val="tx1"/>
                        </w14:solidFill>
                      </w14:textFill>
                    </w:rPr>
                    <w:t>库尔勒市南市区污水处理厂处理</w:t>
                  </w:r>
                </w:p>
              </w:tc>
              <w:tc>
                <w:tcPr>
                  <w:tcW w:w="487" w:type="pct"/>
                  <w:tcBorders>
                    <w:tl2br w:val="nil"/>
                    <w:tr2bl w:val="nil"/>
                  </w:tcBorders>
                  <w:vAlign w:val="center"/>
                </w:tcPr>
                <w:p w14:paraId="6413A588">
                  <w:pPr>
                    <w:spacing w:line="240" w:lineRule="auto"/>
                    <w:ind w:firstLine="0" w:firstLineChars="0"/>
                    <w:jc w:val="center"/>
                    <w:textAlignment w:val="auto"/>
                    <w:rPr>
                      <w:rFonts w:cs="Times New Roman"/>
                      <w:sz w:val="21"/>
                      <w:szCs w:val="21"/>
                    </w:rPr>
                  </w:pPr>
                  <w:r>
                    <w:rPr>
                      <w:rFonts w:cs="Times New Roman"/>
                      <w:snapToGrid w:val="0"/>
                      <w:kern w:val="0"/>
                      <w:sz w:val="21"/>
                      <w:szCs w:val="21"/>
                    </w:rPr>
                    <w:t>COD</w:t>
                  </w:r>
                </w:p>
              </w:tc>
              <w:tc>
                <w:tcPr>
                  <w:tcW w:w="878" w:type="pct"/>
                  <w:tcBorders>
                    <w:tl2br w:val="nil"/>
                    <w:tr2bl w:val="nil"/>
                  </w:tcBorders>
                  <w:vAlign w:val="center"/>
                </w:tcPr>
                <w:p w14:paraId="60C23C21">
                  <w:pPr>
                    <w:spacing w:line="240" w:lineRule="auto"/>
                    <w:ind w:firstLine="0" w:firstLineChars="0"/>
                    <w:jc w:val="center"/>
                    <w:textAlignment w:val="auto"/>
                    <w:rPr>
                      <w:rFonts w:cs="Times New Roman"/>
                      <w:snapToGrid w:val="0"/>
                      <w:kern w:val="0"/>
                      <w:sz w:val="21"/>
                      <w:szCs w:val="21"/>
                    </w:rPr>
                  </w:pPr>
                  <w:r>
                    <w:rPr>
                      <w:rFonts w:cs="Times New Roman"/>
                      <w:snapToGrid w:val="0"/>
                      <w:kern w:val="0"/>
                      <w:sz w:val="21"/>
                      <w:szCs w:val="21"/>
                    </w:rPr>
                    <w:t>500</w:t>
                  </w:r>
                </w:p>
              </w:tc>
            </w:tr>
            <w:tr w14:paraId="22EE2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64" w:type="pct"/>
                  <w:vMerge w:val="continue"/>
                  <w:tcBorders>
                    <w:tl2br w:val="nil"/>
                    <w:tr2bl w:val="nil"/>
                  </w:tcBorders>
                  <w:vAlign w:val="center"/>
                </w:tcPr>
                <w:p w14:paraId="39447E29">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14:paraId="13A8BBD2">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14:paraId="4B3A215C">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14:paraId="101E977F">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14:paraId="00A6AB26">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14:paraId="15007346">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14:paraId="4D530D30">
                  <w:pPr>
                    <w:spacing w:line="240" w:lineRule="auto"/>
                    <w:ind w:firstLine="0" w:firstLineChars="0"/>
                    <w:jc w:val="center"/>
                    <w:textAlignment w:val="auto"/>
                    <w:rPr>
                      <w:rFonts w:cs="Times New Roman"/>
                      <w:sz w:val="21"/>
                      <w:szCs w:val="21"/>
                    </w:rPr>
                  </w:pPr>
                  <w:r>
                    <w:rPr>
                      <w:rFonts w:cs="Times New Roman"/>
                      <w:snapToGrid w:val="0"/>
                      <w:kern w:val="0"/>
                      <w:sz w:val="21"/>
                      <w:szCs w:val="21"/>
                    </w:rPr>
                    <w:t>BOD</w:t>
                  </w:r>
                  <w:r>
                    <w:rPr>
                      <w:rFonts w:cs="Times New Roman"/>
                      <w:snapToGrid w:val="0"/>
                      <w:kern w:val="0"/>
                      <w:sz w:val="21"/>
                      <w:szCs w:val="21"/>
                      <w:vertAlign w:val="subscript"/>
                    </w:rPr>
                    <w:t>5</w:t>
                  </w:r>
                </w:p>
              </w:tc>
              <w:tc>
                <w:tcPr>
                  <w:tcW w:w="878" w:type="pct"/>
                  <w:tcBorders>
                    <w:tl2br w:val="nil"/>
                    <w:tr2bl w:val="nil"/>
                  </w:tcBorders>
                  <w:vAlign w:val="center"/>
                </w:tcPr>
                <w:p w14:paraId="062DB7BB">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3</w:t>
                  </w:r>
                  <w:r>
                    <w:rPr>
                      <w:rFonts w:cs="Times New Roman"/>
                      <w:snapToGrid w:val="0"/>
                      <w:kern w:val="0"/>
                      <w:sz w:val="21"/>
                      <w:szCs w:val="21"/>
                    </w:rPr>
                    <w:t>00</w:t>
                  </w:r>
                </w:p>
              </w:tc>
            </w:tr>
            <w:tr w14:paraId="29D98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64" w:type="pct"/>
                  <w:vMerge w:val="continue"/>
                  <w:tcBorders>
                    <w:tl2br w:val="nil"/>
                    <w:tr2bl w:val="nil"/>
                  </w:tcBorders>
                  <w:vAlign w:val="center"/>
                </w:tcPr>
                <w:p w14:paraId="26915B00">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14:paraId="315CDA14">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14:paraId="52270B41">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14:paraId="3EE79C39">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14:paraId="566107DA">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14:paraId="63772B88">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14:paraId="6DCDEB7A">
                  <w:pPr>
                    <w:spacing w:line="240" w:lineRule="auto"/>
                    <w:ind w:firstLine="0" w:firstLineChars="0"/>
                    <w:jc w:val="center"/>
                    <w:textAlignment w:val="auto"/>
                    <w:rPr>
                      <w:rFonts w:cs="Times New Roman"/>
                      <w:sz w:val="21"/>
                      <w:szCs w:val="21"/>
                    </w:rPr>
                  </w:pPr>
                  <w:r>
                    <w:rPr>
                      <w:rFonts w:cs="Times New Roman"/>
                      <w:snapToGrid w:val="0"/>
                      <w:kern w:val="0"/>
                      <w:sz w:val="21"/>
                      <w:szCs w:val="21"/>
                    </w:rPr>
                    <w:t>SS</w:t>
                  </w:r>
                </w:p>
              </w:tc>
              <w:tc>
                <w:tcPr>
                  <w:tcW w:w="878" w:type="pct"/>
                  <w:tcBorders>
                    <w:tl2br w:val="nil"/>
                    <w:tr2bl w:val="nil"/>
                  </w:tcBorders>
                  <w:vAlign w:val="center"/>
                </w:tcPr>
                <w:p w14:paraId="0FCF96D1">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4</w:t>
                  </w:r>
                  <w:r>
                    <w:rPr>
                      <w:rFonts w:cs="Times New Roman"/>
                      <w:snapToGrid w:val="0"/>
                      <w:kern w:val="0"/>
                      <w:sz w:val="21"/>
                      <w:szCs w:val="21"/>
                    </w:rPr>
                    <w:t>00</w:t>
                  </w:r>
                </w:p>
              </w:tc>
            </w:tr>
            <w:tr w14:paraId="10A8AA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64" w:type="pct"/>
                  <w:vMerge w:val="continue"/>
                  <w:tcBorders>
                    <w:tl2br w:val="nil"/>
                    <w:tr2bl w:val="nil"/>
                  </w:tcBorders>
                  <w:vAlign w:val="center"/>
                </w:tcPr>
                <w:p w14:paraId="1A30C578">
                  <w:pPr>
                    <w:spacing w:line="240" w:lineRule="auto"/>
                    <w:ind w:firstLine="0" w:firstLineChars="0"/>
                    <w:jc w:val="center"/>
                    <w:textAlignment w:val="auto"/>
                    <w:rPr>
                      <w:rFonts w:cs="Times New Roman"/>
                      <w:sz w:val="21"/>
                      <w:szCs w:val="21"/>
                    </w:rPr>
                  </w:pPr>
                </w:p>
              </w:tc>
              <w:tc>
                <w:tcPr>
                  <w:tcW w:w="563" w:type="pct"/>
                  <w:vMerge w:val="continue"/>
                  <w:tcBorders>
                    <w:tl2br w:val="nil"/>
                    <w:tr2bl w:val="nil"/>
                  </w:tcBorders>
                  <w:vAlign w:val="center"/>
                </w:tcPr>
                <w:p w14:paraId="5C145400">
                  <w:pPr>
                    <w:spacing w:line="240" w:lineRule="auto"/>
                    <w:ind w:firstLine="0" w:firstLineChars="0"/>
                    <w:jc w:val="center"/>
                    <w:textAlignment w:val="auto"/>
                    <w:rPr>
                      <w:rFonts w:cs="Times New Roman"/>
                      <w:sz w:val="21"/>
                      <w:szCs w:val="21"/>
                    </w:rPr>
                  </w:pPr>
                </w:p>
              </w:tc>
              <w:tc>
                <w:tcPr>
                  <w:tcW w:w="794" w:type="pct"/>
                  <w:vMerge w:val="continue"/>
                  <w:tcBorders>
                    <w:tl2br w:val="nil"/>
                    <w:tr2bl w:val="nil"/>
                  </w:tcBorders>
                  <w:vAlign w:val="center"/>
                </w:tcPr>
                <w:p w14:paraId="12E761D0">
                  <w:pPr>
                    <w:spacing w:line="240" w:lineRule="auto"/>
                    <w:ind w:firstLine="0" w:firstLineChars="0"/>
                    <w:jc w:val="center"/>
                    <w:textAlignment w:val="auto"/>
                    <w:rPr>
                      <w:rFonts w:cs="Times New Roman"/>
                      <w:sz w:val="21"/>
                      <w:szCs w:val="21"/>
                    </w:rPr>
                  </w:pPr>
                </w:p>
              </w:tc>
              <w:tc>
                <w:tcPr>
                  <w:tcW w:w="917" w:type="pct"/>
                  <w:vMerge w:val="continue"/>
                  <w:tcBorders>
                    <w:tl2br w:val="nil"/>
                    <w:tr2bl w:val="nil"/>
                  </w:tcBorders>
                  <w:vAlign w:val="center"/>
                </w:tcPr>
                <w:p w14:paraId="51A02BEC">
                  <w:pPr>
                    <w:spacing w:line="240" w:lineRule="auto"/>
                    <w:ind w:firstLine="0" w:firstLineChars="0"/>
                    <w:jc w:val="center"/>
                    <w:textAlignment w:val="auto"/>
                    <w:rPr>
                      <w:rFonts w:cs="Times New Roman"/>
                      <w:sz w:val="21"/>
                      <w:szCs w:val="21"/>
                    </w:rPr>
                  </w:pPr>
                </w:p>
              </w:tc>
              <w:tc>
                <w:tcPr>
                  <w:tcW w:w="477" w:type="pct"/>
                  <w:vMerge w:val="continue"/>
                  <w:tcBorders>
                    <w:tl2br w:val="nil"/>
                    <w:tr2bl w:val="nil"/>
                  </w:tcBorders>
                  <w:vAlign w:val="center"/>
                </w:tcPr>
                <w:p w14:paraId="08C1E1E4">
                  <w:pPr>
                    <w:spacing w:line="240" w:lineRule="auto"/>
                    <w:ind w:firstLine="0" w:firstLineChars="0"/>
                    <w:jc w:val="center"/>
                    <w:textAlignment w:val="auto"/>
                    <w:rPr>
                      <w:rFonts w:cs="Times New Roman"/>
                      <w:sz w:val="21"/>
                      <w:szCs w:val="21"/>
                    </w:rPr>
                  </w:pPr>
                </w:p>
              </w:tc>
              <w:tc>
                <w:tcPr>
                  <w:tcW w:w="620" w:type="pct"/>
                  <w:vMerge w:val="continue"/>
                  <w:tcBorders>
                    <w:tl2br w:val="nil"/>
                    <w:tr2bl w:val="nil"/>
                  </w:tcBorders>
                  <w:vAlign w:val="center"/>
                </w:tcPr>
                <w:p w14:paraId="1103A38D">
                  <w:pPr>
                    <w:spacing w:line="240" w:lineRule="auto"/>
                    <w:ind w:firstLine="0" w:firstLineChars="0"/>
                    <w:jc w:val="center"/>
                    <w:textAlignment w:val="auto"/>
                    <w:rPr>
                      <w:rFonts w:cs="Times New Roman"/>
                      <w:sz w:val="21"/>
                      <w:szCs w:val="21"/>
                    </w:rPr>
                  </w:pPr>
                </w:p>
              </w:tc>
              <w:tc>
                <w:tcPr>
                  <w:tcW w:w="487" w:type="pct"/>
                  <w:tcBorders>
                    <w:tl2br w:val="nil"/>
                    <w:tr2bl w:val="nil"/>
                  </w:tcBorders>
                  <w:vAlign w:val="center"/>
                </w:tcPr>
                <w:p w14:paraId="53A602C8">
                  <w:pPr>
                    <w:spacing w:line="240" w:lineRule="auto"/>
                    <w:ind w:firstLine="0" w:firstLineChars="0"/>
                    <w:jc w:val="center"/>
                    <w:textAlignment w:val="auto"/>
                    <w:rPr>
                      <w:rFonts w:cs="Times New Roman"/>
                      <w:sz w:val="21"/>
                      <w:szCs w:val="21"/>
                    </w:rPr>
                  </w:pPr>
                  <w:r>
                    <w:rPr>
                      <w:rFonts w:cs="Times New Roman"/>
                      <w:snapToGrid w:val="0"/>
                      <w:kern w:val="0"/>
                      <w:sz w:val="21"/>
                      <w:szCs w:val="21"/>
                    </w:rPr>
                    <w:t>氨氮</w:t>
                  </w:r>
                </w:p>
              </w:tc>
              <w:tc>
                <w:tcPr>
                  <w:tcW w:w="878" w:type="pct"/>
                  <w:tcBorders>
                    <w:tl2br w:val="nil"/>
                    <w:tr2bl w:val="nil"/>
                  </w:tcBorders>
                  <w:vAlign w:val="center"/>
                </w:tcPr>
                <w:p w14:paraId="22C59317">
                  <w:pPr>
                    <w:spacing w:line="240" w:lineRule="auto"/>
                    <w:ind w:firstLine="0" w:firstLineChars="0"/>
                    <w:jc w:val="center"/>
                    <w:textAlignment w:val="auto"/>
                    <w:rPr>
                      <w:rFonts w:cs="Times New Roman"/>
                      <w:snapToGrid w:val="0"/>
                      <w:kern w:val="0"/>
                      <w:sz w:val="21"/>
                      <w:szCs w:val="21"/>
                    </w:rPr>
                  </w:pPr>
                  <w:r>
                    <w:rPr>
                      <w:rFonts w:hint="eastAsia" w:cs="Times New Roman"/>
                      <w:snapToGrid w:val="0"/>
                      <w:kern w:val="0"/>
                      <w:sz w:val="21"/>
                      <w:szCs w:val="21"/>
                    </w:rPr>
                    <w:t>-</w:t>
                  </w:r>
                  <w:r>
                    <w:rPr>
                      <w:rFonts w:cs="Times New Roman"/>
                      <w:snapToGrid w:val="0"/>
                      <w:kern w:val="0"/>
                      <w:sz w:val="21"/>
                      <w:szCs w:val="21"/>
                    </w:rPr>
                    <w:t>--</w:t>
                  </w:r>
                </w:p>
              </w:tc>
            </w:tr>
          </w:tbl>
          <w:p w14:paraId="319F05F8">
            <w:pPr>
              <w:ind w:firstLine="0" w:firstLineChars="0"/>
              <w:rPr>
                <w:rFonts w:cs="Times New Roman"/>
                <w:b/>
                <w:bCs/>
              </w:rPr>
            </w:pPr>
            <w:r>
              <w:rPr>
                <w:rFonts w:cs="Times New Roman"/>
                <w:b/>
                <w:bCs/>
                <w:color w:val="000000" w:themeColor="text1"/>
                <w14:textFill>
                  <w14:solidFill>
                    <w14:schemeClr w14:val="tx1"/>
                  </w14:solidFill>
                </w14:textFill>
              </w:rPr>
              <w:t>4.2.2.1</w:t>
            </w:r>
            <w:r>
              <w:rPr>
                <w:rFonts w:hint="eastAsia" w:cs="Times New Roman"/>
                <w:b/>
                <w:bCs/>
                <w:color w:val="000000" w:themeColor="text1"/>
                <w14:textFill>
                  <w14:solidFill>
                    <w14:schemeClr w14:val="tx1"/>
                  </w14:solidFill>
                </w14:textFill>
              </w:rPr>
              <w:t>生活污水</w:t>
            </w:r>
            <w:r>
              <w:rPr>
                <w:rFonts w:hint="eastAsia" w:cs="Times New Roman"/>
                <w:b/>
                <w:bCs/>
                <w:snapToGrid w:val="0"/>
                <w:kern w:val="0"/>
                <w:szCs w:val="24"/>
              </w:rPr>
              <w:t>拉运可行性分析</w:t>
            </w:r>
          </w:p>
          <w:p w14:paraId="3CB4C3ED">
            <w:pPr>
              <w:spacing w:line="336" w:lineRule="auto"/>
              <w:ind w:firstLine="480"/>
              <w:rPr>
                <w:rFonts w:hAnsi="宋体"/>
                <w:szCs w:val="21"/>
              </w:rPr>
            </w:pPr>
            <w:r>
              <w:rPr>
                <w:rFonts w:hint="eastAsia" w:hAnsi="宋体"/>
                <w:szCs w:val="21"/>
              </w:rPr>
              <w:t>本项目生活污水排放量为</w:t>
            </w:r>
            <w:r>
              <w:rPr>
                <w:rFonts w:hAnsi="宋体"/>
                <w:szCs w:val="21"/>
              </w:rPr>
              <w:t>0.192</w:t>
            </w:r>
            <w:r>
              <w:rPr>
                <w:rFonts w:cs="Times New Roman"/>
                <w:szCs w:val="21"/>
              </w:rPr>
              <w:t> </w:t>
            </w:r>
            <w:r>
              <w:rPr>
                <w:rFonts w:hAnsi="宋体"/>
                <w:szCs w:val="21"/>
              </w:rPr>
              <w:t>m³/d</w:t>
            </w:r>
            <w:r>
              <w:rPr>
                <w:rFonts w:hint="eastAsia" w:hAnsi="宋体"/>
                <w:szCs w:val="21"/>
              </w:rPr>
              <w:t>（</w:t>
            </w:r>
            <w:r>
              <w:rPr>
                <w:rFonts w:hAnsi="宋体"/>
                <w:szCs w:val="21"/>
              </w:rPr>
              <w:t>46.08</w:t>
            </w:r>
            <w:r>
              <w:rPr>
                <w:rFonts w:cs="Times New Roman"/>
                <w:szCs w:val="21"/>
              </w:rPr>
              <w:t> </w:t>
            </w:r>
            <w:r>
              <w:rPr>
                <w:rFonts w:hAnsi="宋体"/>
                <w:szCs w:val="21"/>
              </w:rPr>
              <w:t>m³/</w:t>
            </w:r>
            <w:r>
              <w:rPr>
                <w:rFonts w:hint="eastAsia" w:hAnsi="宋体"/>
                <w:szCs w:val="21"/>
              </w:rPr>
              <w:t>a），</w:t>
            </w:r>
            <w:r>
              <w:rPr>
                <w:rFonts w:hint="eastAsia"/>
                <w:color w:val="000000" w:themeColor="text1"/>
                <w14:textFill>
                  <w14:solidFill>
                    <w14:schemeClr w14:val="tx1"/>
                  </w14:solidFill>
                </w14:textFill>
              </w:rPr>
              <w:t>进入厂区化粪池（6m</w:t>
            </w:r>
            <w:r>
              <w:rPr>
                <w:rFonts w:hint="eastAsia"/>
                <w:color w:val="000000" w:themeColor="text1"/>
                <w:vertAlign w:val="superscript"/>
                <w14:textFill>
                  <w14:solidFill>
                    <w14:schemeClr w14:val="tx1"/>
                  </w14:solidFill>
                </w14:textFill>
              </w:rPr>
              <w:t>3</w:t>
            </w:r>
            <w:r>
              <w:rPr>
                <w:rFonts w:hint="eastAsia"/>
                <w:color w:val="000000" w:themeColor="text1"/>
                <w14:textFill>
                  <w14:solidFill>
                    <w14:schemeClr w14:val="tx1"/>
                  </w14:solidFill>
                </w14:textFill>
              </w:rPr>
              <w:t>）进行预处理后，定期由吸污车抽运至库尔勒市南市区污水处理厂处理</w:t>
            </w:r>
            <w:r>
              <w:rPr>
                <w:rFonts w:hint="eastAsia" w:hAnsi="宋体"/>
                <w:szCs w:val="21"/>
              </w:rPr>
              <w:t>，远大于本项目日排放量，具备充足的缓冲与暂存能力。经预处理后，废水水质满足《污水综合排放标准》（GB8978-1996）三级标准要求。由于污水产生量极小，清运频次可根据实际运行情况安排，定期由吸污车抽运至库尔勒市南市区污水处理厂进行集中处理。</w:t>
            </w:r>
          </w:p>
          <w:p w14:paraId="7DCD23D9">
            <w:pPr>
              <w:spacing w:line="336" w:lineRule="auto"/>
              <w:ind w:firstLine="480"/>
              <w:rPr>
                <w:rFonts w:hAnsi="宋体"/>
                <w:szCs w:val="21"/>
              </w:rPr>
            </w:pPr>
            <w:r>
              <w:rPr>
                <w:rFonts w:hint="eastAsia" w:hAnsi="宋体"/>
                <w:szCs w:val="21"/>
              </w:rPr>
              <w:t>库尔勒市南市区污水处理厂（由库尔勒龙润水处理有限公司运营），</w:t>
            </w:r>
            <w:r>
              <w:rPr>
                <w:rFonts w:cs="Times New Roman"/>
                <w:szCs w:val="21"/>
              </w:rPr>
              <w:t>位于</w:t>
            </w:r>
            <w:r>
              <w:rPr>
                <w:rFonts w:hint="eastAsia"/>
              </w:rPr>
              <w:t>库尔勒市哈拉玉宫</w:t>
            </w:r>
            <w:r>
              <w:rPr>
                <w:rFonts w:hint="eastAsia"/>
                <w:color w:val="000000" w:themeColor="text1"/>
                <w14:textFill>
                  <w14:solidFill>
                    <w14:schemeClr w14:val="tx1"/>
                  </w14:solidFill>
                </w14:textFill>
              </w:rPr>
              <w:t>乡</w:t>
            </w:r>
            <w:r>
              <w:rPr>
                <w:rFonts w:hint="eastAsia"/>
              </w:rPr>
              <w:t>废旧物资回收加工产业园</w:t>
            </w:r>
            <w:r>
              <w:rPr>
                <w:rFonts w:cs="Times New Roman"/>
                <w:szCs w:val="21"/>
              </w:rPr>
              <w:t>东侧约5.81km处，中心坐标为：经度86°9′44.382″</w:t>
            </w:r>
            <w:r>
              <w:rPr>
                <w:rFonts w:hint="eastAsia" w:cs="Times New Roman"/>
                <w:szCs w:val="21"/>
              </w:rPr>
              <w:t>，</w:t>
            </w:r>
            <w:r>
              <w:rPr>
                <w:rFonts w:cs="Times New Roman"/>
                <w:szCs w:val="21"/>
              </w:rPr>
              <w:t>纬度41°38′39.205″</w:t>
            </w:r>
            <w:r>
              <w:rPr>
                <w:rFonts w:hint="eastAsia" w:cs="Times New Roman"/>
                <w:szCs w:val="21"/>
              </w:rPr>
              <w:t>。</w:t>
            </w:r>
            <w:r>
              <w:rPr>
                <w:rFonts w:cs="Times New Roman"/>
                <w:szCs w:val="21"/>
              </w:rPr>
              <w:t>污</w:t>
            </w:r>
            <w:r>
              <w:rPr>
                <w:rFonts w:hint="eastAsia" w:hAnsi="宋体"/>
                <w:szCs w:val="21"/>
              </w:rPr>
              <w:t>水处理规模为10万m</w:t>
            </w:r>
            <w:r>
              <w:rPr>
                <w:rFonts w:hint="eastAsia" w:hAnsi="宋体"/>
                <w:szCs w:val="21"/>
                <w:vertAlign w:val="superscript"/>
              </w:rPr>
              <w:t>3</w:t>
            </w:r>
            <w:r>
              <w:rPr>
                <w:rFonts w:hint="eastAsia" w:hAnsi="宋体"/>
                <w:szCs w:val="21"/>
              </w:rPr>
              <w:t>/d，采用“粗细格栅+曝气沉砂池+调节池+气浮池+初沉池+水解酸化池+中沉池+改良A</w:t>
            </w:r>
            <w:r>
              <w:rPr>
                <w:rFonts w:hint="eastAsia" w:hAnsi="宋体"/>
                <w:szCs w:val="21"/>
                <w:vertAlign w:val="superscript"/>
              </w:rPr>
              <w:t>2</w:t>
            </w:r>
            <w:r>
              <w:rPr>
                <w:rFonts w:hint="eastAsia" w:hAnsi="宋体"/>
                <w:szCs w:val="21"/>
              </w:rPr>
              <w:t>/O生物池+二沉池+深度处理车间（混凝、沉淀、过滤）+臭氧接触池+曝气生物滤池+次氯酸钠溶液消毒”处理工艺，出水执行《城镇污水处理厂污染物排放标准》（GB18918-2002）中的一级A标准。库尔勒市南市区污水处理厂排污许可证编号：91652801MA77CJFF18001W，有效期2022年6月13日至2027年6月12日，于2022年8月11日通过自主验收。库尔勒市南市区污水处理厂现状废水处理量约5.4万m</w:t>
            </w:r>
            <w:r>
              <w:rPr>
                <w:rFonts w:hint="eastAsia" w:hAnsi="宋体"/>
                <w:szCs w:val="21"/>
                <w:vertAlign w:val="superscript"/>
              </w:rPr>
              <w:t>3</w:t>
            </w:r>
            <w:r>
              <w:rPr>
                <w:rFonts w:hint="eastAsia" w:hAnsi="宋体"/>
                <w:szCs w:val="21"/>
              </w:rPr>
              <w:t>/d，可满足产业园生活污水处理需求。</w:t>
            </w:r>
          </w:p>
          <w:p w14:paraId="41E54A59">
            <w:pPr>
              <w:ind w:firstLine="480"/>
              <w:rPr>
                <w:rFonts w:hAnsi="宋体"/>
                <w:szCs w:val="21"/>
              </w:rPr>
            </w:pPr>
            <w:r>
              <w:rPr>
                <w:rFonts w:hint="eastAsia" w:hAnsi="宋体"/>
                <w:szCs w:val="21"/>
              </w:rPr>
              <w:t>运输路线主要依托</w:t>
            </w:r>
            <w:r>
              <w:rPr>
                <w:rFonts w:hint="eastAsia"/>
              </w:rPr>
              <w:t>产业园</w:t>
            </w:r>
            <w:r>
              <w:rPr>
                <w:rFonts w:hint="eastAsia" w:hAnsi="宋体"/>
                <w:szCs w:val="21"/>
              </w:rPr>
              <w:t>对外连接的市政道路和城市主干道，交通便利，路况良好，运输距离短，单程运输时间约15分钟，吸污车可便捷通行，运行效率高。</w:t>
            </w:r>
          </w:p>
          <w:p w14:paraId="1461FE65">
            <w:pPr>
              <w:ind w:firstLine="480"/>
              <w:rPr>
                <w:rFonts w:hAnsi="宋体"/>
                <w:szCs w:val="21"/>
              </w:rPr>
            </w:pPr>
            <w:r>
              <w:rPr>
                <w:rFonts w:hint="eastAsia" w:hAnsi="宋体"/>
                <w:szCs w:val="21"/>
              </w:rPr>
              <w:t>目前已签订生活污水委托处理协议。清运过程将建立基础台账，记录每次清运时间、水量和接收确认信息，实现全过程可追溯，符合城市排水管理基本要求。</w:t>
            </w:r>
          </w:p>
          <w:p w14:paraId="0E6915CD">
            <w:pPr>
              <w:ind w:firstLine="480"/>
              <w:rPr>
                <w:rFonts w:hAnsi="宋体"/>
                <w:szCs w:val="21"/>
              </w:rPr>
            </w:pPr>
            <w:r>
              <w:rPr>
                <w:rFonts w:hint="eastAsia" w:hAnsi="宋体"/>
                <w:szCs w:val="21"/>
              </w:rPr>
              <w:t>综上所述，本项目生活污水量极小，化粪池容积充裕，运输距离短、路况良好、交通方便，依托库尔勒市南市区污水处理厂处理在技术、管理和空间条件上均具备可行性，方案合理、可靠。</w:t>
            </w:r>
          </w:p>
          <w:p w14:paraId="70761A48">
            <w:pPr>
              <w:ind w:firstLine="480"/>
              <w:rPr>
                <w:rFonts w:hAnsi="宋体"/>
                <w:szCs w:val="21"/>
              </w:rPr>
            </w:pPr>
            <w:r>
              <w:rPr>
                <w:rFonts w:hint="eastAsia" w:hAnsi="宋体"/>
                <w:szCs w:val="21"/>
              </w:rPr>
              <w:t>综上分析，本项目</w:t>
            </w:r>
            <w:r>
              <w:rPr>
                <w:rFonts w:hint="eastAsia"/>
              </w:rPr>
              <w:t>生活污水</w:t>
            </w:r>
            <w:r>
              <w:rPr>
                <w:rFonts w:hint="eastAsia" w:hAnsi="宋体"/>
                <w:szCs w:val="21"/>
              </w:rPr>
              <w:t>依托库尔勒市南市区污水处理厂处理可行。</w:t>
            </w:r>
          </w:p>
          <w:p w14:paraId="7DDB40ED">
            <w:pPr>
              <w:spacing w:line="379" w:lineRule="auto"/>
              <w:ind w:firstLine="480"/>
              <w:rPr>
                <w:szCs w:val="21"/>
              </w:rPr>
            </w:pPr>
            <w:r>
              <w:rPr>
                <w:rFonts w:hint="eastAsia"/>
                <w:szCs w:val="21"/>
              </w:rPr>
              <w:t>评价要求吸污车运输过程中须采取以下措施：</w:t>
            </w:r>
          </w:p>
          <w:p w14:paraId="5F56BF34">
            <w:pPr>
              <w:spacing w:line="379" w:lineRule="auto"/>
              <w:ind w:firstLine="480"/>
              <w:rPr>
                <w:color w:val="FF0000"/>
                <w:szCs w:val="21"/>
              </w:rPr>
            </w:pPr>
            <w:r>
              <w:rPr>
                <w:rFonts w:hint="eastAsia"/>
                <w:szCs w:val="21"/>
              </w:rPr>
              <w:t>①吸污过程中应防止</w:t>
            </w:r>
            <w:r>
              <w:rPr>
                <w:rFonts w:hint="eastAsia" w:hAnsi="宋体"/>
                <w:szCs w:val="21"/>
              </w:rPr>
              <w:t>生活污水</w:t>
            </w:r>
            <w:r>
              <w:rPr>
                <w:rFonts w:hint="eastAsia"/>
                <w:szCs w:val="21"/>
              </w:rPr>
              <w:t>“跑、冒、滴、漏”。</w:t>
            </w:r>
          </w:p>
          <w:p w14:paraId="1DF21884">
            <w:pPr>
              <w:spacing w:line="379" w:lineRule="auto"/>
              <w:ind w:firstLine="480"/>
              <w:rPr>
                <w:szCs w:val="21"/>
              </w:rPr>
            </w:pPr>
            <w:r>
              <w:rPr>
                <w:rFonts w:hint="eastAsia"/>
                <w:szCs w:val="21"/>
              </w:rPr>
              <w:t>②运输过程中应采用密闭、环保、高效的运输车辆，提高装备水平，采取全密闭箱体防止臭气外溢和渗滤液滴漏，减少运输过程中的二次污染；</w:t>
            </w:r>
          </w:p>
          <w:p w14:paraId="6BA345A2">
            <w:pPr>
              <w:spacing w:line="379" w:lineRule="auto"/>
              <w:ind w:firstLine="480"/>
              <w:rPr>
                <w:szCs w:val="21"/>
              </w:rPr>
            </w:pPr>
            <w:r>
              <w:rPr>
                <w:rFonts w:hint="eastAsia"/>
                <w:szCs w:val="21"/>
              </w:rPr>
              <w:t>③认真执行罐车巡检、回检以及维护、修理管理办法，保持罐车完整性。</w:t>
            </w:r>
          </w:p>
          <w:p w14:paraId="71B35534">
            <w:pPr>
              <w:spacing w:line="440" w:lineRule="exact"/>
              <w:ind w:firstLine="0" w:firstLineChars="0"/>
              <w:jc w:val="left"/>
              <w:rPr>
                <w:color w:val="000000" w:themeColor="text1"/>
                <w:kern w:val="0"/>
                <w14:textFill>
                  <w14:solidFill>
                    <w14:schemeClr w14:val="tx1"/>
                  </w14:solidFill>
                </w14:textFill>
              </w:rPr>
            </w:pPr>
            <w:r>
              <w:rPr>
                <w:rFonts w:hint="eastAsia"/>
                <w:b/>
                <w:bCs/>
              </w:rPr>
              <w:t>4</w:t>
            </w:r>
            <w:r>
              <w:rPr>
                <w:b/>
                <w:bCs/>
              </w:rPr>
              <w:t>.2.</w:t>
            </w:r>
            <w:r>
              <w:rPr>
                <w:rFonts w:hint="eastAsia"/>
                <w:b/>
                <w:bCs/>
              </w:rPr>
              <w:t>3噪声环境影响与评价</w:t>
            </w:r>
          </w:p>
          <w:p w14:paraId="07D8A7C0">
            <w:pPr>
              <w:pStyle w:val="4"/>
              <w:ind w:firstLine="480"/>
              <w:rPr>
                <w:b w:val="0"/>
                <w:bCs w:val="0"/>
                <w:szCs w:val="24"/>
                <w:lang w:bidi="ar"/>
              </w:rPr>
            </w:pPr>
            <w:r>
              <w:rPr>
                <w:b w:val="0"/>
                <w:bCs w:val="0"/>
                <w:szCs w:val="24"/>
                <w:lang w:bidi="ar"/>
              </w:rPr>
              <w:t>（1）噪声污染源</w:t>
            </w:r>
          </w:p>
          <w:p w14:paraId="1DA82DF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建成运行后，主要噪声源为清水漂洗分离槽、破碎机、甩干机、空分机粉碎机、圆滚筒等设备运行产生的噪声。通过设置基础减振、加强设备检修与维护、合理布局以及厂区绿化等措施，可有效降低噪声影响。采用上述方法，能够确保厂界噪声达到相关标准要求。</w:t>
            </w:r>
            <w:r>
              <w:rPr>
                <w:lang w:bidi="ar"/>
              </w:rPr>
              <w:t>噪声源强为70~95</w:t>
            </w:r>
            <w:r>
              <w:rPr>
                <w:spacing w:val="-2"/>
              </w:rPr>
              <w:t>dB</w:t>
            </w:r>
            <w:r>
              <w:rPr>
                <w:rFonts w:hint="eastAsia"/>
                <w:spacing w:val="-2"/>
              </w:rPr>
              <w:t>（</w:t>
            </w:r>
            <w:r>
              <w:rPr>
                <w:spacing w:val="-2"/>
              </w:rPr>
              <w:t>A</w:t>
            </w:r>
            <w:r>
              <w:rPr>
                <w:rFonts w:hint="eastAsia"/>
                <w:spacing w:val="-2"/>
              </w:rPr>
              <w:t>）。</w:t>
            </w:r>
          </w:p>
          <w:p w14:paraId="57F845EE">
            <w:pPr>
              <w:spacing w:line="240" w:lineRule="auto"/>
              <w:ind w:firstLine="422"/>
              <w:jc w:val="center"/>
              <w:rPr>
                <w:rFonts w:cs="Times New Roman"/>
                <w:b/>
                <w:bCs/>
                <w:sz w:val="21"/>
                <w:szCs w:val="21"/>
              </w:rPr>
            </w:pPr>
            <w:r>
              <w:rPr>
                <w:rFonts w:cs="Times New Roman"/>
                <w:b/>
                <w:bCs/>
                <w:sz w:val="21"/>
                <w:szCs w:val="21"/>
              </w:rPr>
              <w:t>表4-6  工业企业噪声源强调查清单（室内声源）</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09"/>
              <w:gridCol w:w="409"/>
              <w:gridCol w:w="574"/>
              <w:gridCol w:w="419"/>
              <w:gridCol w:w="354"/>
              <w:gridCol w:w="256"/>
              <w:gridCol w:w="352"/>
              <w:gridCol w:w="352"/>
              <w:gridCol w:w="352"/>
              <w:gridCol w:w="352"/>
              <w:gridCol w:w="352"/>
              <w:gridCol w:w="352"/>
              <w:gridCol w:w="352"/>
              <w:gridCol w:w="352"/>
              <w:gridCol w:w="409"/>
              <w:gridCol w:w="352"/>
              <w:gridCol w:w="352"/>
              <w:gridCol w:w="352"/>
              <w:gridCol w:w="352"/>
              <w:gridCol w:w="352"/>
              <w:gridCol w:w="352"/>
              <w:gridCol w:w="353"/>
              <w:gridCol w:w="353"/>
              <w:gridCol w:w="215"/>
            </w:tblGrid>
            <w:tr w14:paraId="2FCC03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326" w:hRule="exact"/>
              </w:trPr>
              <w:tc>
                <w:tcPr>
                  <w:tcW w:w="239" w:type="pct"/>
                  <w:vMerge w:val="restart"/>
                  <w:vAlign w:val="center"/>
                </w:tcPr>
                <w:p w14:paraId="0149EEA9">
                  <w:pPr>
                    <w:spacing w:line="240" w:lineRule="auto"/>
                    <w:ind w:firstLine="0" w:firstLineChars="0"/>
                    <w:jc w:val="center"/>
                    <w:rPr>
                      <w:rFonts w:cs="Times New Roman"/>
                      <w:sz w:val="21"/>
                      <w:szCs w:val="21"/>
                    </w:rPr>
                  </w:pPr>
                  <w:bookmarkStart w:id="18" w:name="PT_6"/>
                  <w:r>
                    <w:rPr>
                      <w:rFonts w:hint="eastAsia" w:cs="Times New Roman"/>
                      <w:sz w:val="21"/>
                      <w:szCs w:val="21"/>
                    </w:rPr>
                    <w:t>序号</w:t>
                  </w:r>
                </w:p>
              </w:tc>
              <w:tc>
                <w:tcPr>
                  <w:tcW w:w="239" w:type="pct"/>
                  <w:vMerge w:val="restart"/>
                  <w:vAlign w:val="center"/>
                </w:tcPr>
                <w:p w14:paraId="4465628D">
                  <w:pPr>
                    <w:spacing w:line="240" w:lineRule="auto"/>
                    <w:ind w:firstLine="0" w:firstLineChars="0"/>
                    <w:jc w:val="center"/>
                    <w:rPr>
                      <w:rFonts w:cs="Times New Roman"/>
                      <w:sz w:val="21"/>
                      <w:szCs w:val="21"/>
                    </w:rPr>
                  </w:pPr>
                  <w:r>
                    <w:rPr>
                      <w:rFonts w:hint="eastAsia" w:cs="Times New Roman"/>
                      <w:sz w:val="21"/>
                      <w:szCs w:val="21"/>
                    </w:rPr>
                    <w:t>声源名称</w:t>
                  </w:r>
                </w:p>
              </w:tc>
              <w:tc>
                <w:tcPr>
                  <w:tcW w:w="334" w:type="pct"/>
                  <w:vAlign w:val="center"/>
                </w:tcPr>
                <w:p w14:paraId="2B4E7797">
                  <w:pPr>
                    <w:spacing w:line="240" w:lineRule="auto"/>
                    <w:ind w:firstLine="0" w:firstLineChars="0"/>
                    <w:jc w:val="center"/>
                    <w:rPr>
                      <w:rFonts w:cs="Times New Roman"/>
                      <w:sz w:val="21"/>
                      <w:szCs w:val="21"/>
                    </w:rPr>
                  </w:pPr>
                  <w:r>
                    <w:rPr>
                      <w:rFonts w:hint="eastAsia" w:cs="Times New Roman"/>
                      <w:sz w:val="21"/>
                      <w:szCs w:val="21"/>
                    </w:rPr>
                    <w:t>声源源强</w:t>
                  </w:r>
                </w:p>
              </w:tc>
              <w:tc>
                <w:tcPr>
                  <w:tcW w:w="560" w:type="pct"/>
                  <w:gridSpan w:val="3"/>
                  <w:vAlign w:val="center"/>
                </w:tcPr>
                <w:p w14:paraId="704765BC">
                  <w:pPr>
                    <w:spacing w:line="240" w:lineRule="auto"/>
                    <w:ind w:firstLine="0" w:firstLineChars="0"/>
                    <w:jc w:val="center"/>
                    <w:rPr>
                      <w:rFonts w:cs="Times New Roman"/>
                      <w:sz w:val="21"/>
                      <w:szCs w:val="21"/>
                    </w:rPr>
                  </w:pPr>
                  <w:r>
                    <w:rPr>
                      <w:rFonts w:hint="eastAsia" w:cs="Times New Roman"/>
                      <w:sz w:val="21"/>
                      <w:szCs w:val="21"/>
                    </w:rPr>
                    <w:t>空间相对位置</w:t>
                  </w:r>
                  <w:r>
                    <w:rPr>
                      <w:rFonts w:cs="Times New Roman"/>
                      <w:sz w:val="21"/>
                      <w:szCs w:val="21"/>
                    </w:rPr>
                    <w:t>/m</w:t>
                  </w:r>
                </w:p>
              </w:tc>
              <w:tc>
                <w:tcPr>
                  <w:tcW w:w="817" w:type="pct"/>
                  <w:gridSpan w:val="4"/>
                  <w:vAlign w:val="center"/>
                </w:tcPr>
                <w:p w14:paraId="7E16D28E">
                  <w:pPr>
                    <w:spacing w:line="240" w:lineRule="auto"/>
                    <w:ind w:firstLine="0" w:firstLineChars="0"/>
                    <w:jc w:val="center"/>
                    <w:rPr>
                      <w:rFonts w:cs="Times New Roman"/>
                      <w:sz w:val="21"/>
                      <w:szCs w:val="21"/>
                    </w:rPr>
                  </w:pPr>
                  <w:r>
                    <w:rPr>
                      <w:rFonts w:hint="eastAsia" w:cs="Times New Roman"/>
                      <w:sz w:val="21"/>
                      <w:szCs w:val="21"/>
                    </w:rPr>
                    <w:t>距室内边界距离</w:t>
                  </w:r>
                  <w:r>
                    <w:rPr>
                      <w:rFonts w:cs="Times New Roman"/>
                      <w:sz w:val="21"/>
                      <w:szCs w:val="21"/>
                    </w:rPr>
                    <w:t>/m</w:t>
                  </w:r>
                </w:p>
              </w:tc>
              <w:tc>
                <w:tcPr>
                  <w:tcW w:w="817" w:type="pct"/>
                  <w:gridSpan w:val="4"/>
                  <w:vAlign w:val="center"/>
                </w:tcPr>
                <w:p w14:paraId="4C989C21">
                  <w:pPr>
                    <w:spacing w:line="240" w:lineRule="auto"/>
                    <w:ind w:firstLine="0" w:firstLineChars="0"/>
                    <w:jc w:val="center"/>
                    <w:rPr>
                      <w:rFonts w:cs="Times New Roman"/>
                      <w:sz w:val="21"/>
                      <w:szCs w:val="21"/>
                    </w:rPr>
                  </w:pPr>
                  <w:r>
                    <w:rPr>
                      <w:rFonts w:hint="eastAsia" w:cs="Times New Roman"/>
                      <w:sz w:val="21"/>
                      <w:szCs w:val="21"/>
                    </w:rPr>
                    <w:t>室内边界声级</w:t>
                  </w:r>
                  <w:r>
                    <w:rPr>
                      <w:rFonts w:cs="Times New Roman"/>
                      <w:sz w:val="21"/>
                      <w:szCs w:val="21"/>
                    </w:rPr>
                    <w:t>/dB(A)</w:t>
                  </w:r>
                </w:p>
              </w:tc>
              <w:tc>
                <w:tcPr>
                  <w:tcW w:w="238" w:type="pct"/>
                  <w:vMerge w:val="restart"/>
                  <w:vAlign w:val="center"/>
                </w:tcPr>
                <w:p w14:paraId="15AA7249">
                  <w:pPr>
                    <w:spacing w:line="240" w:lineRule="auto"/>
                    <w:ind w:firstLine="0" w:firstLineChars="0"/>
                    <w:jc w:val="center"/>
                    <w:rPr>
                      <w:rFonts w:cs="Times New Roman"/>
                      <w:sz w:val="21"/>
                      <w:szCs w:val="21"/>
                    </w:rPr>
                  </w:pPr>
                  <w:r>
                    <w:rPr>
                      <w:rFonts w:hint="eastAsia" w:cs="Times New Roman"/>
                      <w:sz w:val="21"/>
                      <w:szCs w:val="21"/>
                    </w:rPr>
                    <w:t>运行时段</w:t>
                  </w:r>
                </w:p>
              </w:tc>
              <w:tc>
                <w:tcPr>
                  <w:tcW w:w="817" w:type="pct"/>
                  <w:gridSpan w:val="4"/>
                  <w:vAlign w:val="center"/>
                </w:tcPr>
                <w:p w14:paraId="46EF1B42">
                  <w:pPr>
                    <w:spacing w:line="240" w:lineRule="auto"/>
                    <w:ind w:firstLine="0" w:firstLineChars="0"/>
                    <w:jc w:val="center"/>
                    <w:rPr>
                      <w:rFonts w:cs="Times New Roman"/>
                      <w:sz w:val="21"/>
                      <w:szCs w:val="21"/>
                    </w:rPr>
                  </w:pPr>
                  <w:r>
                    <w:rPr>
                      <w:rFonts w:hint="eastAsia" w:cs="Times New Roman"/>
                      <w:sz w:val="21"/>
                      <w:szCs w:val="21"/>
                    </w:rPr>
                    <w:t>建筑物插入损失</w:t>
                  </w:r>
                  <w:r>
                    <w:rPr>
                      <w:rFonts w:cs="Times New Roman"/>
                      <w:sz w:val="21"/>
                      <w:szCs w:val="21"/>
                    </w:rPr>
                    <w:t xml:space="preserve"> / dB(A)</w:t>
                  </w:r>
                  <w:bookmarkStart w:id="19" w:name="PT_10"/>
                  <w:bookmarkEnd w:id="19"/>
                </w:p>
              </w:tc>
              <w:tc>
                <w:tcPr>
                  <w:tcW w:w="940" w:type="pct"/>
                  <w:gridSpan w:val="5"/>
                  <w:vAlign w:val="center"/>
                </w:tcPr>
                <w:p w14:paraId="5DF58A6B">
                  <w:pPr>
                    <w:spacing w:line="240" w:lineRule="auto"/>
                    <w:ind w:firstLine="0" w:firstLineChars="0"/>
                    <w:jc w:val="center"/>
                    <w:rPr>
                      <w:rFonts w:cs="Times New Roman"/>
                      <w:sz w:val="21"/>
                      <w:szCs w:val="21"/>
                    </w:rPr>
                  </w:pPr>
                  <w:r>
                    <w:rPr>
                      <w:rFonts w:hint="eastAsia" w:cs="Times New Roman"/>
                      <w:sz w:val="21"/>
                      <w:szCs w:val="21"/>
                    </w:rPr>
                    <w:t>建筑物外噪声声压级</w:t>
                  </w:r>
                  <w:r>
                    <w:rPr>
                      <w:rFonts w:cs="Times New Roman"/>
                      <w:sz w:val="21"/>
                      <w:szCs w:val="21"/>
                    </w:rPr>
                    <w:t>/dB(A)</w:t>
                  </w:r>
                </w:p>
              </w:tc>
            </w:tr>
            <w:tr w14:paraId="45E42F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vMerge w:val="continue"/>
                  <w:vAlign w:val="center"/>
                </w:tcPr>
                <w:p w14:paraId="40B82D78">
                  <w:pPr>
                    <w:spacing w:line="240" w:lineRule="auto"/>
                    <w:ind w:firstLine="0" w:firstLineChars="0"/>
                    <w:jc w:val="center"/>
                    <w:rPr>
                      <w:rFonts w:cs="Times New Roman"/>
                      <w:sz w:val="21"/>
                      <w:szCs w:val="21"/>
                    </w:rPr>
                  </w:pPr>
                </w:p>
              </w:tc>
              <w:tc>
                <w:tcPr>
                  <w:tcW w:w="239" w:type="pct"/>
                  <w:vMerge w:val="continue"/>
                  <w:vAlign w:val="center"/>
                </w:tcPr>
                <w:p w14:paraId="67F97084">
                  <w:pPr>
                    <w:spacing w:line="240" w:lineRule="auto"/>
                    <w:ind w:firstLine="0" w:firstLineChars="0"/>
                    <w:jc w:val="center"/>
                    <w:rPr>
                      <w:rFonts w:cs="Times New Roman"/>
                      <w:sz w:val="21"/>
                      <w:szCs w:val="21"/>
                    </w:rPr>
                  </w:pPr>
                </w:p>
              </w:tc>
              <w:tc>
                <w:tcPr>
                  <w:tcW w:w="334" w:type="pct"/>
                  <w:shd w:val="clear" w:color="auto" w:fill="FFFFFF"/>
                  <w:tcMar>
                    <w:top w:w="0" w:type="dxa"/>
                    <w:left w:w="0" w:type="dxa"/>
                    <w:bottom w:w="0" w:type="dxa"/>
                    <w:right w:w="0" w:type="dxa"/>
                  </w:tcMar>
                  <w:vAlign w:val="center"/>
                </w:tcPr>
                <w:p w14:paraId="2D377396">
                  <w:pPr>
                    <w:spacing w:line="240" w:lineRule="auto"/>
                    <w:ind w:firstLine="0" w:firstLineChars="0"/>
                    <w:jc w:val="center"/>
                    <w:rPr>
                      <w:rFonts w:cs="Times New Roman"/>
                      <w:sz w:val="21"/>
                      <w:szCs w:val="21"/>
                    </w:rPr>
                  </w:pPr>
                  <w:r>
                    <w:rPr>
                      <w:rFonts w:hint="eastAsia" w:cs="Times New Roman"/>
                      <w:sz w:val="21"/>
                      <w:szCs w:val="21"/>
                    </w:rPr>
                    <w:t>声功率级</w:t>
                  </w:r>
                  <w:r>
                    <w:rPr>
                      <w:rFonts w:cs="Times New Roman"/>
                      <w:sz w:val="21"/>
                      <w:szCs w:val="21"/>
                    </w:rPr>
                    <w:t>/dB(A)</w:t>
                  </w:r>
                </w:p>
              </w:tc>
              <w:tc>
                <w:tcPr>
                  <w:tcW w:w="213" w:type="pct"/>
                  <w:shd w:val="clear" w:color="auto" w:fill="FFFFFF"/>
                  <w:tcMar>
                    <w:top w:w="0" w:type="dxa"/>
                    <w:left w:w="0" w:type="dxa"/>
                    <w:bottom w:w="0" w:type="dxa"/>
                    <w:right w:w="0" w:type="dxa"/>
                  </w:tcMar>
                  <w:vAlign w:val="center"/>
                </w:tcPr>
                <w:p w14:paraId="6FA14289">
                  <w:pPr>
                    <w:spacing w:line="240" w:lineRule="auto"/>
                    <w:ind w:firstLine="0" w:firstLineChars="0"/>
                    <w:jc w:val="center"/>
                    <w:rPr>
                      <w:rFonts w:cs="Times New Roman"/>
                      <w:sz w:val="21"/>
                      <w:szCs w:val="21"/>
                    </w:rPr>
                  </w:pPr>
                  <w:r>
                    <w:rPr>
                      <w:rFonts w:cs="Times New Roman"/>
                      <w:sz w:val="21"/>
                      <w:szCs w:val="21"/>
                    </w:rPr>
                    <w:t>X</w:t>
                  </w:r>
                </w:p>
              </w:tc>
              <w:tc>
                <w:tcPr>
                  <w:tcW w:w="201" w:type="pct"/>
                  <w:shd w:val="clear" w:color="auto" w:fill="FFFFFF"/>
                  <w:tcMar>
                    <w:top w:w="0" w:type="dxa"/>
                    <w:left w:w="0" w:type="dxa"/>
                    <w:bottom w:w="0" w:type="dxa"/>
                    <w:right w:w="0" w:type="dxa"/>
                  </w:tcMar>
                  <w:vAlign w:val="center"/>
                </w:tcPr>
                <w:p w14:paraId="188276E3">
                  <w:pPr>
                    <w:spacing w:line="240" w:lineRule="auto"/>
                    <w:ind w:firstLine="0" w:firstLineChars="0"/>
                    <w:jc w:val="center"/>
                    <w:rPr>
                      <w:rFonts w:cs="Times New Roman"/>
                      <w:sz w:val="21"/>
                      <w:szCs w:val="21"/>
                    </w:rPr>
                  </w:pPr>
                  <w:r>
                    <w:rPr>
                      <w:rFonts w:cs="Times New Roman"/>
                      <w:sz w:val="21"/>
                      <w:szCs w:val="21"/>
                    </w:rPr>
                    <w:t>Y</w:t>
                  </w:r>
                </w:p>
              </w:tc>
              <w:tc>
                <w:tcPr>
                  <w:tcW w:w="146" w:type="pct"/>
                  <w:shd w:val="clear" w:color="auto" w:fill="FFFFFF"/>
                  <w:tcMar>
                    <w:top w:w="0" w:type="dxa"/>
                    <w:left w:w="0" w:type="dxa"/>
                    <w:bottom w:w="0" w:type="dxa"/>
                    <w:right w:w="0" w:type="dxa"/>
                  </w:tcMar>
                  <w:vAlign w:val="center"/>
                </w:tcPr>
                <w:p w14:paraId="60179258">
                  <w:pPr>
                    <w:spacing w:line="240" w:lineRule="auto"/>
                    <w:ind w:firstLine="0" w:firstLineChars="0"/>
                    <w:jc w:val="center"/>
                    <w:rPr>
                      <w:rFonts w:cs="Times New Roman"/>
                      <w:sz w:val="21"/>
                      <w:szCs w:val="21"/>
                    </w:rPr>
                  </w:pPr>
                  <w:r>
                    <w:rPr>
                      <w:rFonts w:cs="Times New Roman"/>
                      <w:sz w:val="21"/>
                      <w:szCs w:val="21"/>
                    </w:rPr>
                    <w:t>Z</w:t>
                  </w:r>
                </w:p>
              </w:tc>
              <w:tc>
                <w:tcPr>
                  <w:tcW w:w="213" w:type="pct"/>
                  <w:shd w:val="clear" w:color="auto" w:fill="FFFFFF"/>
                  <w:tcMar>
                    <w:top w:w="0" w:type="dxa"/>
                    <w:left w:w="0" w:type="dxa"/>
                    <w:bottom w:w="0" w:type="dxa"/>
                    <w:right w:w="0" w:type="dxa"/>
                  </w:tcMar>
                  <w:vAlign w:val="center"/>
                </w:tcPr>
                <w:p w14:paraId="0356166F">
                  <w:pPr>
                    <w:spacing w:line="240" w:lineRule="auto"/>
                    <w:ind w:firstLine="0" w:firstLineChars="0"/>
                    <w:jc w:val="center"/>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14:paraId="18A75959">
                  <w:pPr>
                    <w:spacing w:line="240" w:lineRule="auto"/>
                    <w:ind w:firstLine="0" w:firstLineChars="0"/>
                    <w:jc w:val="center"/>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14:paraId="671B6793">
                  <w:pPr>
                    <w:spacing w:line="240" w:lineRule="auto"/>
                    <w:ind w:firstLine="0" w:firstLineChars="0"/>
                    <w:jc w:val="center"/>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14:paraId="21614DBE">
                  <w:pPr>
                    <w:spacing w:line="240" w:lineRule="auto"/>
                    <w:ind w:firstLine="0" w:firstLineChars="0"/>
                    <w:jc w:val="center"/>
                    <w:rPr>
                      <w:rFonts w:cs="Times New Roman"/>
                      <w:sz w:val="21"/>
                      <w:szCs w:val="21"/>
                    </w:rPr>
                  </w:pPr>
                  <w:r>
                    <w:rPr>
                      <w:rFonts w:hint="eastAsia" w:cs="Times New Roman"/>
                      <w:sz w:val="21"/>
                      <w:szCs w:val="21"/>
                    </w:rPr>
                    <w:t>北</w:t>
                  </w:r>
                </w:p>
              </w:tc>
              <w:tc>
                <w:tcPr>
                  <w:tcW w:w="213" w:type="pct"/>
                  <w:shd w:val="clear" w:color="auto" w:fill="FFFFFF"/>
                  <w:tcMar>
                    <w:top w:w="0" w:type="dxa"/>
                    <w:left w:w="0" w:type="dxa"/>
                    <w:bottom w:w="0" w:type="dxa"/>
                    <w:right w:w="0" w:type="dxa"/>
                  </w:tcMar>
                  <w:vAlign w:val="center"/>
                </w:tcPr>
                <w:p w14:paraId="2CF0359C">
                  <w:pPr>
                    <w:spacing w:line="240" w:lineRule="auto"/>
                    <w:ind w:firstLine="0" w:firstLineChars="0"/>
                    <w:jc w:val="center"/>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14:paraId="1645755F">
                  <w:pPr>
                    <w:spacing w:line="240" w:lineRule="auto"/>
                    <w:ind w:firstLine="0" w:firstLineChars="0"/>
                    <w:jc w:val="center"/>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14:paraId="01B46CDF">
                  <w:pPr>
                    <w:spacing w:line="240" w:lineRule="auto"/>
                    <w:ind w:firstLine="0" w:firstLineChars="0"/>
                    <w:jc w:val="center"/>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14:paraId="01C152B3">
                  <w:pPr>
                    <w:spacing w:line="240" w:lineRule="auto"/>
                    <w:ind w:firstLine="0" w:firstLineChars="0"/>
                    <w:jc w:val="center"/>
                    <w:rPr>
                      <w:rFonts w:cs="Times New Roman"/>
                      <w:sz w:val="21"/>
                      <w:szCs w:val="21"/>
                    </w:rPr>
                  </w:pPr>
                  <w:r>
                    <w:rPr>
                      <w:rFonts w:hint="eastAsia" w:cs="Times New Roman"/>
                      <w:sz w:val="21"/>
                      <w:szCs w:val="21"/>
                    </w:rPr>
                    <w:t>北</w:t>
                  </w:r>
                </w:p>
              </w:tc>
              <w:tc>
                <w:tcPr>
                  <w:tcW w:w="238" w:type="pct"/>
                  <w:vMerge w:val="continue"/>
                  <w:vAlign w:val="center"/>
                </w:tcPr>
                <w:p w14:paraId="708E4C88">
                  <w:pPr>
                    <w:spacing w:line="240" w:lineRule="auto"/>
                    <w:ind w:firstLine="0" w:firstLineChars="0"/>
                    <w:jc w:val="center"/>
                    <w:rPr>
                      <w:rFonts w:cs="Times New Roman"/>
                      <w:sz w:val="21"/>
                      <w:szCs w:val="21"/>
                    </w:rPr>
                  </w:pPr>
                </w:p>
              </w:tc>
              <w:tc>
                <w:tcPr>
                  <w:tcW w:w="213" w:type="pct"/>
                  <w:shd w:val="clear" w:color="auto" w:fill="FFFFFF"/>
                  <w:tcMar>
                    <w:top w:w="0" w:type="dxa"/>
                    <w:left w:w="0" w:type="dxa"/>
                    <w:bottom w:w="0" w:type="dxa"/>
                    <w:right w:w="0" w:type="dxa"/>
                  </w:tcMar>
                  <w:vAlign w:val="center"/>
                </w:tcPr>
                <w:p w14:paraId="1E1AF464">
                  <w:pPr>
                    <w:spacing w:line="240" w:lineRule="auto"/>
                    <w:ind w:firstLine="0" w:firstLineChars="0"/>
                    <w:jc w:val="center"/>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14:paraId="0B1E5D66">
                  <w:pPr>
                    <w:spacing w:line="240" w:lineRule="auto"/>
                    <w:ind w:firstLine="0" w:firstLineChars="0"/>
                    <w:jc w:val="center"/>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14:paraId="26F1C6F5">
                  <w:pPr>
                    <w:spacing w:line="240" w:lineRule="auto"/>
                    <w:ind w:firstLine="0" w:firstLineChars="0"/>
                    <w:jc w:val="center"/>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14:paraId="246A619F">
                  <w:pPr>
                    <w:spacing w:line="240" w:lineRule="auto"/>
                    <w:ind w:firstLine="0" w:firstLineChars="0"/>
                    <w:jc w:val="center"/>
                    <w:rPr>
                      <w:rFonts w:cs="Times New Roman"/>
                      <w:sz w:val="21"/>
                      <w:szCs w:val="21"/>
                    </w:rPr>
                  </w:pPr>
                  <w:r>
                    <w:rPr>
                      <w:rFonts w:hint="eastAsia" w:cs="Times New Roman"/>
                      <w:sz w:val="21"/>
                      <w:szCs w:val="21"/>
                    </w:rPr>
                    <w:t>北</w:t>
                  </w:r>
                </w:p>
              </w:tc>
              <w:tc>
                <w:tcPr>
                  <w:tcW w:w="213" w:type="pct"/>
                  <w:shd w:val="clear" w:color="auto" w:fill="FFFFFF"/>
                  <w:tcMar>
                    <w:top w:w="0" w:type="dxa"/>
                    <w:left w:w="0" w:type="dxa"/>
                    <w:bottom w:w="0" w:type="dxa"/>
                    <w:right w:w="0" w:type="dxa"/>
                  </w:tcMar>
                  <w:vAlign w:val="center"/>
                </w:tcPr>
                <w:p w14:paraId="202FE894">
                  <w:pPr>
                    <w:spacing w:line="240" w:lineRule="auto"/>
                    <w:ind w:firstLine="0" w:firstLineChars="0"/>
                    <w:jc w:val="center"/>
                    <w:rPr>
                      <w:rFonts w:cs="Times New Roman"/>
                      <w:sz w:val="21"/>
                      <w:szCs w:val="21"/>
                    </w:rPr>
                  </w:pPr>
                  <w:r>
                    <w:rPr>
                      <w:rFonts w:hint="eastAsia" w:cs="Times New Roman"/>
                      <w:sz w:val="21"/>
                      <w:szCs w:val="21"/>
                    </w:rPr>
                    <w:t>东</w:t>
                  </w:r>
                </w:p>
              </w:tc>
              <w:tc>
                <w:tcPr>
                  <w:tcW w:w="201" w:type="pct"/>
                  <w:shd w:val="clear" w:color="auto" w:fill="FFFFFF"/>
                  <w:tcMar>
                    <w:top w:w="0" w:type="dxa"/>
                    <w:left w:w="0" w:type="dxa"/>
                    <w:bottom w:w="0" w:type="dxa"/>
                    <w:right w:w="0" w:type="dxa"/>
                  </w:tcMar>
                  <w:vAlign w:val="center"/>
                </w:tcPr>
                <w:p w14:paraId="68FA4B1B">
                  <w:pPr>
                    <w:spacing w:line="240" w:lineRule="auto"/>
                    <w:ind w:firstLine="0" w:firstLineChars="0"/>
                    <w:jc w:val="center"/>
                    <w:rPr>
                      <w:rFonts w:cs="Times New Roman"/>
                      <w:sz w:val="21"/>
                      <w:szCs w:val="21"/>
                    </w:rPr>
                  </w:pPr>
                  <w:r>
                    <w:rPr>
                      <w:rFonts w:hint="eastAsia" w:cs="Times New Roman"/>
                      <w:sz w:val="21"/>
                      <w:szCs w:val="21"/>
                    </w:rPr>
                    <w:t>南</w:t>
                  </w:r>
                </w:p>
              </w:tc>
              <w:tc>
                <w:tcPr>
                  <w:tcW w:w="201" w:type="pct"/>
                  <w:shd w:val="clear" w:color="auto" w:fill="FFFFFF"/>
                  <w:tcMar>
                    <w:top w:w="0" w:type="dxa"/>
                    <w:left w:w="0" w:type="dxa"/>
                    <w:bottom w:w="0" w:type="dxa"/>
                    <w:right w:w="0" w:type="dxa"/>
                  </w:tcMar>
                  <w:vAlign w:val="center"/>
                </w:tcPr>
                <w:p w14:paraId="652046BD">
                  <w:pPr>
                    <w:spacing w:line="240" w:lineRule="auto"/>
                    <w:ind w:firstLine="0" w:firstLineChars="0"/>
                    <w:jc w:val="center"/>
                    <w:rPr>
                      <w:rFonts w:cs="Times New Roman"/>
                      <w:sz w:val="21"/>
                      <w:szCs w:val="21"/>
                    </w:rPr>
                  </w:pPr>
                  <w:r>
                    <w:rPr>
                      <w:rFonts w:hint="eastAsia" w:cs="Times New Roman"/>
                      <w:sz w:val="21"/>
                      <w:szCs w:val="21"/>
                    </w:rPr>
                    <w:t>西</w:t>
                  </w:r>
                </w:p>
              </w:tc>
              <w:tc>
                <w:tcPr>
                  <w:tcW w:w="201" w:type="pct"/>
                  <w:shd w:val="clear" w:color="auto" w:fill="FFFFFF"/>
                  <w:tcMar>
                    <w:top w:w="0" w:type="dxa"/>
                    <w:left w:w="0" w:type="dxa"/>
                    <w:bottom w:w="0" w:type="dxa"/>
                    <w:right w:w="0" w:type="dxa"/>
                  </w:tcMar>
                  <w:vAlign w:val="center"/>
                </w:tcPr>
                <w:p w14:paraId="2246AB23">
                  <w:pPr>
                    <w:spacing w:line="240" w:lineRule="auto"/>
                    <w:ind w:firstLine="0" w:firstLineChars="0"/>
                    <w:jc w:val="center"/>
                    <w:rPr>
                      <w:rFonts w:cs="Times New Roman"/>
                      <w:sz w:val="21"/>
                      <w:szCs w:val="21"/>
                    </w:rPr>
                  </w:pPr>
                  <w:r>
                    <w:rPr>
                      <w:rFonts w:hint="eastAsia" w:cs="Times New Roman"/>
                      <w:sz w:val="21"/>
                      <w:szCs w:val="21"/>
                    </w:rPr>
                    <w:t>北</w:t>
                  </w:r>
                </w:p>
              </w:tc>
              <w:tc>
                <w:tcPr>
                  <w:tcW w:w="123" w:type="pct"/>
                  <w:shd w:val="clear" w:color="auto" w:fill="FFFFFF"/>
                  <w:tcMar>
                    <w:top w:w="0" w:type="dxa"/>
                    <w:left w:w="0" w:type="dxa"/>
                    <w:bottom w:w="0" w:type="dxa"/>
                    <w:right w:w="0" w:type="dxa"/>
                  </w:tcMar>
                  <w:vAlign w:val="center"/>
                </w:tcPr>
                <w:p w14:paraId="0C201577">
                  <w:pPr>
                    <w:spacing w:line="240" w:lineRule="auto"/>
                    <w:ind w:firstLine="0" w:firstLineChars="0"/>
                    <w:jc w:val="center"/>
                    <w:rPr>
                      <w:rFonts w:cs="Times New Roman"/>
                      <w:sz w:val="21"/>
                      <w:szCs w:val="21"/>
                    </w:rPr>
                  </w:pPr>
                  <w:r>
                    <w:rPr>
                      <w:rFonts w:hint="eastAsia" w:cs="Times New Roman"/>
                      <w:sz w:val="21"/>
                      <w:szCs w:val="21"/>
                    </w:rPr>
                    <w:t>建筑物外距离</w:t>
                  </w:r>
                </w:p>
              </w:tc>
            </w:tr>
            <w:tr w14:paraId="5A439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5DEFCD1D">
                  <w:pPr>
                    <w:spacing w:line="240" w:lineRule="auto"/>
                    <w:ind w:firstLine="0" w:firstLineChars="0"/>
                    <w:jc w:val="center"/>
                    <w:rPr>
                      <w:rFonts w:cs="Times New Roman"/>
                      <w:sz w:val="21"/>
                      <w:szCs w:val="21"/>
                    </w:rPr>
                  </w:pPr>
                  <w:r>
                    <w:rPr>
                      <w:rFonts w:cs="Times New Roman"/>
                      <w:sz w:val="21"/>
                      <w:szCs w:val="21"/>
                    </w:rPr>
                    <w:t>1</w:t>
                  </w:r>
                </w:p>
              </w:tc>
              <w:tc>
                <w:tcPr>
                  <w:tcW w:w="239" w:type="pct"/>
                  <w:shd w:val="clear" w:color="auto" w:fill="FFFFFF"/>
                  <w:tcMar>
                    <w:top w:w="0" w:type="dxa"/>
                    <w:left w:w="0" w:type="dxa"/>
                    <w:bottom w:w="0" w:type="dxa"/>
                    <w:right w:w="0" w:type="dxa"/>
                  </w:tcMar>
                  <w:vAlign w:val="center"/>
                </w:tcPr>
                <w:p w14:paraId="3DDD02BC">
                  <w:pPr>
                    <w:spacing w:line="240" w:lineRule="auto"/>
                    <w:ind w:firstLine="0" w:firstLineChars="0"/>
                    <w:jc w:val="center"/>
                    <w:rPr>
                      <w:rFonts w:cs="Times New Roman"/>
                      <w:sz w:val="21"/>
                      <w:szCs w:val="21"/>
                    </w:rPr>
                  </w:pPr>
                  <w:r>
                    <w:rPr>
                      <w:rFonts w:hint="eastAsia" w:cs="Times New Roman"/>
                      <w:sz w:val="21"/>
                      <w:szCs w:val="21"/>
                    </w:rPr>
                    <w:t>清水漂洗分离槽</w:t>
                  </w:r>
                </w:p>
              </w:tc>
              <w:tc>
                <w:tcPr>
                  <w:tcW w:w="334" w:type="pct"/>
                  <w:shd w:val="clear" w:color="auto" w:fill="FFFFFF"/>
                  <w:tcMar>
                    <w:top w:w="0" w:type="dxa"/>
                    <w:left w:w="0" w:type="dxa"/>
                    <w:bottom w:w="0" w:type="dxa"/>
                    <w:right w:w="0" w:type="dxa"/>
                  </w:tcMar>
                  <w:vAlign w:val="center"/>
                </w:tcPr>
                <w:p w14:paraId="4B004ED6">
                  <w:pPr>
                    <w:spacing w:line="240" w:lineRule="auto"/>
                    <w:ind w:firstLine="0" w:firstLineChars="0"/>
                    <w:jc w:val="center"/>
                    <w:rPr>
                      <w:rFonts w:cs="Times New Roman"/>
                      <w:sz w:val="21"/>
                      <w:szCs w:val="21"/>
                    </w:rPr>
                  </w:pPr>
                  <w:r>
                    <w:rPr>
                      <w:rFonts w:cs="Times New Roman"/>
                      <w:sz w:val="21"/>
                      <w:szCs w:val="21"/>
                    </w:rPr>
                    <w:t>70</w:t>
                  </w:r>
                </w:p>
              </w:tc>
              <w:tc>
                <w:tcPr>
                  <w:tcW w:w="213" w:type="pct"/>
                  <w:shd w:val="clear" w:color="auto" w:fill="FFFFFF"/>
                  <w:tcMar>
                    <w:top w:w="0" w:type="dxa"/>
                    <w:left w:w="0" w:type="dxa"/>
                    <w:bottom w:w="0" w:type="dxa"/>
                    <w:right w:w="0" w:type="dxa"/>
                  </w:tcMar>
                  <w:vAlign w:val="center"/>
                </w:tcPr>
                <w:p w14:paraId="726F16B7">
                  <w:pPr>
                    <w:spacing w:line="240" w:lineRule="auto"/>
                    <w:ind w:firstLine="0" w:firstLineChars="0"/>
                    <w:jc w:val="center"/>
                    <w:rPr>
                      <w:rFonts w:cs="Times New Roman"/>
                      <w:sz w:val="21"/>
                      <w:szCs w:val="21"/>
                    </w:rPr>
                  </w:pPr>
                  <w:r>
                    <w:rPr>
                      <w:rFonts w:cs="Times New Roman"/>
                      <w:sz w:val="21"/>
                      <w:szCs w:val="21"/>
                    </w:rPr>
                    <w:t>-25.3</w:t>
                  </w:r>
                </w:p>
              </w:tc>
              <w:tc>
                <w:tcPr>
                  <w:tcW w:w="201" w:type="pct"/>
                  <w:shd w:val="clear" w:color="auto" w:fill="FFFFFF"/>
                  <w:tcMar>
                    <w:top w:w="0" w:type="dxa"/>
                    <w:left w:w="0" w:type="dxa"/>
                    <w:bottom w:w="0" w:type="dxa"/>
                    <w:right w:w="0" w:type="dxa"/>
                  </w:tcMar>
                  <w:vAlign w:val="center"/>
                </w:tcPr>
                <w:p w14:paraId="2AC758B4">
                  <w:pPr>
                    <w:spacing w:line="240" w:lineRule="auto"/>
                    <w:ind w:firstLine="0" w:firstLineChars="0"/>
                    <w:jc w:val="center"/>
                    <w:rPr>
                      <w:rFonts w:cs="Times New Roman"/>
                      <w:sz w:val="21"/>
                      <w:szCs w:val="21"/>
                    </w:rPr>
                  </w:pPr>
                  <w:r>
                    <w:rPr>
                      <w:rFonts w:cs="Times New Roman"/>
                      <w:sz w:val="21"/>
                      <w:szCs w:val="21"/>
                    </w:rPr>
                    <w:t>14.3</w:t>
                  </w:r>
                </w:p>
              </w:tc>
              <w:tc>
                <w:tcPr>
                  <w:tcW w:w="146" w:type="pct"/>
                  <w:shd w:val="clear" w:color="auto" w:fill="FFFFFF"/>
                  <w:tcMar>
                    <w:top w:w="0" w:type="dxa"/>
                    <w:left w:w="0" w:type="dxa"/>
                    <w:bottom w:w="0" w:type="dxa"/>
                    <w:right w:w="0" w:type="dxa"/>
                  </w:tcMar>
                  <w:vAlign w:val="center"/>
                </w:tcPr>
                <w:p w14:paraId="3CA2AC5C">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47BB1D63">
                  <w:pPr>
                    <w:spacing w:line="240" w:lineRule="auto"/>
                    <w:ind w:firstLine="0" w:firstLineChars="0"/>
                    <w:jc w:val="center"/>
                    <w:rPr>
                      <w:rFonts w:cs="Times New Roman"/>
                      <w:sz w:val="21"/>
                      <w:szCs w:val="21"/>
                    </w:rPr>
                  </w:pPr>
                  <w:r>
                    <w:rPr>
                      <w:rFonts w:cs="Times New Roman"/>
                      <w:sz w:val="21"/>
                      <w:szCs w:val="21"/>
                    </w:rPr>
                    <w:t>57.1</w:t>
                  </w:r>
                </w:p>
              </w:tc>
              <w:tc>
                <w:tcPr>
                  <w:tcW w:w="201" w:type="pct"/>
                  <w:shd w:val="clear" w:color="auto" w:fill="FFFFFF"/>
                  <w:tcMar>
                    <w:top w:w="0" w:type="dxa"/>
                    <w:left w:w="0" w:type="dxa"/>
                    <w:bottom w:w="0" w:type="dxa"/>
                    <w:right w:w="0" w:type="dxa"/>
                  </w:tcMar>
                  <w:vAlign w:val="center"/>
                </w:tcPr>
                <w:p w14:paraId="7063423E">
                  <w:pPr>
                    <w:spacing w:line="240" w:lineRule="auto"/>
                    <w:ind w:firstLine="0" w:firstLineChars="0"/>
                    <w:jc w:val="center"/>
                    <w:rPr>
                      <w:rFonts w:cs="Times New Roman"/>
                      <w:sz w:val="21"/>
                      <w:szCs w:val="21"/>
                    </w:rPr>
                  </w:pPr>
                  <w:r>
                    <w:rPr>
                      <w:rFonts w:cs="Times New Roman"/>
                      <w:sz w:val="21"/>
                      <w:szCs w:val="21"/>
                    </w:rPr>
                    <w:t>8.2</w:t>
                  </w:r>
                </w:p>
              </w:tc>
              <w:tc>
                <w:tcPr>
                  <w:tcW w:w="201" w:type="pct"/>
                  <w:shd w:val="clear" w:color="auto" w:fill="FFFFFF"/>
                  <w:tcMar>
                    <w:top w:w="0" w:type="dxa"/>
                    <w:left w:w="0" w:type="dxa"/>
                    <w:bottom w:w="0" w:type="dxa"/>
                    <w:right w:w="0" w:type="dxa"/>
                  </w:tcMar>
                  <w:vAlign w:val="center"/>
                </w:tcPr>
                <w:p w14:paraId="2AF13837">
                  <w:pPr>
                    <w:spacing w:line="240" w:lineRule="auto"/>
                    <w:ind w:firstLine="0" w:firstLineChars="0"/>
                    <w:jc w:val="center"/>
                    <w:rPr>
                      <w:rFonts w:cs="Times New Roman"/>
                      <w:sz w:val="21"/>
                      <w:szCs w:val="21"/>
                    </w:rPr>
                  </w:pPr>
                  <w:r>
                    <w:rPr>
                      <w:rFonts w:cs="Times New Roman"/>
                      <w:sz w:val="21"/>
                      <w:szCs w:val="21"/>
                    </w:rPr>
                    <w:t>8.3</w:t>
                  </w:r>
                </w:p>
              </w:tc>
              <w:tc>
                <w:tcPr>
                  <w:tcW w:w="201" w:type="pct"/>
                  <w:shd w:val="clear" w:color="auto" w:fill="FFFFFF"/>
                  <w:tcMar>
                    <w:top w:w="0" w:type="dxa"/>
                    <w:left w:w="0" w:type="dxa"/>
                    <w:bottom w:w="0" w:type="dxa"/>
                    <w:right w:w="0" w:type="dxa"/>
                  </w:tcMar>
                  <w:vAlign w:val="center"/>
                </w:tcPr>
                <w:p w14:paraId="03065AD8">
                  <w:pPr>
                    <w:spacing w:line="240" w:lineRule="auto"/>
                    <w:ind w:firstLine="0" w:firstLineChars="0"/>
                    <w:jc w:val="center"/>
                    <w:rPr>
                      <w:rFonts w:cs="Times New Roman"/>
                      <w:sz w:val="21"/>
                      <w:szCs w:val="21"/>
                    </w:rPr>
                  </w:pPr>
                  <w:r>
                    <w:rPr>
                      <w:rFonts w:cs="Times New Roman"/>
                      <w:sz w:val="21"/>
                      <w:szCs w:val="21"/>
                    </w:rPr>
                    <w:t>12.8</w:t>
                  </w:r>
                </w:p>
              </w:tc>
              <w:tc>
                <w:tcPr>
                  <w:tcW w:w="213" w:type="pct"/>
                  <w:shd w:val="clear" w:color="auto" w:fill="FFFFFF"/>
                  <w:tcMar>
                    <w:top w:w="0" w:type="dxa"/>
                    <w:left w:w="0" w:type="dxa"/>
                    <w:bottom w:w="0" w:type="dxa"/>
                    <w:right w:w="0" w:type="dxa"/>
                  </w:tcMar>
                  <w:vAlign w:val="center"/>
                </w:tcPr>
                <w:p w14:paraId="25D7C12D">
                  <w:pPr>
                    <w:spacing w:line="240" w:lineRule="auto"/>
                    <w:ind w:firstLine="0" w:firstLineChars="0"/>
                    <w:jc w:val="center"/>
                    <w:rPr>
                      <w:rFonts w:cs="Times New Roman"/>
                      <w:sz w:val="21"/>
                      <w:szCs w:val="21"/>
                    </w:rPr>
                  </w:pPr>
                  <w:r>
                    <w:rPr>
                      <w:rFonts w:cs="Times New Roman"/>
                      <w:sz w:val="21"/>
                      <w:szCs w:val="21"/>
                    </w:rPr>
                    <w:t>56.6</w:t>
                  </w:r>
                </w:p>
              </w:tc>
              <w:tc>
                <w:tcPr>
                  <w:tcW w:w="201" w:type="pct"/>
                  <w:shd w:val="clear" w:color="auto" w:fill="FFFFFF"/>
                  <w:tcMar>
                    <w:top w:w="0" w:type="dxa"/>
                    <w:left w:w="0" w:type="dxa"/>
                    <w:bottom w:w="0" w:type="dxa"/>
                    <w:right w:w="0" w:type="dxa"/>
                  </w:tcMar>
                  <w:vAlign w:val="center"/>
                </w:tcPr>
                <w:p w14:paraId="611A915F">
                  <w:pPr>
                    <w:spacing w:line="240" w:lineRule="auto"/>
                    <w:ind w:firstLine="0" w:firstLineChars="0"/>
                    <w:jc w:val="center"/>
                    <w:rPr>
                      <w:rFonts w:cs="Times New Roman"/>
                      <w:sz w:val="21"/>
                      <w:szCs w:val="21"/>
                    </w:rPr>
                  </w:pPr>
                  <w:r>
                    <w:rPr>
                      <w:rFonts w:cs="Times New Roman"/>
                      <w:sz w:val="21"/>
                      <w:szCs w:val="21"/>
                    </w:rPr>
                    <w:t>56.7</w:t>
                  </w:r>
                </w:p>
              </w:tc>
              <w:tc>
                <w:tcPr>
                  <w:tcW w:w="201" w:type="pct"/>
                  <w:shd w:val="clear" w:color="auto" w:fill="FFFFFF"/>
                  <w:tcMar>
                    <w:top w:w="0" w:type="dxa"/>
                    <w:left w:w="0" w:type="dxa"/>
                    <w:bottom w:w="0" w:type="dxa"/>
                    <w:right w:w="0" w:type="dxa"/>
                  </w:tcMar>
                  <w:vAlign w:val="center"/>
                </w:tcPr>
                <w:p w14:paraId="5347D8EE">
                  <w:pPr>
                    <w:spacing w:line="240" w:lineRule="auto"/>
                    <w:ind w:firstLine="0" w:firstLineChars="0"/>
                    <w:jc w:val="center"/>
                    <w:rPr>
                      <w:rFonts w:cs="Times New Roman"/>
                      <w:sz w:val="21"/>
                      <w:szCs w:val="21"/>
                    </w:rPr>
                  </w:pPr>
                  <w:r>
                    <w:rPr>
                      <w:rFonts w:cs="Times New Roman"/>
                      <w:sz w:val="21"/>
                      <w:szCs w:val="21"/>
                    </w:rPr>
                    <w:t>56.7</w:t>
                  </w:r>
                </w:p>
              </w:tc>
              <w:tc>
                <w:tcPr>
                  <w:tcW w:w="201" w:type="pct"/>
                  <w:shd w:val="clear" w:color="auto" w:fill="FFFFFF"/>
                  <w:tcMar>
                    <w:top w:w="0" w:type="dxa"/>
                    <w:left w:w="0" w:type="dxa"/>
                    <w:bottom w:w="0" w:type="dxa"/>
                    <w:right w:w="0" w:type="dxa"/>
                  </w:tcMar>
                  <w:vAlign w:val="center"/>
                </w:tcPr>
                <w:p w14:paraId="065A0020">
                  <w:pPr>
                    <w:spacing w:line="240" w:lineRule="auto"/>
                    <w:ind w:firstLine="0" w:firstLineChars="0"/>
                    <w:jc w:val="center"/>
                    <w:rPr>
                      <w:rFonts w:cs="Times New Roman"/>
                      <w:sz w:val="21"/>
                      <w:szCs w:val="21"/>
                    </w:rPr>
                  </w:pPr>
                  <w:r>
                    <w:rPr>
                      <w:rFonts w:cs="Times New Roman"/>
                      <w:sz w:val="21"/>
                      <w:szCs w:val="21"/>
                    </w:rPr>
                    <w:t>56.6</w:t>
                  </w:r>
                </w:p>
              </w:tc>
              <w:tc>
                <w:tcPr>
                  <w:tcW w:w="238" w:type="pct"/>
                  <w:shd w:val="clear" w:color="auto" w:fill="FFFFFF"/>
                  <w:tcMar>
                    <w:top w:w="0" w:type="dxa"/>
                    <w:left w:w="0" w:type="dxa"/>
                    <w:bottom w:w="0" w:type="dxa"/>
                    <w:right w:w="0" w:type="dxa"/>
                  </w:tcMar>
                  <w:vAlign w:val="center"/>
                </w:tcPr>
                <w:p w14:paraId="45C3810D">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783A96C0">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7AB64B71">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3E792C75">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49AB4877">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4B07CD67">
                  <w:pPr>
                    <w:spacing w:line="240" w:lineRule="auto"/>
                    <w:ind w:firstLine="0" w:firstLineChars="0"/>
                    <w:jc w:val="center"/>
                    <w:rPr>
                      <w:rFonts w:cs="Times New Roman"/>
                      <w:sz w:val="21"/>
                      <w:szCs w:val="21"/>
                    </w:rPr>
                  </w:pPr>
                  <w:r>
                    <w:rPr>
                      <w:rFonts w:cs="Times New Roman"/>
                      <w:sz w:val="21"/>
                      <w:szCs w:val="21"/>
                    </w:rPr>
                    <w:t>30.6</w:t>
                  </w:r>
                </w:p>
              </w:tc>
              <w:tc>
                <w:tcPr>
                  <w:tcW w:w="201" w:type="pct"/>
                  <w:shd w:val="clear" w:color="auto" w:fill="FFFFFF"/>
                  <w:tcMar>
                    <w:top w:w="0" w:type="dxa"/>
                    <w:left w:w="0" w:type="dxa"/>
                    <w:bottom w:w="0" w:type="dxa"/>
                    <w:right w:w="0" w:type="dxa"/>
                  </w:tcMar>
                  <w:vAlign w:val="center"/>
                </w:tcPr>
                <w:p w14:paraId="055FCFE6">
                  <w:pPr>
                    <w:spacing w:line="240" w:lineRule="auto"/>
                    <w:ind w:firstLine="0" w:firstLineChars="0"/>
                    <w:jc w:val="center"/>
                    <w:rPr>
                      <w:rFonts w:cs="Times New Roman"/>
                      <w:sz w:val="21"/>
                      <w:szCs w:val="21"/>
                    </w:rPr>
                  </w:pPr>
                  <w:r>
                    <w:rPr>
                      <w:rFonts w:cs="Times New Roman"/>
                      <w:sz w:val="21"/>
                      <w:szCs w:val="21"/>
                    </w:rPr>
                    <w:t>30.7</w:t>
                  </w:r>
                </w:p>
              </w:tc>
              <w:tc>
                <w:tcPr>
                  <w:tcW w:w="201" w:type="pct"/>
                  <w:shd w:val="clear" w:color="auto" w:fill="FFFFFF"/>
                  <w:tcMar>
                    <w:top w:w="0" w:type="dxa"/>
                    <w:left w:w="0" w:type="dxa"/>
                    <w:bottom w:w="0" w:type="dxa"/>
                    <w:right w:w="0" w:type="dxa"/>
                  </w:tcMar>
                  <w:vAlign w:val="center"/>
                </w:tcPr>
                <w:p w14:paraId="47B7581C">
                  <w:pPr>
                    <w:spacing w:line="240" w:lineRule="auto"/>
                    <w:ind w:firstLine="0" w:firstLineChars="0"/>
                    <w:jc w:val="center"/>
                    <w:rPr>
                      <w:rFonts w:cs="Times New Roman"/>
                      <w:sz w:val="21"/>
                      <w:szCs w:val="21"/>
                    </w:rPr>
                  </w:pPr>
                  <w:r>
                    <w:rPr>
                      <w:rFonts w:cs="Times New Roman"/>
                      <w:sz w:val="21"/>
                      <w:szCs w:val="21"/>
                    </w:rPr>
                    <w:t>30.7</w:t>
                  </w:r>
                </w:p>
              </w:tc>
              <w:tc>
                <w:tcPr>
                  <w:tcW w:w="201" w:type="pct"/>
                  <w:shd w:val="clear" w:color="auto" w:fill="FFFFFF"/>
                  <w:tcMar>
                    <w:top w:w="0" w:type="dxa"/>
                    <w:left w:w="0" w:type="dxa"/>
                    <w:bottom w:w="0" w:type="dxa"/>
                    <w:right w:w="0" w:type="dxa"/>
                  </w:tcMar>
                  <w:vAlign w:val="center"/>
                </w:tcPr>
                <w:p w14:paraId="5FBC14CB">
                  <w:pPr>
                    <w:spacing w:line="240" w:lineRule="auto"/>
                    <w:ind w:firstLine="0" w:firstLineChars="0"/>
                    <w:jc w:val="center"/>
                    <w:rPr>
                      <w:rFonts w:cs="Times New Roman"/>
                      <w:sz w:val="21"/>
                      <w:szCs w:val="21"/>
                    </w:rPr>
                  </w:pPr>
                  <w:r>
                    <w:rPr>
                      <w:rFonts w:cs="Times New Roman"/>
                      <w:sz w:val="21"/>
                      <w:szCs w:val="21"/>
                    </w:rPr>
                    <w:t>30.6</w:t>
                  </w:r>
                </w:p>
              </w:tc>
              <w:tc>
                <w:tcPr>
                  <w:tcW w:w="123" w:type="pct"/>
                  <w:shd w:val="clear" w:color="auto" w:fill="FFFFFF"/>
                  <w:tcMar>
                    <w:top w:w="0" w:type="dxa"/>
                    <w:left w:w="0" w:type="dxa"/>
                    <w:bottom w:w="0" w:type="dxa"/>
                    <w:right w:w="0" w:type="dxa"/>
                  </w:tcMar>
                  <w:vAlign w:val="center"/>
                </w:tcPr>
                <w:p w14:paraId="4D769BCB">
                  <w:pPr>
                    <w:spacing w:line="240" w:lineRule="auto"/>
                    <w:ind w:firstLine="0" w:firstLineChars="0"/>
                    <w:jc w:val="center"/>
                    <w:rPr>
                      <w:rFonts w:cs="Times New Roman"/>
                      <w:sz w:val="21"/>
                      <w:szCs w:val="21"/>
                    </w:rPr>
                  </w:pPr>
                  <w:r>
                    <w:rPr>
                      <w:rFonts w:cs="Times New Roman"/>
                      <w:sz w:val="21"/>
                      <w:szCs w:val="21"/>
                    </w:rPr>
                    <w:t>1</w:t>
                  </w:r>
                </w:p>
              </w:tc>
            </w:tr>
            <w:bookmarkEnd w:id="18"/>
            <w:tr w14:paraId="52DFCF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6D3AD513">
                  <w:pPr>
                    <w:spacing w:line="240" w:lineRule="auto"/>
                    <w:ind w:firstLine="0" w:firstLineChars="0"/>
                    <w:jc w:val="center"/>
                    <w:rPr>
                      <w:rFonts w:cs="Times New Roman"/>
                      <w:sz w:val="21"/>
                      <w:szCs w:val="21"/>
                    </w:rPr>
                  </w:pPr>
                  <w:r>
                    <w:rPr>
                      <w:rFonts w:cs="Times New Roman"/>
                      <w:sz w:val="21"/>
                      <w:szCs w:val="21"/>
                    </w:rPr>
                    <w:t>2</w:t>
                  </w:r>
                </w:p>
              </w:tc>
              <w:tc>
                <w:tcPr>
                  <w:tcW w:w="239" w:type="pct"/>
                  <w:shd w:val="clear" w:color="auto" w:fill="FFFFFF"/>
                  <w:tcMar>
                    <w:top w:w="0" w:type="dxa"/>
                    <w:left w:w="0" w:type="dxa"/>
                    <w:bottom w:w="0" w:type="dxa"/>
                    <w:right w:w="0" w:type="dxa"/>
                  </w:tcMar>
                  <w:vAlign w:val="center"/>
                </w:tcPr>
                <w:p w14:paraId="67E26AE6">
                  <w:pPr>
                    <w:spacing w:line="240" w:lineRule="auto"/>
                    <w:ind w:firstLine="0" w:firstLineChars="0"/>
                    <w:jc w:val="center"/>
                    <w:rPr>
                      <w:rFonts w:cs="Times New Roman"/>
                      <w:sz w:val="21"/>
                      <w:szCs w:val="21"/>
                    </w:rPr>
                  </w:pPr>
                  <w:r>
                    <w:rPr>
                      <w:rFonts w:hint="eastAsia" w:cs="Times New Roman"/>
                      <w:sz w:val="21"/>
                      <w:szCs w:val="21"/>
                    </w:rPr>
                    <w:t>破碎机</w:t>
                  </w:r>
                </w:p>
              </w:tc>
              <w:tc>
                <w:tcPr>
                  <w:tcW w:w="334" w:type="pct"/>
                  <w:shd w:val="clear" w:color="auto" w:fill="FFFFFF"/>
                  <w:tcMar>
                    <w:top w:w="0" w:type="dxa"/>
                    <w:left w:w="0" w:type="dxa"/>
                    <w:bottom w:w="0" w:type="dxa"/>
                    <w:right w:w="0" w:type="dxa"/>
                  </w:tcMar>
                  <w:vAlign w:val="center"/>
                </w:tcPr>
                <w:p w14:paraId="52172751">
                  <w:pPr>
                    <w:spacing w:line="240" w:lineRule="auto"/>
                    <w:ind w:firstLine="0" w:firstLineChars="0"/>
                    <w:jc w:val="center"/>
                    <w:rPr>
                      <w:rFonts w:cs="Times New Roman"/>
                      <w:sz w:val="21"/>
                      <w:szCs w:val="21"/>
                    </w:rPr>
                  </w:pPr>
                  <w:r>
                    <w:rPr>
                      <w:rFonts w:cs="Times New Roman"/>
                      <w:sz w:val="21"/>
                      <w:szCs w:val="21"/>
                    </w:rPr>
                    <w:t>95</w:t>
                  </w:r>
                </w:p>
              </w:tc>
              <w:tc>
                <w:tcPr>
                  <w:tcW w:w="213" w:type="pct"/>
                  <w:shd w:val="clear" w:color="auto" w:fill="FFFFFF"/>
                  <w:tcMar>
                    <w:top w:w="0" w:type="dxa"/>
                    <w:left w:w="0" w:type="dxa"/>
                    <w:bottom w:w="0" w:type="dxa"/>
                    <w:right w:w="0" w:type="dxa"/>
                  </w:tcMar>
                  <w:vAlign w:val="center"/>
                </w:tcPr>
                <w:p w14:paraId="4FA5B3DF">
                  <w:pPr>
                    <w:spacing w:line="240" w:lineRule="auto"/>
                    <w:ind w:firstLine="0" w:firstLineChars="0"/>
                    <w:jc w:val="center"/>
                    <w:rPr>
                      <w:rFonts w:cs="Times New Roman"/>
                      <w:sz w:val="21"/>
                      <w:szCs w:val="21"/>
                    </w:rPr>
                  </w:pPr>
                  <w:r>
                    <w:rPr>
                      <w:rFonts w:cs="Times New Roman"/>
                      <w:sz w:val="21"/>
                      <w:szCs w:val="21"/>
                    </w:rPr>
                    <w:t>-17.1</w:t>
                  </w:r>
                </w:p>
              </w:tc>
              <w:tc>
                <w:tcPr>
                  <w:tcW w:w="201" w:type="pct"/>
                  <w:shd w:val="clear" w:color="auto" w:fill="FFFFFF"/>
                  <w:tcMar>
                    <w:top w:w="0" w:type="dxa"/>
                    <w:left w:w="0" w:type="dxa"/>
                    <w:bottom w:w="0" w:type="dxa"/>
                    <w:right w:w="0" w:type="dxa"/>
                  </w:tcMar>
                  <w:vAlign w:val="center"/>
                </w:tcPr>
                <w:p w14:paraId="22F2573E">
                  <w:pPr>
                    <w:spacing w:line="240" w:lineRule="auto"/>
                    <w:ind w:firstLine="0" w:firstLineChars="0"/>
                    <w:jc w:val="center"/>
                    <w:rPr>
                      <w:rFonts w:cs="Times New Roman"/>
                      <w:sz w:val="21"/>
                      <w:szCs w:val="21"/>
                    </w:rPr>
                  </w:pPr>
                  <w:r>
                    <w:rPr>
                      <w:rFonts w:cs="Times New Roman"/>
                      <w:sz w:val="21"/>
                      <w:szCs w:val="21"/>
                    </w:rPr>
                    <w:t>18.5</w:t>
                  </w:r>
                </w:p>
              </w:tc>
              <w:tc>
                <w:tcPr>
                  <w:tcW w:w="146" w:type="pct"/>
                  <w:shd w:val="clear" w:color="auto" w:fill="FFFFFF"/>
                  <w:tcMar>
                    <w:top w:w="0" w:type="dxa"/>
                    <w:left w:w="0" w:type="dxa"/>
                    <w:bottom w:w="0" w:type="dxa"/>
                    <w:right w:w="0" w:type="dxa"/>
                  </w:tcMar>
                  <w:vAlign w:val="center"/>
                </w:tcPr>
                <w:p w14:paraId="4609A836">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7B86EC6A">
                  <w:pPr>
                    <w:spacing w:line="240" w:lineRule="auto"/>
                    <w:ind w:firstLine="0" w:firstLineChars="0"/>
                    <w:jc w:val="center"/>
                    <w:rPr>
                      <w:rFonts w:cs="Times New Roman"/>
                      <w:sz w:val="21"/>
                      <w:szCs w:val="21"/>
                    </w:rPr>
                  </w:pPr>
                  <w:r>
                    <w:rPr>
                      <w:rFonts w:cs="Times New Roman"/>
                      <w:sz w:val="21"/>
                      <w:szCs w:val="21"/>
                    </w:rPr>
                    <w:t>49.1</w:t>
                  </w:r>
                </w:p>
              </w:tc>
              <w:tc>
                <w:tcPr>
                  <w:tcW w:w="201" w:type="pct"/>
                  <w:shd w:val="clear" w:color="auto" w:fill="FFFFFF"/>
                  <w:tcMar>
                    <w:top w:w="0" w:type="dxa"/>
                    <w:left w:w="0" w:type="dxa"/>
                    <w:bottom w:w="0" w:type="dxa"/>
                    <w:right w:w="0" w:type="dxa"/>
                  </w:tcMar>
                  <w:vAlign w:val="center"/>
                </w:tcPr>
                <w:p w14:paraId="0228A5AF">
                  <w:pPr>
                    <w:spacing w:line="240" w:lineRule="auto"/>
                    <w:ind w:firstLine="0" w:firstLineChars="0"/>
                    <w:jc w:val="center"/>
                    <w:rPr>
                      <w:rFonts w:cs="Times New Roman"/>
                      <w:sz w:val="21"/>
                      <w:szCs w:val="21"/>
                    </w:rPr>
                  </w:pPr>
                  <w:r>
                    <w:rPr>
                      <w:rFonts w:cs="Times New Roman"/>
                      <w:sz w:val="21"/>
                      <w:szCs w:val="21"/>
                    </w:rPr>
                    <w:t>13.0</w:t>
                  </w:r>
                </w:p>
              </w:tc>
              <w:tc>
                <w:tcPr>
                  <w:tcW w:w="201" w:type="pct"/>
                  <w:shd w:val="clear" w:color="auto" w:fill="FFFFFF"/>
                  <w:tcMar>
                    <w:top w:w="0" w:type="dxa"/>
                    <w:left w:w="0" w:type="dxa"/>
                    <w:bottom w:w="0" w:type="dxa"/>
                    <w:right w:w="0" w:type="dxa"/>
                  </w:tcMar>
                  <w:vAlign w:val="center"/>
                </w:tcPr>
                <w:p w14:paraId="6C68D1C2">
                  <w:pPr>
                    <w:spacing w:line="240" w:lineRule="auto"/>
                    <w:ind w:firstLine="0" w:firstLineChars="0"/>
                    <w:jc w:val="center"/>
                    <w:rPr>
                      <w:rFonts w:cs="Times New Roman"/>
                      <w:sz w:val="21"/>
                      <w:szCs w:val="21"/>
                    </w:rPr>
                  </w:pPr>
                  <w:r>
                    <w:rPr>
                      <w:rFonts w:cs="Times New Roman"/>
                      <w:sz w:val="21"/>
                      <w:szCs w:val="21"/>
                    </w:rPr>
                    <w:t>16.3</w:t>
                  </w:r>
                </w:p>
              </w:tc>
              <w:tc>
                <w:tcPr>
                  <w:tcW w:w="201" w:type="pct"/>
                  <w:shd w:val="clear" w:color="auto" w:fill="FFFFFF"/>
                  <w:tcMar>
                    <w:top w:w="0" w:type="dxa"/>
                    <w:left w:w="0" w:type="dxa"/>
                    <w:bottom w:w="0" w:type="dxa"/>
                    <w:right w:w="0" w:type="dxa"/>
                  </w:tcMar>
                  <w:vAlign w:val="center"/>
                </w:tcPr>
                <w:p w14:paraId="0C43FF9C">
                  <w:pPr>
                    <w:spacing w:line="240" w:lineRule="auto"/>
                    <w:ind w:firstLine="0" w:firstLineChars="0"/>
                    <w:jc w:val="center"/>
                    <w:rPr>
                      <w:rFonts w:cs="Times New Roman"/>
                      <w:sz w:val="21"/>
                      <w:szCs w:val="21"/>
                    </w:rPr>
                  </w:pPr>
                  <w:r>
                    <w:rPr>
                      <w:rFonts w:cs="Times New Roman"/>
                      <w:sz w:val="21"/>
                      <w:szCs w:val="21"/>
                    </w:rPr>
                    <w:t>7.9</w:t>
                  </w:r>
                </w:p>
              </w:tc>
              <w:tc>
                <w:tcPr>
                  <w:tcW w:w="213" w:type="pct"/>
                  <w:shd w:val="clear" w:color="auto" w:fill="FFFFFF"/>
                  <w:tcMar>
                    <w:top w:w="0" w:type="dxa"/>
                    <w:left w:w="0" w:type="dxa"/>
                    <w:bottom w:w="0" w:type="dxa"/>
                    <w:right w:w="0" w:type="dxa"/>
                  </w:tcMar>
                  <w:vAlign w:val="center"/>
                </w:tcPr>
                <w:p w14:paraId="27B1BF18">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68FCB0C4">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4116401F">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0DA6B4D7">
                  <w:pPr>
                    <w:spacing w:line="240" w:lineRule="auto"/>
                    <w:ind w:firstLine="0" w:firstLineChars="0"/>
                    <w:jc w:val="center"/>
                    <w:rPr>
                      <w:rFonts w:cs="Times New Roman"/>
                      <w:sz w:val="21"/>
                      <w:szCs w:val="21"/>
                    </w:rPr>
                  </w:pPr>
                  <w:r>
                    <w:rPr>
                      <w:rFonts w:cs="Times New Roman"/>
                      <w:sz w:val="21"/>
                      <w:szCs w:val="21"/>
                    </w:rPr>
                    <w:t>81.7</w:t>
                  </w:r>
                </w:p>
              </w:tc>
              <w:tc>
                <w:tcPr>
                  <w:tcW w:w="238" w:type="pct"/>
                  <w:shd w:val="clear" w:color="auto" w:fill="FFFFFF"/>
                  <w:tcMar>
                    <w:top w:w="0" w:type="dxa"/>
                    <w:left w:w="0" w:type="dxa"/>
                    <w:bottom w:w="0" w:type="dxa"/>
                    <w:right w:w="0" w:type="dxa"/>
                  </w:tcMar>
                  <w:vAlign w:val="center"/>
                </w:tcPr>
                <w:p w14:paraId="4F744BD6">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3B8E1F45">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56525B54">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30868760">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340429E5">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1EC7FCA0">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79335612">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4179E979">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7CFEA763">
                  <w:pPr>
                    <w:spacing w:line="240" w:lineRule="auto"/>
                    <w:ind w:firstLine="0" w:firstLineChars="0"/>
                    <w:jc w:val="center"/>
                    <w:rPr>
                      <w:rFonts w:cs="Times New Roman"/>
                      <w:sz w:val="21"/>
                      <w:szCs w:val="21"/>
                    </w:rPr>
                  </w:pPr>
                  <w:r>
                    <w:rPr>
                      <w:rFonts w:cs="Times New Roman"/>
                      <w:sz w:val="21"/>
                      <w:szCs w:val="21"/>
                    </w:rPr>
                    <w:t>55.7</w:t>
                  </w:r>
                </w:p>
              </w:tc>
              <w:tc>
                <w:tcPr>
                  <w:tcW w:w="123" w:type="pct"/>
                  <w:shd w:val="clear" w:color="auto" w:fill="FFFFFF"/>
                  <w:tcMar>
                    <w:top w:w="0" w:type="dxa"/>
                    <w:left w:w="0" w:type="dxa"/>
                    <w:bottom w:w="0" w:type="dxa"/>
                    <w:right w:w="0" w:type="dxa"/>
                  </w:tcMar>
                  <w:vAlign w:val="center"/>
                </w:tcPr>
                <w:p w14:paraId="50687866">
                  <w:pPr>
                    <w:spacing w:line="240" w:lineRule="auto"/>
                    <w:ind w:firstLine="0" w:firstLineChars="0"/>
                    <w:jc w:val="center"/>
                    <w:rPr>
                      <w:rFonts w:cs="Times New Roman"/>
                      <w:sz w:val="21"/>
                      <w:szCs w:val="21"/>
                    </w:rPr>
                  </w:pPr>
                  <w:r>
                    <w:rPr>
                      <w:rFonts w:cs="Times New Roman"/>
                      <w:sz w:val="21"/>
                      <w:szCs w:val="21"/>
                    </w:rPr>
                    <w:t>1</w:t>
                  </w:r>
                </w:p>
              </w:tc>
            </w:tr>
            <w:tr w14:paraId="110BA4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6F2B112B">
                  <w:pPr>
                    <w:spacing w:line="240" w:lineRule="auto"/>
                    <w:ind w:firstLine="0" w:firstLineChars="0"/>
                    <w:jc w:val="center"/>
                    <w:rPr>
                      <w:rFonts w:cs="Times New Roman"/>
                      <w:sz w:val="21"/>
                      <w:szCs w:val="21"/>
                    </w:rPr>
                  </w:pPr>
                  <w:r>
                    <w:rPr>
                      <w:rFonts w:cs="Times New Roman"/>
                      <w:sz w:val="21"/>
                      <w:szCs w:val="21"/>
                    </w:rPr>
                    <w:t>3</w:t>
                  </w:r>
                </w:p>
              </w:tc>
              <w:tc>
                <w:tcPr>
                  <w:tcW w:w="239" w:type="pct"/>
                  <w:shd w:val="clear" w:color="auto" w:fill="FFFFFF"/>
                  <w:tcMar>
                    <w:top w:w="0" w:type="dxa"/>
                    <w:left w:w="0" w:type="dxa"/>
                    <w:bottom w:w="0" w:type="dxa"/>
                    <w:right w:w="0" w:type="dxa"/>
                  </w:tcMar>
                  <w:vAlign w:val="center"/>
                </w:tcPr>
                <w:p w14:paraId="1394421D">
                  <w:pPr>
                    <w:spacing w:line="240" w:lineRule="auto"/>
                    <w:ind w:firstLine="0" w:firstLineChars="0"/>
                    <w:jc w:val="center"/>
                    <w:rPr>
                      <w:rFonts w:cs="Times New Roman"/>
                      <w:sz w:val="21"/>
                      <w:szCs w:val="21"/>
                    </w:rPr>
                  </w:pPr>
                  <w:r>
                    <w:rPr>
                      <w:rFonts w:hint="eastAsia" w:cs="Times New Roman"/>
                      <w:sz w:val="21"/>
                      <w:szCs w:val="21"/>
                    </w:rPr>
                    <w:t>甩干机</w:t>
                  </w:r>
                </w:p>
              </w:tc>
              <w:tc>
                <w:tcPr>
                  <w:tcW w:w="334" w:type="pct"/>
                  <w:shd w:val="clear" w:color="auto" w:fill="FFFFFF"/>
                  <w:tcMar>
                    <w:top w:w="0" w:type="dxa"/>
                    <w:left w:w="0" w:type="dxa"/>
                    <w:bottom w:w="0" w:type="dxa"/>
                    <w:right w:w="0" w:type="dxa"/>
                  </w:tcMar>
                  <w:vAlign w:val="center"/>
                </w:tcPr>
                <w:p w14:paraId="0CE8B315">
                  <w:pPr>
                    <w:spacing w:line="240" w:lineRule="auto"/>
                    <w:ind w:firstLine="0" w:firstLineChars="0"/>
                    <w:jc w:val="center"/>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14:paraId="43FE7356">
                  <w:pPr>
                    <w:spacing w:line="240" w:lineRule="auto"/>
                    <w:ind w:firstLine="0" w:firstLineChars="0"/>
                    <w:jc w:val="center"/>
                    <w:rPr>
                      <w:rFonts w:cs="Times New Roman"/>
                      <w:sz w:val="21"/>
                      <w:szCs w:val="21"/>
                    </w:rPr>
                  </w:pPr>
                  <w:r>
                    <w:rPr>
                      <w:rFonts w:cs="Times New Roman"/>
                      <w:sz w:val="21"/>
                      <w:szCs w:val="21"/>
                    </w:rPr>
                    <w:t>-11</w:t>
                  </w:r>
                </w:p>
              </w:tc>
              <w:tc>
                <w:tcPr>
                  <w:tcW w:w="201" w:type="pct"/>
                  <w:shd w:val="clear" w:color="auto" w:fill="FFFFFF"/>
                  <w:tcMar>
                    <w:top w:w="0" w:type="dxa"/>
                    <w:left w:w="0" w:type="dxa"/>
                    <w:bottom w:w="0" w:type="dxa"/>
                    <w:right w:w="0" w:type="dxa"/>
                  </w:tcMar>
                  <w:vAlign w:val="center"/>
                </w:tcPr>
                <w:p w14:paraId="139B898E">
                  <w:pPr>
                    <w:spacing w:line="240" w:lineRule="auto"/>
                    <w:ind w:firstLine="0" w:firstLineChars="0"/>
                    <w:jc w:val="center"/>
                    <w:rPr>
                      <w:rFonts w:cs="Times New Roman"/>
                      <w:sz w:val="21"/>
                      <w:szCs w:val="21"/>
                    </w:rPr>
                  </w:pPr>
                  <w:r>
                    <w:rPr>
                      <w:rFonts w:cs="Times New Roman"/>
                      <w:sz w:val="21"/>
                      <w:szCs w:val="21"/>
                    </w:rPr>
                    <w:t>17.6</w:t>
                  </w:r>
                </w:p>
              </w:tc>
              <w:tc>
                <w:tcPr>
                  <w:tcW w:w="146" w:type="pct"/>
                  <w:shd w:val="clear" w:color="auto" w:fill="FFFFFF"/>
                  <w:tcMar>
                    <w:top w:w="0" w:type="dxa"/>
                    <w:left w:w="0" w:type="dxa"/>
                    <w:bottom w:w="0" w:type="dxa"/>
                    <w:right w:w="0" w:type="dxa"/>
                  </w:tcMar>
                  <w:vAlign w:val="center"/>
                </w:tcPr>
                <w:p w14:paraId="50F8C1DC">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7231F461">
                  <w:pPr>
                    <w:spacing w:line="240" w:lineRule="auto"/>
                    <w:ind w:firstLine="0" w:firstLineChars="0"/>
                    <w:jc w:val="center"/>
                    <w:rPr>
                      <w:rFonts w:cs="Times New Roman"/>
                      <w:sz w:val="21"/>
                      <w:szCs w:val="21"/>
                    </w:rPr>
                  </w:pPr>
                  <w:r>
                    <w:rPr>
                      <w:rFonts w:cs="Times New Roman"/>
                      <w:sz w:val="21"/>
                      <w:szCs w:val="21"/>
                    </w:rPr>
                    <w:t>43.0</w:t>
                  </w:r>
                </w:p>
              </w:tc>
              <w:tc>
                <w:tcPr>
                  <w:tcW w:w="201" w:type="pct"/>
                  <w:shd w:val="clear" w:color="auto" w:fill="FFFFFF"/>
                  <w:tcMar>
                    <w:top w:w="0" w:type="dxa"/>
                    <w:left w:w="0" w:type="dxa"/>
                    <w:bottom w:w="0" w:type="dxa"/>
                    <w:right w:w="0" w:type="dxa"/>
                  </w:tcMar>
                  <w:vAlign w:val="center"/>
                </w:tcPr>
                <w:p w14:paraId="017916D1">
                  <w:pPr>
                    <w:spacing w:line="240" w:lineRule="auto"/>
                    <w:ind w:firstLine="0" w:firstLineChars="0"/>
                    <w:jc w:val="center"/>
                    <w:rPr>
                      <w:rFonts w:cs="Times New Roman"/>
                      <w:sz w:val="21"/>
                      <w:szCs w:val="21"/>
                    </w:rPr>
                  </w:pPr>
                  <w:r>
                    <w:rPr>
                      <w:rFonts w:cs="Times New Roman"/>
                      <w:sz w:val="21"/>
                      <w:szCs w:val="21"/>
                    </w:rPr>
                    <w:t>12.5</w:t>
                  </w:r>
                </w:p>
              </w:tc>
              <w:tc>
                <w:tcPr>
                  <w:tcW w:w="201" w:type="pct"/>
                  <w:shd w:val="clear" w:color="auto" w:fill="FFFFFF"/>
                  <w:tcMar>
                    <w:top w:w="0" w:type="dxa"/>
                    <w:left w:w="0" w:type="dxa"/>
                    <w:bottom w:w="0" w:type="dxa"/>
                    <w:right w:w="0" w:type="dxa"/>
                  </w:tcMar>
                  <w:vAlign w:val="center"/>
                </w:tcPr>
                <w:p w14:paraId="1D6D00DB">
                  <w:pPr>
                    <w:spacing w:line="240" w:lineRule="auto"/>
                    <w:ind w:firstLine="0" w:firstLineChars="0"/>
                    <w:jc w:val="center"/>
                    <w:rPr>
                      <w:rFonts w:cs="Times New Roman"/>
                      <w:sz w:val="21"/>
                      <w:szCs w:val="21"/>
                    </w:rPr>
                  </w:pPr>
                  <w:r>
                    <w:rPr>
                      <w:rFonts w:cs="Times New Roman"/>
                      <w:sz w:val="21"/>
                      <w:szCs w:val="21"/>
                    </w:rPr>
                    <w:t>22.4</w:t>
                  </w:r>
                </w:p>
              </w:tc>
              <w:tc>
                <w:tcPr>
                  <w:tcW w:w="201" w:type="pct"/>
                  <w:shd w:val="clear" w:color="auto" w:fill="FFFFFF"/>
                  <w:tcMar>
                    <w:top w:w="0" w:type="dxa"/>
                    <w:left w:w="0" w:type="dxa"/>
                    <w:bottom w:w="0" w:type="dxa"/>
                    <w:right w:w="0" w:type="dxa"/>
                  </w:tcMar>
                  <w:vAlign w:val="center"/>
                </w:tcPr>
                <w:p w14:paraId="79C69C7C">
                  <w:pPr>
                    <w:spacing w:line="240" w:lineRule="auto"/>
                    <w:ind w:firstLine="0" w:firstLineChars="0"/>
                    <w:jc w:val="center"/>
                    <w:rPr>
                      <w:rFonts w:cs="Times New Roman"/>
                      <w:sz w:val="21"/>
                      <w:szCs w:val="21"/>
                    </w:rPr>
                  </w:pPr>
                  <w:r>
                    <w:rPr>
                      <w:rFonts w:cs="Times New Roman"/>
                      <w:sz w:val="21"/>
                      <w:szCs w:val="21"/>
                    </w:rPr>
                    <w:t>8.4</w:t>
                  </w:r>
                </w:p>
              </w:tc>
              <w:tc>
                <w:tcPr>
                  <w:tcW w:w="213" w:type="pct"/>
                  <w:shd w:val="clear" w:color="auto" w:fill="FFFFFF"/>
                  <w:tcMar>
                    <w:top w:w="0" w:type="dxa"/>
                    <w:left w:w="0" w:type="dxa"/>
                    <w:bottom w:w="0" w:type="dxa"/>
                    <w:right w:w="0" w:type="dxa"/>
                  </w:tcMar>
                  <w:vAlign w:val="center"/>
                </w:tcPr>
                <w:p w14:paraId="536E3EF7">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477259FB">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08F2BA45">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62E09280">
                  <w:pPr>
                    <w:spacing w:line="240" w:lineRule="auto"/>
                    <w:ind w:firstLine="0" w:firstLineChars="0"/>
                    <w:jc w:val="center"/>
                    <w:rPr>
                      <w:rFonts w:cs="Times New Roman"/>
                      <w:sz w:val="21"/>
                      <w:szCs w:val="21"/>
                    </w:rPr>
                  </w:pPr>
                  <w:r>
                    <w:rPr>
                      <w:rFonts w:cs="Times New Roman"/>
                      <w:sz w:val="21"/>
                      <w:szCs w:val="21"/>
                    </w:rPr>
                    <w:t>61.7</w:t>
                  </w:r>
                </w:p>
              </w:tc>
              <w:tc>
                <w:tcPr>
                  <w:tcW w:w="238" w:type="pct"/>
                  <w:shd w:val="clear" w:color="auto" w:fill="FFFFFF"/>
                  <w:tcMar>
                    <w:top w:w="0" w:type="dxa"/>
                    <w:left w:w="0" w:type="dxa"/>
                    <w:bottom w:w="0" w:type="dxa"/>
                    <w:right w:w="0" w:type="dxa"/>
                  </w:tcMar>
                  <w:vAlign w:val="center"/>
                </w:tcPr>
                <w:p w14:paraId="5C61237F">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159BA7AA">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0F7BE726">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1F5F4DBC">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2635F03A">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7E4DAD1E">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04F7661E">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22153716">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22EF0496">
                  <w:pPr>
                    <w:spacing w:line="240" w:lineRule="auto"/>
                    <w:ind w:firstLine="0" w:firstLineChars="0"/>
                    <w:jc w:val="center"/>
                    <w:rPr>
                      <w:rFonts w:cs="Times New Roman"/>
                      <w:sz w:val="21"/>
                      <w:szCs w:val="21"/>
                    </w:rPr>
                  </w:pPr>
                  <w:r>
                    <w:rPr>
                      <w:rFonts w:cs="Times New Roman"/>
                      <w:sz w:val="21"/>
                      <w:szCs w:val="21"/>
                    </w:rPr>
                    <w:t>35.7</w:t>
                  </w:r>
                </w:p>
              </w:tc>
              <w:tc>
                <w:tcPr>
                  <w:tcW w:w="123" w:type="pct"/>
                  <w:shd w:val="clear" w:color="auto" w:fill="FFFFFF"/>
                  <w:tcMar>
                    <w:top w:w="0" w:type="dxa"/>
                    <w:left w:w="0" w:type="dxa"/>
                    <w:bottom w:w="0" w:type="dxa"/>
                    <w:right w:w="0" w:type="dxa"/>
                  </w:tcMar>
                  <w:vAlign w:val="center"/>
                </w:tcPr>
                <w:p w14:paraId="468FADCE">
                  <w:pPr>
                    <w:spacing w:line="240" w:lineRule="auto"/>
                    <w:ind w:firstLine="0" w:firstLineChars="0"/>
                    <w:jc w:val="center"/>
                    <w:rPr>
                      <w:rFonts w:cs="Times New Roman"/>
                      <w:sz w:val="21"/>
                      <w:szCs w:val="21"/>
                    </w:rPr>
                  </w:pPr>
                  <w:r>
                    <w:rPr>
                      <w:rFonts w:cs="Times New Roman"/>
                      <w:sz w:val="21"/>
                      <w:szCs w:val="21"/>
                    </w:rPr>
                    <w:t>1</w:t>
                  </w:r>
                </w:p>
              </w:tc>
            </w:tr>
            <w:tr w14:paraId="74BA49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06AC2B52">
                  <w:pPr>
                    <w:spacing w:line="240" w:lineRule="auto"/>
                    <w:ind w:firstLine="0" w:firstLineChars="0"/>
                    <w:jc w:val="center"/>
                    <w:rPr>
                      <w:rFonts w:cs="Times New Roman"/>
                      <w:sz w:val="21"/>
                      <w:szCs w:val="21"/>
                    </w:rPr>
                  </w:pPr>
                  <w:r>
                    <w:rPr>
                      <w:rFonts w:cs="Times New Roman"/>
                      <w:sz w:val="21"/>
                      <w:szCs w:val="21"/>
                    </w:rPr>
                    <w:t>4</w:t>
                  </w:r>
                </w:p>
              </w:tc>
              <w:tc>
                <w:tcPr>
                  <w:tcW w:w="239" w:type="pct"/>
                  <w:shd w:val="clear" w:color="auto" w:fill="FFFFFF"/>
                  <w:tcMar>
                    <w:top w:w="0" w:type="dxa"/>
                    <w:left w:w="0" w:type="dxa"/>
                    <w:bottom w:w="0" w:type="dxa"/>
                    <w:right w:w="0" w:type="dxa"/>
                  </w:tcMar>
                  <w:vAlign w:val="center"/>
                </w:tcPr>
                <w:p w14:paraId="18073E78">
                  <w:pPr>
                    <w:spacing w:line="240" w:lineRule="auto"/>
                    <w:ind w:firstLine="0" w:firstLineChars="0"/>
                    <w:jc w:val="center"/>
                    <w:rPr>
                      <w:rFonts w:cs="Times New Roman"/>
                      <w:sz w:val="21"/>
                      <w:szCs w:val="21"/>
                    </w:rPr>
                  </w:pPr>
                  <w:r>
                    <w:rPr>
                      <w:rFonts w:hint="eastAsia" w:cs="Times New Roman"/>
                      <w:sz w:val="21"/>
                      <w:szCs w:val="21"/>
                    </w:rPr>
                    <w:t>空分机</w:t>
                  </w:r>
                </w:p>
              </w:tc>
              <w:tc>
                <w:tcPr>
                  <w:tcW w:w="334" w:type="pct"/>
                  <w:shd w:val="clear" w:color="auto" w:fill="FFFFFF"/>
                  <w:tcMar>
                    <w:top w:w="0" w:type="dxa"/>
                    <w:left w:w="0" w:type="dxa"/>
                    <w:bottom w:w="0" w:type="dxa"/>
                    <w:right w:w="0" w:type="dxa"/>
                  </w:tcMar>
                  <w:vAlign w:val="center"/>
                </w:tcPr>
                <w:p w14:paraId="0019F1DF">
                  <w:pPr>
                    <w:spacing w:line="240" w:lineRule="auto"/>
                    <w:ind w:firstLine="0" w:firstLineChars="0"/>
                    <w:jc w:val="center"/>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14:paraId="5F96B573">
                  <w:pPr>
                    <w:spacing w:line="240" w:lineRule="auto"/>
                    <w:ind w:firstLine="0" w:firstLineChars="0"/>
                    <w:jc w:val="center"/>
                    <w:rPr>
                      <w:rFonts w:cs="Times New Roman"/>
                      <w:sz w:val="21"/>
                      <w:szCs w:val="21"/>
                    </w:rPr>
                  </w:pPr>
                  <w:r>
                    <w:rPr>
                      <w:rFonts w:cs="Times New Roman"/>
                      <w:sz w:val="21"/>
                      <w:szCs w:val="21"/>
                    </w:rPr>
                    <w:t>-3</w:t>
                  </w:r>
                </w:p>
              </w:tc>
              <w:tc>
                <w:tcPr>
                  <w:tcW w:w="201" w:type="pct"/>
                  <w:shd w:val="clear" w:color="auto" w:fill="FFFFFF"/>
                  <w:tcMar>
                    <w:top w:w="0" w:type="dxa"/>
                    <w:left w:w="0" w:type="dxa"/>
                    <w:bottom w:w="0" w:type="dxa"/>
                    <w:right w:w="0" w:type="dxa"/>
                  </w:tcMar>
                  <w:vAlign w:val="center"/>
                </w:tcPr>
                <w:p w14:paraId="33BBEB99">
                  <w:pPr>
                    <w:spacing w:line="240" w:lineRule="auto"/>
                    <w:ind w:firstLine="0" w:firstLineChars="0"/>
                    <w:jc w:val="center"/>
                    <w:rPr>
                      <w:rFonts w:cs="Times New Roman"/>
                      <w:sz w:val="21"/>
                      <w:szCs w:val="21"/>
                    </w:rPr>
                  </w:pPr>
                  <w:r>
                    <w:rPr>
                      <w:rFonts w:cs="Times New Roman"/>
                      <w:sz w:val="21"/>
                      <w:szCs w:val="21"/>
                    </w:rPr>
                    <w:t>16.9</w:t>
                  </w:r>
                </w:p>
              </w:tc>
              <w:tc>
                <w:tcPr>
                  <w:tcW w:w="146" w:type="pct"/>
                  <w:shd w:val="clear" w:color="auto" w:fill="FFFFFF"/>
                  <w:tcMar>
                    <w:top w:w="0" w:type="dxa"/>
                    <w:left w:w="0" w:type="dxa"/>
                    <w:bottom w:w="0" w:type="dxa"/>
                    <w:right w:w="0" w:type="dxa"/>
                  </w:tcMar>
                  <w:vAlign w:val="center"/>
                </w:tcPr>
                <w:p w14:paraId="4B4A18DC">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74A88650">
                  <w:pPr>
                    <w:spacing w:line="240" w:lineRule="auto"/>
                    <w:ind w:firstLine="0" w:firstLineChars="0"/>
                    <w:jc w:val="center"/>
                    <w:rPr>
                      <w:rFonts w:cs="Times New Roman"/>
                      <w:sz w:val="21"/>
                      <w:szCs w:val="21"/>
                    </w:rPr>
                  </w:pPr>
                  <w:r>
                    <w:rPr>
                      <w:rFonts w:cs="Times New Roman"/>
                      <w:sz w:val="21"/>
                      <w:szCs w:val="21"/>
                    </w:rPr>
                    <w:t>34.9</w:t>
                  </w:r>
                </w:p>
              </w:tc>
              <w:tc>
                <w:tcPr>
                  <w:tcW w:w="201" w:type="pct"/>
                  <w:shd w:val="clear" w:color="auto" w:fill="FFFFFF"/>
                  <w:tcMar>
                    <w:top w:w="0" w:type="dxa"/>
                    <w:left w:w="0" w:type="dxa"/>
                    <w:bottom w:w="0" w:type="dxa"/>
                    <w:right w:w="0" w:type="dxa"/>
                  </w:tcMar>
                  <w:vAlign w:val="center"/>
                </w:tcPr>
                <w:p w14:paraId="00359577">
                  <w:pPr>
                    <w:spacing w:line="240" w:lineRule="auto"/>
                    <w:ind w:firstLine="0" w:firstLineChars="0"/>
                    <w:jc w:val="center"/>
                    <w:rPr>
                      <w:rFonts w:cs="Times New Roman"/>
                      <w:sz w:val="21"/>
                      <w:szCs w:val="21"/>
                    </w:rPr>
                  </w:pPr>
                  <w:r>
                    <w:rPr>
                      <w:rFonts w:cs="Times New Roman"/>
                      <w:sz w:val="21"/>
                      <w:szCs w:val="21"/>
                    </w:rPr>
                    <w:t>12.5</w:t>
                  </w:r>
                </w:p>
              </w:tc>
              <w:tc>
                <w:tcPr>
                  <w:tcW w:w="201" w:type="pct"/>
                  <w:shd w:val="clear" w:color="auto" w:fill="FFFFFF"/>
                  <w:tcMar>
                    <w:top w:w="0" w:type="dxa"/>
                    <w:left w:w="0" w:type="dxa"/>
                    <w:bottom w:w="0" w:type="dxa"/>
                    <w:right w:w="0" w:type="dxa"/>
                  </w:tcMar>
                  <w:vAlign w:val="center"/>
                </w:tcPr>
                <w:p w14:paraId="22B3A703">
                  <w:pPr>
                    <w:spacing w:line="240" w:lineRule="auto"/>
                    <w:ind w:firstLine="0" w:firstLineChars="0"/>
                    <w:jc w:val="center"/>
                    <w:rPr>
                      <w:rFonts w:cs="Times New Roman"/>
                      <w:sz w:val="21"/>
                      <w:szCs w:val="21"/>
                    </w:rPr>
                  </w:pPr>
                  <w:r>
                    <w:rPr>
                      <w:rFonts w:cs="Times New Roman"/>
                      <w:sz w:val="21"/>
                      <w:szCs w:val="21"/>
                    </w:rPr>
                    <w:t>30.5</w:t>
                  </w:r>
                </w:p>
              </w:tc>
              <w:tc>
                <w:tcPr>
                  <w:tcW w:w="201" w:type="pct"/>
                  <w:shd w:val="clear" w:color="auto" w:fill="FFFFFF"/>
                  <w:tcMar>
                    <w:top w:w="0" w:type="dxa"/>
                    <w:left w:w="0" w:type="dxa"/>
                    <w:bottom w:w="0" w:type="dxa"/>
                    <w:right w:w="0" w:type="dxa"/>
                  </w:tcMar>
                  <w:vAlign w:val="center"/>
                </w:tcPr>
                <w:p w14:paraId="611ADB15">
                  <w:pPr>
                    <w:spacing w:line="240" w:lineRule="auto"/>
                    <w:ind w:firstLine="0" w:firstLineChars="0"/>
                    <w:jc w:val="center"/>
                    <w:rPr>
                      <w:rFonts w:cs="Times New Roman"/>
                      <w:sz w:val="21"/>
                      <w:szCs w:val="21"/>
                    </w:rPr>
                  </w:pPr>
                  <w:r>
                    <w:rPr>
                      <w:rFonts w:cs="Times New Roman"/>
                      <w:sz w:val="21"/>
                      <w:szCs w:val="21"/>
                    </w:rPr>
                    <w:t>8.4</w:t>
                  </w:r>
                </w:p>
              </w:tc>
              <w:tc>
                <w:tcPr>
                  <w:tcW w:w="213" w:type="pct"/>
                  <w:shd w:val="clear" w:color="auto" w:fill="FFFFFF"/>
                  <w:tcMar>
                    <w:top w:w="0" w:type="dxa"/>
                    <w:left w:w="0" w:type="dxa"/>
                    <w:bottom w:w="0" w:type="dxa"/>
                    <w:right w:w="0" w:type="dxa"/>
                  </w:tcMar>
                  <w:vAlign w:val="center"/>
                </w:tcPr>
                <w:p w14:paraId="5E53974F">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47E09401">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0D9AD032">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0731BBE0">
                  <w:pPr>
                    <w:spacing w:line="240" w:lineRule="auto"/>
                    <w:ind w:firstLine="0" w:firstLineChars="0"/>
                    <w:jc w:val="center"/>
                    <w:rPr>
                      <w:rFonts w:cs="Times New Roman"/>
                      <w:sz w:val="21"/>
                      <w:szCs w:val="21"/>
                    </w:rPr>
                  </w:pPr>
                  <w:r>
                    <w:rPr>
                      <w:rFonts w:cs="Times New Roman"/>
                      <w:sz w:val="21"/>
                      <w:szCs w:val="21"/>
                    </w:rPr>
                    <w:t>61.7</w:t>
                  </w:r>
                </w:p>
              </w:tc>
              <w:tc>
                <w:tcPr>
                  <w:tcW w:w="238" w:type="pct"/>
                  <w:shd w:val="clear" w:color="auto" w:fill="FFFFFF"/>
                  <w:tcMar>
                    <w:top w:w="0" w:type="dxa"/>
                    <w:left w:w="0" w:type="dxa"/>
                    <w:bottom w:w="0" w:type="dxa"/>
                    <w:right w:w="0" w:type="dxa"/>
                  </w:tcMar>
                  <w:vAlign w:val="center"/>
                </w:tcPr>
                <w:p w14:paraId="1A012C36">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3A09D10F">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25A60431">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6CFB9A2C">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0B568A0A">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11FA6572">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4E1288A6">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38113806">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079F115B">
                  <w:pPr>
                    <w:spacing w:line="240" w:lineRule="auto"/>
                    <w:ind w:firstLine="0" w:firstLineChars="0"/>
                    <w:jc w:val="center"/>
                    <w:rPr>
                      <w:rFonts w:cs="Times New Roman"/>
                      <w:sz w:val="21"/>
                      <w:szCs w:val="21"/>
                    </w:rPr>
                  </w:pPr>
                  <w:r>
                    <w:rPr>
                      <w:rFonts w:cs="Times New Roman"/>
                      <w:sz w:val="21"/>
                      <w:szCs w:val="21"/>
                    </w:rPr>
                    <w:t>35.7</w:t>
                  </w:r>
                </w:p>
              </w:tc>
              <w:tc>
                <w:tcPr>
                  <w:tcW w:w="123" w:type="pct"/>
                  <w:shd w:val="clear" w:color="auto" w:fill="FFFFFF"/>
                  <w:tcMar>
                    <w:top w:w="0" w:type="dxa"/>
                    <w:left w:w="0" w:type="dxa"/>
                    <w:bottom w:w="0" w:type="dxa"/>
                    <w:right w:w="0" w:type="dxa"/>
                  </w:tcMar>
                  <w:vAlign w:val="center"/>
                </w:tcPr>
                <w:p w14:paraId="7C6974FF">
                  <w:pPr>
                    <w:spacing w:line="240" w:lineRule="auto"/>
                    <w:ind w:firstLine="0" w:firstLineChars="0"/>
                    <w:jc w:val="center"/>
                    <w:rPr>
                      <w:rFonts w:cs="Times New Roman"/>
                      <w:sz w:val="21"/>
                      <w:szCs w:val="21"/>
                    </w:rPr>
                  </w:pPr>
                  <w:r>
                    <w:rPr>
                      <w:rFonts w:cs="Times New Roman"/>
                      <w:sz w:val="21"/>
                      <w:szCs w:val="21"/>
                    </w:rPr>
                    <w:t>1</w:t>
                  </w:r>
                </w:p>
              </w:tc>
            </w:tr>
            <w:tr w14:paraId="23A83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29A3B9A7">
                  <w:pPr>
                    <w:spacing w:line="240" w:lineRule="auto"/>
                    <w:ind w:firstLine="0" w:firstLineChars="0"/>
                    <w:jc w:val="center"/>
                    <w:rPr>
                      <w:rFonts w:cs="Times New Roman"/>
                      <w:sz w:val="21"/>
                      <w:szCs w:val="21"/>
                    </w:rPr>
                  </w:pPr>
                  <w:r>
                    <w:rPr>
                      <w:rFonts w:cs="Times New Roman"/>
                      <w:sz w:val="21"/>
                      <w:szCs w:val="21"/>
                    </w:rPr>
                    <w:t>5</w:t>
                  </w:r>
                </w:p>
              </w:tc>
              <w:tc>
                <w:tcPr>
                  <w:tcW w:w="239" w:type="pct"/>
                  <w:shd w:val="clear" w:color="auto" w:fill="FFFFFF"/>
                  <w:tcMar>
                    <w:top w:w="0" w:type="dxa"/>
                    <w:left w:w="0" w:type="dxa"/>
                    <w:bottom w:w="0" w:type="dxa"/>
                    <w:right w:w="0" w:type="dxa"/>
                  </w:tcMar>
                  <w:vAlign w:val="center"/>
                </w:tcPr>
                <w:p w14:paraId="2E247AD5">
                  <w:pPr>
                    <w:spacing w:line="240" w:lineRule="auto"/>
                    <w:ind w:firstLine="0" w:firstLineChars="0"/>
                    <w:jc w:val="center"/>
                    <w:rPr>
                      <w:rFonts w:cs="Times New Roman"/>
                      <w:sz w:val="21"/>
                      <w:szCs w:val="21"/>
                    </w:rPr>
                  </w:pPr>
                  <w:r>
                    <w:rPr>
                      <w:rFonts w:hint="eastAsia" w:cs="Times New Roman"/>
                      <w:sz w:val="21"/>
                      <w:szCs w:val="21"/>
                    </w:rPr>
                    <w:t>粉碎机</w:t>
                  </w:r>
                </w:p>
              </w:tc>
              <w:tc>
                <w:tcPr>
                  <w:tcW w:w="334" w:type="pct"/>
                  <w:shd w:val="clear" w:color="auto" w:fill="FFFFFF"/>
                  <w:tcMar>
                    <w:top w:w="0" w:type="dxa"/>
                    <w:left w:w="0" w:type="dxa"/>
                    <w:bottom w:w="0" w:type="dxa"/>
                    <w:right w:w="0" w:type="dxa"/>
                  </w:tcMar>
                  <w:vAlign w:val="center"/>
                </w:tcPr>
                <w:p w14:paraId="4CBFE2DD">
                  <w:pPr>
                    <w:spacing w:line="240" w:lineRule="auto"/>
                    <w:ind w:firstLine="0" w:firstLineChars="0"/>
                    <w:jc w:val="center"/>
                    <w:rPr>
                      <w:rFonts w:cs="Times New Roman"/>
                      <w:sz w:val="21"/>
                      <w:szCs w:val="21"/>
                    </w:rPr>
                  </w:pPr>
                  <w:r>
                    <w:rPr>
                      <w:rFonts w:cs="Times New Roman"/>
                      <w:sz w:val="21"/>
                      <w:szCs w:val="21"/>
                    </w:rPr>
                    <w:t>95</w:t>
                  </w:r>
                </w:p>
              </w:tc>
              <w:tc>
                <w:tcPr>
                  <w:tcW w:w="213" w:type="pct"/>
                  <w:shd w:val="clear" w:color="auto" w:fill="FFFFFF"/>
                  <w:tcMar>
                    <w:top w:w="0" w:type="dxa"/>
                    <w:left w:w="0" w:type="dxa"/>
                    <w:bottom w:w="0" w:type="dxa"/>
                    <w:right w:w="0" w:type="dxa"/>
                  </w:tcMar>
                  <w:vAlign w:val="center"/>
                </w:tcPr>
                <w:p w14:paraId="570333B6">
                  <w:pPr>
                    <w:spacing w:line="240" w:lineRule="auto"/>
                    <w:ind w:firstLine="0" w:firstLineChars="0"/>
                    <w:jc w:val="center"/>
                    <w:rPr>
                      <w:rFonts w:cs="Times New Roman"/>
                      <w:sz w:val="21"/>
                      <w:szCs w:val="21"/>
                    </w:rPr>
                  </w:pPr>
                  <w:r>
                    <w:rPr>
                      <w:rFonts w:cs="Times New Roman"/>
                      <w:sz w:val="21"/>
                      <w:szCs w:val="21"/>
                    </w:rPr>
                    <w:t>8.6</w:t>
                  </w:r>
                </w:p>
              </w:tc>
              <w:tc>
                <w:tcPr>
                  <w:tcW w:w="201" w:type="pct"/>
                  <w:shd w:val="clear" w:color="auto" w:fill="FFFFFF"/>
                  <w:tcMar>
                    <w:top w:w="0" w:type="dxa"/>
                    <w:left w:w="0" w:type="dxa"/>
                    <w:bottom w:w="0" w:type="dxa"/>
                    <w:right w:w="0" w:type="dxa"/>
                  </w:tcMar>
                  <w:vAlign w:val="center"/>
                </w:tcPr>
                <w:p w14:paraId="30E3B2A5">
                  <w:pPr>
                    <w:spacing w:line="240" w:lineRule="auto"/>
                    <w:ind w:firstLine="0" w:firstLineChars="0"/>
                    <w:jc w:val="center"/>
                    <w:rPr>
                      <w:rFonts w:cs="Times New Roman"/>
                      <w:sz w:val="21"/>
                      <w:szCs w:val="21"/>
                    </w:rPr>
                  </w:pPr>
                  <w:r>
                    <w:rPr>
                      <w:rFonts w:cs="Times New Roman"/>
                      <w:sz w:val="21"/>
                      <w:szCs w:val="21"/>
                    </w:rPr>
                    <w:t>15.2</w:t>
                  </w:r>
                </w:p>
              </w:tc>
              <w:tc>
                <w:tcPr>
                  <w:tcW w:w="146" w:type="pct"/>
                  <w:shd w:val="clear" w:color="auto" w:fill="FFFFFF"/>
                  <w:tcMar>
                    <w:top w:w="0" w:type="dxa"/>
                    <w:left w:w="0" w:type="dxa"/>
                    <w:bottom w:w="0" w:type="dxa"/>
                    <w:right w:w="0" w:type="dxa"/>
                  </w:tcMar>
                  <w:vAlign w:val="center"/>
                </w:tcPr>
                <w:p w14:paraId="2A494281">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57890B2E">
                  <w:pPr>
                    <w:spacing w:line="240" w:lineRule="auto"/>
                    <w:ind w:firstLine="0" w:firstLineChars="0"/>
                    <w:jc w:val="center"/>
                    <w:rPr>
                      <w:rFonts w:cs="Times New Roman"/>
                      <w:sz w:val="21"/>
                      <w:szCs w:val="21"/>
                    </w:rPr>
                  </w:pPr>
                  <w:r>
                    <w:rPr>
                      <w:rFonts w:cs="Times New Roman"/>
                      <w:sz w:val="21"/>
                      <w:szCs w:val="21"/>
                    </w:rPr>
                    <w:t>23.2</w:t>
                  </w:r>
                </w:p>
              </w:tc>
              <w:tc>
                <w:tcPr>
                  <w:tcW w:w="201" w:type="pct"/>
                  <w:shd w:val="clear" w:color="auto" w:fill="FFFFFF"/>
                  <w:tcMar>
                    <w:top w:w="0" w:type="dxa"/>
                    <w:left w:w="0" w:type="dxa"/>
                    <w:bottom w:w="0" w:type="dxa"/>
                    <w:right w:w="0" w:type="dxa"/>
                  </w:tcMar>
                  <w:vAlign w:val="center"/>
                </w:tcPr>
                <w:p w14:paraId="3F7EC604">
                  <w:pPr>
                    <w:spacing w:line="240" w:lineRule="auto"/>
                    <w:ind w:firstLine="0" w:firstLineChars="0"/>
                    <w:jc w:val="center"/>
                    <w:rPr>
                      <w:rFonts w:cs="Times New Roman"/>
                      <w:sz w:val="21"/>
                      <w:szCs w:val="21"/>
                    </w:rPr>
                  </w:pPr>
                  <w:r>
                    <w:rPr>
                      <w:rFonts w:cs="Times New Roman"/>
                      <w:sz w:val="21"/>
                      <w:szCs w:val="21"/>
                    </w:rPr>
                    <w:t>11.6</w:t>
                  </w:r>
                </w:p>
              </w:tc>
              <w:tc>
                <w:tcPr>
                  <w:tcW w:w="201" w:type="pct"/>
                  <w:shd w:val="clear" w:color="auto" w:fill="FFFFFF"/>
                  <w:tcMar>
                    <w:top w:w="0" w:type="dxa"/>
                    <w:left w:w="0" w:type="dxa"/>
                    <w:bottom w:w="0" w:type="dxa"/>
                    <w:right w:w="0" w:type="dxa"/>
                  </w:tcMar>
                  <w:vAlign w:val="center"/>
                </w:tcPr>
                <w:p w14:paraId="7D7F6D47">
                  <w:pPr>
                    <w:spacing w:line="240" w:lineRule="auto"/>
                    <w:ind w:firstLine="0" w:firstLineChars="0"/>
                    <w:jc w:val="center"/>
                    <w:rPr>
                      <w:rFonts w:cs="Times New Roman"/>
                      <w:sz w:val="21"/>
                      <w:szCs w:val="21"/>
                    </w:rPr>
                  </w:pPr>
                  <w:r>
                    <w:rPr>
                      <w:rFonts w:cs="Times New Roman"/>
                      <w:sz w:val="21"/>
                      <w:szCs w:val="21"/>
                    </w:rPr>
                    <w:t>42.2</w:t>
                  </w:r>
                </w:p>
              </w:tc>
              <w:tc>
                <w:tcPr>
                  <w:tcW w:w="201" w:type="pct"/>
                  <w:shd w:val="clear" w:color="auto" w:fill="FFFFFF"/>
                  <w:tcMar>
                    <w:top w:w="0" w:type="dxa"/>
                    <w:left w:w="0" w:type="dxa"/>
                    <w:bottom w:w="0" w:type="dxa"/>
                    <w:right w:w="0" w:type="dxa"/>
                  </w:tcMar>
                  <w:vAlign w:val="center"/>
                </w:tcPr>
                <w:p w14:paraId="1C90373A">
                  <w:pPr>
                    <w:spacing w:line="240" w:lineRule="auto"/>
                    <w:ind w:firstLine="0" w:firstLineChars="0"/>
                    <w:jc w:val="center"/>
                    <w:rPr>
                      <w:rFonts w:cs="Times New Roman"/>
                      <w:sz w:val="21"/>
                      <w:szCs w:val="21"/>
                    </w:rPr>
                  </w:pPr>
                  <w:r>
                    <w:rPr>
                      <w:rFonts w:cs="Times New Roman"/>
                      <w:sz w:val="21"/>
                      <w:szCs w:val="21"/>
                    </w:rPr>
                    <w:t>9.2</w:t>
                  </w:r>
                </w:p>
              </w:tc>
              <w:tc>
                <w:tcPr>
                  <w:tcW w:w="213" w:type="pct"/>
                  <w:shd w:val="clear" w:color="auto" w:fill="FFFFFF"/>
                  <w:tcMar>
                    <w:top w:w="0" w:type="dxa"/>
                    <w:left w:w="0" w:type="dxa"/>
                    <w:bottom w:w="0" w:type="dxa"/>
                    <w:right w:w="0" w:type="dxa"/>
                  </w:tcMar>
                  <w:vAlign w:val="center"/>
                </w:tcPr>
                <w:p w14:paraId="63A37E6A">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12359A41">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2D6B58C0">
                  <w:pPr>
                    <w:spacing w:line="240" w:lineRule="auto"/>
                    <w:ind w:firstLine="0" w:firstLineChars="0"/>
                    <w:jc w:val="center"/>
                    <w:rPr>
                      <w:rFonts w:cs="Times New Roman"/>
                      <w:sz w:val="21"/>
                      <w:szCs w:val="21"/>
                    </w:rPr>
                  </w:pPr>
                  <w:r>
                    <w:rPr>
                      <w:rFonts w:cs="Times New Roman"/>
                      <w:sz w:val="21"/>
                      <w:szCs w:val="21"/>
                    </w:rPr>
                    <w:t>81.6</w:t>
                  </w:r>
                </w:p>
              </w:tc>
              <w:tc>
                <w:tcPr>
                  <w:tcW w:w="201" w:type="pct"/>
                  <w:shd w:val="clear" w:color="auto" w:fill="FFFFFF"/>
                  <w:tcMar>
                    <w:top w:w="0" w:type="dxa"/>
                    <w:left w:w="0" w:type="dxa"/>
                    <w:bottom w:w="0" w:type="dxa"/>
                    <w:right w:w="0" w:type="dxa"/>
                  </w:tcMar>
                  <w:vAlign w:val="center"/>
                </w:tcPr>
                <w:p w14:paraId="0A388CE1">
                  <w:pPr>
                    <w:spacing w:line="240" w:lineRule="auto"/>
                    <w:ind w:firstLine="0" w:firstLineChars="0"/>
                    <w:jc w:val="center"/>
                    <w:rPr>
                      <w:rFonts w:cs="Times New Roman"/>
                      <w:sz w:val="21"/>
                      <w:szCs w:val="21"/>
                    </w:rPr>
                  </w:pPr>
                  <w:r>
                    <w:rPr>
                      <w:rFonts w:cs="Times New Roman"/>
                      <w:sz w:val="21"/>
                      <w:szCs w:val="21"/>
                    </w:rPr>
                    <w:t>81.7</w:t>
                  </w:r>
                </w:p>
              </w:tc>
              <w:tc>
                <w:tcPr>
                  <w:tcW w:w="238" w:type="pct"/>
                  <w:shd w:val="clear" w:color="auto" w:fill="FFFFFF"/>
                  <w:tcMar>
                    <w:top w:w="0" w:type="dxa"/>
                    <w:left w:w="0" w:type="dxa"/>
                    <w:bottom w:w="0" w:type="dxa"/>
                    <w:right w:w="0" w:type="dxa"/>
                  </w:tcMar>
                  <w:vAlign w:val="center"/>
                </w:tcPr>
                <w:p w14:paraId="36814006">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1781E712">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6D8A5C8D">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700D8435">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5195D02D">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7B602FFA">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341D7DA9">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6A6A8F56">
                  <w:pPr>
                    <w:spacing w:line="240" w:lineRule="auto"/>
                    <w:ind w:firstLine="0" w:firstLineChars="0"/>
                    <w:jc w:val="center"/>
                    <w:rPr>
                      <w:rFonts w:cs="Times New Roman"/>
                      <w:sz w:val="21"/>
                      <w:szCs w:val="21"/>
                    </w:rPr>
                  </w:pPr>
                  <w:r>
                    <w:rPr>
                      <w:rFonts w:cs="Times New Roman"/>
                      <w:sz w:val="21"/>
                      <w:szCs w:val="21"/>
                    </w:rPr>
                    <w:t>55.6</w:t>
                  </w:r>
                </w:p>
              </w:tc>
              <w:tc>
                <w:tcPr>
                  <w:tcW w:w="201" w:type="pct"/>
                  <w:shd w:val="clear" w:color="auto" w:fill="FFFFFF"/>
                  <w:tcMar>
                    <w:top w:w="0" w:type="dxa"/>
                    <w:left w:w="0" w:type="dxa"/>
                    <w:bottom w:w="0" w:type="dxa"/>
                    <w:right w:w="0" w:type="dxa"/>
                  </w:tcMar>
                  <w:vAlign w:val="center"/>
                </w:tcPr>
                <w:p w14:paraId="1509D95F">
                  <w:pPr>
                    <w:spacing w:line="240" w:lineRule="auto"/>
                    <w:ind w:firstLine="0" w:firstLineChars="0"/>
                    <w:jc w:val="center"/>
                    <w:rPr>
                      <w:rFonts w:cs="Times New Roman"/>
                      <w:sz w:val="21"/>
                      <w:szCs w:val="21"/>
                    </w:rPr>
                  </w:pPr>
                  <w:r>
                    <w:rPr>
                      <w:rFonts w:cs="Times New Roman"/>
                      <w:sz w:val="21"/>
                      <w:szCs w:val="21"/>
                    </w:rPr>
                    <w:t>55.7</w:t>
                  </w:r>
                </w:p>
              </w:tc>
              <w:tc>
                <w:tcPr>
                  <w:tcW w:w="123" w:type="pct"/>
                  <w:shd w:val="clear" w:color="auto" w:fill="FFFFFF"/>
                  <w:tcMar>
                    <w:top w:w="0" w:type="dxa"/>
                    <w:left w:w="0" w:type="dxa"/>
                    <w:bottom w:w="0" w:type="dxa"/>
                    <w:right w:w="0" w:type="dxa"/>
                  </w:tcMar>
                  <w:vAlign w:val="center"/>
                </w:tcPr>
                <w:p w14:paraId="35E4C00B">
                  <w:pPr>
                    <w:spacing w:line="240" w:lineRule="auto"/>
                    <w:ind w:firstLine="0" w:firstLineChars="0"/>
                    <w:jc w:val="center"/>
                    <w:rPr>
                      <w:rFonts w:cs="Times New Roman"/>
                      <w:sz w:val="21"/>
                      <w:szCs w:val="21"/>
                    </w:rPr>
                  </w:pPr>
                  <w:r>
                    <w:rPr>
                      <w:rFonts w:cs="Times New Roman"/>
                      <w:sz w:val="21"/>
                      <w:szCs w:val="21"/>
                    </w:rPr>
                    <w:t>1</w:t>
                  </w:r>
                </w:p>
              </w:tc>
            </w:tr>
            <w:tr w14:paraId="2FCC4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077DB3BD">
                  <w:pPr>
                    <w:spacing w:line="240" w:lineRule="auto"/>
                    <w:ind w:firstLine="0" w:firstLineChars="0"/>
                    <w:jc w:val="center"/>
                    <w:rPr>
                      <w:rFonts w:cs="Times New Roman"/>
                      <w:sz w:val="21"/>
                      <w:szCs w:val="21"/>
                    </w:rPr>
                  </w:pPr>
                  <w:r>
                    <w:rPr>
                      <w:rFonts w:cs="Times New Roman"/>
                      <w:sz w:val="21"/>
                      <w:szCs w:val="21"/>
                    </w:rPr>
                    <w:t>6</w:t>
                  </w:r>
                </w:p>
              </w:tc>
              <w:tc>
                <w:tcPr>
                  <w:tcW w:w="239" w:type="pct"/>
                  <w:shd w:val="clear" w:color="auto" w:fill="FFFFFF"/>
                  <w:tcMar>
                    <w:top w:w="0" w:type="dxa"/>
                    <w:left w:w="0" w:type="dxa"/>
                    <w:bottom w:w="0" w:type="dxa"/>
                    <w:right w:w="0" w:type="dxa"/>
                  </w:tcMar>
                  <w:vAlign w:val="center"/>
                </w:tcPr>
                <w:p w14:paraId="4C0365E5">
                  <w:pPr>
                    <w:spacing w:line="240" w:lineRule="auto"/>
                    <w:ind w:firstLine="0" w:firstLineChars="0"/>
                    <w:jc w:val="center"/>
                    <w:rPr>
                      <w:rFonts w:cs="Times New Roman"/>
                      <w:sz w:val="21"/>
                      <w:szCs w:val="21"/>
                    </w:rPr>
                  </w:pPr>
                  <w:r>
                    <w:rPr>
                      <w:rFonts w:hint="eastAsia" w:cs="Times New Roman"/>
                      <w:sz w:val="21"/>
                      <w:szCs w:val="21"/>
                    </w:rPr>
                    <w:t>圆滚筒</w:t>
                  </w:r>
                </w:p>
              </w:tc>
              <w:tc>
                <w:tcPr>
                  <w:tcW w:w="334" w:type="pct"/>
                  <w:shd w:val="clear" w:color="auto" w:fill="FFFFFF"/>
                  <w:tcMar>
                    <w:top w:w="0" w:type="dxa"/>
                    <w:left w:w="0" w:type="dxa"/>
                    <w:bottom w:w="0" w:type="dxa"/>
                    <w:right w:w="0" w:type="dxa"/>
                  </w:tcMar>
                  <w:vAlign w:val="center"/>
                </w:tcPr>
                <w:p w14:paraId="07522AA2">
                  <w:pPr>
                    <w:spacing w:line="240" w:lineRule="auto"/>
                    <w:ind w:firstLine="0" w:firstLineChars="0"/>
                    <w:jc w:val="center"/>
                    <w:rPr>
                      <w:rFonts w:cs="Times New Roman"/>
                      <w:sz w:val="21"/>
                      <w:szCs w:val="21"/>
                    </w:rPr>
                  </w:pPr>
                  <w:r>
                    <w:rPr>
                      <w:rFonts w:cs="Times New Roman"/>
                      <w:sz w:val="21"/>
                      <w:szCs w:val="21"/>
                    </w:rPr>
                    <w:t>75</w:t>
                  </w:r>
                </w:p>
              </w:tc>
              <w:tc>
                <w:tcPr>
                  <w:tcW w:w="213" w:type="pct"/>
                  <w:shd w:val="clear" w:color="auto" w:fill="FFFFFF"/>
                  <w:tcMar>
                    <w:top w:w="0" w:type="dxa"/>
                    <w:left w:w="0" w:type="dxa"/>
                    <w:bottom w:w="0" w:type="dxa"/>
                    <w:right w:w="0" w:type="dxa"/>
                  </w:tcMar>
                  <w:vAlign w:val="center"/>
                </w:tcPr>
                <w:p w14:paraId="336E3116">
                  <w:pPr>
                    <w:spacing w:line="240" w:lineRule="auto"/>
                    <w:ind w:firstLine="0" w:firstLineChars="0"/>
                    <w:jc w:val="center"/>
                    <w:rPr>
                      <w:rFonts w:cs="Times New Roman"/>
                      <w:sz w:val="21"/>
                      <w:szCs w:val="21"/>
                    </w:rPr>
                  </w:pPr>
                  <w:r>
                    <w:rPr>
                      <w:rFonts w:cs="Times New Roman"/>
                      <w:sz w:val="21"/>
                      <w:szCs w:val="21"/>
                    </w:rPr>
                    <w:t>18.2</w:t>
                  </w:r>
                </w:p>
              </w:tc>
              <w:tc>
                <w:tcPr>
                  <w:tcW w:w="201" w:type="pct"/>
                  <w:shd w:val="clear" w:color="auto" w:fill="FFFFFF"/>
                  <w:tcMar>
                    <w:top w:w="0" w:type="dxa"/>
                    <w:left w:w="0" w:type="dxa"/>
                    <w:bottom w:w="0" w:type="dxa"/>
                    <w:right w:w="0" w:type="dxa"/>
                  </w:tcMar>
                  <w:vAlign w:val="center"/>
                </w:tcPr>
                <w:p w14:paraId="255DDC5B">
                  <w:pPr>
                    <w:spacing w:line="240" w:lineRule="auto"/>
                    <w:ind w:firstLine="0" w:firstLineChars="0"/>
                    <w:jc w:val="center"/>
                    <w:rPr>
                      <w:rFonts w:cs="Times New Roman"/>
                      <w:sz w:val="21"/>
                      <w:szCs w:val="21"/>
                    </w:rPr>
                  </w:pPr>
                  <w:r>
                    <w:rPr>
                      <w:rFonts w:cs="Times New Roman"/>
                      <w:sz w:val="21"/>
                      <w:szCs w:val="21"/>
                    </w:rPr>
                    <w:t>13.8</w:t>
                  </w:r>
                </w:p>
              </w:tc>
              <w:tc>
                <w:tcPr>
                  <w:tcW w:w="146" w:type="pct"/>
                  <w:shd w:val="clear" w:color="auto" w:fill="FFFFFF"/>
                  <w:tcMar>
                    <w:top w:w="0" w:type="dxa"/>
                    <w:left w:w="0" w:type="dxa"/>
                    <w:bottom w:w="0" w:type="dxa"/>
                    <w:right w:w="0" w:type="dxa"/>
                  </w:tcMar>
                  <w:vAlign w:val="center"/>
                </w:tcPr>
                <w:p w14:paraId="1CDB4DDA">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24465FEA">
                  <w:pPr>
                    <w:spacing w:line="240" w:lineRule="auto"/>
                    <w:ind w:firstLine="0" w:firstLineChars="0"/>
                    <w:jc w:val="center"/>
                    <w:rPr>
                      <w:rFonts w:cs="Times New Roman"/>
                      <w:sz w:val="21"/>
                      <w:szCs w:val="21"/>
                    </w:rPr>
                  </w:pPr>
                  <w:r>
                    <w:rPr>
                      <w:rFonts w:cs="Times New Roman"/>
                      <w:sz w:val="21"/>
                      <w:szCs w:val="21"/>
                    </w:rPr>
                    <w:t>13.6</w:t>
                  </w:r>
                </w:p>
              </w:tc>
              <w:tc>
                <w:tcPr>
                  <w:tcW w:w="201" w:type="pct"/>
                  <w:shd w:val="clear" w:color="auto" w:fill="FFFFFF"/>
                  <w:tcMar>
                    <w:top w:w="0" w:type="dxa"/>
                    <w:left w:w="0" w:type="dxa"/>
                    <w:bottom w:w="0" w:type="dxa"/>
                    <w:right w:w="0" w:type="dxa"/>
                  </w:tcMar>
                  <w:vAlign w:val="center"/>
                </w:tcPr>
                <w:p w14:paraId="3ADA64EE">
                  <w:pPr>
                    <w:spacing w:line="240" w:lineRule="auto"/>
                    <w:ind w:firstLine="0" w:firstLineChars="0"/>
                    <w:jc w:val="center"/>
                    <w:rPr>
                      <w:rFonts w:cs="Times New Roman"/>
                      <w:sz w:val="21"/>
                      <w:szCs w:val="21"/>
                    </w:rPr>
                  </w:pPr>
                  <w:r>
                    <w:rPr>
                      <w:rFonts w:cs="Times New Roman"/>
                      <w:sz w:val="21"/>
                      <w:szCs w:val="21"/>
                    </w:rPr>
                    <w:t>11.0</w:t>
                  </w:r>
                </w:p>
              </w:tc>
              <w:tc>
                <w:tcPr>
                  <w:tcW w:w="201" w:type="pct"/>
                  <w:shd w:val="clear" w:color="auto" w:fill="FFFFFF"/>
                  <w:tcMar>
                    <w:top w:w="0" w:type="dxa"/>
                    <w:left w:w="0" w:type="dxa"/>
                    <w:bottom w:w="0" w:type="dxa"/>
                    <w:right w:w="0" w:type="dxa"/>
                  </w:tcMar>
                  <w:vAlign w:val="center"/>
                </w:tcPr>
                <w:p w14:paraId="675EDEE4">
                  <w:pPr>
                    <w:spacing w:line="240" w:lineRule="auto"/>
                    <w:ind w:firstLine="0" w:firstLineChars="0"/>
                    <w:jc w:val="center"/>
                    <w:rPr>
                      <w:rFonts w:cs="Times New Roman"/>
                      <w:sz w:val="21"/>
                      <w:szCs w:val="21"/>
                    </w:rPr>
                  </w:pPr>
                  <w:r>
                    <w:rPr>
                      <w:rFonts w:cs="Times New Roman"/>
                      <w:sz w:val="21"/>
                      <w:szCs w:val="21"/>
                    </w:rPr>
                    <w:t>51.9</w:t>
                  </w:r>
                </w:p>
              </w:tc>
              <w:tc>
                <w:tcPr>
                  <w:tcW w:w="201" w:type="pct"/>
                  <w:shd w:val="clear" w:color="auto" w:fill="FFFFFF"/>
                  <w:tcMar>
                    <w:top w:w="0" w:type="dxa"/>
                    <w:left w:w="0" w:type="dxa"/>
                    <w:bottom w:w="0" w:type="dxa"/>
                    <w:right w:w="0" w:type="dxa"/>
                  </w:tcMar>
                  <w:vAlign w:val="center"/>
                </w:tcPr>
                <w:p w14:paraId="3D99C844">
                  <w:pPr>
                    <w:spacing w:line="240" w:lineRule="auto"/>
                    <w:ind w:firstLine="0" w:firstLineChars="0"/>
                    <w:jc w:val="center"/>
                    <w:rPr>
                      <w:rFonts w:cs="Times New Roman"/>
                      <w:sz w:val="21"/>
                      <w:szCs w:val="21"/>
                    </w:rPr>
                  </w:pPr>
                  <w:r>
                    <w:rPr>
                      <w:rFonts w:cs="Times New Roman"/>
                      <w:sz w:val="21"/>
                      <w:szCs w:val="21"/>
                    </w:rPr>
                    <w:t>9.9</w:t>
                  </w:r>
                </w:p>
              </w:tc>
              <w:tc>
                <w:tcPr>
                  <w:tcW w:w="213" w:type="pct"/>
                  <w:shd w:val="clear" w:color="auto" w:fill="FFFFFF"/>
                  <w:tcMar>
                    <w:top w:w="0" w:type="dxa"/>
                    <w:left w:w="0" w:type="dxa"/>
                    <w:bottom w:w="0" w:type="dxa"/>
                    <w:right w:w="0" w:type="dxa"/>
                  </w:tcMar>
                  <w:vAlign w:val="center"/>
                </w:tcPr>
                <w:p w14:paraId="4FA4A0B5">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79B62EF2">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5D33E908">
                  <w:pPr>
                    <w:spacing w:line="240" w:lineRule="auto"/>
                    <w:ind w:firstLine="0" w:firstLineChars="0"/>
                    <w:jc w:val="center"/>
                    <w:rPr>
                      <w:rFonts w:cs="Times New Roman"/>
                      <w:sz w:val="21"/>
                      <w:szCs w:val="21"/>
                    </w:rPr>
                  </w:pPr>
                  <w:r>
                    <w:rPr>
                      <w:rFonts w:cs="Times New Roman"/>
                      <w:sz w:val="21"/>
                      <w:szCs w:val="21"/>
                    </w:rPr>
                    <w:t>61.6</w:t>
                  </w:r>
                </w:p>
              </w:tc>
              <w:tc>
                <w:tcPr>
                  <w:tcW w:w="201" w:type="pct"/>
                  <w:shd w:val="clear" w:color="auto" w:fill="FFFFFF"/>
                  <w:tcMar>
                    <w:top w:w="0" w:type="dxa"/>
                    <w:left w:w="0" w:type="dxa"/>
                    <w:bottom w:w="0" w:type="dxa"/>
                    <w:right w:w="0" w:type="dxa"/>
                  </w:tcMar>
                  <w:vAlign w:val="center"/>
                </w:tcPr>
                <w:p w14:paraId="2B7FC022">
                  <w:pPr>
                    <w:spacing w:line="240" w:lineRule="auto"/>
                    <w:ind w:firstLine="0" w:firstLineChars="0"/>
                    <w:jc w:val="center"/>
                    <w:rPr>
                      <w:rFonts w:cs="Times New Roman"/>
                      <w:sz w:val="21"/>
                      <w:szCs w:val="21"/>
                    </w:rPr>
                  </w:pPr>
                  <w:r>
                    <w:rPr>
                      <w:rFonts w:cs="Times New Roman"/>
                      <w:sz w:val="21"/>
                      <w:szCs w:val="21"/>
                    </w:rPr>
                    <w:t>61.7</w:t>
                  </w:r>
                </w:p>
              </w:tc>
              <w:tc>
                <w:tcPr>
                  <w:tcW w:w="238" w:type="pct"/>
                  <w:shd w:val="clear" w:color="auto" w:fill="FFFFFF"/>
                  <w:tcMar>
                    <w:top w:w="0" w:type="dxa"/>
                    <w:left w:w="0" w:type="dxa"/>
                    <w:bottom w:w="0" w:type="dxa"/>
                    <w:right w:w="0" w:type="dxa"/>
                  </w:tcMar>
                  <w:vAlign w:val="center"/>
                </w:tcPr>
                <w:p w14:paraId="5EFAA53A">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50A189D8">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60321343">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7C19CB7A">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049FF4DF">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0781B1B5">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158B240E">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15F2E283">
                  <w:pPr>
                    <w:spacing w:line="240" w:lineRule="auto"/>
                    <w:ind w:firstLine="0" w:firstLineChars="0"/>
                    <w:jc w:val="center"/>
                    <w:rPr>
                      <w:rFonts w:cs="Times New Roman"/>
                      <w:sz w:val="21"/>
                      <w:szCs w:val="21"/>
                    </w:rPr>
                  </w:pPr>
                  <w:r>
                    <w:rPr>
                      <w:rFonts w:cs="Times New Roman"/>
                      <w:sz w:val="21"/>
                      <w:szCs w:val="21"/>
                    </w:rPr>
                    <w:t>35.6</w:t>
                  </w:r>
                </w:p>
              </w:tc>
              <w:tc>
                <w:tcPr>
                  <w:tcW w:w="201" w:type="pct"/>
                  <w:shd w:val="clear" w:color="auto" w:fill="FFFFFF"/>
                  <w:tcMar>
                    <w:top w:w="0" w:type="dxa"/>
                    <w:left w:w="0" w:type="dxa"/>
                    <w:bottom w:w="0" w:type="dxa"/>
                    <w:right w:w="0" w:type="dxa"/>
                  </w:tcMar>
                  <w:vAlign w:val="center"/>
                </w:tcPr>
                <w:p w14:paraId="21E882A0">
                  <w:pPr>
                    <w:spacing w:line="240" w:lineRule="auto"/>
                    <w:ind w:firstLine="0" w:firstLineChars="0"/>
                    <w:jc w:val="center"/>
                    <w:rPr>
                      <w:rFonts w:cs="Times New Roman"/>
                      <w:sz w:val="21"/>
                      <w:szCs w:val="21"/>
                    </w:rPr>
                  </w:pPr>
                  <w:r>
                    <w:rPr>
                      <w:rFonts w:cs="Times New Roman"/>
                      <w:sz w:val="21"/>
                      <w:szCs w:val="21"/>
                    </w:rPr>
                    <w:t>35.7</w:t>
                  </w:r>
                </w:p>
              </w:tc>
              <w:tc>
                <w:tcPr>
                  <w:tcW w:w="123" w:type="pct"/>
                  <w:shd w:val="clear" w:color="auto" w:fill="FFFFFF"/>
                  <w:tcMar>
                    <w:top w:w="0" w:type="dxa"/>
                    <w:left w:w="0" w:type="dxa"/>
                    <w:bottom w:w="0" w:type="dxa"/>
                    <w:right w:w="0" w:type="dxa"/>
                  </w:tcMar>
                  <w:vAlign w:val="center"/>
                </w:tcPr>
                <w:p w14:paraId="6FE7EF17">
                  <w:pPr>
                    <w:spacing w:line="240" w:lineRule="auto"/>
                    <w:ind w:firstLine="0" w:firstLineChars="0"/>
                    <w:jc w:val="center"/>
                    <w:rPr>
                      <w:rFonts w:cs="Times New Roman"/>
                      <w:sz w:val="21"/>
                      <w:szCs w:val="21"/>
                    </w:rPr>
                  </w:pPr>
                  <w:r>
                    <w:rPr>
                      <w:rFonts w:cs="Times New Roman"/>
                      <w:sz w:val="21"/>
                      <w:szCs w:val="21"/>
                    </w:rPr>
                    <w:t>1</w:t>
                  </w:r>
                </w:p>
              </w:tc>
            </w:tr>
            <w:tr w14:paraId="1660A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39" w:type="pct"/>
                  <w:shd w:val="clear" w:color="auto" w:fill="FFFFFF"/>
                  <w:tcMar>
                    <w:top w:w="0" w:type="dxa"/>
                    <w:left w:w="0" w:type="dxa"/>
                    <w:bottom w:w="0" w:type="dxa"/>
                    <w:right w:w="0" w:type="dxa"/>
                  </w:tcMar>
                  <w:vAlign w:val="center"/>
                </w:tcPr>
                <w:p w14:paraId="4A4D7401">
                  <w:pPr>
                    <w:spacing w:line="240" w:lineRule="auto"/>
                    <w:ind w:firstLine="0" w:firstLineChars="0"/>
                    <w:jc w:val="center"/>
                    <w:rPr>
                      <w:rFonts w:cs="Times New Roman"/>
                      <w:sz w:val="21"/>
                      <w:szCs w:val="21"/>
                    </w:rPr>
                  </w:pPr>
                  <w:r>
                    <w:rPr>
                      <w:rFonts w:cs="Times New Roman"/>
                      <w:sz w:val="21"/>
                      <w:szCs w:val="21"/>
                    </w:rPr>
                    <w:t>7</w:t>
                  </w:r>
                </w:p>
              </w:tc>
              <w:tc>
                <w:tcPr>
                  <w:tcW w:w="239" w:type="pct"/>
                  <w:shd w:val="clear" w:color="auto" w:fill="FFFFFF"/>
                  <w:tcMar>
                    <w:top w:w="0" w:type="dxa"/>
                    <w:left w:w="0" w:type="dxa"/>
                    <w:bottom w:w="0" w:type="dxa"/>
                    <w:right w:w="0" w:type="dxa"/>
                  </w:tcMar>
                  <w:vAlign w:val="center"/>
                </w:tcPr>
                <w:p w14:paraId="6E784E1A">
                  <w:pPr>
                    <w:spacing w:line="240" w:lineRule="auto"/>
                    <w:ind w:firstLine="0" w:firstLineChars="0"/>
                    <w:jc w:val="center"/>
                    <w:rPr>
                      <w:rFonts w:cs="Times New Roman"/>
                      <w:sz w:val="21"/>
                      <w:szCs w:val="21"/>
                    </w:rPr>
                  </w:pPr>
                  <w:r>
                    <w:rPr>
                      <w:rFonts w:hint="eastAsia" w:cs="Times New Roman"/>
                      <w:sz w:val="21"/>
                      <w:szCs w:val="21"/>
                    </w:rPr>
                    <w:t>晃床</w:t>
                  </w:r>
                </w:p>
              </w:tc>
              <w:tc>
                <w:tcPr>
                  <w:tcW w:w="334" w:type="pct"/>
                  <w:shd w:val="clear" w:color="auto" w:fill="FFFFFF"/>
                  <w:tcMar>
                    <w:top w:w="0" w:type="dxa"/>
                    <w:left w:w="0" w:type="dxa"/>
                    <w:bottom w:w="0" w:type="dxa"/>
                    <w:right w:w="0" w:type="dxa"/>
                  </w:tcMar>
                  <w:vAlign w:val="center"/>
                </w:tcPr>
                <w:p w14:paraId="32048478">
                  <w:pPr>
                    <w:spacing w:line="240" w:lineRule="auto"/>
                    <w:ind w:firstLine="0" w:firstLineChars="0"/>
                    <w:jc w:val="center"/>
                    <w:rPr>
                      <w:rFonts w:cs="Times New Roman"/>
                      <w:sz w:val="21"/>
                      <w:szCs w:val="21"/>
                    </w:rPr>
                  </w:pPr>
                  <w:r>
                    <w:rPr>
                      <w:rFonts w:cs="Times New Roman"/>
                      <w:sz w:val="21"/>
                      <w:szCs w:val="21"/>
                    </w:rPr>
                    <w:t>90</w:t>
                  </w:r>
                </w:p>
              </w:tc>
              <w:tc>
                <w:tcPr>
                  <w:tcW w:w="213" w:type="pct"/>
                  <w:shd w:val="clear" w:color="auto" w:fill="FFFFFF"/>
                  <w:tcMar>
                    <w:top w:w="0" w:type="dxa"/>
                    <w:left w:w="0" w:type="dxa"/>
                    <w:bottom w:w="0" w:type="dxa"/>
                    <w:right w:w="0" w:type="dxa"/>
                  </w:tcMar>
                  <w:vAlign w:val="center"/>
                </w:tcPr>
                <w:p w14:paraId="1F4AA05F">
                  <w:pPr>
                    <w:spacing w:line="240" w:lineRule="auto"/>
                    <w:ind w:firstLine="0" w:firstLineChars="0"/>
                    <w:jc w:val="center"/>
                    <w:rPr>
                      <w:rFonts w:cs="Times New Roman"/>
                      <w:sz w:val="21"/>
                      <w:szCs w:val="21"/>
                    </w:rPr>
                  </w:pPr>
                  <w:r>
                    <w:rPr>
                      <w:rFonts w:cs="Times New Roman"/>
                      <w:sz w:val="21"/>
                      <w:szCs w:val="21"/>
                    </w:rPr>
                    <w:t>25.6</w:t>
                  </w:r>
                </w:p>
              </w:tc>
              <w:tc>
                <w:tcPr>
                  <w:tcW w:w="201" w:type="pct"/>
                  <w:shd w:val="clear" w:color="auto" w:fill="FFFFFF"/>
                  <w:tcMar>
                    <w:top w:w="0" w:type="dxa"/>
                    <w:left w:w="0" w:type="dxa"/>
                    <w:bottom w:w="0" w:type="dxa"/>
                    <w:right w:w="0" w:type="dxa"/>
                  </w:tcMar>
                  <w:vAlign w:val="center"/>
                </w:tcPr>
                <w:p w14:paraId="0CF71456">
                  <w:pPr>
                    <w:spacing w:line="240" w:lineRule="auto"/>
                    <w:ind w:firstLine="0" w:firstLineChars="0"/>
                    <w:jc w:val="center"/>
                    <w:rPr>
                      <w:rFonts w:cs="Times New Roman"/>
                      <w:sz w:val="21"/>
                      <w:szCs w:val="21"/>
                    </w:rPr>
                  </w:pPr>
                  <w:r>
                    <w:rPr>
                      <w:rFonts w:cs="Times New Roman"/>
                      <w:sz w:val="21"/>
                      <w:szCs w:val="21"/>
                    </w:rPr>
                    <w:t>10.7</w:t>
                  </w:r>
                </w:p>
              </w:tc>
              <w:tc>
                <w:tcPr>
                  <w:tcW w:w="146" w:type="pct"/>
                  <w:shd w:val="clear" w:color="auto" w:fill="FFFFFF"/>
                  <w:tcMar>
                    <w:top w:w="0" w:type="dxa"/>
                    <w:left w:w="0" w:type="dxa"/>
                    <w:bottom w:w="0" w:type="dxa"/>
                    <w:right w:w="0" w:type="dxa"/>
                  </w:tcMar>
                  <w:vAlign w:val="center"/>
                </w:tcPr>
                <w:p w14:paraId="7DD3E714">
                  <w:pPr>
                    <w:spacing w:line="240" w:lineRule="auto"/>
                    <w:ind w:firstLine="0" w:firstLineChars="0"/>
                    <w:jc w:val="center"/>
                    <w:rPr>
                      <w:rFonts w:cs="Times New Roman"/>
                      <w:sz w:val="21"/>
                      <w:szCs w:val="21"/>
                    </w:rPr>
                  </w:pPr>
                  <w:r>
                    <w:rPr>
                      <w:rFonts w:cs="Times New Roman"/>
                      <w:sz w:val="21"/>
                      <w:szCs w:val="21"/>
                    </w:rPr>
                    <w:t>1.2</w:t>
                  </w:r>
                </w:p>
              </w:tc>
              <w:tc>
                <w:tcPr>
                  <w:tcW w:w="213" w:type="pct"/>
                  <w:shd w:val="clear" w:color="auto" w:fill="FFFFFF"/>
                  <w:tcMar>
                    <w:top w:w="0" w:type="dxa"/>
                    <w:left w:w="0" w:type="dxa"/>
                    <w:bottom w:w="0" w:type="dxa"/>
                    <w:right w:w="0" w:type="dxa"/>
                  </w:tcMar>
                  <w:vAlign w:val="center"/>
                </w:tcPr>
                <w:p w14:paraId="4554E12D">
                  <w:pPr>
                    <w:spacing w:line="240" w:lineRule="auto"/>
                    <w:ind w:firstLine="0" w:firstLineChars="0"/>
                    <w:jc w:val="center"/>
                    <w:rPr>
                      <w:rFonts w:cs="Times New Roman"/>
                      <w:sz w:val="21"/>
                      <w:szCs w:val="21"/>
                    </w:rPr>
                  </w:pPr>
                  <w:r>
                    <w:rPr>
                      <w:rFonts w:cs="Times New Roman"/>
                      <w:sz w:val="21"/>
                      <w:szCs w:val="21"/>
                    </w:rPr>
                    <w:t>6.0</w:t>
                  </w:r>
                </w:p>
              </w:tc>
              <w:tc>
                <w:tcPr>
                  <w:tcW w:w="201" w:type="pct"/>
                  <w:shd w:val="clear" w:color="auto" w:fill="FFFFFF"/>
                  <w:tcMar>
                    <w:top w:w="0" w:type="dxa"/>
                    <w:left w:w="0" w:type="dxa"/>
                    <w:bottom w:w="0" w:type="dxa"/>
                    <w:right w:w="0" w:type="dxa"/>
                  </w:tcMar>
                  <w:vAlign w:val="center"/>
                </w:tcPr>
                <w:p w14:paraId="644F5F60">
                  <w:pPr>
                    <w:spacing w:line="240" w:lineRule="auto"/>
                    <w:ind w:firstLine="0" w:firstLineChars="0"/>
                    <w:jc w:val="center"/>
                    <w:rPr>
                      <w:rFonts w:cs="Times New Roman"/>
                      <w:sz w:val="21"/>
                      <w:szCs w:val="21"/>
                    </w:rPr>
                  </w:pPr>
                  <w:r>
                    <w:rPr>
                      <w:rFonts w:cs="Times New Roman"/>
                      <w:sz w:val="21"/>
                      <w:szCs w:val="21"/>
                    </w:rPr>
                    <w:t>8.5</w:t>
                  </w:r>
                </w:p>
              </w:tc>
              <w:tc>
                <w:tcPr>
                  <w:tcW w:w="201" w:type="pct"/>
                  <w:shd w:val="clear" w:color="auto" w:fill="FFFFFF"/>
                  <w:tcMar>
                    <w:top w:w="0" w:type="dxa"/>
                    <w:left w:w="0" w:type="dxa"/>
                    <w:bottom w:w="0" w:type="dxa"/>
                    <w:right w:w="0" w:type="dxa"/>
                  </w:tcMar>
                  <w:vAlign w:val="center"/>
                </w:tcPr>
                <w:p w14:paraId="540AD285">
                  <w:pPr>
                    <w:spacing w:line="240" w:lineRule="auto"/>
                    <w:ind w:firstLine="0" w:firstLineChars="0"/>
                    <w:jc w:val="center"/>
                    <w:rPr>
                      <w:rFonts w:cs="Times New Roman"/>
                      <w:sz w:val="21"/>
                      <w:szCs w:val="21"/>
                    </w:rPr>
                  </w:pPr>
                  <w:r>
                    <w:rPr>
                      <w:rFonts w:cs="Times New Roman"/>
                      <w:sz w:val="21"/>
                      <w:szCs w:val="21"/>
                    </w:rPr>
                    <w:t>59.5</w:t>
                  </w:r>
                </w:p>
              </w:tc>
              <w:tc>
                <w:tcPr>
                  <w:tcW w:w="201" w:type="pct"/>
                  <w:shd w:val="clear" w:color="auto" w:fill="FFFFFF"/>
                  <w:tcMar>
                    <w:top w:w="0" w:type="dxa"/>
                    <w:left w:w="0" w:type="dxa"/>
                    <w:bottom w:w="0" w:type="dxa"/>
                    <w:right w:w="0" w:type="dxa"/>
                  </w:tcMar>
                  <w:vAlign w:val="center"/>
                </w:tcPr>
                <w:p w14:paraId="3E3B20B1">
                  <w:pPr>
                    <w:spacing w:line="240" w:lineRule="auto"/>
                    <w:ind w:firstLine="0" w:firstLineChars="0"/>
                    <w:jc w:val="center"/>
                    <w:rPr>
                      <w:rFonts w:cs="Times New Roman"/>
                      <w:sz w:val="21"/>
                      <w:szCs w:val="21"/>
                    </w:rPr>
                  </w:pPr>
                  <w:r>
                    <w:rPr>
                      <w:rFonts w:cs="Times New Roman"/>
                      <w:sz w:val="21"/>
                      <w:szCs w:val="21"/>
                    </w:rPr>
                    <w:t>12.4</w:t>
                  </w:r>
                </w:p>
              </w:tc>
              <w:tc>
                <w:tcPr>
                  <w:tcW w:w="213" w:type="pct"/>
                  <w:shd w:val="clear" w:color="auto" w:fill="FFFFFF"/>
                  <w:tcMar>
                    <w:top w:w="0" w:type="dxa"/>
                    <w:left w:w="0" w:type="dxa"/>
                    <w:bottom w:w="0" w:type="dxa"/>
                    <w:right w:w="0" w:type="dxa"/>
                  </w:tcMar>
                  <w:vAlign w:val="center"/>
                </w:tcPr>
                <w:p w14:paraId="7D62011C">
                  <w:pPr>
                    <w:spacing w:line="240" w:lineRule="auto"/>
                    <w:ind w:firstLine="0" w:firstLineChars="0"/>
                    <w:jc w:val="center"/>
                    <w:rPr>
                      <w:rFonts w:cs="Times New Roman"/>
                      <w:sz w:val="21"/>
                      <w:szCs w:val="21"/>
                    </w:rPr>
                  </w:pPr>
                  <w:r>
                    <w:rPr>
                      <w:rFonts w:cs="Times New Roman"/>
                      <w:sz w:val="21"/>
                      <w:szCs w:val="21"/>
                    </w:rPr>
                    <w:t>76.8</w:t>
                  </w:r>
                </w:p>
              </w:tc>
              <w:tc>
                <w:tcPr>
                  <w:tcW w:w="201" w:type="pct"/>
                  <w:shd w:val="clear" w:color="auto" w:fill="FFFFFF"/>
                  <w:tcMar>
                    <w:top w:w="0" w:type="dxa"/>
                    <w:left w:w="0" w:type="dxa"/>
                    <w:bottom w:w="0" w:type="dxa"/>
                    <w:right w:w="0" w:type="dxa"/>
                  </w:tcMar>
                  <w:vAlign w:val="center"/>
                </w:tcPr>
                <w:p w14:paraId="33D19512">
                  <w:pPr>
                    <w:spacing w:line="240" w:lineRule="auto"/>
                    <w:ind w:firstLine="0" w:firstLineChars="0"/>
                    <w:jc w:val="center"/>
                    <w:rPr>
                      <w:rFonts w:cs="Times New Roman"/>
                      <w:sz w:val="21"/>
                      <w:szCs w:val="21"/>
                    </w:rPr>
                  </w:pPr>
                  <w:r>
                    <w:rPr>
                      <w:rFonts w:cs="Times New Roman"/>
                      <w:sz w:val="21"/>
                      <w:szCs w:val="21"/>
                    </w:rPr>
                    <w:t>76.7</w:t>
                  </w:r>
                </w:p>
              </w:tc>
              <w:tc>
                <w:tcPr>
                  <w:tcW w:w="201" w:type="pct"/>
                  <w:shd w:val="clear" w:color="auto" w:fill="FFFFFF"/>
                  <w:tcMar>
                    <w:top w:w="0" w:type="dxa"/>
                    <w:left w:w="0" w:type="dxa"/>
                    <w:bottom w:w="0" w:type="dxa"/>
                    <w:right w:w="0" w:type="dxa"/>
                  </w:tcMar>
                  <w:vAlign w:val="center"/>
                </w:tcPr>
                <w:p w14:paraId="0A509DCC">
                  <w:pPr>
                    <w:spacing w:line="240" w:lineRule="auto"/>
                    <w:ind w:firstLine="0" w:firstLineChars="0"/>
                    <w:jc w:val="center"/>
                    <w:rPr>
                      <w:rFonts w:cs="Times New Roman"/>
                      <w:sz w:val="21"/>
                      <w:szCs w:val="21"/>
                    </w:rPr>
                  </w:pPr>
                  <w:r>
                    <w:rPr>
                      <w:rFonts w:cs="Times New Roman"/>
                      <w:sz w:val="21"/>
                      <w:szCs w:val="21"/>
                    </w:rPr>
                    <w:t>76.6</w:t>
                  </w:r>
                </w:p>
              </w:tc>
              <w:tc>
                <w:tcPr>
                  <w:tcW w:w="201" w:type="pct"/>
                  <w:shd w:val="clear" w:color="auto" w:fill="FFFFFF"/>
                  <w:tcMar>
                    <w:top w:w="0" w:type="dxa"/>
                    <w:left w:w="0" w:type="dxa"/>
                    <w:bottom w:w="0" w:type="dxa"/>
                    <w:right w:w="0" w:type="dxa"/>
                  </w:tcMar>
                  <w:vAlign w:val="center"/>
                </w:tcPr>
                <w:p w14:paraId="51C24ECF">
                  <w:pPr>
                    <w:spacing w:line="240" w:lineRule="auto"/>
                    <w:ind w:firstLine="0" w:firstLineChars="0"/>
                    <w:jc w:val="center"/>
                    <w:rPr>
                      <w:rFonts w:cs="Times New Roman"/>
                      <w:sz w:val="21"/>
                      <w:szCs w:val="21"/>
                    </w:rPr>
                  </w:pPr>
                  <w:r>
                    <w:rPr>
                      <w:rFonts w:cs="Times New Roman"/>
                      <w:sz w:val="21"/>
                      <w:szCs w:val="21"/>
                    </w:rPr>
                    <w:t>76.6</w:t>
                  </w:r>
                </w:p>
              </w:tc>
              <w:tc>
                <w:tcPr>
                  <w:tcW w:w="238" w:type="pct"/>
                  <w:shd w:val="clear" w:color="auto" w:fill="FFFFFF"/>
                  <w:tcMar>
                    <w:top w:w="0" w:type="dxa"/>
                    <w:left w:w="0" w:type="dxa"/>
                    <w:bottom w:w="0" w:type="dxa"/>
                    <w:right w:w="0" w:type="dxa"/>
                  </w:tcMar>
                  <w:vAlign w:val="center"/>
                </w:tcPr>
                <w:p w14:paraId="265641C7">
                  <w:pPr>
                    <w:spacing w:line="240" w:lineRule="auto"/>
                    <w:ind w:firstLine="0" w:firstLineChars="0"/>
                    <w:jc w:val="center"/>
                    <w:rPr>
                      <w:rFonts w:cs="Times New Roman"/>
                      <w:sz w:val="21"/>
                      <w:szCs w:val="21"/>
                    </w:rPr>
                  </w:pPr>
                  <w:r>
                    <w:rPr>
                      <w:rFonts w:cs="Times New Roman"/>
                      <w:sz w:val="21"/>
                      <w:szCs w:val="21"/>
                    </w:rPr>
                    <w:t>10</w:t>
                  </w:r>
                </w:p>
              </w:tc>
              <w:tc>
                <w:tcPr>
                  <w:tcW w:w="213" w:type="pct"/>
                  <w:shd w:val="clear" w:color="auto" w:fill="FFFFFF"/>
                  <w:tcMar>
                    <w:top w:w="0" w:type="dxa"/>
                    <w:left w:w="0" w:type="dxa"/>
                    <w:bottom w:w="0" w:type="dxa"/>
                    <w:right w:w="0" w:type="dxa"/>
                  </w:tcMar>
                  <w:vAlign w:val="center"/>
                </w:tcPr>
                <w:p w14:paraId="56263C51">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13E4E524">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4F375744">
                  <w:pPr>
                    <w:spacing w:line="240" w:lineRule="auto"/>
                    <w:ind w:firstLine="0" w:firstLineChars="0"/>
                    <w:jc w:val="center"/>
                    <w:rPr>
                      <w:rFonts w:cs="Times New Roman"/>
                      <w:sz w:val="21"/>
                      <w:szCs w:val="21"/>
                    </w:rPr>
                  </w:pPr>
                  <w:r>
                    <w:rPr>
                      <w:rFonts w:cs="Times New Roman"/>
                      <w:sz w:val="21"/>
                      <w:szCs w:val="21"/>
                    </w:rPr>
                    <w:t>26.0</w:t>
                  </w:r>
                </w:p>
              </w:tc>
              <w:tc>
                <w:tcPr>
                  <w:tcW w:w="201" w:type="pct"/>
                  <w:shd w:val="clear" w:color="auto" w:fill="FFFFFF"/>
                  <w:tcMar>
                    <w:top w:w="0" w:type="dxa"/>
                    <w:left w:w="0" w:type="dxa"/>
                    <w:bottom w:w="0" w:type="dxa"/>
                    <w:right w:w="0" w:type="dxa"/>
                  </w:tcMar>
                  <w:vAlign w:val="center"/>
                </w:tcPr>
                <w:p w14:paraId="191BA698">
                  <w:pPr>
                    <w:spacing w:line="240" w:lineRule="auto"/>
                    <w:ind w:firstLine="0" w:firstLineChars="0"/>
                    <w:jc w:val="center"/>
                    <w:rPr>
                      <w:rFonts w:cs="Times New Roman"/>
                      <w:sz w:val="21"/>
                      <w:szCs w:val="21"/>
                    </w:rPr>
                  </w:pPr>
                  <w:r>
                    <w:rPr>
                      <w:rFonts w:cs="Times New Roman"/>
                      <w:sz w:val="21"/>
                      <w:szCs w:val="21"/>
                    </w:rPr>
                    <w:t>26.0</w:t>
                  </w:r>
                </w:p>
              </w:tc>
              <w:tc>
                <w:tcPr>
                  <w:tcW w:w="213" w:type="pct"/>
                  <w:shd w:val="clear" w:color="auto" w:fill="FFFFFF"/>
                  <w:tcMar>
                    <w:top w:w="0" w:type="dxa"/>
                    <w:left w:w="0" w:type="dxa"/>
                    <w:bottom w:w="0" w:type="dxa"/>
                    <w:right w:w="0" w:type="dxa"/>
                  </w:tcMar>
                  <w:vAlign w:val="center"/>
                </w:tcPr>
                <w:p w14:paraId="54D2D55B">
                  <w:pPr>
                    <w:spacing w:line="240" w:lineRule="auto"/>
                    <w:ind w:firstLine="0" w:firstLineChars="0"/>
                    <w:jc w:val="center"/>
                    <w:rPr>
                      <w:rFonts w:cs="Times New Roman"/>
                      <w:sz w:val="21"/>
                      <w:szCs w:val="21"/>
                    </w:rPr>
                  </w:pPr>
                  <w:r>
                    <w:rPr>
                      <w:rFonts w:cs="Times New Roman"/>
                      <w:sz w:val="21"/>
                      <w:szCs w:val="21"/>
                    </w:rPr>
                    <w:t>50.8</w:t>
                  </w:r>
                </w:p>
              </w:tc>
              <w:tc>
                <w:tcPr>
                  <w:tcW w:w="201" w:type="pct"/>
                  <w:shd w:val="clear" w:color="auto" w:fill="FFFFFF"/>
                  <w:tcMar>
                    <w:top w:w="0" w:type="dxa"/>
                    <w:left w:w="0" w:type="dxa"/>
                    <w:bottom w:w="0" w:type="dxa"/>
                    <w:right w:w="0" w:type="dxa"/>
                  </w:tcMar>
                  <w:vAlign w:val="center"/>
                </w:tcPr>
                <w:p w14:paraId="374FF07B">
                  <w:pPr>
                    <w:spacing w:line="240" w:lineRule="auto"/>
                    <w:ind w:firstLine="0" w:firstLineChars="0"/>
                    <w:jc w:val="center"/>
                    <w:rPr>
                      <w:rFonts w:cs="Times New Roman"/>
                      <w:sz w:val="21"/>
                      <w:szCs w:val="21"/>
                    </w:rPr>
                  </w:pPr>
                  <w:r>
                    <w:rPr>
                      <w:rFonts w:cs="Times New Roman"/>
                      <w:sz w:val="21"/>
                      <w:szCs w:val="21"/>
                    </w:rPr>
                    <w:t>50.7</w:t>
                  </w:r>
                </w:p>
              </w:tc>
              <w:tc>
                <w:tcPr>
                  <w:tcW w:w="201" w:type="pct"/>
                  <w:shd w:val="clear" w:color="auto" w:fill="FFFFFF"/>
                  <w:tcMar>
                    <w:top w:w="0" w:type="dxa"/>
                    <w:left w:w="0" w:type="dxa"/>
                    <w:bottom w:w="0" w:type="dxa"/>
                    <w:right w:w="0" w:type="dxa"/>
                  </w:tcMar>
                  <w:vAlign w:val="center"/>
                </w:tcPr>
                <w:p w14:paraId="10C97228">
                  <w:pPr>
                    <w:spacing w:line="240" w:lineRule="auto"/>
                    <w:ind w:firstLine="0" w:firstLineChars="0"/>
                    <w:jc w:val="center"/>
                    <w:rPr>
                      <w:rFonts w:cs="Times New Roman"/>
                      <w:sz w:val="21"/>
                      <w:szCs w:val="21"/>
                    </w:rPr>
                  </w:pPr>
                  <w:r>
                    <w:rPr>
                      <w:rFonts w:cs="Times New Roman"/>
                      <w:sz w:val="21"/>
                      <w:szCs w:val="21"/>
                    </w:rPr>
                    <w:t>50.6</w:t>
                  </w:r>
                </w:p>
              </w:tc>
              <w:tc>
                <w:tcPr>
                  <w:tcW w:w="201" w:type="pct"/>
                  <w:shd w:val="clear" w:color="auto" w:fill="FFFFFF"/>
                  <w:tcMar>
                    <w:top w:w="0" w:type="dxa"/>
                    <w:left w:w="0" w:type="dxa"/>
                    <w:bottom w:w="0" w:type="dxa"/>
                    <w:right w:w="0" w:type="dxa"/>
                  </w:tcMar>
                  <w:vAlign w:val="center"/>
                </w:tcPr>
                <w:p w14:paraId="1B2D2959">
                  <w:pPr>
                    <w:spacing w:line="240" w:lineRule="auto"/>
                    <w:ind w:firstLine="0" w:firstLineChars="0"/>
                    <w:jc w:val="center"/>
                    <w:rPr>
                      <w:rFonts w:cs="Times New Roman"/>
                      <w:sz w:val="21"/>
                      <w:szCs w:val="21"/>
                    </w:rPr>
                  </w:pPr>
                  <w:r>
                    <w:rPr>
                      <w:rFonts w:cs="Times New Roman"/>
                      <w:sz w:val="21"/>
                      <w:szCs w:val="21"/>
                    </w:rPr>
                    <w:t>50.6</w:t>
                  </w:r>
                </w:p>
              </w:tc>
              <w:tc>
                <w:tcPr>
                  <w:tcW w:w="123" w:type="pct"/>
                  <w:shd w:val="clear" w:color="auto" w:fill="FFFFFF"/>
                  <w:tcMar>
                    <w:top w:w="0" w:type="dxa"/>
                    <w:left w:w="0" w:type="dxa"/>
                    <w:bottom w:w="0" w:type="dxa"/>
                    <w:right w:w="0" w:type="dxa"/>
                  </w:tcMar>
                  <w:vAlign w:val="center"/>
                </w:tcPr>
                <w:p w14:paraId="2E97F361">
                  <w:pPr>
                    <w:spacing w:line="240" w:lineRule="auto"/>
                    <w:ind w:firstLine="0" w:firstLineChars="0"/>
                    <w:jc w:val="center"/>
                    <w:rPr>
                      <w:rFonts w:cs="Times New Roman"/>
                      <w:sz w:val="21"/>
                      <w:szCs w:val="21"/>
                    </w:rPr>
                  </w:pPr>
                  <w:r>
                    <w:rPr>
                      <w:rFonts w:cs="Times New Roman"/>
                      <w:sz w:val="21"/>
                      <w:szCs w:val="21"/>
                    </w:rPr>
                    <w:t>1</w:t>
                  </w:r>
                </w:p>
              </w:tc>
            </w:tr>
          </w:tbl>
          <w:p w14:paraId="3312830C">
            <w:pPr>
              <w:pStyle w:val="14"/>
              <w:numPr>
                <w:ilvl w:val="0"/>
                <w:numId w:val="3"/>
              </w:numPr>
              <w:spacing w:line="360" w:lineRule="auto"/>
              <w:ind w:firstLine="480"/>
              <w:jc w:val="both"/>
              <w:rPr>
                <w:sz w:val="24"/>
                <w:szCs w:val="24"/>
                <w:lang w:bidi="ar"/>
              </w:rPr>
            </w:pPr>
            <w:r>
              <w:rPr>
                <w:sz w:val="24"/>
                <w:szCs w:val="24"/>
                <w:lang w:bidi="ar"/>
              </w:rPr>
              <w:t>预测模式</w:t>
            </w:r>
          </w:p>
          <w:p w14:paraId="683A24D8">
            <w:pPr>
              <w:pStyle w:val="14"/>
              <w:spacing w:line="360" w:lineRule="auto"/>
              <w:ind w:firstLine="480"/>
              <w:jc w:val="both"/>
              <w:rPr>
                <w:snapToGrid w:val="0"/>
                <w:kern w:val="0"/>
                <w:sz w:val="24"/>
                <w:szCs w:val="22"/>
              </w:rPr>
            </w:pPr>
            <w:r>
              <w:rPr>
                <w:rFonts w:hint="eastAsia"/>
                <w:snapToGrid w:val="0"/>
                <w:kern w:val="0"/>
                <w:sz w:val="24"/>
                <w:szCs w:val="22"/>
              </w:rPr>
              <w:t>根据项目建设内容及《环境影响评价技术导则—声环境》（HJ2.4-2021）的要求，项目环评采用的模型为《环境影响评价技术导则 声环境》（HJ2.4.2021）附录A（规范性附录）户外声传播的衰减和附录B（规范性附录）中“B.1工业噪声预测计算模型”。具体预测公式如下：</w:t>
            </w:r>
          </w:p>
          <w:p w14:paraId="19A4693C">
            <w:pPr>
              <w:pStyle w:val="14"/>
              <w:spacing w:line="360" w:lineRule="auto"/>
              <w:ind w:firstLine="480"/>
              <w:jc w:val="both"/>
              <w:rPr>
                <w:snapToGrid w:val="0"/>
                <w:kern w:val="0"/>
                <w:sz w:val="24"/>
                <w:szCs w:val="22"/>
              </w:rPr>
            </w:pPr>
            <w:r>
              <w:rPr>
                <w:snapToGrid w:val="0"/>
                <w:kern w:val="0"/>
                <w:sz w:val="24"/>
                <w:szCs w:val="22"/>
              </w:rPr>
              <w:t>对室内噪声源采用室内声源噪声模式并换算成等效的室外声源：</w:t>
            </w:r>
          </w:p>
          <w:p w14:paraId="5365D273">
            <w:pPr>
              <w:widowControl/>
              <w:ind w:left="420" w:firstLine="480"/>
              <w:rPr>
                <w:rFonts w:cs="Times New Roman"/>
                <w:bCs/>
                <w:szCs w:val="21"/>
              </w:rPr>
            </w:pPr>
            <w:r>
              <w:rPr>
                <w:rFonts w:hint="eastAsia" w:cs="Times New Roman"/>
                <w:szCs w:val="21"/>
              </w:rPr>
              <w:t xml:space="preserve">                 </w:t>
            </w:r>
            <w:r>
              <w:rPr>
                <w:rFonts w:cs="Times New Roman"/>
                <w:szCs w:val="21"/>
              </w:rPr>
              <w:drawing>
                <wp:inline distT="0" distB="0" distL="0" distR="0">
                  <wp:extent cx="1590675" cy="390525"/>
                  <wp:effectExtent l="0" t="0" r="9525"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590675" cy="390525"/>
                          </a:xfrm>
                          <a:prstGeom prst="rect">
                            <a:avLst/>
                          </a:prstGeom>
                          <a:noFill/>
                          <a:ln>
                            <a:noFill/>
                          </a:ln>
                        </pic:spPr>
                      </pic:pic>
                    </a:graphicData>
                  </a:graphic>
                </wp:inline>
              </w:drawing>
            </w:r>
          </w:p>
          <w:p w14:paraId="044773B3">
            <w:pPr>
              <w:widowControl/>
              <w:ind w:firstLine="240" w:firstLineChars="100"/>
              <w:jc w:val="center"/>
              <w:rPr>
                <w:rFonts w:cs="Times New Roman"/>
                <w:bCs/>
                <w:szCs w:val="21"/>
              </w:rPr>
            </w:pPr>
            <w:r>
              <w:rPr>
                <w:rFonts w:cs="Times New Roman"/>
                <w:szCs w:val="21"/>
              </w:rPr>
              <w:drawing>
                <wp:inline distT="0" distB="0" distL="0" distR="0">
                  <wp:extent cx="1638300" cy="2286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638300" cy="228600"/>
                          </a:xfrm>
                          <a:prstGeom prst="rect">
                            <a:avLst/>
                          </a:prstGeom>
                          <a:noFill/>
                          <a:ln>
                            <a:noFill/>
                          </a:ln>
                        </pic:spPr>
                      </pic:pic>
                    </a:graphicData>
                  </a:graphic>
                </wp:inline>
              </w:drawing>
            </w:r>
          </w:p>
          <w:p w14:paraId="442E5F69">
            <w:pPr>
              <w:widowControl/>
              <w:ind w:firstLine="480"/>
              <w:jc w:val="left"/>
              <w:rPr>
                <w:rFonts w:cs="Times New Roman"/>
                <w:bCs/>
              </w:rPr>
            </w:pPr>
            <w:r>
              <w:rPr>
                <w:rFonts w:cs="Times New Roman"/>
                <w:bCs/>
              </w:rPr>
              <w:t>式中：Ln——室内靠近围护结构处产生的声压级，dB；</w:t>
            </w:r>
          </w:p>
          <w:p w14:paraId="420F20A0">
            <w:pPr>
              <w:widowControl/>
              <w:ind w:firstLine="1200" w:firstLineChars="500"/>
              <w:jc w:val="left"/>
              <w:rPr>
                <w:rFonts w:cs="Times New Roman"/>
                <w:bCs/>
              </w:rPr>
            </w:pPr>
            <w:r>
              <w:rPr>
                <w:rFonts w:cs="Times New Roman"/>
                <w:bCs/>
              </w:rPr>
              <w:t>L</w:t>
            </w:r>
            <w:r>
              <w:rPr>
                <w:rFonts w:cs="Times New Roman"/>
                <w:bCs/>
                <w:vertAlign w:val="subscript"/>
              </w:rPr>
              <w:t>W</w:t>
            </w:r>
            <w:r>
              <w:rPr>
                <w:rFonts w:cs="Times New Roman"/>
                <w:bCs/>
              </w:rPr>
              <w:t>——室外靠近围护结构处产生的声压级，dB；</w:t>
            </w:r>
          </w:p>
          <w:p w14:paraId="59638007">
            <w:pPr>
              <w:widowControl/>
              <w:ind w:firstLine="1200" w:firstLineChars="500"/>
              <w:jc w:val="left"/>
              <w:rPr>
                <w:rFonts w:cs="Times New Roman"/>
                <w:bCs/>
              </w:rPr>
            </w:pPr>
            <w:r>
              <w:rPr>
                <w:rFonts w:cs="Times New Roman"/>
                <w:bCs/>
              </w:rPr>
              <w:t>Le——声源的声压级，dB</w:t>
            </w:r>
          </w:p>
          <w:p w14:paraId="59336794">
            <w:pPr>
              <w:widowControl/>
              <w:ind w:firstLine="1200" w:firstLineChars="500"/>
              <w:jc w:val="left"/>
              <w:rPr>
                <w:rFonts w:cs="Times New Roman"/>
                <w:bCs/>
              </w:rPr>
            </w:pPr>
            <w:r>
              <w:rPr>
                <w:rFonts w:cs="Times New Roman"/>
                <w:bCs/>
              </w:rPr>
              <w:t>r——声源与室内靠近围护结构处的距离，m；</w:t>
            </w:r>
          </w:p>
          <w:p w14:paraId="24198D35">
            <w:pPr>
              <w:widowControl/>
              <w:ind w:firstLine="1200" w:firstLineChars="500"/>
              <w:jc w:val="left"/>
              <w:rPr>
                <w:rFonts w:cs="Times New Roman"/>
                <w:bCs/>
              </w:rPr>
            </w:pPr>
            <w:r>
              <w:rPr>
                <w:rFonts w:cs="Times New Roman"/>
                <w:bCs/>
              </w:rPr>
              <w:t>R——房间常数，m</w:t>
            </w:r>
            <w:r>
              <w:rPr>
                <w:rFonts w:cs="Times New Roman"/>
                <w:bCs/>
                <w:vertAlign w:val="superscript"/>
              </w:rPr>
              <w:t>2</w:t>
            </w:r>
            <w:r>
              <w:rPr>
                <w:rFonts w:cs="Times New Roman"/>
                <w:bCs/>
              </w:rPr>
              <w:t>；</w:t>
            </w:r>
          </w:p>
          <w:p w14:paraId="034AE813">
            <w:pPr>
              <w:widowControl/>
              <w:ind w:firstLine="1200" w:firstLineChars="500"/>
              <w:jc w:val="left"/>
              <w:rPr>
                <w:rFonts w:cs="Times New Roman"/>
                <w:bCs/>
              </w:rPr>
            </w:pPr>
            <w:r>
              <w:rPr>
                <w:rFonts w:cs="Times New Roman"/>
                <w:bCs/>
              </w:rPr>
              <w:t>Q——方向性因子；</w:t>
            </w:r>
          </w:p>
          <w:p w14:paraId="6BB5CEC2">
            <w:pPr>
              <w:widowControl/>
              <w:ind w:firstLine="1200" w:firstLineChars="500"/>
              <w:jc w:val="left"/>
              <w:rPr>
                <w:rFonts w:cs="Times New Roman"/>
                <w:bCs/>
              </w:rPr>
            </w:pPr>
            <w:r>
              <w:rPr>
                <w:rFonts w:cs="Times New Roman"/>
                <w:bCs/>
              </w:rPr>
              <w:t>TL——围护结构的传输损失，dB；</w:t>
            </w:r>
          </w:p>
          <w:p w14:paraId="38C9C89D">
            <w:pPr>
              <w:widowControl/>
              <w:ind w:firstLine="1200" w:firstLineChars="500"/>
              <w:jc w:val="left"/>
              <w:rPr>
                <w:rFonts w:cs="Times New Roman"/>
                <w:snapToGrid w:val="0"/>
                <w:kern w:val="0"/>
              </w:rPr>
            </w:pPr>
            <w:r>
              <w:rPr>
                <w:rFonts w:cs="Times New Roman"/>
                <w:bCs/>
              </w:rPr>
              <w:t>S—</w:t>
            </w:r>
            <w:r>
              <w:rPr>
                <w:rFonts w:cs="Times New Roman"/>
                <w:snapToGrid w:val="0"/>
                <w:kern w:val="0"/>
              </w:rPr>
              <w:t>—透声面积，m</w:t>
            </w:r>
            <w:r>
              <w:rPr>
                <w:rFonts w:cs="Times New Roman"/>
                <w:snapToGrid w:val="0"/>
                <w:kern w:val="0"/>
                <w:vertAlign w:val="superscript"/>
              </w:rPr>
              <w:t>2</w:t>
            </w:r>
          </w:p>
          <w:p w14:paraId="3021FB3D">
            <w:pPr>
              <w:ind w:firstLine="480"/>
              <w:rPr>
                <w:rFonts w:cs="Times New Roman"/>
                <w:snapToGrid w:val="0"/>
                <w:kern w:val="0"/>
              </w:rPr>
            </w:pPr>
            <w:r>
              <w:rPr>
                <w:rFonts w:cs="Times New Roman"/>
                <w:snapToGrid w:val="0"/>
                <w:kern w:val="0"/>
              </w:rPr>
              <w:t>对两个以上多个声源同时存在时，其预测点总声压级采用下面公式：</w:t>
            </w:r>
          </w:p>
          <w:p w14:paraId="22B02296">
            <w:pPr>
              <w:ind w:firstLine="480"/>
              <w:jc w:val="center"/>
              <w:rPr>
                <w:rFonts w:cs="Times New Roman"/>
                <w:snapToGrid w:val="0"/>
                <w:kern w:val="0"/>
              </w:rPr>
            </w:pPr>
            <w:r>
              <w:rPr>
                <w:rFonts w:cs="Times New Roman"/>
                <w:snapToGrid w:val="0"/>
                <w:kern w:val="0"/>
              </w:rPr>
              <w:t>L</w:t>
            </w:r>
            <w:r>
              <w:rPr>
                <w:rFonts w:cs="Times New Roman"/>
                <w:snapToGrid w:val="0"/>
                <w:kern w:val="0"/>
                <w:vertAlign w:val="subscript"/>
              </w:rPr>
              <w:t>eq</w:t>
            </w:r>
            <w:r>
              <w:rPr>
                <w:rFonts w:cs="Times New Roman"/>
                <w:snapToGrid w:val="0"/>
                <w:kern w:val="0"/>
              </w:rPr>
              <w:t>=10lg</w:t>
            </w:r>
            <w:r>
              <w:rPr>
                <w:rFonts w:hint="eastAsia" w:cs="Times New Roman"/>
                <w:snapToGrid w:val="0"/>
                <w:kern w:val="0"/>
              </w:rPr>
              <w:t>（</w:t>
            </w:r>
            <w:r>
              <w:rPr>
                <w:rFonts w:cs="Times New Roman"/>
                <w:snapToGrid w:val="0"/>
                <w:kern w:val="0"/>
              </w:rPr>
              <w:t>100.1Li</w:t>
            </w:r>
            <w:r>
              <w:rPr>
                <w:rFonts w:hint="eastAsia" w:cs="Times New Roman"/>
                <w:snapToGrid w:val="0"/>
                <w:kern w:val="0"/>
              </w:rPr>
              <w:t>）</w:t>
            </w:r>
          </w:p>
          <w:p w14:paraId="5A2B9CA6">
            <w:pPr>
              <w:ind w:firstLine="480"/>
              <w:rPr>
                <w:rFonts w:cs="Times New Roman"/>
                <w:snapToGrid w:val="0"/>
                <w:kern w:val="0"/>
              </w:rPr>
            </w:pPr>
            <w:r>
              <w:rPr>
                <w:rFonts w:cs="Times New Roman"/>
                <w:snapToGrid w:val="0"/>
                <w:kern w:val="0"/>
              </w:rPr>
              <w:t>式中：L</w:t>
            </w:r>
            <w:r>
              <w:rPr>
                <w:rFonts w:cs="Times New Roman"/>
                <w:snapToGrid w:val="0"/>
                <w:kern w:val="0"/>
                <w:vertAlign w:val="subscript"/>
              </w:rPr>
              <w:t>eq</w:t>
            </w:r>
            <w:r>
              <w:rPr>
                <w:rFonts w:cs="Times New Roman"/>
                <w:snapToGrid w:val="0"/>
                <w:kern w:val="0"/>
              </w:rPr>
              <w:t>-----预测点的总等效声级，dB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14:paraId="56256312">
            <w:pPr>
              <w:ind w:firstLine="1200" w:firstLineChars="500"/>
              <w:rPr>
                <w:rFonts w:cs="Times New Roman"/>
                <w:snapToGrid w:val="0"/>
                <w:kern w:val="0"/>
              </w:rPr>
            </w:pPr>
            <w:r>
              <w:rPr>
                <w:rFonts w:cs="Times New Roman"/>
                <w:snapToGrid w:val="0"/>
                <w:kern w:val="0"/>
              </w:rPr>
              <w:t>Li-----第i个声源对预测点的声级影响，dB</w:t>
            </w:r>
            <w:r>
              <w:rPr>
                <w:rFonts w:hint="eastAsia" w:cs="Times New Roman"/>
                <w:snapToGrid w:val="0"/>
                <w:kern w:val="0"/>
              </w:rPr>
              <w:t>（</w:t>
            </w:r>
            <w:r>
              <w:rPr>
                <w:rFonts w:cs="Times New Roman"/>
                <w:snapToGrid w:val="0"/>
                <w:kern w:val="0"/>
              </w:rPr>
              <w:t>A</w:t>
            </w:r>
            <w:r>
              <w:rPr>
                <w:rFonts w:hint="eastAsia" w:cs="Times New Roman"/>
                <w:snapToGrid w:val="0"/>
                <w:kern w:val="0"/>
              </w:rPr>
              <w:t>）</w:t>
            </w:r>
            <w:r>
              <w:rPr>
                <w:rFonts w:cs="Times New Roman"/>
                <w:snapToGrid w:val="0"/>
                <w:kern w:val="0"/>
              </w:rPr>
              <w:t>。</w:t>
            </w:r>
          </w:p>
          <w:p w14:paraId="7356906A">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（3）执行标准</w:t>
            </w:r>
          </w:p>
          <w:p w14:paraId="5AEF1B68">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ascii="Times New Roman" w:hAnsi="Times New Roman"/>
                <w:kern w:val="2"/>
                <w:lang w:bidi="ar"/>
              </w:rPr>
              <w:t>厂界处噪声执行《工业企业厂界环境噪声排放标准》</w:t>
            </w:r>
            <w:r>
              <w:rPr>
                <w:rFonts w:hint="eastAsia" w:ascii="Times New Roman" w:hAnsi="Times New Roman"/>
                <w:kern w:val="2"/>
                <w:lang w:bidi="ar"/>
              </w:rPr>
              <w:t>（</w:t>
            </w:r>
            <w:r>
              <w:rPr>
                <w:rFonts w:ascii="Times New Roman" w:hAnsi="Times New Roman"/>
                <w:kern w:val="2"/>
                <w:lang w:bidi="ar"/>
              </w:rPr>
              <w:t>GB12348-2008</w:t>
            </w:r>
            <w:r>
              <w:rPr>
                <w:rFonts w:hint="eastAsia" w:ascii="Times New Roman" w:hAnsi="Times New Roman"/>
                <w:kern w:val="2"/>
                <w:lang w:bidi="ar"/>
              </w:rPr>
              <w:t>）</w:t>
            </w:r>
            <w:r>
              <w:rPr>
                <w:rFonts w:ascii="Times New Roman" w:hAnsi="Times New Roman"/>
                <w:kern w:val="2"/>
                <w:lang w:bidi="ar"/>
              </w:rPr>
              <w:t>中2类标准。</w:t>
            </w:r>
          </w:p>
          <w:p w14:paraId="21FB4A03">
            <w:pPr>
              <w:pStyle w:val="19"/>
              <w:widowControl w:val="0"/>
              <w:spacing w:before="0" w:beforeAutospacing="0" w:after="0" w:afterAutospacing="0" w:line="360" w:lineRule="auto"/>
              <w:ind w:firstLine="480" w:firstLineChars="200"/>
              <w:jc w:val="both"/>
              <w:rPr>
                <w:rFonts w:ascii="Times New Roman" w:hAnsi="Times New Roman"/>
                <w:kern w:val="2"/>
                <w:lang w:bidi="ar"/>
              </w:rPr>
            </w:pPr>
            <w:r>
              <w:rPr>
                <w:rFonts w:hint="eastAsia" w:ascii="Times New Roman" w:hAnsi="Times New Roman"/>
                <w:kern w:val="2"/>
                <w:lang w:bidi="ar"/>
              </w:rPr>
              <w:t>（4）</w:t>
            </w:r>
            <w:r>
              <w:rPr>
                <w:rFonts w:ascii="Times New Roman" w:hAnsi="Times New Roman"/>
                <w:kern w:val="2"/>
                <w:lang w:bidi="ar"/>
              </w:rPr>
              <w:t>预测结果</w:t>
            </w:r>
          </w:p>
          <w:p w14:paraId="405317C7">
            <w:pPr>
              <w:ind w:firstLine="480"/>
              <w:rPr>
                <w:color w:val="000000" w:themeColor="text1"/>
                <w14:textFill>
                  <w14:solidFill>
                    <w14:schemeClr w14:val="tx1"/>
                  </w14:solidFill>
                </w14:textFill>
              </w:rPr>
            </w:pPr>
            <w:r>
              <w:rPr>
                <w:lang w:bidi="ar"/>
              </w:rPr>
              <w:t>项目设备主要安装在室内，本评价以室内设备噪声源进行预测，隔声较好，项目噪声预测结果见表4-7</w:t>
            </w:r>
            <w:r>
              <w:rPr>
                <w:rFonts w:hint="eastAsia"/>
                <w:lang w:bidi="ar"/>
              </w:rPr>
              <w:t>。</w:t>
            </w:r>
          </w:p>
          <w:p w14:paraId="4EC3FA18">
            <w:pPr>
              <w:autoSpaceDE w:val="0"/>
              <w:autoSpaceDN w:val="0"/>
              <w:adjustRightInd w:val="0"/>
              <w:snapToGrid w:val="0"/>
              <w:spacing w:line="240" w:lineRule="auto"/>
              <w:ind w:firstLine="0" w:firstLineChars="0"/>
              <w:jc w:val="center"/>
              <w:textAlignment w:val="auto"/>
              <w:rPr>
                <w:rFonts w:cs="Times New Roman"/>
                <w:b/>
                <w:bCs/>
                <w:sz w:val="21"/>
                <w:szCs w:val="21"/>
              </w:rPr>
            </w:pPr>
            <w:r>
              <w:rPr>
                <w:rFonts w:cs="Times New Roman"/>
                <w:b/>
                <w:bCs/>
                <w:sz w:val="21"/>
                <w:szCs w:val="21"/>
              </w:rPr>
              <w:t>表4-7  厂界噪声预测结果与达标分析表</w:t>
            </w:r>
            <w:bookmarkStart w:id="20" w:name="PT_7"/>
          </w:p>
          <w:bookmarkEnd w:id="20"/>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803"/>
              <w:gridCol w:w="803"/>
              <w:gridCol w:w="803"/>
              <w:gridCol w:w="993"/>
              <w:gridCol w:w="1417"/>
              <w:gridCol w:w="1418"/>
              <w:gridCol w:w="1188"/>
            </w:tblGrid>
            <w:tr w14:paraId="43C80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restart"/>
                  <w:vAlign w:val="center"/>
                </w:tcPr>
                <w:p w14:paraId="143BB0DF">
                  <w:pPr>
                    <w:spacing w:line="240" w:lineRule="auto"/>
                    <w:ind w:firstLine="0" w:firstLineChars="0"/>
                    <w:jc w:val="center"/>
                    <w:rPr>
                      <w:rFonts w:cs="Times New Roman"/>
                      <w:sz w:val="21"/>
                      <w:szCs w:val="21"/>
                    </w:rPr>
                  </w:pPr>
                  <w:r>
                    <w:rPr>
                      <w:rFonts w:hint="eastAsia" w:cs="Times New Roman"/>
                      <w:sz w:val="21"/>
                      <w:szCs w:val="21"/>
                    </w:rPr>
                    <w:t>预测方位</w:t>
                  </w:r>
                </w:p>
              </w:tc>
              <w:tc>
                <w:tcPr>
                  <w:tcW w:w="2409" w:type="dxa"/>
                  <w:gridSpan w:val="3"/>
                  <w:vAlign w:val="center"/>
                </w:tcPr>
                <w:p w14:paraId="50FD15E8">
                  <w:pPr>
                    <w:spacing w:line="240" w:lineRule="auto"/>
                    <w:ind w:firstLine="0" w:firstLineChars="0"/>
                    <w:jc w:val="center"/>
                    <w:rPr>
                      <w:rFonts w:cs="Times New Roman"/>
                      <w:sz w:val="21"/>
                      <w:szCs w:val="21"/>
                    </w:rPr>
                  </w:pPr>
                  <w:r>
                    <w:rPr>
                      <w:rFonts w:hint="eastAsia" w:cs="Times New Roman"/>
                      <w:sz w:val="21"/>
                      <w:szCs w:val="21"/>
                    </w:rPr>
                    <w:t>最大值点空间相对位置</w:t>
                  </w:r>
                  <w:r>
                    <w:rPr>
                      <w:rFonts w:cs="Times New Roman"/>
                      <w:sz w:val="21"/>
                      <w:szCs w:val="21"/>
                    </w:rPr>
                    <w:t>/m</w:t>
                  </w:r>
                </w:p>
              </w:tc>
              <w:tc>
                <w:tcPr>
                  <w:tcW w:w="993" w:type="dxa"/>
                  <w:vMerge w:val="restart"/>
                  <w:vAlign w:val="center"/>
                </w:tcPr>
                <w:p w14:paraId="183E3648">
                  <w:pPr>
                    <w:spacing w:line="240" w:lineRule="auto"/>
                    <w:ind w:firstLine="0" w:firstLineChars="0"/>
                    <w:jc w:val="center"/>
                    <w:rPr>
                      <w:rFonts w:cs="Times New Roman"/>
                      <w:sz w:val="21"/>
                      <w:szCs w:val="21"/>
                    </w:rPr>
                  </w:pPr>
                  <w:r>
                    <w:rPr>
                      <w:rFonts w:hint="eastAsia" w:cs="Times New Roman"/>
                      <w:sz w:val="21"/>
                      <w:szCs w:val="21"/>
                    </w:rPr>
                    <w:t>时段</w:t>
                  </w:r>
                </w:p>
              </w:tc>
              <w:tc>
                <w:tcPr>
                  <w:tcW w:w="1417" w:type="dxa"/>
                  <w:vMerge w:val="restart"/>
                  <w:vAlign w:val="center"/>
                </w:tcPr>
                <w:p w14:paraId="6C96AF4F">
                  <w:pPr>
                    <w:spacing w:line="240" w:lineRule="auto"/>
                    <w:ind w:firstLine="0" w:firstLineChars="0"/>
                    <w:jc w:val="center"/>
                    <w:rPr>
                      <w:rFonts w:cs="Times New Roman"/>
                      <w:sz w:val="21"/>
                      <w:szCs w:val="21"/>
                    </w:rPr>
                  </w:pPr>
                  <w:r>
                    <w:rPr>
                      <w:rFonts w:hint="eastAsia" w:cs="Times New Roman"/>
                      <w:sz w:val="21"/>
                      <w:szCs w:val="21"/>
                    </w:rPr>
                    <w:t>贡献值</w:t>
                  </w:r>
                </w:p>
                <w:p w14:paraId="25B52932">
                  <w:pPr>
                    <w:spacing w:line="240" w:lineRule="auto"/>
                    <w:ind w:firstLine="0" w:firstLineChars="0"/>
                    <w:jc w:val="center"/>
                    <w:rPr>
                      <w:rFonts w:cs="Times New Roman"/>
                      <w:sz w:val="21"/>
                      <w:szCs w:val="21"/>
                    </w:rPr>
                  </w:pPr>
                  <w:r>
                    <w:rPr>
                      <w:rFonts w:cs="Times New Roman"/>
                      <w:sz w:val="21"/>
                      <w:szCs w:val="21"/>
                    </w:rPr>
                    <w:t>dB</w:t>
                  </w:r>
                  <w:r>
                    <w:rPr>
                      <w:rFonts w:hint="eastAsia" w:cs="Times New Roman"/>
                      <w:sz w:val="21"/>
                      <w:szCs w:val="21"/>
                    </w:rPr>
                    <w:t>（A）</w:t>
                  </w:r>
                </w:p>
              </w:tc>
              <w:tc>
                <w:tcPr>
                  <w:tcW w:w="1418" w:type="dxa"/>
                  <w:vMerge w:val="restart"/>
                  <w:vAlign w:val="center"/>
                </w:tcPr>
                <w:p w14:paraId="5549D48A">
                  <w:pPr>
                    <w:spacing w:line="240" w:lineRule="auto"/>
                    <w:ind w:firstLine="0" w:firstLineChars="0"/>
                    <w:jc w:val="center"/>
                    <w:rPr>
                      <w:rFonts w:cs="Times New Roman"/>
                      <w:sz w:val="21"/>
                      <w:szCs w:val="21"/>
                    </w:rPr>
                  </w:pPr>
                  <w:r>
                    <w:rPr>
                      <w:rFonts w:hint="eastAsia" w:cs="Times New Roman"/>
                      <w:sz w:val="21"/>
                      <w:szCs w:val="21"/>
                    </w:rPr>
                    <w:t>标准限值</w:t>
                  </w:r>
                </w:p>
                <w:p w14:paraId="31FA301E">
                  <w:pPr>
                    <w:spacing w:line="240" w:lineRule="auto"/>
                    <w:ind w:firstLine="0" w:firstLineChars="0"/>
                    <w:jc w:val="center"/>
                    <w:rPr>
                      <w:rFonts w:cs="Times New Roman"/>
                      <w:sz w:val="21"/>
                      <w:szCs w:val="21"/>
                    </w:rPr>
                  </w:pPr>
                  <w:r>
                    <w:rPr>
                      <w:rFonts w:cs="Times New Roman"/>
                      <w:sz w:val="21"/>
                      <w:szCs w:val="21"/>
                    </w:rPr>
                    <w:t>dB</w:t>
                  </w:r>
                  <w:r>
                    <w:rPr>
                      <w:rFonts w:hint="eastAsia" w:cs="Times New Roman"/>
                      <w:sz w:val="21"/>
                      <w:szCs w:val="21"/>
                    </w:rPr>
                    <w:t>（A）</w:t>
                  </w:r>
                </w:p>
              </w:tc>
              <w:tc>
                <w:tcPr>
                  <w:tcW w:w="1188" w:type="dxa"/>
                  <w:vMerge w:val="restart"/>
                  <w:vAlign w:val="center"/>
                </w:tcPr>
                <w:p w14:paraId="6614B747">
                  <w:pPr>
                    <w:spacing w:line="240" w:lineRule="auto"/>
                    <w:ind w:firstLine="0" w:firstLineChars="0"/>
                    <w:jc w:val="center"/>
                    <w:rPr>
                      <w:rFonts w:cs="Times New Roman"/>
                      <w:sz w:val="21"/>
                      <w:szCs w:val="21"/>
                    </w:rPr>
                  </w:pPr>
                  <w:r>
                    <w:rPr>
                      <w:rFonts w:hint="eastAsia" w:cs="Times New Roman"/>
                      <w:sz w:val="21"/>
                      <w:szCs w:val="21"/>
                    </w:rPr>
                    <w:t>达标情况</w:t>
                  </w:r>
                </w:p>
              </w:tc>
            </w:tr>
            <w:tr w14:paraId="1B8A5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continue"/>
                  <w:vAlign w:val="center"/>
                </w:tcPr>
                <w:p w14:paraId="6C4651BE">
                  <w:pPr>
                    <w:spacing w:line="240" w:lineRule="auto"/>
                    <w:ind w:firstLine="0" w:firstLineChars="0"/>
                    <w:jc w:val="center"/>
                    <w:rPr>
                      <w:rFonts w:cs="Times New Roman"/>
                      <w:sz w:val="21"/>
                      <w:szCs w:val="21"/>
                    </w:rPr>
                  </w:pPr>
                </w:p>
              </w:tc>
              <w:tc>
                <w:tcPr>
                  <w:tcW w:w="803" w:type="dxa"/>
                  <w:shd w:val="clear" w:color="auto" w:fill="FFFFFF"/>
                  <w:vAlign w:val="center"/>
                </w:tcPr>
                <w:p w14:paraId="60BAD00C">
                  <w:pPr>
                    <w:spacing w:line="240" w:lineRule="auto"/>
                    <w:ind w:firstLine="0" w:firstLineChars="0"/>
                    <w:jc w:val="center"/>
                    <w:rPr>
                      <w:rFonts w:cs="Times New Roman"/>
                      <w:sz w:val="21"/>
                      <w:szCs w:val="21"/>
                    </w:rPr>
                  </w:pPr>
                  <w:r>
                    <w:rPr>
                      <w:rFonts w:cs="Times New Roman"/>
                      <w:sz w:val="21"/>
                      <w:szCs w:val="21"/>
                    </w:rPr>
                    <w:t>X</w:t>
                  </w:r>
                </w:p>
              </w:tc>
              <w:tc>
                <w:tcPr>
                  <w:tcW w:w="803" w:type="dxa"/>
                  <w:shd w:val="clear" w:color="auto" w:fill="FFFFFF"/>
                  <w:vAlign w:val="center"/>
                </w:tcPr>
                <w:p w14:paraId="79CC3718">
                  <w:pPr>
                    <w:spacing w:line="240" w:lineRule="auto"/>
                    <w:ind w:firstLine="0" w:firstLineChars="0"/>
                    <w:jc w:val="center"/>
                    <w:rPr>
                      <w:rFonts w:cs="Times New Roman"/>
                      <w:sz w:val="21"/>
                      <w:szCs w:val="21"/>
                    </w:rPr>
                  </w:pPr>
                  <w:r>
                    <w:rPr>
                      <w:rFonts w:cs="Times New Roman"/>
                      <w:sz w:val="21"/>
                      <w:szCs w:val="21"/>
                    </w:rPr>
                    <w:t>Y</w:t>
                  </w:r>
                </w:p>
              </w:tc>
              <w:tc>
                <w:tcPr>
                  <w:tcW w:w="803" w:type="dxa"/>
                  <w:shd w:val="clear" w:color="auto" w:fill="FFFFFF"/>
                  <w:vAlign w:val="center"/>
                </w:tcPr>
                <w:p w14:paraId="2A6A92A6">
                  <w:pPr>
                    <w:spacing w:line="240" w:lineRule="auto"/>
                    <w:ind w:firstLine="0" w:firstLineChars="0"/>
                    <w:jc w:val="center"/>
                    <w:rPr>
                      <w:rFonts w:cs="Times New Roman"/>
                      <w:sz w:val="21"/>
                      <w:szCs w:val="21"/>
                    </w:rPr>
                  </w:pPr>
                  <w:r>
                    <w:rPr>
                      <w:rFonts w:cs="Times New Roman"/>
                      <w:sz w:val="21"/>
                      <w:szCs w:val="21"/>
                    </w:rPr>
                    <w:t>Z</w:t>
                  </w:r>
                </w:p>
              </w:tc>
              <w:tc>
                <w:tcPr>
                  <w:tcW w:w="993" w:type="dxa"/>
                  <w:vMerge w:val="continue"/>
                  <w:vAlign w:val="center"/>
                </w:tcPr>
                <w:p w14:paraId="5588B8C1">
                  <w:pPr>
                    <w:spacing w:line="240" w:lineRule="auto"/>
                    <w:ind w:firstLine="0" w:firstLineChars="0"/>
                    <w:jc w:val="center"/>
                    <w:rPr>
                      <w:rFonts w:cs="Times New Roman"/>
                      <w:sz w:val="21"/>
                      <w:szCs w:val="21"/>
                    </w:rPr>
                  </w:pPr>
                </w:p>
              </w:tc>
              <w:tc>
                <w:tcPr>
                  <w:tcW w:w="1417" w:type="dxa"/>
                  <w:vMerge w:val="continue"/>
                  <w:vAlign w:val="center"/>
                </w:tcPr>
                <w:p w14:paraId="7924A4C5">
                  <w:pPr>
                    <w:spacing w:line="240" w:lineRule="auto"/>
                    <w:ind w:firstLine="0" w:firstLineChars="0"/>
                    <w:jc w:val="center"/>
                    <w:rPr>
                      <w:rFonts w:cs="Times New Roman"/>
                      <w:sz w:val="21"/>
                      <w:szCs w:val="21"/>
                    </w:rPr>
                  </w:pPr>
                </w:p>
              </w:tc>
              <w:tc>
                <w:tcPr>
                  <w:tcW w:w="1418" w:type="dxa"/>
                  <w:vMerge w:val="continue"/>
                  <w:vAlign w:val="center"/>
                </w:tcPr>
                <w:p w14:paraId="0DD1FF8C">
                  <w:pPr>
                    <w:spacing w:line="240" w:lineRule="auto"/>
                    <w:ind w:firstLine="0" w:firstLineChars="0"/>
                    <w:jc w:val="center"/>
                    <w:rPr>
                      <w:rFonts w:cs="Times New Roman"/>
                      <w:sz w:val="21"/>
                      <w:szCs w:val="21"/>
                    </w:rPr>
                  </w:pPr>
                </w:p>
              </w:tc>
              <w:tc>
                <w:tcPr>
                  <w:tcW w:w="1188" w:type="dxa"/>
                  <w:vMerge w:val="continue"/>
                  <w:vAlign w:val="center"/>
                </w:tcPr>
                <w:p w14:paraId="4C455994">
                  <w:pPr>
                    <w:spacing w:line="240" w:lineRule="auto"/>
                    <w:ind w:firstLine="0" w:firstLineChars="0"/>
                    <w:jc w:val="center"/>
                    <w:rPr>
                      <w:rFonts w:cs="Times New Roman"/>
                      <w:sz w:val="21"/>
                      <w:szCs w:val="21"/>
                    </w:rPr>
                  </w:pPr>
                </w:p>
              </w:tc>
            </w:tr>
            <w:tr w14:paraId="56CCC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restart"/>
                  <w:shd w:val="clear" w:color="auto" w:fill="FFFFFF"/>
                  <w:vAlign w:val="center"/>
                </w:tcPr>
                <w:p w14:paraId="24B9675F">
                  <w:pPr>
                    <w:spacing w:line="240" w:lineRule="auto"/>
                    <w:ind w:firstLine="0" w:firstLineChars="0"/>
                    <w:jc w:val="center"/>
                    <w:rPr>
                      <w:rFonts w:cs="Times New Roman"/>
                      <w:sz w:val="21"/>
                      <w:szCs w:val="21"/>
                    </w:rPr>
                  </w:pPr>
                  <w:r>
                    <w:rPr>
                      <w:rFonts w:hint="eastAsia" w:cs="Times New Roman"/>
                      <w:sz w:val="21"/>
                      <w:szCs w:val="21"/>
                    </w:rPr>
                    <w:t>东侧</w:t>
                  </w:r>
                </w:p>
              </w:tc>
              <w:tc>
                <w:tcPr>
                  <w:tcW w:w="803" w:type="dxa"/>
                  <w:shd w:val="clear" w:color="auto" w:fill="FFFFFF"/>
                  <w:vAlign w:val="center"/>
                </w:tcPr>
                <w:p w14:paraId="77BF7895">
                  <w:pPr>
                    <w:spacing w:line="240" w:lineRule="auto"/>
                    <w:ind w:firstLine="0" w:firstLineChars="0"/>
                    <w:jc w:val="center"/>
                    <w:rPr>
                      <w:rFonts w:cs="Times New Roman"/>
                      <w:sz w:val="21"/>
                      <w:szCs w:val="21"/>
                    </w:rPr>
                  </w:pPr>
                  <w:r>
                    <w:rPr>
                      <w:rFonts w:cs="Times New Roman"/>
                      <w:sz w:val="21"/>
                      <w:szCs w:val="21"/>
                    </w:rPr>
                    <w:t>54.4</w:t>
                  </w:r>
                </w:p>
              </w:tc>
              <w:tc>
                <w:tcPr>
                  <w:tcW w:w="803" w:type="dxa"/>
                  <w:shd w:val="clear" w:color="auto" w:fill="FFFFFF"/>
                  <w:vAlign w:val="center"/>
                </w:tcPr>
                <w:p w14:paraId="0781DA81">
                  <w:pPr>
                    <w:spacing w:line="240" w:lineRule="auto"/>
                    <w:ind w:firstLine="0" w:firstLineChars="0"/>
                    <w:jc w:val="center"/>
                    <w:rPr>
                      <w:rFonts w:cs="Times New Roman"/>
                      <w:sz w:val="21"/>
                      <w:szCs w:val="21"/>
                    </w:rPr>
                  </w:pPr>
                  <w:r>
                    <w:rPr>
                      <w:rFonts w:cs="Times New Roman"/>
                      <w:sz w:val="21"/>
                      <w:szCs w:val="21"/>
                    </w:rPr>
                    <w:t>11.8</w:t>
                  </w:r>
                </w:p>
              </w:tc>
              <w:tc>
                <w:tcPr>
                  <w:tcW w:w="803" w:type="dxa"/>
                  <w:shd w:val="clear" w:color="auto" w:fill="FFFFFF"/>
                  <w:vAlign w:val="center"/>
                </w:tcPr>
                <w:p w14:paraId="1BA82968">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1D494A82">
                  <w:pPr>
                    <w:spacing w:line="240" w:lineRule="auto"/>
                    <w:ind w:firstLine="0" w:firstLineChars="0"/>
                    <w:jc w:val="center"/>
                    <w:rPr>
                      <w:rFonts w:cs="Times New Roman"/>
                      <w:sz w:val="21"/>
                      <w:szCs w:val="21"/>
                    </w:rPr>
                  </w:pPr>
                  <w:r>
                    <w:rPr>
                      <w:rFonts w:hint="eastAsia" w:cs="Times New Roman"/>
                      <w:sz w:val="21"/>
                      <w:szCs w:val="21"/>
                    </w:rPr>
                    <w:t>昼间</w:t>
                  </w:r>
                </w:p>
              </w:tc>
              <w:tc>
                <w:tcPr>
                  <w:tcW w:w="1417" w:type="dxa"/>
                  <w:shd w:val="clear" w:color="auto" w:fill="FFFFFF"/>
                  <w:vAlign w:val="center"/>
                </w:tcPr>
                <w:p w14:paraId="1FBC1AE5">
                  <w:pPr>
                    <w:spacing w:line="240" w:lineRule="auto"/>
                    <w:ind w:firstLine="0" w:firstLineChars="0"/>
                    <w:jc w:val="center"/>
                    <w:rPr>
                      <w:rFonts w:cs="Times New Roman"/>
                      <w:sz w:val="21"/>
                      <w:szCs w:val="21"/>
                    </w:rPr>
                  </w:pPr>
                  <w:r>
                    <w:rPr>
                      <w:rFonts w:cs="Times New Roman"/>
                      <w:sz w:val="21"/>
                      <w:szCs w:val="21"/>
                    </w:rPr>
                    <w:t>37.5</w:t>
                  </w:r>
                </w:p>
              </w:tc>
              <w:tc>
                <w:tcPr>
                  <w:tcW w:w="1418" w:type="dxa"/>
                  <w:shd w:val="clear" w:color="auto" w:fill="FFFFFF"/>
                  <w:vAlign w:val="center"/>
                </w:tcPr>
                <w:p w14:paraId="0E60897A">
                  <w:pPr>
                    <w:spacing w:line="240" w:lineRule="auto"/>
                    <w:ind w:firstLine="0" w:firstLineChars="0"/>
                    <w:jc w:val="center"/>
                    <w:rPr>
                      <w:rFonts w:cs="Times New Roman"/>
                      <w:sz w:val="21"/>
                      <w:szCs w:val="21"/>
                    </w:rPr>
                  </w:pPr>
                  <w:r>
                    <w:rPr>
                      <w:rFonts w:cs="Times New Roman"/>
                      <w:sz w:val="21"/>
                      <w:szCs w:val="21"/>
                    </w:rPr>
                    <w:t>60</w:t>
                  </w:r>
                </w:p>
              </w:tc>
              <w:tc>
                <w:tcPr>
                  <w:tcW w:w="1188" w:type="dxa"/>
                  <w:shd w:val="clear" w:color="auto" w:fill="FFFFFF"/>
                  <w:vAlign w:val="center"/>
                </w:tcPr>
                <w:p w14:paraId="2886CF55">
                  <w:pPr>
                    <w:spacing w:line="240" w:lineRule="auto"/>
                    <w:ind w:firstLine="0" w:firstLineChars="0"/>
                    <w:jc w:val="center"/>
                    <w:rPr>
                      <w:rFonts w:cs="Times New Roman"/>
                      <w:sz w:val="21"/>
                      <w:szCs w:val="21"/>
                    </w:rPr>
                  </w:pPr>
                  <w:r>
                    <w:rPr>
                      <w:rFonts w:hint="eastAsia" w:cs="Times New Roman"/>
                      <w:sz w:val="21"/>
                      <w:szCs w:val="21"/>
                    </w:rPr>
                    <w:t>达标</w:t>
                  </w:r>
                </w:p>
              </w:tc>
            </w:tr>
            <w:tr w14:paraId="66F375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continue"/>
                  <w:vAlign w:val="center"/>
                </w:tcPr>
                <w:p w14:paraId="0988C7D7">
                  <w:pPr>
                    <w:spacing w:line="240" w:lineRule="auto"/>
                    <w:ind w:firstLine="0" w:firstLineChars="0"/>
                    <w:jc w:val="center"/>
                    <w:rPr>
                      <w:rFonts w:cs="Times New Roman"/>
                      <w:sz w:val="21"/>
                      <w:szCs w:val="21"/>
                    </w:rPr>
                  </w:pPr>
                </w:p>
              </w:tc>
              <w:tc>
                <w:tcPr>
                  <w:tcW w:w="803" w:type="dxa"/>
                  <w:shd w:val="clear" w:color="auto" w:fill="FFFFFF"/>
                  <w:vAlign w:val="center"/>
                </w:tcPr>
                <w:p w14:paraId="5F6726EB">
                  <w:pPr>
                    <w:spacing w:line="240" w:lineRule="auto"/>
                    <w:ind w:firstLine="0" w:firstLineChars="0"/>
                    <w:jc w:val="center"/>
                    <w:rPr>
                      <w:rFonts w:cs="Times New Roman"/>
                      <w:sz w:val="21"/>
                      <w:szCs w:val="21"/>
                    </w:rPr>
                  </w:pPr>
                  <w:r>
                    <w:rPr>
                      <w:rFonts w:cs="Times New Roman"/>
                      <w:sz w:val="21"/>
                      <w:szCs w:val="21"/>
                    </w:rPr>
                    <w:t>54.4</w:t>
                  </w:r>
                </w:p>
              </w:tc>
              <w:tc>
                <w:tcPr>
                  <w:tcW w:w="803" w:type="dxa"/>
                  <w:shd w:val="clear" w:color="auto" w:fill="FFFFFF"/>
                  <w:vAlign w:val="center"/>
                </w:tcPr>
                <w:p w14:paraId="134CFED5">
                  <w:pPr>
                    <w:spacing w:line="240" w:lineRule="auto"/>
                    <w:ind w:firstLine="0" w:firstLineChars="0"/>
                    <w:jc w:val="center"/>
                    <w:rPr>
                      <w:rFonts w:cs="Times New Roman"/>
                      <w:sz w:val="21"/>
                      <w:szCs w:val="21"/>
                    </w:rPr>
                  </w:pPr>
                  <w:r>
                    <w:rPr>
                      <w:rFonts w:cs="Times New Roman"/>
                      <w:sz w:val="21"/>
                      <w:szCs w:val="21"/>
                    </w:rPr>
                    <w:t>11.8</w:t>
                  </w:r>
                </w:p>
              </w:tc>
              <w:tc>
                <w:tcPr>
                  <w:tcW w:w="803" w:type="dxa"/>
                  <w:shd w:val="clear" w:color="auto" w:fill="FFFFFF"/>
                  <w:vAlign w:val="center"/>
                </w:tcPr>
                <w:p w14:paraId="0BD8F5B8">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1D573A22">
                  <w:pPr>
                    <w:spacing w:line="240" w:lineRule="auto"/>
                    <w:ind w:firstLine="0" w:firstLineChars="0"/>
                    <w:jc w:val="center"/>
                    <w:rPr>
                      <w:rFonts w:cs="Times New Roman"/>
                      <w:sz w:val="21"/>
                      <w:szCs w:val="21"/>
                    </w:rPr>
                  </w:pPr>
                  <w:r>
                    <w:rPr>
                      <w:rFonts w:hint="eastAsia" w:cs="Times New Roman"/>
                      <w:sz w:val="21"/>
                      <w:szCs w:val="21"/>
                    </w:rPr>
                    <w:t>夜间</w:t>
                  </w:r>
                </w:p>
              </w:tc>
              <w:tc>
                <w:tcPr>
                  <w:tcW w:w="1417" w:type="dxa"/>
                  <w:shd w:val="clear" w:color="auto" w:fill="FFFFFF"/>
                  <w:vAlign w:val="center"/>
                </w:tcPr>
                <w:p w14:paraId="365DFD39">
                  <w:pPr>
                    <w:spacing w:line="240" w:lineRule="auto"/>
                    <w:ind w:firstLine="0" w:firstLineChars="0"/>
                    <w:jc w:val="center"/>
                    <w:rPr>
                      <w:rFonts w:cs="Times New Roman"/>
                      <w:sz w:val="21"/>
                      <w:szCs w:val="21"/>
                    </w:rPr>
                  </w:pPr>
                  <w:r>
                    <w:rPr>
                      <w:rFonts w:cs="Times New Roman"/>
                      <w:sz w:val="21"/>
                      <w:szCs w:val="21"/>
                    </w:rPr>
                    <w:t>37.5</w:t>
                  </w:r>
                </w:p>
              </w:tc>
              <w:tc>
                <w:tcPr>
                  <w:tcW w:w="1418" w:type="dxa"/>
                  <w:shd w:val="clear" w:color="auto" w:fill="FFFFFF"/>
                  <w:vAlign w:val="center"/>
                </w:tcPr>
                <w:p w14:paraId="4EC84980">
                  <w:pPr>
                    <w:spacing w:line="240" w:lineRule="auto"/>
                    <w:ind w:firstLine="0" w:firstLineChars="0"/>
                    <w:jc w:val="center"/>
                    <w:rPr>
                      <w:rFonts w:cs="Times New Roman"/>
                      <w:sz w:val="21"/>
                      <w:szCs w:val="21"/>
                    </w:rPr>
                  </w:pPr>
                  <w:r>
                    <w:rPr>
                      <w:rFonts w:cs="Times New Roman"/>
                      <w:sz w:val="21"/>
                      <w:szCs w:val="21"/>
                    </w:rPr>
                    <w:t>50</w:t>
                  </w:r>
                </w:p>
              </w:tc>
              <w:tc>
                <w:tcPr>
                  <w:tcW w:w="1188" w:type="dxa"/>
                  <w:shd w:val="clear" w:color="auto" w:fill="FFFFFF"/>
                  <w:vAlign w:val="center"/>
                </w:tcPr>
                <w:p w14:paraId="74B88C83">
                  <w:pPr>
                    <w:spacing w:line="240" w:lineRule="auto"/>
                    <w:ind w:firstLine="0" w:firstLineChars="0"/>
                    <w:jc w:val="center"/>
                    <w:rPr>
                      <w:rFonts w:cs="Times New Roman"/>
                      <w:sz w:val="21"/>
                      <w:szCs w:val="21"/>
                    </w:rPr>
                  </w:pPr>
                  <w:r>
                    <w:rPr>
                      <w:rFonts w:hint="eastAsia" w:cs="Times New Roman"/>
                      <w:sz w:val="21"/>
                      <w:szCs w:val="21"/>
                    </w:rPr>
                    <w:t>达标</w:t>
                  </w:r>
                </w:p>
              </w:tc>
            </w:tr>
            <w:tr w14:paraId="20F71A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restart"/>
                  <w:shd w:val="clear" w:color="auto" w:fill="FFFFFF"/>
                  <w:vAlign w:val="center"/>
                </w:tcPr>
                <w:p w14:paraId="24F73476">
                  <w:pPr>
                    <w:spacing w:line="240" w:lineRule="auto"/>
                    <w:ind w:firstLine="0" w:firstLineChars="0"/>
                    <w:jc w:val="center"/>
                    <w:rPr>
                      <w:rFonts w:cs="Times New Roman"/>
                      <w:sz w:val="21"/>
                      <w:szCs w:val="21"/>
                    </w:rPr>
                  </w:pPr>
                  <w:r>
                    <w:rPr>
                      <w:rFonts w:hint="eastAsia" w:cs="Times New Roman"/>
                      <w:sz w:val="21"/>
                      <w:szCs w:val="21"/>
                    </w:rPr>
                    <w:t>南侧</w:t>
                  </w:r>
                </w:p>
              </w:tc>
              <w:tc>
                <w:tcPr>
                  <w:tcW w:w="803" w:type="dxa"/>
                  <w:shd w:val="clear" w:color="auto" w:fill="FFFFFF"/>
                  <w:vAlign w:val="center"/>
                </w:tcPr>
                <w:p w14:paraId="3AA463F1">
                  <w:pPr>
                    <w:spacing w:line="240" w:lineRule="auto"/>
                    <w:ind w:firstLine="0" w:firstLineChars="0"/>
                    <w:jc w:val="center"/>
                    <w:rPr>
                      <w:rFonts w:cs="Times New Roman"/>
                      <w:sz w:val="21"/>
                      <w:szCs w:val="21"/>
                    </w:rPr>
                  </w:pPr>
                  <w:r>
                    <w:rPr>
                      <w:rFonts w:cs="Times New Roman"/>
                      <w:sz w:val="21"/>
                      <w:szCs w:val="21"/>
                    </w:rPr>
                    <w:t>2.5</w:t>
                  </w:r>
                </w:p>
              </w:tc>
              <w:tc>
                <w:tcPr>
                  <w:tcW w:w="803" w:type="dxa"/>
                  <w:shd w:val="clear" w:color="auto" w:fill="FFFFFF"/>
                  <w:vAlign w:val="center"/>
                </w:tcPr>
                <w:p w14:paraId="4F9ADC8E">
                  <w:pPr>
                    <w:spacing w:line="240" w:lineRule="auto"/>
                    <w:ind w:firstLine="0" w:firstLineChars="0"/>
                    <w:jc w:val="center"/>
                    <w:rPr>
                      <w:rFonts w:cs="Times New Roman"/>
                      <w:sz w:val="21"/>
                      <w:szCs w:val="21"/>
                    </w:rPr>
                  </w:pPr>
                  <w:r>
                    <w:rPr>
                      <w:rFonts w:cs="Times New Roman"/>
                      <w:sz w:val="21"/>
                      <w:szCs w:val="21"/>
                    </w:rPr>
                    <w:t>-1.6</w:t>
                  </w:r>
                </w:p>
              </w:tc>
              <w:tc>
                <w:tcPr>
                  <w:tcW w:w="803" w:type="dxa"/>
                  <w:shd w:val="clear" w:color="auto" w:fill="FFFFFF"/>
                  <w:vAlign w:val="center"/>
                </w:tcPr>
                <w:p w14:paraId="030C22C9">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039F1B6A">
                  <w:pPr>
                    <w:spacing w:line="240" w:lineRule="auto"/>
                    <w:ind w:firstLine="0" w:firstLineChars="0"/>
                    <w:jc w:val="center"/>
                    <w:rPr>
                      <w:rFonts w:cs="Times New Roman"/>
                      <w:sz w:val="21"/>
                      <w:szCs w:val="21"/>
                    </w:rPr>
                  </w:pPr>
                  <w:r>
                    <w:rPr>
                      <w:rFonts w:hint="eastAsia" w:cs="Times New Roman"/>
                      <w:sz w:val="21"/>
                      <w:szCs w:val="21"/>
                    </w:rPr>
                    <w:t>昼间</w:t>
                  </w:r>
                </w:p>
              </w:tc>
              <w:tc>
                <w:tcPr>
                  <w:tcW w:w="1417" w:type="dxa"/>
                  <w:shd w:val="clear" w:color="auto" w:fill="FFFFFF"/>
                  <w:vAlign w:val="center"/>
                </w:tcPr>
                <w:p w14:paraId="09EB734D">
                  <w:pPr>
                    <w:spacing w:line="240" w:lineRule="auto"/>
                    <w:ind w:firstLine="0" w:firstLineChars="0"/>
                    <w:jc w:val="center"/>
                    <w:rPr>
                      <w:rFonts w:cs="Times New Roman"/>
                      <w:sz w:val="21"/>
                      <w:szCs w:val="21"/>
                    </w:rPr>
                  </w:pPr>
                  <w:r>
                    <w:rPr>
                      <w:rFonts w:cs="Times New Roman"/>
                      <w:sz w:val="21"/>
                      <w:szCs w:val="21"/>
                    </w:rPr>
                    <w:t>47.2</w:t>
                  </w:r>
                </w:p>
              </w:tc>
              <w:tc>
                <w:tcPr>
                  <w:tcW w:w="1418" w:type="dxa"/>
                  <w:shd w:val="clear" w:color="auto" w:fill="FFFFFF"/>
                  <w:vAlign w:val="center"/>
                </w:tcPr>
                <w:p w14:paraId="28B30783">
                  <w:pPr>
                    <w:spacing w:line="240" w:lineRule="auto"/>
                    <w:ind w:firstLine="0" w:firstLineChars="0"/>
                    <w:jc w:val="center"/>
                    <w:rPr>
                      <w:rFonts w:cs="Times New Roman"/>
                      <w:sz w:val="21"/>
                      <w:szCs w:val="21"/>
                    </w:rPr>
                  </w:pPr>
                  <w:r>
                    <w:rPr>
                      <w:rFonts w:cs="Times New Roman"/>
                      <w:sz w:val="21"/>
                      <w:szCs w:val="21"/>
                    </w:rPr>
                    <w:t>60</w:t>
                  </w:r>
                </w:p>
              </w:tc>
              <w:tc>
                <w:tcPr>
                  <w:tcW w:w="1188" w:type="dxa"/>
                  <w:shd w:val="clear" w:color="auto" w:fill="FFFFFF"/>
                  <w:vAlign w:val="center"/>
                </w:tcPr>
                <w:p w14:paraId="77340029">
                  <w:pPr>
                    <w:spacing w:line="240" w:lineRule="auto"/>
                    <w:ind w:firstLine="0" w:firstLineChars="0"/>
                    <w:jc w:val="center"/>
                    <w:rPr>
                      <w:rFonts w:cs="Times New Roman"/>
                      <w:sz w:val="21"/>
                      <w:szCs w:val="21"/>
                    </w:rPr>
                  </w:pPr>
                  <w:r>
                    <w:rPr>
                      <w:rFonts w:hint="eastAsia" w:cs="Times New Roman"/>
                      <w:sz w:val="21"/>
                      <w:szCs w:val="21"/>
                    </w:rPr>
                    <w:t>达标</w:t>
                  </w:r>
                </w:p>
              </w:tc>
            </w:tr>
            <w:tr w14:paraId="3516C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continue"/>
                  <w:vAlign w:val="center"/>
                </w:tcPr>
                <w:p w14:paraId="42BED431">
                  <w:pPr>
                    <w:spacing w:line="240" w:lineRule="auto"/>
                    <w:ind w:firstLine="0" w:firstLineChars="0"/>
                    <w:jc w:val="center"/>
                    <w:rPr>
                      <w:rFonts w:cs="Times New Roman"/>
                      <w:sz w:val="21"/>
                      <w:szCs w:val="21"/>
                    </w:rPr>
                  </w:pPr>
                </w:p>
              </w:tc>
              <w:tc>
                <w:tcPr>
                  <w:tcW w:w="803" w:type="dxa"/>
                  <w:shd w:val="clear" w:color="auto" w:fill="FFFFFF"/>
                  <w:vAlign w:val="center"/>
                </w:tcPr>
                <w:p w14:paraId="2DDF45E7">
                  <w:pPr>
                    <w:spacing w:line="240" w:lineRule="auto"/>
                    <w:ind w:firstLine="0" w:firstLineChars="0"/>
                    <w:jc w:val="center"/>
                    <w:rPr>
                      <w:rFonts w:cs="Times New Roman"/>
                      <w:sz w:val="21"/>
                      <w:szCs w:val="21"/>
                    </w:rPr>
                  </w:pPr>
                  <w:r>
                    <w:rPr>
                      <w:rFonts w:cs="Times New Roman"/>
                      <w:sz w:val="21"/>
                      <w:szCs w:val="21"/>
                    </w:rPr>
                    <w:t>2.5</w:t>
                  </w:r>
                </w:p>
              </w:tc>
              <w:tc>
                <w:tcPr>
                  <w:tcW w:w="803" w:type="dxa"/>
                  <w:shd w:val="clear" w:color="auto" w:fill="FFFFFF"/>
                  <w:vAlign w:val="center"/>
                </w:tcPr>
                <w:p w14:paraId="69896A2F">
                  <w:pPr>
                    <w:spacing w:line="240" w:lineRule="auto"/>
                    <w:ind w:firstLine="0" w:firstLineChars="0"/>
                    <w:jc w:val="center"/>
                    <w:rPr>
                      <w:rFonts w:cs="Times New Roman"/>
                      <w:sz w:val="21"/>
                      <w:szCs w:val="21"/>
                    </w:rPr>
                  </w:pPr>
                  <w:r>
                    <w:rPr>
                      <w:rFonts w:cs="Times New Roman"/>
                      <w:sz w:val="21"/>
                      <w:szCs w:val="21"/>
                    </w:rPr>
                    <w:t>-1.6</w:t>
                  </w:r>
                </w:p>
              </w:tc>
              <w:tc>
                <w:tcPr>
                  <w:tcW w:w="803" w:type="dxa"/>
                  <w:shd w:val="clear" w:color="auto" w:fill="FFFFFF"/>
                  <w:vAlign w:val="center"/>
                </w:tcPr>
                <w:p w14:paraId="57BB80EA">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4F4D63CE">
                  <w:pPr>
                    <w:spacing w:line="240" w:lineRule="auto"/>
                    <w:ind w:firstLine="0" w:firstLineChars="0"/>
                    <w:jc w:val="center"/>
                    <w:rPr>
                      <w:rFonts w:cs="Times New Roman"/>
                      <w:sz w:val="21"/>
                      <w:szCs w:val="21"/>
                    </w:rPr>
                  </w:pPr>
                  <w:r>
                    <w:rPr>
                      <w:rFonts w:hint="eastAsia" w:cs="Times New Roman"/>
                      <w:sz w:val="21"/>
                      <w:szCs w:val="21"/>
                    </w:rPr>
                    <w:t>夜间</w:t>
                  </w:r>
                </w:p>
              </w:tc>
              <w:tc>
                <w:tcPr>
                  <w:tcW w:w="1417" w:type="dxa"/>
                  <w:shd w:val="clear" w:color="auto" w:fill="FFFFFF"/>
                  <w:vAlign w:val="center"/>
                </w:tcPr>
                <w:p w14:paraId="66FAA4A9">
                  <w:pPr>
                    <w:spacing w:line="240" w:lineRule="auto"/>
                    <w:ind w:firstLine="0" w:firstLineChars="0"/>
                    <w:jc w:val="center"/>
                    <w:rPr>
                      <w:rFonts w:cs="Times New Roman"/>
                      <w:sz w:val="21"/>
                      <w:szCs w:val="21"/>
                    </w:rPr>
                  </w:pPr>
                  <w:r>
                    <w:rPr>
                      <w:rFonts w:cs="Times New Roman"/>
                      <w:sz w:val="21"/>
                      <w:szCs w:val="21"/>
                    </w:rPr>
                    <w:t>47.2</w:t>
                  </w:r>
                </w:p>
              </w:tc>
              <w:tc>
                <w:tcPr>
                  <w:tcW w:w="1418" w:type="dxa"/>
                  <w:shd w:val="clear" w:color="auto" w:fill="FFFFFF"/>
                  <w:vAlign w:val="center"/>
                </w:tcPr>
                <w:p w14:paraId="388BC488">
                  <w:pPr>
                    <w:spacing w:line="240" w:lineRule="auto"/>
                    <w:ind w:firstLine="0" w:firstLineChars="0"/>
                    <w:jc w:val="center"/>
                    <w:rPr>
                      <w:rFonts w:cs="Times New Roman"/>
                      <w:sz w:val="21"/>
                      <w:szCs w:val="21"/>
                    </w:rPr>
                  </w:pPr>
                  <w:r>
                    <w:rPr>
                      <w:rFonts w:cs="Times New Roman"/>
                      <w:sz w:val="21"/>
                      <w:szCs w:val="21"/>
                    </w:rPr>
                    <w:t>50</w:t>
                  </w:r>
                </w:p>
              </w:tc>
              <w:tc>
                <w:tcPr>
                  <w:tcW w:w="1188" w:type="dxa"/>
                  <w:shd w:val="clear" w:color="auto" w:fill="FFFFFF"/>
                  <w:vAlign w:val="center"/>
                </w:tcPr>
                <w:p w14:paraId="64FF66C7">
                  <w:pPr>
                    <w:spacing w:line="240" w:lineRule="auto"/>
                    <w:ind w:firstLine="0" w:firstLineChars="0"/>
                    <w:jc w:val="center"/>
                    <w:rPr>
                      <w:rFonts w:cs="Times New Roman"/>
                      <w:sz w:val="21"/>
                      <w:szCs w:val="21"/>
                    </w:rPr>
                  </w:pPr>
                  <w:r>
                    <w:rPr>
                      <w:rFonts w:hint="eastAsia" w:cs="Times New Roman"/>
                      <w:sz w:val="21"/>
                      <w:szCs w:val="21"/>
                    </w:rPr>
                    <w:t>达标</w:t>
                  </w:r>
                </w:p>
              </w:tc>
            </w:tr>
            <w:tr w14:paraId="08BE6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restart"/>
                  <w:shd w:val="clear" w:color="auto" w:fill="FFFFFF"/>
                  <w:vAlign w:val="center"/>
                </w:tcPr>
                <w:p w14:paraId="4570AAB2">
                  <w:pPr>
                    <w:spacing w:line="240" w:lineRule="auto"/>
                    <w:ind w:firstLine="0" w:firstLineChars="0"/>
                    <w:jc w:val="center"/>
                    <w:rPr>
                      <w:rFonts w:cs="Times New Roman"/>
                      <w:sz w:val="21"/>
                      <w:szCs w:val="21"/>
                    </w:rPr>
                  </w:pPr>
                  <w:r>
                    <w:rPr>
                      <w:rFonts w:hint="eastAsia" w:cs="Times New Roman"/>
                      <w:sz w:val="21"/>
                      <w:szCs w:val="21"/>
                    </w:rPr>
                    <w:t>西侧</w:t>
                  </w:r>
                </w:p>
              </w:tc>
              <w:tc>
                <w:tcPr>
                  <w:tcW w:w="803" w:type="dxa"/>
                  <w:shd w:val="clear" w:color="auto" w:fill="FFFFFF"/>
                  <w:vAlign w:val="center"/>
                </w:tcPr>
                <w:p w14:paraId="0E5138EC">
                  <w:pPr>
                    <w:spacing w:line="240" w:lineRule="auto"/>
                    <w:ind w:firstLine="0" w:firstLineChars="0"/>
                    <w:jc w:val="center"/>
                    <w:rPr>
                      <w:rFonts w:cs="Times New Roman"/>
                      <w:sz w:val="21"/>
                      <w:szCs w:val="21"/>
                    </w:rPr>
                  </w:pPr>
                  <w:r>
                    <w:rPr>
                      <w:rFonts w:hint="eastAsia" w:cs="Times New Roman"/>
                      <w:sz w:val="21"/>
                      <w:szCs w:val="21"/>
                    </w:rPr>
                    <w:t>-0.1</w:t>
                  </w:r>
                </w:p>
              </w:tc>
              <w:tc>
                <w:tcPr>
                  <w:tcW w:w="803" w:type="dxa"/>
                  <w:shd w:val="clear" w:color="auto" w:fill="FFFFFF"/>
                  <w:vAlign w:val="center"/>
                </w:tcPr>
                <w:p w14:paraId="5D01696F">
                  <w:pPr>
                    <w:spacing w:line="240" w:lineRule="auto"/>
                    <w:ind w:firstLine="0" w:firstLineChars="0"/>
                    <w:jc w:val="center"/>
                    <w:rPr>
                      <w:rFonts w:cs="Times New Roman"/>
                      <w:sz w:val="21"/>
                      <w:szCs w:val="21"/>
                    </w:rPr>
                  </w:pPr>
                  <w:r>
                    <w:rPr>
                      <w:rFonts w:hint="eastAsia" w:cs="Times New Roman"/>
                      <w:sz w:val="21"/>
                      <w:szCs w:val="21"/>
                    </w:rPr>
                    <w:t>0.1</w:t>
                  </w:r>
                </w:p>
              </w:tc>
              <w:tc>
                <w:tcPr>
                  <w:tcW w:w="803" w:type="dxa"/>
                  <w:shd w:val="clear" w:color="auto" w:fill="FFFFFF"/>
                  <w:vAlign w:val="center"/>
                </w:tcPr>
                <w:p w14:paraId="1A36ADE7">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3EBA43F2">
                  <w:pPr>
                    <w:spacing w:line="240" w:lineRule="auto"/>
                    <w:ind w:firstLine="0" w:firstLineChars="0"/>
                    <w:jc w:val="center"/>
                    <w:rPr>
                      <w:rFonts w:cs="Times New Roman"/>
                      <w:sz w:val="21"/>
                      <w:szCs w:val="21"/>
                    </w:rPr>
                  </w:pPr>
                  <w:r>
                    <w:rPr>
                      <w:rFonts w:hint="eastAsia" w:cs="Times New Roman"/>
                      <w:sz w:val="21"/>
                      <w:szCs w:val="21"/>
                    </w:rPr>
                    <w:t>昼间</w:t>
                  </w:r>
                </w:p>
              </w:tc>
              <w:tc>
                <w:tcPr>
                  <w:tcW w:w="1417" w:type="dxa"/>
                  <w:shd w:val="clear" w:color="auto" w:fill="FFFFFF"/>
                  <w:vAlign w:val="center"/>
                </w:tcPr>
                <w:p w14:paraId="0ACD6A44">
                  <w:pPr>
                    <w:spacing w:line="240" w:lineRule="auto"/>
                    <w:ind w:firstLine="0" w:firstLineChars="0"/>
                    <w:jc w:val="center"/>
                    <w:rPr>
                      <w:rFonts w:cs="Times New Roman"/>
                      <w:sz w:val="21"/>
                      <w:szCs w:val="21"/>
                    </w:rPr>
                  </w:pPr>
                  <w:r>
                    <w:rPr>
                      <w:rFonts w:cs="Times New Roman"/>
                      <w:sz w:val="21"/>
                      <w:szCs w:val="21"/>
                    </w:rPr>
                    <w:t>48.8</w:t>
                  </w:r>
                </w:p>
              </w:tc>
              <w:tc>
                <w:tcPr>
                  <w:tcW w:w="1418" w:type="dxa"/>
                  <w:shd w:val="clear" w:color="auto" w:fill="FFFFFF"/>
                  <w:vAlign w:val="center"/>
                </w:tcPr>
                <w:p w14:paraId="057273E5">
                  <w:pPr>
                    <w:spacing w:line="240" w:lineRule="auto"/>
                    <w:ind w:firstLine="0" w:firstLineChars="0"/>
                    <w:jc w:val="center"/>
                    <w:rPr>
                      <w:rFonts w:cs="Times New Roman"/>
                      <w:sz w:val="21"/>
                      <w:szCs w:val="21"/>
                    </w:rPr>
                  </w:pPr>
                  <w:r>
                    <w:rPr>
                      <w:rFonts w:cs="Times New Roman"/>
                      <w:sz w:val="21"/>
                      <w:szCs w:val="21"/>
                    </w:rPr>
                    <w:t>60</w:t>
                  </w:r>
                </w:p>
              </w:tc>
              <w:tc>
                <w:tcPr>
                  <w:tcW w:w="1188" w:type="dxa"/>
                  <w:shd w:val="clear" w:color="auto" w:fill="FFFFFF"/>
                  <w:vAlign w:val="center"/>
                </w:tcPr>
                <w:p w14:paraId="12D4CCB8">
                  <w:pPr>
                    <w:spacing w:line="240" w:lineRule="auto"/>
                    <w:ind w:firstLine="0" w:firstLineChars="0"/>
                    <w:jc w:val="center"/>
                    <w:rPr>
                      <w:rFonts w:cs="Times New Roman"/>
                      <w:sz w:val="21"/>
                      <w:szCs w:val="21"/>
                    </w:rPr>
                  </w:pPr>
                  <w:r>
                    <w:rPr>
                      <w:rFonts w:hint="eastAsia" w:cs="Times New Roman"/>
                      <w:sz w:val="21"/>
                      <w:szCs w:val="21"/>
                    </w:rPr>
                    <w:t>达标</w:t>
                  </w:r>
                </w:p>
              </w:tc>
            </w:tr>
            <w:tr w14:paraId="62950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continue"/>
                  <w:vAlign w:val="center"/>
                </w:tcPr>
                <w:p w14:paraId="0CB47F9C">
                  <w:pPr>
                    <w:spacing w:line="240" w:lineRule="auto"/>
                    <w:ind w:firstLine="0" w:firstLineChars="0"/>
                    <w:jc w:val="center"/>
                    <w:rPr>
                      <w:rFonts w:cs="Times New Roman"/>
                      <w:sz w:val="21"/>
                      <w:szCs w:val="21"/>
                    </w:rPr>
                  </w:pPr>
                </w:p>
              </w:tc>
              <w:tc>
                <w:tcPr>
                  <w:tcW w:w="803" w:type="dxa"/>
                  <w:shd w:val="clear" w:color="auto" w:fill="FFFFFF"/>
                  <w:vAlign w:val="center"/>
                </w:tcPr>
                <w:p w14:paraId="039030C8">
                  <w:pPr>
                    <w:spacing w:line="240" w:lineRule="auto"/>
                    <w:ind w:firstLine="0" w:firstLineChars="0"/>
                    <w:jc w:val="center"/>
                    <w:rPr>
                      <w:rFonts w:cs="Times New Roman"/>
                      <w:sz w:val="21"/>
                      <w:szCs w:val="21"/>
                    </w:rPr>
                  </w:pPr>
                  <w:r>
                    <w:rPr>
                      <w:rFonts w:hint="eastAsia" w:cs="Times New Roman"/>
                      <w:sz w:val="21"/>
                      <w:szCs w:val="21"/>
                    </w:rPr>
                    <w:t>-0.1</w:t>
                  </w:r>
                </w:p>
              </w:tc>
              <w:tc>
                <w:tcPr>
                  <w:tcW w:w="803" w:type="dxa"/>
                  <w:shd w:val="clear" w:color="auto" w:fill="FFFFFF"/>
                  <w:vAlign w:val="center"/>
                </w:tcPr>
                <w:p w14:paraId="4DAC2978">
                  <w:pPr>
                    <w:spacing w:line="240" w:lineRule="auto"/>
                    <w:ind w:firstLine="0" w:firstLineChars="0"/>
                    <w:jc w:val="center"/>
                    <w:rPr>
                      <w:rFonts w:cs="Times New Roman"/>
                      <w:sz w:val="21"/>
                      <w:szCs w:val="21"/>
                    </w:rPr>
                  </w:pPr>
                  <w:r>
                    <w:rPr>
                      <w:rFonts w:hint="eastAsia" w:cs="Times New Roman"/>
                      <w:sz w:val="21"/>
                      <w:szCs w:val="21"/>
                    </w:rPr>
                    <w:t>0.1</w:t>
                  </w:r>
                </w:p>
              </w:tc>
              <w:tc>
                <w:tcPr>
                  <w:tcW w:w="803" w:type="dxa"/>
                  <w:shd w:val="clear" w:color="auto" w:fill="FFFFFF"/>
                  <w:vAlign w:val="center"/>
                </w:tcPr>
                <w:p w14:paraId="60BFBF00">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370F5E1C">
                  <w:pPr>
                    <w:spacing w:line="240" w:lineRule="auto"/>
                    <w:ind w:firstLine="0" w:firstLineChars="0"/>
                    <w:jc w:val="center"/>
                    <w:rPr>
                      <w:rFonts w:cs="Times New Roman"/>
                      <w:sz w:val="21"/>
                      <w:szCs w:val="21"/>
                    </w:rPr>
                  </w:pPr>
                  <w:r>
                    <w:rPr>
                      <w:rFonts w:hint="eastAsia" w:cs="Times New Roman"/>
                      <w:sz w:val="21"/>
                      <w:szCs w:val="21"/>
                    </w:rPr>
                    <w:t>夜间</w:t>
                  </w:r>
                </w:p>
              </w:tc>
              <w:tc>
                <w:tcPr>
                  <w:tcW w:w="1417" w:type="dxa"/>
                  <w:shd w:val="clear" w:color="auto" w:fill="FFFFFF"/>
                  <w:vAlign w:val="center"/>
                </w:tcPr>
                <w:p w14:paraId="639A1C5B">
                  <w:pPr>
                    <w:spacing w:line="240" w:lineRule="auto"/>
                    <w:ind w:firstLine="0" w:firstLineChars="0"/>
                    <w:jc w:val="center"/>
                    <w:rPr>
                      <w:rFonts w:cs="Times New Roman"/>
                      <w:sz w:val="21"/>
                      <w:szCs w:val="21"/>
                    </w:rPr>
                  </w:pPr>
                  <w:r>
                    <w:rPr>
                      <w:rFonts w:cs="Times New Roman"/>
                      <w:sz w:val="21"/>
                      <w:szCs w:val="21"/>
                    </w:rPr>
                    <w:t>48.8</w:t>
                  </w:r>
                </w:p>
              </w:tc>
              <w:tc>
                <w:tcPr>
                  <w:tcW w:w="1418" w:type="dxa"/>
                  <w:shd w:val="clear" w:color="auto" w:fill="FFFFFF"/>
                  <w:vAlign w:val="center"/>
                </w:tcPr>
                <w:p w14:paraId="2A3EB423">
                  <w:pPr>
                    <w:spacing w:line="240" w:lineRule="auto"/>
                    <w:ind w:firstLine="0" w:firstLineChars="0"/>
                    <w:jc w:val="center"/>
                    <w:rPr>
                      <w:rFonts w:cs="Times New Roman"/>
                      <w:sz w:val="21"/>
                      <w:szCs w:val="21"/>
                    </w:rPr>
                  </w:pPr>
                  <w:r>
                    <w:rPr>
                      <w:rFonts w:cs="Times New Roman"/>
                      <w:sz w:val="21"/>
                      <w:szCs w:val="21"/>
                    </w:rPr>
                    <w:t>50</w:t>
                  </w:r>
                </w:p>
              </w:tc>
              <w:tc>
                <w:tcPr>
                  <w:tcW w:w="1188" w:type="dxa"/>
                  <w:shd w:val="clear" w:color="auto" w:fill="FFFFFF"/>
                  <w:vAlign w:val="center"/>
                </w:tcPr>
                <w:p w14:paraId="42917DD4">
                  <w:pPr>
                    <w:spacing w:line="240" w:lineRule="auto"/>
                    <w:ind w:firstLine="0" w:firstLineChars="0"/>
                    <w:jc w:val="center"/>
                    <w:rPr>
                      <w:rFonts w:cs="Times New Roman"/>
                      <w:sz w:val="21"/>
                      <w:szCs w:val="21"/>
                    </w:rPr>
                  </w:pPr>
                  <w:r>
                    <w:rPr>
                      <w:rFonts w:hint="eastAsia" w:cs="Times New Roman"/>
                      <w:sz w:val="21"/>
                      <w:szCs w:val="21"/>
                    </w:rPr>
                    <w:t>达标</w:t>
                  </w:r>
                </w:p>
              </w:tc>
            </w:tr>
            <w:tr w14:paraId="42897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restart"/>
                  <w:shd w:val="clear" w:color="auto" w:fill="FFFFFF"/>
                  <w:vAlign w:val="center"/>
                </w:tcPr>
                <w:p w14:paraId="09A33683">
                  <w:pPr>
                    <w:spacing w:line="240" w:lineRule="auto"/>
                    <w:ind w:firstLine="0" w:firstLineChars="0"/>
                    <w:jc w:val="center"/>
                    <w:rPr>
                      <w:rFonts w:cs="Times New Roman"/>
                      <w:sz w:val="21"/>
                      <w:szCs w:val="21"/>
                    </w:rPr>
                  </w:pPr>
                  <w:r>
                    <w:rPr>
                      <w:rFonts w:hint="eastAsia" w:cs="Times New Roman"/>
                      <w:sz w:val="21"/>
                      <w:szCs w:val="21"/>
                    </w:rPr>
                    <w:t>北侧</w:t>
                  </w:r>
                </w:p>
              </w:tc>
              <w:tc>
                <w:tcPr>
                  <w:tcW w:w="803" w:type="dxa"/>
                  <w:shd w:val="clear" w:color="auto" w:fill="FFFFFF"/>
                  <w:vAlign w:val="center"/>
                </w:tcPr>
                <w:p w14:paraId="556EEDD2">
                  <w:pPr>
                    <w:spacing w:line="240" w:lineRule="auto"/>
                    <w:ind w:firstLine="0" w:firstLineChars="0"/>
                    <w:jc w:val="center"/>
                    <w:rPr>
                      <w:rFonts w:cs="Times New Roman"/>
                      <w:sz w:val="21"/>
                      <w:szCs w:val="21"/>
                    </w:rPr>
                  </w:pPr>
                  <w:r>
                    <w:rPr>
                      <w:rFonts w:cs="Times New Roman"/>
                      <w:sz w:val="21"/>
                      <w:szCs w:val="21"/>
                    </w:rPr>
                    <w:t>10</w:t>
                  </w:r>
                </w:p>
              </w:tc>
              <w:tc>
                <w:tcPr>
                  <w:tcW w:w="803" w:type="dxa"/>
                  <w:shd w:val="clear" w:color="auto" w:fill="FFFFFF"/>
                  <w:vAlign w:val="center"/>
                </w:tcPr>
                <w:p w14:paraId="1BA66DE7">
                  <w:pPr>
                    <w:spacing w:line="240" w:lineRule="auto"/>
                    <w:ind w:firstLine="0" w:firstLineChars="0"/>
                    <w:jc w:val="center"/>
                    <w:rPr>
                      <w:rFonts w:cs="Times New Roman"/>
                      <w:sz w:val="21"/>
                      <w:szCs w:val="21"/>
                    </w:rPr>
                  </w:pPr>
                  <w:r>
                    <w:rPr>
                      <w:rFonts w:cs="Times New Roman"/>
                      <w:sz w:val="21"/>
                      <w:szCs w:val="21"/>
                    </w:rPr>
                    <w:t>28.6</w:t>
                  </w:r>
                </w:p>
              </w:tc>
              <w:tc>
                <w:tcPr>
                  <w:tcW w:w="803" w:type="dxa"/>
                  <w:shd w:val="clear" w:color="auto" w:fill="FFFFFF"/>
                  <w:vAlign w:val="center"/>
                </w:tcPr>
                <w:p w14:paraId="5AD2FDE0">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6B6254BC">
                  <w:pPr>
                    <w:spacing w:line="240" w:lineRule="auto"/>
                    <w:ind w:firstLine="0" w:firstLineChars="0"/>
                    <w:jc w:val="center"/>
                    <w:rPr>
                      <w:rFonts w:cs="Times New Roman"/>
                      <w:sz w:val="21"/>
                      <w:szCs w:val="21"/>
                    </w:rPr>
                  </w:pPr>
                  <w:r>
                    <w:rPr>
                      <w:rFonts w:hint="eastAsia" w:cs="Times New Roman"/>
                      <w:sz w:val="21"/>
                      <w:szCs w:val="21"/>
                    </w:rPr>
                    <w:t>昼间</w:t>
                  </w:r>
                </w:p>
              </w:tc>
              <w:tc>
                <w:tcPr>
                  <w:tcW w:w="1417" w:type="dxa"/>
                  <w:shd w:val="clear" w:color="auto" w:fill="FFFFFF"/>
                  <w:vAlign w:val="center"/>
                </w:tcPr>
                <w:p w14:paraId="3659B2BF">
                  <w:pPr>
                    <w:spacing w:line="240" w:lineRule="auto"/>
                    <w:ind w:firstLine="0" w:firstLineChars="0"/>
                    <w:jc w:val="center"/>
                    <w:rPr>
                      <w:rFonts w:cs="Times New Roman"/>
                      <w:sz w:val="21"/>
                      <w:szCs w:val="21"/>
                    </w:rPr>
                  </w:pPr>
                  <w:r>
                    <w:rPr>
                      <w:rFonts w:cs="Times New Roman"/>
                      <w:sz w:val="21"/>
                      <w:szCs w:val="21"/>
                    </w:rPr>
                    <w:t>48.4</w:t>
                  </w:r>
                </w:p>
              </w:tc>
              <w:tc>
                <w:tcPr>
                  <w:tcW w:w="1418" w:type="dxa"/>
                  <w:shd w:val="clear" w:color="auto" w:fill="FFFFFF"/>
                  <w:vAlign w:val="center"/>
                </w:tcPr>
                <w:p w14:paraId="2A2B2C5E">
                  <w:pPr>
                    <w:spacing w:line="240" w:lineRule="auto"/>
                    <w:ind w:firstLine="0" w:firstLineChars="0"/>
                    <w:jc w:val="center"/>
                    <w:rPr>
                      <w:rFonts w:cs="Times New Roman"/>
                      <w:sz w:val="21"/>
                      <w:szCs w:val="21"/>
                    </w:rPr>
                  </w:pPr>
                  <w:r>
                    <w:rPr>
                      <w:rFonts w:cs="Times New Roman"/>
                      <w:sz w:val="21"/>
                      <w:szCs w:val="21"/>
                    </w:rPr>
                    <w:t>60</w:t>
                  </w:r>
                </w:p>
              </w:tc>
              <w:tc>
                <w:tcPr>
                  <w:tcW w:w="1188" w:type="dxa"/>
                  <w:shd w:val="clear" w:color="auto" w:fill="FFFFFF"/>
                  <w:vAlign w:val="center"/>
                </w:tcPr>
                <w:p w14:paraId="5551E9F7">
                  <w:pPr>
                    <w:spacing w:line="240" w:lineRule="auto"/>
                    <w:ind w:firstLine="0" w:firstLineChars="0"/>
                    <w:jc w:val="center"/>
                    <w:rPr>
                      <w:rFonts w:cs="Times New Roman"/>
                      <w:sz w:val="21"/>
                      <w:szCs w:val="21"/>
                    </w:rPr>
                  </w:pPr>
                  <w:r>
                    <w:rPr>
                      <w:rFonts w:hint="eastAsia" w:cs="Times New Roman"/>
                      <w:sz w:val="21"/>
                      <w:szCs w:val="21"/>
                    </w:rPr>
                    <w:t>达标</w:t>
                  </w:r>
                </w:p>
              </w:tc>
            </w:tr>
            <w:tr w14:paraId="750BD9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01" w:type="dxa"/>
                  <w:vMerge w:val="continue"/>
                  <w:vAlign w:val="center"/>
                </w:tcPr>
                <w:p w14:paraId="2FB67479">
                  <w:pPr>
                    <w:spacing w:line="240" w:lineRule="auto"/>
                    <w:ind w:firstLine="0" w:firstLineChars="0"/>
                    <w:jc w:val="center"/>
                    <w:rPr>
                      <w:rFonts w:cs="Times New Roman"/>
                      <w:sz w:val="21"/>
                      <w:szCs w:val="21"/>
                    </w:rPr>
                  </w:pPr>
                </w:p>
              </w:tc>
              <w:tc>
                <w:tcPr>
                  <w:tcW w:w="803" w:type="dxa"/>
                  <w:shd w:val="clear" w:color="auto" w:fill="FFFFFF"/>
                  <w:vAlign w:val="center"/>
                </w:tcPr>
                <w:p w14:paraId="059F0A12">
                  <w:pPr>
                    <w:spacing w:line="240" w:lineRule="auto"/>
                    <w:ind w:firstLine="0" w:firstLineChars="0"/>
                    <w:jc w:val="center"/>
                    <w:rPr>
                      <w:rFonts w:cs="Times New Roman"/>
                      <w:sz w:val="21"/>
                      <w:szCs w:val="21"/>
                    </w:rPr>
                  </w:pPr>
                  <w:r>
                    <w:rPr>
                      <w:rFonts w:cs="Times New Roman"/>
                      <w:sz w:val="21"/>
                      <w:szCs w:val="21"/>
                    </w:rPr>
                    <w:t>10</w:t>
                  </w:r>
                </w:p>
              </w:tc>
              <w:tc>
                <w:tcPr>
                  <w:tcW w:w="803" w:type="dxa"/>
                  <w:shd w:val="clear" w:color="auto" w:fill="FFFFFF"/>
                  <w:vAlign w:val="center"/>
                </w:tcPr>
                <w:p w14:paraId="41520C49">
                  <w:pPr>
                    <w:spacing w:line="240" w:lineRule="auto"/>
                    <w:ind w:firstLine="0" w:firstLineChars="0"/>
                    <w:jc w:val="center"/>
                    <w:rPr>
                      <w:rFonts w:cs="Times New Roman"/>
                      <w:sz w:val="21"/>
                      <w:szCs w:val="21"/>
                    </w:rPr>
                  </w:pPr>
                  <w:r>
                    <w:rPr>
                      <w:rFonts w:cs="Times New Roman"/>
                      <w:sz w:val="21"/>
                      <w:szCs w:val="21"/>
                    </w:rPr>
                    <w:t>28.6</w:t>
                  </w:r>
                </w:p>
              </w:tc>
              <w:tc>
                <w:tcPr>
                  <w:tcW w:w="803" w:type="dxa"/>
                  <w:shd w:val="clear" w:color="auto" w:fill="FFFFFF"/>
                  <w:vAlign w:val="center"/>
                </w:tcPr>
                <w:p w14:paraId="03AE2BC2">
                  <w:pPr>
                    <w:spacing w:line="240" w:lineRule="auto"/>
                    <w:ind w:firstLine="0" w:firstLineChars="0"/>
                    <w:jc w:val="center"/>
                    <w:rPr>
                      <w:rFonts w:cs="Times New Roman"/>
                      <w:sz w:val="21"/>
                      <w:szCs w:val="21"/>
                    </w:rPr>
                  </w:pPr>
                  <w:r>
                    <w:rPr>
                      <w:rFonts w:cs="Times New Roman"/>
                      <w:sz w:val="21"/>
                      <w:szCs w:val="21"/>
                    </w:rPr>
                    <w:t>1.2</w:t>
                  </w:r>
                </w:p>
              </w:tc>
              <w:tc>
                <w:tcPr>
                  <w:tcW w:w="993" w:type="dxa"/>
                  <w:shd w:val="clear" w:color="auto" w:fill="FFFFFF"/>
                  <w:vAlign w:val="center"/>
                </w:tcPr>
                <w:p w14:paraId="4BD15FC8">
                  <w:pPr>
                    <w:spacing w:line="240" w:lineRule="auto"/>
                    <w:ind w:firstLine="0" w:firstLineChars="0"/>
                    <w:jc w:val="center"/>
                    <w:rPr>
                      <w:rFonts w:cs="Times New Roman"/>
                      <w:sz w:val="21"/>
                      <w:szCs w:val="21"/>
                    </w:rPr>
                  </w:pPr>
                  <w:r>
                    <w:rPr>
                      <w:rFonts w:hint="eastAsia" w:cs="Times New Roman"/>
                      <w:sz w:val="21"/>
                      <w:szCs w:val="21"/>
                    </w:rPr>
                    <w:t>夜间</w:t>
                  </w:r>
                </w:p>
              </w:tc>
              <w:tc>
                <w:tcPr>
                  <w:tcW w:w="1417" w:type="dxa"/>
                  <w:shd w:val="clear" w:color="auto" w:fill="FFFFFF"/>
                  <w:vAlign w:val="center"/>
                </w:tcPr>
                <w:p w14:paraId="3A545F3D">
                  <w:pPr>
                    <w:spacing w:line="240" w:lineRule="auto"/>
                    <w:ind w:firstLine="0" w:firstLineChars="0"/>
                    <w:jc w:val="center"/>
                    <w:rPr>
                      <w:rFonts w:cs="Times New Roman"/>
                      <w:sz w:val="21"/>
                      <w:szCs w:val="21"/>
                    </w:rPr>
                  </w:pPr>
                  <w:r>
                    <w:rPr>
                      <w:rFonts w:cs="Times New Roman"/>
                      <w:sz w:val="21"/>
                      <w:szCs w:val="21"/>
                    </w:rPr>
                    <w:t>48.4</w:t>
                  </w:r>
                </w:p>
              </w:tc>
              <w:tc>
                <w:tcPr>
                  <w:tcW w:w="1418" w:type="dxa"/>
                  <w:shd w:val="clear" w:color="auto" w:fill="FFFFFF"/>
                  <w:vAlign w:val="center"/>
                </w:tcPr>
                <w:p w14:paraId="51D669FF">
                  <w:pPr>
                    <w:spacing w:line="240" w:lineRule="auto"/>
                    <w:ind w:firstLine="0" w:firstLineChars="0"/>
                    <w:jc w:val="center"/>
                    <w:rPr>
                      <w:rFonts w:cs="Times New Roman"/>
                      <w:sz w:val="21"/>
                      <w:szCs w:val="21"/>
                    </w:rPr>
                  </w:pPr>
                  <w:r>
                    <w:rPr>
                      <w:rFonts w:cs="Times New Roman"/>
                      <w:sz w:val="21"/>
                      <w:szCs w:val="21"/>
                    </w:rPr>
                    <w:t>50</w:t>
                  </w:r>
                </w:p>
              </w:tc>
              <w:tc>
                <w:tcPr>
                  <w:tcW w:w="1188" w:type="dxa"/>
                  <w:shd w:val="clear" w:color="auto" w:fill="FFFFFF"/>
                  <w:vAlign w:val="center"/>
                </w:tcPr>
                <w:p w14:paraId="29AD3660">
                  <w:pPr>
                    <w:spacing w:line="240" w:lineRule="auto"/>
                    <w:ind w:firstLine="0" w:firstLineChars="0"/>
                    <w:jc w:val="center"/>
                    <w:rPr>
                      <w:rFonts w:cs="Times New Roman"/>
                      <w:sz w:val="21"/>
                      <w:szCs w:val="21"/>
                    </w:rPr>
                  </w:pPr>
                  <w:r>
                    <w:rPr>
                      <w:rFonts w:hint="eastAsia" w:cs="Times New Roman"/>
                      <w:sz w:val="21"/>
                      <w:szCs w:val="21"/>
                    </w:rPr>
                    <w:t>达标</w:t>
                  </w:r>
                </w:p>
              </w:tc>
            </w:tr>
          </w:tbl>
          <w:p w14:paraId="3AAA95D5">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根据上表可知，本项目设备噪声在距离衰减情况下，四周厂界可满足《工业企业厂界环境噪声排放标准》（</w:t>
            </w:r>
            <w:r>
              <w:rPr>
                <w:color w:val="000000" w:themeColor="text1"/>
                <w14:textFill>
                  <w14:solidFill>
                    <w14:schemeClr w14:val="tx1"/>
                  </w14:solidFill>
                </w14:textFill>
              </w:rPr>
              <w:t>GB12348-2008</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类标准。本项目产生的噪声经治理后对厂区周边声环境影响较小。为了确保厂界噪声稳定达标排放，主要噪声防治措施如下：</w:t>
            </w:r>
          </w:p>
          <w:p w14:paraId="3D42D0B7">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①本项目主要噪声设备布置集中，可通过距离消减有效降低厂界的噪声。</w:t>
            </w:r>
          </w:p>
          <w:p w14:paraId="474DC922">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②加强文明生产管理，减小原材料装卸作业的撞击声及人为噪声。</w:t>
            </w:r>
          </w:p>
          <w:p w14:paraId="0E29F03A">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③严格禁止运输车辆超载。</w:t>
            </w:r>
          </w:p>
          <w:p w14:paraId="79F1907F">
            <w:pPr>
              <w:spacing w:line="440" w:lineRule="exact"/>
              <w:ind w:firstLine="0" w:firstLineChars="0"/>
              <w:jc w:val="left"/>
              <w:rPr>
                <w:b/>
                <w:bCs/>
              </w:rPr>
            </w:pPr>
            <w:r>
              <w:rPr>
                <w:rFonts w:hint="eastAsia"/>
                <w:b/>
                <w:bCs/>
              </w:rPr>
              <w:t>4</w:t>
            </w:r>
            <w:r>
              <w:rPr>
                <w:b/>
                <w:bCs/>
              </w:rPr>
              <w:t>.2.</w:t>
            </w:r>
            <w:r>
              <w:rPr>
                <w:rFonts w:hint="eastAsia"/>
                <w:b/>
                <w:bCs/>
              </w:rPr>
              <w:t>4固体废物影响与评价</w:t>
            </w:r>
          </w:p>
          <w:p w14:paraId="43415784">
            <w:pPr>
              <w:ind w:firstLine="480"/>
              <w:rPr>
                <w:rFonts w:cs="Times New Roman"/>
              </w:rPr>
            </w:pPr>
            <w:r>
              <w:rPr>
                <w:rFonts w:hint="eastAsia"/>
                <w:color w:val="000000"/>
              </w:rPr>
              <w:t>项目营运期产生的固体废物主要为：生活垃圾、一般工业固体废物、危险废物</w:t>
            </w:r>
            <w:r>
              <w:rPr>
                <w:rFonts w:hint="eastAsia" w:cs="Times New Roman"/>
              </w:rPr>
              <w:t>。</w:t>
            </w:r>
          </w:p>
          <w:p w14:paraId="3CC734B3">
            <w:pPr>
              <w:ind w:firstLine="480"/>
            </w:pPr>
            <w:bookmarkStart w:id="21" w:name="_Hlk156401327"/>
            <w:r>
              <w:t>（1）生活</w:t>
            </w:r>
            <w:r>
              <w:rPr>
                <w:rFonts w:hint="eastAsia"/>
              </w:rPr>
              <w:t>垃圾</w:t>
            </w:r>
          </w:p>
          <w:p w14:paraId="413D9763">
            <w:pPr>
              <w:ind w:firstLine="480"/>
              <w:rPr>
                <w:rFonts w:cs="Times New Roman"/>
                <w:color w:val="000000" w:themeColor="text1"/>
                <w14:textFill>
                  <w14:solidFill>
                    <w14:schemeClr w14:val="tx1"/>
                  </w14:solidFill>
                </w14:textFill>
              </w:rPr>
            </w:pPr>
            <w:r>
              <w:t>项目劳</w:t>
            </w:r>
            <w:r>
              <w:rPr>
                <w:rFonts w:cs="Times New Roman"/>
                <w:color w:val="000000" w:themeColor="text1"/>
                <w14:textFill>
                  <w14:solidFill>
                    <w14:schemeClr w14:val="tx1"/>
                  </w14:solidFill>
                </w14:textFill>
              </w:rPr>
              <w:t>动定员3人，按每人每天产生生活垃圾0.5kg计算，项目年生产240天，则年产生量为0.36t/a。</w:t>
            </w:r>
            <w:r>
              <w:rPr>
                <w:rFonts w:hint="eastAsia"/>
                <w:color w:val="000000" w:themeColor="text1"/>
                <w:szCs w:val="21"/>
                <w14:textFill>
                  <w14:solidFill>
                    <w14:schemeClr w14:val="tx1"/>
                  </w14:solidFill>
                </w14:textFill>
              </w:rPr>
              <w:t>生活垃圾集中收集至垃圾箱后</w:t>
            </w:r>
            <w:r>
              <w:rPr>
                <w:snapToGrid w:val="0"/>
                <w:kern w:val="0"/>
                <w:szCs w:val="21"/>
              </w:rPr>
              <w:t>由环卫部门统一清运</w:t>
            </w:r>
            <w:r>
              <w:rPr>
                <w:rFonts w:cs="Times New Roman"/>
                <w:color w:val="000000" w:themeColor="text1"/>
                <w14:textFill>
                  <w14:solidFill>
                    <w14:schemeClr w14:val="tx1"/>
                  </w14:solidFill>
                </w14:textFill>
              </w:rPr>
              <w:t>。</w:t>
            </w:r>
          </w:p>
          <w:p w14:paraId="72E57B11">
            <w:pPr>
              <w:ind w:firstLine="480"/>
            </w:pPr>
            <w:r>
              <w:rPr>
                <w:rFonts w:hint="eastAsia"/>
              </w:rPr>
              <w:t>（</w:t>
            </w:r>
            <w:r>
              <w:t>2</w:t>
            </w:r>
            <w:r>
              <w:rPr>
                <w:rFonts w:hint="eastAsia"/>
              </w:rPr>
              <w:t>）轻质杂质</w:t>
            </w:r>
          </w:p>
          <w:p w14:paraId="68AF2DAA">
            <w:pPr>
              <w:ind w:firstLine="480"/>
            </w:pPr>
            <w:r>
              <w:rPr>
                <w:rFonts w:hint="eastAsia"/>
              </w:rPr>
              <w:t>根据物料平衡，项目轻质杂质产生量约为</w:t>
            </w:r>
            <w:r>
              <w:t>1</w:t>
            </w:r>
            <w:r>
              <w:rPr>
                <w:rFonts w:hint="eastAsia"/>
              </w:rPr>
              <w:t>00t/a。属于《固体废物分类与代码目录》中SW59其他工业固体废物，类别代码为900-099-S59。分轻质杂质集中收集后，就近拉运至一般工业固废填埋场，不得擅自丢弃、倾倒、焚烧或填埋。</w:t>
            </w:r>
          </w:p>
          <w:p w14:paraId="2377C194">
            <w:pPr>
              <w:ind w:firstLine="480"/>
              <w:rPr>
                <w:rFonts w:cs="Times New Roman"/>
              </w:rPr>
            </w:pPr>
            <w:r>
              <w:rPr>
                <w:rFonts w:cs="Times New Roman"/>
              </w:rPr>
              <w:t>（3）</w:t>
            </w:r>
            <w:r>
              <w:rPr>
                <w:rFonts w:hint="eastAsia" w:cs="Times New Roman"/>
              </w:rPr>
              <w:t>沉淀池沉渣</w:t>
            </w:r>
          </w:p>
          <w:p w14:paraId="444A170B">
            <w:pPr>
              <w:ind w:firstLine="480"/>
            </w:pPr>
            <w:r>
              <w:rPr>
                <w:rFonts w:cs="Times New Roman"/>
              </w:rPr>
              <w:t>根据前文，废水处理量为30000m³/a。设计进水SS浓度为1500mg/L，出水为100mg/L。沉渣干重采用公式W=Q×（C</w:t>
            </w:r>
            <w:r>
              <w:rPr>
                <w:rFonts w:cs="Times New Roman"/>
                <w:vertAlign w:val="subscript"/>
              </w:rPr>
              <w:t>进</w:t>
            </w:r>
            <w:r>
              <w:rPr>
                <w:rFonts w:cs="Times New Roman"/>
              </w:rPr>
              <w:t>-C</w:t>
            </w:r>
            <w:r>
              <w:rPr>
                <w:rFonts w:cs="Times New Roman"/>
                <w:vertAlign w:val="subscript"/>
              </w:rPr>
              <w:t>出</w:t>
            </w:r>
            <w:r>
              <w:rPr>
                <w:rFonts w:cs="Times New Roman"/>
              </w:rPr>
              <w:t>）×10</w:t>
            </w:r>
            <w:r>
              <w:rPr>
                <w:rFonts w:cs="Times New Roman"/>
                <w:vertAlign w:val="superscript"/>
              </w:rPr>
              <w:t>⁻6</w:t>
            </w:r>
            <w:r>
              <w:rPr>
                <w:rFonts w:cs="Times New Roman"/>
              </w:rPr>
              <w:t>计算，得出理论干沉渣量约为42t/a</w:t>
            </w:r>
            <w:r>
              <w:rPr>
                <w:rFonts w:hint="eastAsia" w:cs="Times New Roman"/>
              </w:rPr>
              <w:t>（干重）</w:t>
            </w:r>
            <w:r>
              <w:rPr>
                <w:rFonts w:hint="eastAsia"/>
              </w:rPr>
              <w:t>。沉淀池沉渣属于《固体废物分类与代码目录》中的SW07类污泥，类别代码为900-099-S07，沉淀池沉渣定期清掏并晾晒干化后，就近拉运至一般工业固废填埋场。</w:t>
            </w:r>
          </w:p>
          <w:p w14:paraId="53E1EB25">
            <w:pPr>
              <w:ind w:firstLine="480"/>
              <w:rPr>
                <w:color w:val="000000" w:themeColor="text1"/>
                <w14:textFill>
                  <w14:solidFill>
                    <w14:schemeClr w14:val="tx1"/>
                  </w14:solidFill>
                </w14:textFill>
              </w:rPr>
            </w:pPr>
            <w:bookmarkStart w:id="22" w:name="OLE_LINK2"/>
            <w:r>
              <w:rPr>
                <w:rFonts w:hint="eastAsia"/>
                <w:color w:val="000000" w:themeColor="text1"/>
                <w14:textFill>
                  <w14:solidFill>
                    <w14:schemeClr w14:val="tx1"/>
                  </w14:solidFill>
                </w14:textFill>
              </w:rPr>
              <w:t>（4）布袋集尘</w:t>
            </w:r>
          </w:p>
          <w:p w14:paraId="7E46F299">
            <w:pPr>
              <w:ind w:firstLine="480"/>
              <w:rPr>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破碎过程中会产生一定量的粉尘。本项目破碎粉尘经收集后通过布袋除尘器处理达标后排放，根据前文工程分析，布袋除尘器收集粉尘量为1.0</w:t>
            </w:r>
            <w:r>
              <w:rPr>
                <w:rFonts w:cs="Times New Roman"/>
                <w:color w:val="000000" w:themeColor="text1"/>
                <w14:textFill>
                  <w14:solidFill>
                    <w14:schemeClr w14:val="tx1"/>
                  </w14:solidFill>
                </w14:textFill>
              </w:rPr>
              <w:t>089</w:t>
            </w:r>
            <w:r>
              <w:rPr>
                <w:rFonts w:hint="eastAsia" w:cs="Times New Roman"/>
                <w:color w:val="000000" w:themeColor="text1"/>
                <w14:textFill>
                  <w14:solidFill>
                    <w14:schemeClr w14:val="tx1"/>
                  </w14:solidFill>
                </w14:textFill>
              </w:rPr>
              <w:t>t/a，属于一般工业固废，集中收集后，就近拉运至一般工业固废填埋场</w:t>
            </w:r>
            <w:r>
              <w:rPr>
                <w:rFonts w:hint="eastAsia"/>
                <w:color w:val="000000" w:themeColor="text1"/>
                <w14:textFill>
                  <w14:solidFill>
                    <w14:schemeClr w14:val="tx1"/>
                  </w14:solidFill>
                </w14:textFill>
              </w:rPr>
              <w:t>。</w:t>
            </w:r>
          </w:p>
          <w:p w14:paraId="3D6A4B27">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（5）废布袋</w:t>
            </w:r>
          </w:p>
          <w:p w14:paraId="4A9E182E">
            <w:pPr>
              <w:ind w:firstLine="48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项目布袋除尘器定期需更换布袋，更换频次1次/季度，每次更换产生量约为0.1t/a，则每年废布袋产生量为0.4t/a，经收集后定期交由厂家回收。</w:t>
            </w:r>
            <w:bookmarkEnd w:id="22"/>
          </w:p>
          <w:p w14:paraId="6962D763">
            <w:pPr>
              <w:ind w:firstLine="480"/>
            </w:pPr>
            <w:r>
              <w:rPr>
                <w:rFonts w:hint="eastAsia"/>
              </w:rPr>
              <w:t>（6）废机油</w:t>
            </w:r>
          </w:p>
          <w:p w14:paraId="0FEDDB5E">
            <w:pPr>
              <w:ind w:firstLine="480"/>
              <w:rPr>
                <w:rFonts w:cs="Times New Roman"/>
              </w:rPr>
            </w:pPr>
            <w:r>
              <w:rPr>
                <w:rFonts w:hint="eastAsia"/>
              </w:rPr>
              <w:t>项目生产设备保养及维修过程产生的废机油，根据《国家危险废物名录》（2</w:t>
            </w:r>
            <w:r>
              <w:t>025</w:t>
            </w:r>
            <w:r>
              <w:rPr>
                <w:rFonts w:hint="eastAsia"/>
              </w:rPr>
              <w:t>年版），废机油为危险废物，废物类别为</w:t>
            </w:r>
            <w:r>
              <w:t>HW08</w:t>
            </w:r>
            <w:r>
              <w:rPr>
                <w:rFonts w:hint="eastAsia"/>
              </w:rPr>
              <w:t>废矿物油与含矿物油废物，废物代码为</w:t>
            </w:r>
            <w:r>
              <w:t>900-21</w:t>
            </w:r>
            <w:r>
              <w:rPr>
                <w:bCs/>
              </w:rPr>
              <w:t>4-08</w:t>
            </w:r>
            <w:r>
              <w:rPr>
                <w:rFonts w:hint="eastAsia"/>
                <w:bCs/>
              </w:rPr>
              <w:t>，年产生量约</w:t>
            </w:r>
            <w:r>
              <w:rPr>
                <w:bCs/>
              </w:rPr>
              <w:t>0.1t/a</w:t>
            </w:r>
            <w:r>
              <w:rPr>
                <w:rFonts w:hint="eastAsia"/>
                <w:bCs/>
              </w:rPr>
              <w:t>。集中收集后存放于危险废物贮存点</w:t>
            </w:r>
            <w:r>
              <w:rPr>
                <w:rFonts w:cs="Times New Roman"/>
              </w:rPr>
              <w:t>，定期交由有危险废物处理资质的单位回收处理</w:t>
            </w:r>
            <w:r>
              <w:rPr>
                <w:rFonts w:hint="eastAsia" w:cs="Times New Roman"/>
              </w:rPr>
              <w:t>。</w:t>
            </w:r>
          </w:p>
          <w:p w14:paraId="330555EE">
            <w:pPr>
              <w:ind w:firstLine="480"/>
            </w:pPr>
            <w:r>
              <w:rPr>
                <w:rFonts w:hint="eastAsia"/>
              </w:rPr>
              <w:t>（7）沾有废机油的废抹布和废手套</w:t>
            </w:r>
          </w:p>
          <w:p w14:paraId="6EBE4873">
            <w:pPr>
              <w:ind w:firstLine="480"/>
            </w:pPr>
            <w:r>
              <w:rPr>
                <w:rFonts w:hint="eastAsia"/>
              </w:rPr>
              <w:t>项目在维护保养设备时会产生沾有废机油的废抹布和废手套，产生量为0.01t</w:t>
            </w:r>
            <w:r>
              <w:t>/</w:t>
            </w:r>
            <w:r>
              <w:rPr>
                <w:rFonts w:hint="eastAsia"/>
              </w:rPr>
              <w:t>a。根据</w:t>
            </w:r>
            <w:r>
              <w:rPr>
                <w:rFonts w:hint="eastAsia" w:cs="Times New Roman"/>
              </w:rPr>
              <w:t>《国家危险废物名录》（202</w:t>
            </w:r>
            <w:r>
              <w:rPr>
                <w:rFonts w:cs="Times New Roman"/>
              </w:rPr>
              <w:t>5</w:t>
            </w:r>
            <w:r>
              <w:rPr>
                <w:rFonts w:hint="eastAsia" w:cs="Times New Roman"/>
              </w:rPr>
              <w:t>版）</w:t>
            </w:r>
            <w:r>
              <w:rPr>
                <w:rFonts w:hint="eastAsia"/>
              </w:rPr>
              <w:t>，沾有废机油的废抹布和废手套属于HW49其他废物900-041-49含有或沾染毒性、感染性危险废物的废弃包装物、容器、过滤吸附介质中的危险废物，</w:t>
            </w:r>
            <w:r>
              <w:rPr>
                <w:rFonts w:hint="eastAsia" w:ascii="宋体" w:hAnsi="宋体" w:cs="宋体"/>
              </w:rPr>
              <w:t>集中收集后存放于危险废物贮存点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rFonts w:hint="eastAsia"/>
              </w:rPr>
              <w:t>。</w:t>
            </w:r>
          </w:p>
          <w:p w14:paraId="14EE5E70">
            <w:pPr>
              <w:autoSpaceDE w:val="0"/>
              <w:autoSpaceDN w:val="0"/>
              <w:ind w:firstLine="480"/>
              <w:rPr>
                <w:color w:val="000000"/>
              </w:rPr>
            </w:pPr>
            <w:r>
              <w:rPr>
                <w:rFonts w:hint="eastAsia"/>
              </w:rPr>
              <w:t>（8）</w:t>
            </w:r>
            <w:r>
              <w:rPr>
                <w:color w:val="000000"/>
              </w:rPr>
              <w:t>废</w:t>
            </w:r>
            <w:r>
              <w:rPr>
                <w:rFonts w:hint="eastAsia"/>
                <w:color w:val="000000"/>
              </w:rPr>
              <w:t>机油</w:t>
            </w:r>
            <w:r>
              <w:rPr>
                <w:kern w:val="0"/>
              </w:rPr>
              <w:t>桶</w:t>
            </w:r>
          </w:p>
          <w:p w14:paraId="17A9AF81">
            <w:pPr>
              <w:ind w:firstLine="480"/>
            </w:pPr>
            <w:r>
              <w:rPr>
                <w:color w:val="0F1115"/>
                <w:shd w:val="clear" w:color="auto" w:fill="FFFFFF"/>
              </w:rPr>
              <w:t>项目设备检维修过程中，更换润滑油会产生</w:t>
            </w:r>
            <w:r>
              <w:rPr>
                <w:color w:val="000000"/>
              </w:rPr>
              <w:t>废</w:t>
            </w:r>
            <w:r>
              <w:rPr>
                <w:rFonts w:hint="eastAsia"/>
                <w:color w:val="000000"/>
              </w:rPr>
              <w:t>机油</w:t>
            </w:r>
            <w:r>
              <w:rPr>
                <w:color w:val="0F1115"/>
                <w:shd w:val="clear" w:color="auto" w:fill="FFFFFF"/>
              </w:rPr>
              <w:t>桶。产生量为0.01t/a，</w:t>
            </w:r>
            <w:r>
              <w:rPr>
                <w:rFonts w:hint="eastAsia"/>
                <w:color w:val="0F1115"/>
                <w:shd w:val="clear" w:color="auto" w:fill="FFFFFF"/>
              </w:rPr>
              <w:t>废机油桶</w:t>
            </w:r>
            <w:r>
              <w:rPr>
                <w:snapToGrid w:val="0"/>
                <w:kern w:val="0"/>
              </w:rPr>
              <w:t>属于《国家危险废物名录（2025年）》所列的HW08非特定行业中900-249-08</w:t>
            </w:r>
            <w:r>
              <w:rPr>
                <w:rFonts w:hint="eastAsia"/>
                <w:snapToGrid w:val="0"/>
                <w:kern w:val="0"/>
              </w:rPr>
              <w:t>“</w:t>
            </w:r>
            <w:r>
              <w:rPr>
                <w:snapToGrid w:val="0"/>
                <w:kern w:val="0"/>
              </w:rPr>
              <w:t>其他生产、销售、使用过程中产生的废矿物油及沾染矿物油的废弃包装物</w:t>
            </w:r>
            <w:r>
              <w:rPr>
                <w:rFonts w:hint="eastAsia"/>
                <w:snapToGrid w:val="0"/>
                <w:kern w:val="0"/>
              </w:rPr>
              <w:t>”</w:t>
            </w:r>
            <w:r>
              <w:rPr>
                <w:snapToGrid w:val="0"/>
                <w:kern w:val="0"/>
              </w:rPr>
              <w:t>，</w:t>
            </w:r>
            <w:r>
              <w:rPr>
                <w:rFonts w:hint="eastAsia" w:ascii="宋体" w:hAnsi="宋体" w:cs="宋体"/>
              </w:rPr>
              <w:t>集中收集后存放于危险废物贮存点</w:t>
            </w:r>
            <w:r>
              <w:rPr>
                <w:spacing w:val="3"/>
              </w:rPr>
              <w:t>，</w:t>
            </w:r>
            <w:r>
              <w:rPr>
                <w:rFonts w:hint="eastAsia"/>
                <w:spacing w:val="3"/>
              </w:rPr>
              <w:t>定期</w:t>
            </w:r>
            <w:r>
              <w:rPr>
                <w:rFonts w:hint="eastAsia" w:ascii="宋体" w:hAnsi="宋体" w:cs="宋体"/>
              </w:rPr>
              <w:t>委托有处理资质单位</w:t>
            </w:r>
            <w:r>
              <w:rPr>
                <w:rFonts w:hint="eastAsia" w:cs="Times New Roman"/>
              </w:rPr>
              <w:t>进行清运及</w:t>
            </w:r>
            <w:r>
              <w:rPr>
                <w:rFonts w:hint="eastAsia" w:ascii="宋体" w:hAnsi="宋体" w:cs="宋体"/>
              </w:rPr>
              <w:t>处置</w:t>
            </w:r>
            <w:r>
              <w:rPr>
                <w:snapToGrid w:val="0"/>
                <w:kern w:val="0"/>
              </w:rPr>
              <w:t>。</w:t>
            </w:r>
          </w:p>
          <w:bookmarkEnd w:id="21"/>
          <w:p w14:paraId="63BE9FE8">
            <w:pPr>
              <w:spacing w:before="163" w:beforeLines="50" w:line="240" w:lineRule="auto"/>
              <w:ind w:firstLine="0" w:firstLineChars="0"/>
              <w:jc w:val="center"/>
              <w:rPr>
                <w:rFonts w:cs="Times New Roman"/>
                <w:b/>
                <w:color w:val="000000"/>
                <w:sz w:val="21"/>
              </w:rPr>
            </w:pPr>
            <w:r>
              <w:rPr>
                <w:rFonts w:hint="eastAsia" w:cs="Times New Roman"/>
                <w:b/>
                <w:color w:val="000000"/>
                <w:sz w:val="21"/>
              </w:rPr>
              <w:t>表4</w:t>
            </w:r>
            <w:r>
              <w:rPr>
                <w:rFonts w:cs="Times New Roman"/>
                <w:b/>
                <w:color w:val="000000"/>
                <w:sz w:val="21"/>
              </w:rPr>
              <w:t xml:space="preserve">-8  </w:t>
            </w:r>
            <w:r>
              <w:rPr>
                <w:rFonts w:hint="eastAsia" w:cs="Times New Roman"/>
                <w:b/>
                <w:color w:val="000000"/>
                <w:sz w:val="21"/>
              </w:rPr>
              <w:t>固体废物产生情况一览表</w:t>
            </w:r>
          </w:p>
          <w:tbl>
            <w:tblPr>
              <w:tblStyle w:val="24"/>
              <w:tblW w:w="850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555"/>
              <w:gridCol w:w="998"/>
              <w:gridCol w:w="780"/>
              <w:gridCol w:w="978"/>
              <w:gridCol w:w="625"/>
              <w:gridCol w:w="989"/>
              <w:gridCol w:w="1313"/>
              <w:gridCol w:w="754"/>
              <w:gridCol w:w="1508"/>
            </w:tblGrid>
            <w:tr w14:paraId="7728CB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555" w:type="dxa"/>
                  <w:vAlign w:val="center"/>
                </w:tcPr>
                <w:p w14:paraId="23098264">
                  <w:pPr>
                    <w:spacing w:line="240" w:lineRule="auto"/>
                    <w:ind w:firstLine="0" w:firstLineChars="0"/>
                    <w:contextualSpacing/>
                    <w:jc w:val="center"/>
                    <w:rPr>
                      <w:rFonts w:cs="Times New Roman"/>
                      <w:color w:val="000000"/>
                      <w:sz w:val="21"/>
                      <w:szCs w:val="21"/>
                    </w:rPr>
                  </w:pPr>
                  <w:r>
                    <w:rPr>
                      <w:rFonts w:cs="Times New Roman"/>
                      <w:color w:val="000000"/>
                      <w:sz w:val="21"/>
                      <w:szCs w:val="21"/>
                    </w:rPr>
                    <w:t>序号</w:t>
                  </w:r>
                </w:p>
              </w:tc>
              <w:tc>
                <w:tcPr>
                  <w:tcW w:w="998" w:type="dxa"/>
                  <w:vAlign w:val="center"/>
                </w:tcPr>
                <w:p w14:paraId="3EDBFA83">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固体废物名称</w:t>
                  </w:r>
                </w:p>
              </w:tc>
              <w:tc>
                <w:tcPr>
                  <w:tcW w:w="780" w:type="dxa"/>
                  <w:vAlign w:val="center"/>
                </w:tcPr>
                <w:p w14:paraId="182658AC">
                  <w:pPr>
                    <w:spacing w:line="240" w:lineRule="auto"/>
                    <w:ind w:firstLine="0" w:firstLineChars="0"/>
                    <w:contextualSpacing/>
                    <w:jc w:val="center"/>
                    <w:rPr>
                      <w:rFonts w:cs="Times New Roman"/>
                      <w:color w:val="000000"/>
                      <w:sz w:val="21"/>
                      <w:szCs w:val="21"/>
                    </w:rPr>
                  </w:pPr>
                  <w:r>
                    <w:rPr>
                      <w:rFonts w:cs="Times New Roman"/>
                      <w:color w:val="000000"/>
                      <w:sz w:val="21"/>
                      <w:szCs w:val="21"/>
                    </w:rPr>
                    <w:t>产污环节</w:t>
                  </w:r>
                </w:p>
              </w:tc>
              <w:tc>
                <w:tcPr>
                  <w:tcW w:w="978" w:type="dxa"/>
                  <w:vAlign w:val="center"/>
                </w:tcPr>
                <w:p w14:paraId="1224733D">
                  <w:pPr>
                    <w:spacing w:line="240" w:lineRule="auto"/>
                    <w:ind w:firstLine="0" w:firstLineChars="0"/>
                    <w:contextualSpacing/>
                    <w:jc w:val="center"/>
                    <w:rPr>
                      <w:rFonts w:cs="Times New Roman"/>
                      <w:color w:val="000000"/>
                      <w:sz w:val="21"/>
                      <w:szCs w:val="21"/>
                    </w:rPr>
                  </w:pPr>
                  <w:r>
                    <w:rPr>
                      <w:rFonts w:cs="Times New Roman"/>
                      <w:color w:val="000000"/>
                      <w:sz w:val="21"/>
                      <w:szCs w:val="21"/>
                    </w:rPr>
                    <w:t>属性</w:t>
                  </w:r>
                </w:p>
              </w:tc>
              <w:tc>
                <w:tcPr>
                  <w:tcW w:w="625" w:type="dxa"/>
                  <w:vAlign w:val="center"/>
                </w:tcPr>
                <w:p w14:paraId="1B6599D8">
                  <w:pPr>
                    <w:spacing w:line="240" w:lineRule="auto"/>
                    <w:ind w:firstLine="0" w:firstLineChars="0"/>
                    <w:contextualSpacing/>
                    <w:jc w:val="center"/>
                    <w:rPr>
                      <w:rFonts w:cs="Times New Roman"/>
                      <w:color w:val="000000"/>
                      <w:sz w:val="21"/>
                      <w:szCs w:val="21"/>
                    </w:rPr>
                  </w:pPr>
                  <w:r>
                    <w:rPr>
                      <w:rFonts w:cs="Times New Roman"/>
                      <w:color w:val="000000"/>
                      <w:sz w:val="21"/>
                      <w:szCs w:val="21"/>
                    </w:rPr>
                    <w:t>物理性状</w:t>
                  </w:r>
                </w:p>
              </w:tc>
              <w:tc>
                <w:tcPr>
                  <w:tcW w:w="989" w:type="dxa"/>
                  <w:vAlign w:val="center"/>
                </w:tcPr>
                <w:p w14:paraId="23CBAD2A">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w:t>
                  </w:r>
                  <w:r>
                    <w:rPr>
                      <w:rFonts w:hint="eastAsia" w:cs="Times New Roman"/>
                      <w:color w:val="000000"/>
                      <w:sz w:val="21"/>
                      <w:szCs w:val="21"/>
                    </w:rPr>
                    <w:t>类别</w:t>
                  </w:r>
                </w:p>
              </w:tc>
              <w:tc>
                <w:tcPr>
                  <w:tcW w:w="1313" w:type="dxa"/>
                  <w:vAlign w:val="center"/>
                </w:tcPr>
                <w:p w14:paraId="57BEF8DA">
                  <w:pPr>
                    <w:spacing w:line="240" w:lineRule="auto"/>
                    <w:ind w:firstLine="0" w:firstLineChars="0"/>
                    <w:contextualSpacing/>
                    <w:jc w:val="center"/>
                    <w:rPr>
                      <w:rFonts w:cs="Times New Roman"/>
                      <w:color w:val="000000"/>
                      <w:sz w:val="21"/>
                      <w:szCs w:val="21"/>
                    </w:rPr>
                  </w:pPr>
                  <w:r>
                    <w:rPr>
                      <w:rFonts w:cs="Times New Roman"/>
                      <w:color w:val="000000"/>
                      <w:sz w:val="21"/>
                      <w:szCs w:val="21"/>
                    </w:rPr>
                    <w:t>固体废物及危险废物编码</w:t>
                  </w:r>
                </w:p>
              </w:tc>
              <w:tc>
                <w:tcPr>
                  <w:tcW w:w="754" w:type="dxa"/>
                  <w:vAlign w:val="center"/>
                </w:tcPr>
                <w:p w14:paraId="545D9FCE">
                  <w:pPr>
                    <w:spacing w:line="240" w:lineRule="auto"/>
                    <w:ind w:firstLine="0" w:firstLineChars="0"/>
                    <w:contextualSpacing/>
                    <w:jc w:val="center"/>
                    <w:rPr>
                      <w:rFonts w:cs="Times New Roman"/>
                      <w:color w:val="000000"/>
                      <w:sz w:val="21"/>
                      <w:szCs w:val="21"/>
                    </w:rPr>
                  </w:pPr>
                  <w:r>
                    <w:rPr>
                      <w:rFonts w:cs="Times New Roman"/>
                      <w:color w:val="000000"/>
                      <w:sz w:val="21"/>
                      <w:szCs w:val="21"/>
                    </w:rPr>
                    <w:t>环境危险特性</w:t>
                  </w:r>
                </w:p>
              </w:tc>
              <w:tc>
                <w:tcPr>
                  <w:tcW w:w="1508" w:type="dxa"/>
                  <w:vAlign w:val="center"/>
                </w:tcPr>
                <w:p w14:paraId="26C88F28">
                  <w:pPr>
                    <w:spacing w:line="240" w:lineRule="auto"/>
                    <w:ind w:firstLine="0" w:firstLineChars="0"/>
                    <w:contextualSpacing/>
                    <w:jc w:val="center"/>
                    <w:rPr>
                      <w:rFonts w:cs="Times New Roman"/>
                      <w:color w:val="000000"/>
                      <w:sz w:val="21"/>
                      <w:szCs w:val="21"/>
                    </w:rPr>
                  </w:pPr>
                  <w:r>
                    <w:rPr>
                      <w:rFonts w:cs="Times New Roman"/>
                      <w:color w:val="000000"/>
                      <w:sz w:val="21"/>
                      <w:szCs w:val="21"/>
                    </w:rPr>
                    <w:t>产生量</w:t>
                  </w:r>
                </w:p>
              </w:tc>
            </w:tr>
            <w:tr w14:paraId="1B499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14:paraId="7322EC47">
                  <w:pPr>
                    <w:spacing w:line="240" w:lineRule="auto"/>
                    <w:ind w:firstLine="0" w:firstLineChars="0"/>
                    <w:contextualSpacing/>
                    <w:jc w:val="center"/>
                    <w:rPr>
                      <w:rFonts w:cs="Times New Roman"/>
                      <w:color w:val="000000"/>
                      <w:sz w:val="21"/>
                      <w:szCs w:val="21"/>
                    </w:rPr>
                  </w:pPr>
                  <w:r>
                    <w:rPr>
                      <w:rFonts w:cs="Times New Roman"/>
                      <w:color w:val="000000"/>
                      <w:sz w:val="21"/>
                      <w:szCs w:val="21"/>
                    </w:rPr>
                    <w:t>1</w:t>
                  </w:r>
                </w:p>
              </w:tc>
              <w:tc>
                <w:tcPr>
                  <w:tcW w:w="998" w:type="dxa"/>
                  <w:vAlign w:val="center"/>
                </w:tcPr>
                <w:p w14:paraId="1DCF42C7">
                  <w:pPr>
                    <w:spacing w:line="240" w:lineRule="auto"/>
                    <w:ind w:firstLine="0" w:firstLineChars="0"/>
                    <w:contextualSpacing/>
                    <w:jc w:val="center"/>
                    <w:rPr>
                      <w:rFonts w:cs="Times New Roman"/>
                      <w:color w:val="000000"/>
                      <w:sz w:val="21"/>
                      <w:szCs w:val="21"/>
                    </w:rPr>
                  </w:pPr>
                  <w:r>
                    <w:rPr>
                      <w:rFonts w:cs="Times New Roman"/>
                      <w:sz w:val="21"/>
                      <w:szCs w:val="21"/>
                    </w:rPr>
                    <w:t>沉淀池</w:t>
                  </w:r>
                  <w:r>
                    <w:rPr>
                      <w:rFonts w:hint="eastAsia" w:cs="Times New Roman"/>
                      <w:sz w:val="21"/>
                      <w:szCs w:val="21"/>
                    </w:rPr>
                    <w:t>沉渣</w:t>
                  </w:r>
                </w:p>
              </w:tc>
              <w:tc>
                <w:tcPr>
                  <w:tcW w:w="780" w:type="dxa"/>
                  <w:vAlign w:val="center"/>
                </w:tcPr>
                <w:p w14:paraId="33417DD2">
                  <w:pPr>
                    <w:spacing w:line="240" w:lineRule="auto"/>
                    <w:ind w:firstLine="0" w:firstLineChars="0"/>
                    <w:contextualSpacing/>
                    <w:jc w:val="center"/>
                    <w:rPr>
                      <w:rFonts w:cs="Times New Roman"/>
                      <w:color w:val="000000"/>
                      <w:sz w:val="21"/>
                      <w:szCs w:val="21"/>
                    </w:rPr>
                  </w:pPr>
                  <w:r>
                    <w:rPr>
                      <w:rFonts w:cs="Times New Roman"/>
                      <w:color w:val="000000"/>
                      <w:sz w:val="21"/>
                      <w:szCs w:val="21"/>
                    </w:rPr>
                    <w:t>沉淀池</w:t>
                  </w:r>
                </w:p>
              </w:tc>
              <w:tc>
                <w:tcPr>
                  <w:tcW w:w="978" w:type="dxa"/>
                  <w:vAlign w:val="center"/>
                </w:tcPr>
                <w:p w14:paraId="7284BD99">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14:paraId="696A8E64">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14:paraId="37E57D40">
                  <w:pPr>
                    <w:spacing w:line="240" w:lineRule="auto"/>
                    <w:ind w:firstLine="0" w:firstLineChars="0"/>
                    <w:contextualSpacing/>
                    <w:jc w:val="center"/>
                    <w:rPr>
                      <w:rFonts w:cs="Times New Roman"/>
                      <w:color w:val="000000"/>
                      <w:sz w:val="21"/>
                      <w:szCs w:val="21"/>
                    </w:rPr>
                  </w:pPr>
                  <w:r>
                    <w:rPr>
                      <w:rFonts w:cs="Times New Roman"/>
                      <w:color w:val="000000"/>
                      <w:sz w:val="21"/>
                      <w:szCs w:val="21"/>
                    </w:rPr>
                    <w:t>SW07</w:t>
                  </w:r>
                </w:p>
              </w:tc>
              <w:tc>
                <w:tcPr>
                  <w:tcW w:w="1313" w:type="dxa"/>
                  <w:vAlign w:val="center"/>
                </w:tcPr>
                <w:p w14:paraId="7A02E1CE">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900-099-S07</w:t>
                  </w:r>
                </w:p>
              </w:tc>
              <w:tc>
                <w:tcPr>
                  <w:tcW w:w="754" w:type="dxa"/>
                  <w:vAlign w:val="center"/>
                </w:tcPr>
                <w:p w14:paraId="5B9D88B5">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14:paraId="45925EBF">
                  <w:pPr>
                    <w:spacing w:line="240" w:lineRule="auto"/>
                    <w:ind w:firstLine="0" w:firstLineChars="0"/>
                    <w:contextualSpacing/>
                    <w:jc w:val="center"/>
                    <w:rPr>
                      <w:rFonts w:cs="Times New Roman"/>
                      <w:color w:val="000000"/>
                      <w:sz w:val="21"/>
                      <w:szCs w:val="21"/>
                    </w:rPr>
                  </w:pPr>
                  <w:r>
                    <w:rPr>
                      <w:rFonts w:cs="Times New Roman"/>
                      <w:color w:val="000000"/>
                      <w:sz w:val="21"/>
                      <w:szCs w:val="21"/>
                    </w:rPr>
                    <w:t>42t/a</w:t>
                  </w:r>
                </w:p>
              </w:tc>
            </w:tr>
            <w:tr w14:paraId="0173C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14:paraId="71C4AD5F">
                  <w:pPr>
                    <w:spacing w:line="240" w:lineRule="auto"/>
                    <w:ind w:firstLine="0" w:firstLineChars="0"/>
                    <w:contextualSpacing/>
                    <w:jc w:val="center"/>
                    <w:rPr>
                      <w:rFonts w:cs="Times New Roman"/>
                      <w:color w:val="000000"/>
                      <w:sz w:val="21"/>
                      <w:szCs w:val="21"/>
                    </w:rPr>
                  </w:pPr>
                  <w:r>
                    <w:rPr>
                      <w:rFonts w:cs="Times New Roman"/>
                      <w:color w:val="000000"/>
                      <w:sz w:val="21"/>
                      <w:szCs w:val="21"/>
                    </w:rPr>
                    <w:t>2</w:t>
                  </w:r>
                </w:p>
              </w:tc>
              <w:tc>
                <w:tcPr>
                  <w:tcW w:w="998" w:type="dxa"/>
                  <w:vAlign w:val="center"/>
                </w:tcPr>
                <w:p w14:paraId="213BFBDE">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14:paraId="153A2BEC">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780" w:type="dxa"/>
                  <w:vAlign w:val="center"/>
                </w:tcPr>
                <w:p w14:paraId="73B3C004">
                  <w:pPr>
                    <w:spacing w:line="240" w:lineRule="auto"/>
                    <w:ind w:firstLine="0" w:firstLineChars="0"/>
                    <w:contextualSpacing/>
                    <w:jc w:val="center"/>
                    <w:rPr>
                      <w:rFonts w:cs="Times New Roman"/>
                      <w:color w:val="000000"/>
                      <w:sz w:val="21"/>
                      <w:szCs w:val="21"/>
                    </w:rPr>
                  </w:pPr>
                  <w:r>
                    <w:rPr>
                      <w:rFonts w:cs="Times New Roman"/>
                      <w:color w:val="000000"/>
                      <w:sz w:val="21"/>
                      <w:szCs w:val="21"/>
                    </w:rPr>
                    <w:t>员工</w:t>
                  </w:r>
                </w:p>
                <w:p w14:paraId="51DA5E00">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tc>
              <w:tc>
                <w:tcPr>
                  <w:tcW w:w="978" w:type="dxa"/>
                  <w:vAlign w:val="center"/>
                </w:tcPr>
                <w:p w14:paraId="41550C47">
                  <w:pPr>
                    <w:spacing w:line="240" w:lineRule="auto"/>
                    <w:ind w:firstLine="0" w:firstLineChars="0"/>
                    <w:contextualSpacing/>
                    <w:jc w:val="center"/>
                    <w:rPr>
                      <w:rFonts w:cs="Times New Roman"/>
                      <w:color w:val="000000"/>
                      <w:sz w:val="21"/>
                      <w:szCs w:val="21"/>
                    </w:rPr>
                  </w:pPr>
                  <w:r>
                    <w:rPr>
                      <w:rFonts w:cs="Times New Roman"/>
                      <w:color w:val="000000"/>
                      <w:sz w:val="21"/>
                      <w:szCs w:val="21"/>
                    </w:rPr>
                    <w:t>生活</w:t>
                  </w:r>
                </w:p>
                <w:p w14:paraId="76C4D74E">
                  <w:pPr>
                    <w:spacing w:line="240" w:lineRule="auto"/>
                    <w:ind w:firstLine="0" w:firstLineChars="0"/>
                    <w:contextualSpacing/>
                    <w:jc w:val="center"/>
                    <w:rPr>
                      <w:rFonts w:cs="Times New Roman"/>
                      <w:color w:val="000000"/>
                      <w:sz w:val="21"/>
                      <w:szCs w:val="21"/>
                    </w:rPr>
                  </w:pPr>
                  <w:r>
                    <w:rPr>
                      <w:rFonts w:cs="Times New Roman"/>
                      <w:color w:val="000000"/>
                      <w:sz w:val="21"/>
                      <w:szCs w:val="21"/>
                    </w:rPr>
                    <w:t>垃圾</w:t>
                  </w:r>
                </w:p>
              </w:tc>
              <w:tc>
                <w:tcPr>
                  <w:tcW w:w="625" w:type="dxa"/>
                  <w:vAlign w:val="center"/>
                </w:tcPr>
                <w:p w14:paraId="7884D188">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14:paraId="1A673489">
                  <w:pPr>
                    <w:spacing w:line="240" w:lineRule="auto"/>
                    <w:ind w:firstLine="0" w:firstLineChars="0"/>
                    <w:contextualSpacing/>
                    <w:jc w:val="center"/>
                    <w:rPr>
                      <w:rFonts w:cs="Times New Roman"/>
                      <w:color w:val="000000"/>
                      <w:sz w:val="21"/>
                      <w:szCs w:val="21"/>
                    </w:rPr>
                  </w:pPr>
                  <w:r>
                    <w:rPr>
                      <w:rFonts w:hint="eastAsia"/>
                      <w:color w:val="000000"/>
                      <w:sz w:val="21"/>
                      <w:szCs w:val="21"/>
                    </w:rPr>
                    <w:t>SW64</w:t>
                  </w:r>
                </w:p>
              </w:tc>
              <w:tc>
                <w:tcPr>
                  <w:tcW w:w="1313" w:type="dxa"/>
                  <w:vAlign w:val="center"/>
                </w:tcPr>
                <w:p w14:paraId="0457356E">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900-099-S64</w:t>
                  </w:r>
                </w:p>
              </w:tc>
              <w:tc>
                <w:tcPr>
                  <w:tcW w:w="754" w:type="dxa"/>
                  <w:vAlign w:val="center"/>
                </w:tcPr>
                <w:p w14:paraId="20A95F48">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14:paraId="1CB907FA">
                  <w:pPr>
                    <w:spacing w:line="240" w:lineRule="auto"/>
                    <w:ind w:firstLine="0" w:firstLineChars="0"/>
                    <w:contextualSpacing/>
                    <w:jc w:val="center"/>
                    <w:rPr>
                      <w:rFonts w:cs="Times New Roman"/>
                      <w:color w:val="000000"/>
                      <w:sz w:val="21"/>
                      <w:szCs w:val="21"/>
                    </w:rPr>
                  </w:pPr>
                  <w:r>
                    <w:rPr>
                      <w:rFonts w:cs="Times New Roman"/>
                      <w:color w:val="000000"/>
                      <w:sz w:val="21"/>
                      <w:szCs w:val="21"/>
                    </w:rPr>
                    <w:t>0.36t/a</w:t>
                  </w:r>
                </w:p>
              </w:tc>
            </w:tr>
            <w:tr w14:paraId="370DCB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14:paraId="52602F5A">
                  <w:pPr>
                    <w:spacing w:line="240" w:lineRule="auto"/>
                    <w:ind w:firstLine="0" w:firstLineChars="0"/>
                    <w:contextualSpacing/>
                    <w:jc w:val="center"/>
                    <w:rPr>
                      <w:rFonts w:cs="Times New Roman"/>
                      <w:color w:val="000000"/>
                      <w:sz w:val="21"/>
                      <w:szCs w:val="21"/>
                    </w:rPr>
                  </w:pPr>
                  <w:r>
                    <w:rPr>
                      <w:rFonts w:cs="Times New Roman"/>
                      <w:color w:val="000000"/>
                      <w:sz w:val="21"/>
                      <w:szCs w:val="21"/>
                    </w:rPr>
                    <w:t>3</w:t>
                  </w:r>
                </w:p>
              </w:tc>
              <w:tc>
                <w:tcPr>
                  <w:tcW w:w="998" w:type="dxa"/>
                  <w:vAlign w:val="center"/>
                </w:tcPr>
                <w:p w14:paraId="4F0582A3">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轻质杂质</w:t>
                  </w:r>
                </w:p>
              </w:tc>
              <w:tc>
                <w:tcPr>
                  <w:tcW w:w="780" w:type="dxa"/>
                  <w:vAlign w:val="center"/>
                </w:tcPr>
                <w:p w14:paraId="21717E95">
                  <w:pPr>
                    <w:spacing w:line="240" w:lineRule="auto"/>
                    <w:ind w:firstLine="0" w:firstLineChars="0"/>
                    <w:contextualSpacing/>
                    <w:jc w:val="center"/>
                    <w:rPr>
                      <w:rFonts w:cs="Times New Roman"/>
                      <w:color w:val="000000"/>
                      <w:sz w:val="21"/>
                      <w:szCs w:val="21"/>
                    </w:rPr>
                  </w:pPr>
                  <w:r>
                    <w:rPr>
                      <w:rFonts w:cs="Times New Roman"/>
                      <w:color w:val="000000"/>
                      <w:sz w:val="21"/>
                      <w:szCs w:val="21"/>
                    </w:rPr>
                    <w:t>原料清洗</w:t>
                  </w:r>
                </w:p>
              </w:tc>
              <w:tc>
                <w:tcPr>
                  <w:tcW w:w="978" w:type="dxa"/>
                  <w:vAlign w:val="center"/>
                </w:tcPr>
                <w:p w14:paraId="1A11EC07">
                  <w:pPr>
                    <w:spacing w:line="240" w:lineRule="auto"/>
                    <w:ind w:firstLine="0" w:firstLineChars="0"/>
                    <w:contextualSpacing/>
                    <w:jc w:val="center"/>
                    <w:rPr>
                      <w:rFonts w:cs="Times New Roman"/>
                      <w:color w:val="000000"/>
                      <w:sz w:val="21"/>
                      <w:szCs w:val="21"/>
                    </w:rPr>
                  </w:pPr>
                  <w:r>
                    <w:rPr>
                      <w:rFonts w:cs="Times New Roman"/>
                      <w:color w:val="000000"/>
                      <w:sz w:val="21"/>
                      <w:szCs w:val="21"/>
                    </w:rPr>
                    <w:t>一般固体废物</w:t>
                  </w:r>
                </w:p>
              </w:tc>
              <w:tc>
                <w:tcPr>
                  <w:tcW w:w="625" w:type="dxa"/>
                  <w:vAlign w:val="center"/>
                </w:tcPr>
                <w:p w14:paraId="3C98907A">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14:paraId="43EB5A2F">
                  <w:pPr>
                    <w:spacing w:line="240" w:lineRule="auto"/>
                    <w:ind w:firstLine="0" w:firstLineChars="0"/>
                    <w:contextualSpacing/>
                    <w:jc w:val="center"/>
                    <w:rPr>
                      <w:rFonts w:cs="Times New Roman"/>
                      <w:color w:val="000000"/>
                      <w:sz w:val="21"/>
                      <w:szCs w:val="21"/>
                    </w:rPr>
                  </w:pPr>
                  <w:r>
                    <w:rPr>
                      <w:rFonts w:cs="Times New Roman"/>
                      <w:color w:val="000000"/>
                      <w:sz w:val="21"/>
                      <w:szCs w:val="21"/>
                    </w:rPr>
                    <w:t>SW59</w:t>
                  </w:r>
                </w:p>
              </w:tc>
              <w:tc>
                <w:tcPr>
                  <w:tcW w:w="1313" w:type="dxa"/>
                  <w:vAlign w:val="center"/>
                </w:tcPr>
                <w:p w14:paraId="36EF89F4">
                  <w:pPr>
                    <w:spacing w:line="240" w:lineRule="auto"/>
                    <w:ind w:firstLine="0" w:firstLineChars="0"/>
                    <w:contextualSpacing/>
                    <w:jc w:val="center"/>
                    <w:rPr>
                      <w:rFonts w:cs="Times New Roman"/>
                      <w:color w:val="000000"/>
                      <w:sz w:val="21"/>
                      <w:szCs w:val="21"/>
                    </w:rPr>
                  </w:pPr>
                  <w:r>
                    <w:rPr>
                      <w:rFonts w:cs="Times New Roman"/>
                      <w:color w:val="000000"/>
                      <w:sz w:val="21"/>
                      <w:szCs w:val="21"/>
                    </w:rPr>
                    <w:t>900-099-S59</w:t>
                  </w:r>
                </w:p>
              </w:tc>
              <w:tc>
                <w:tcPr>
                  <w:tcW w:w="754" w:type="dxa"/>
                  <w:vAlign w:val="center"/>
                </w:tcPr>
                <w:p w14:paraId="1E8C170E">
                  <w:pPr>
                    <w:spacing w:line="240" w:lineRule="auto"/>
                    <w:ind w:firstLine="0" w:firstLineChars="0"/>
                    <w:contextualSpacing/>
                    <w:jc w:val="center"/>
                    <w:rPr>
                      <w:rFonts w:cs="Times New Roman"/>
                      <w:color w:val="000000"/>
                      <w:sz w:val="21"/>
                      <w:szCs w:val="21"/>
                    </w:rPr>
                  </w:pPr>
                  <w:r>
                    <w:rPr>
                      <w:rFonts w:cs="Times New Roman"/>
                      <w:color w:val="000000"/>
                      <w:sz w:val="21"/>
                      <w:szCs w:val="21"/>
                    </w:rPr>
                    <w:t>/</w:t>
                  </w:r>
                </w:p>
              </w:tc>
              <w:tc>
                <w:tcPr>
                  <w:tcW w:w="1508" w:type="dxa"/>
                  <w:vAlign w:val="center"/>
                </w:tcPr>
                <w:p w14:paraId="7F5D3D83">
                  <w:pPr>
                    <w:spacing w:line="240" w:lineRule="auto"/>
                    <w:ind w:firstLine="0" w:firstLineChars="0"/>
                    <w:contextualSpacing/>
                    <w:jc w:val="center"/>
                    <w:rPr>
                      <w:rFonts w:cs="Times New Roman"/>
                      <w:color w:val="000000"/>
                      <w:sz w:val="21"/>
                      <w:szCs w:val="21"/>
                    </w:rPr>
                  </w:pPr>
                  <w:r>
                    <w:rPr>
                      <w:rFonts w:cs="Times New Roman"/>
                      <w:color w:val="000000"/>
                      <w:sz w:val="21"/>
                      <w:szCs w:val="21"/>
                    </w:rPr>
                    <w:t>100t/a</w:t>
                  </w:r>
                </w:p>
              </w:tc>
            </w:tr>
            <w:tr w14:paraId="59B689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14:paraId="1023ED1A">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4</w:t>
                  </w:r>
                </w:p>
              </w:tc>
              <w:tc>
                <w:tcPr>
                  <w:tcW w:w="998" w:type="dxa"/>
                  <w:vAlign w:val="center"/>
                </w:tcPr>
                <w:p w14:paraId="4D4BAA0E">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布袋集尘</w:t>
                  </w:r>
                </w:p>
              </w:tc>
              <w:tc>
                <w:tcPr>
                  <w:tcW w:w="780" w:type="dxa"/>
                  <w:vAlign w:val="center"/>
                </w:tcPr>
                <w:p w14:paraId="6AC7A9FC">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废气治理</w:t>
                  </w:r>
                </w:p>
              </w:tc>
              <w:tc>
                <w:tcPr>
                  <w:tcW w:w="978" w:type="dxa"/>
                  <w:vAlign w:val="center"/>
                </w:tcPr>
                <w:p w14:paraId="08D10CA8">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一般固体废物</w:t>
                  </w:r>
                </w:p>
              </w:tc>
              <w:tc>
                <w:tcPr>
                  <w:tcW w:w="625" w:type="dxa"/>
                  <w:vAlign w:val="center"/>
                </w:tcPr>
                <w:p w14:paraId="56DF2FEB">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固态</w:t>
                  </w:r>
                </w:p>
              </w:tc>
              <w:tc>
                <w:tcPr>
                  <w:tcW w:w="989" w:type="dxa"/>
                  <w:vAlign w:val="center"/>
                </w:tcPr>
                <w:p w14:paraId="4B3E2EA0">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SW59</w:t>
                  </w:r>
                </w:p>
              </w:tc>
              <w:tc>
                <w:tcPr>
                  <w:tcW w:w="1313" w:type="dxa"/>
                  <w:vAlign w:val="center"/>
                </w:tcPr>
                <w:p w14:paraId="2B8F8B50">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900-099-S59</w:t>
                  </w:r>
                </w:p>
              </w:tc>
              <w:tc>
                <w:tcPr>
                  <w:tcW w:w="754" w:type="dxa"/>
                  <w:vAlign w:val="center"/>
                </w:tcPr>
                <w:p w14:paraId="3CE05813">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508" w:type="dxa"/>
                  <w:vAlign w:val="center"/>
                </w:tcPr>
                <w:p w14:paraId="059FACD8">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1.0089</w:t>
                  </w:r>
                  <w:r>
                    <w:rPr>
                      <w:rFonts w:hint="eastAsia" w:cs="Times New Roman"/>
                      <w:color w:val="000000" w:themeColor="text1"/>
                      <w:sz w:val="21"/>
                      <w:szCs w:val="21"/>
                      <w14:textFill>
                        <w14:solidFill>
                          <w14:schemeClr w14:val="tx1"/>
                        </w14:solidFill>
                      </w14:textFill>
                    </w:rPr>
                    <w:t>t/a</w:t>
                  </w:r>
                </w:p>
              </w:tc>
            </w:tr>
            <w:tr w14:paraId="228D2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555" w:type="dxa"/>
                  <w:vAlign w:val="center"/>
                </w:tcPr>
                <w:p w14:paraId="42E69FB2">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5</w:t>
                  </w:r>
                </w:p>
              </w:tc>
              <w:tc>
                <w:tcPr>
                  <w:tcW w:w="998" w:type="dxa"/>
                  <w:vAlign w:val="center"/>
                </w:tcPr>
                <w:p w14:paraId="248947B5">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废布袋</w:t>
                  </w:r>
                </w:p>
              </w:tc>
              <w:tc>
                <w:tcPr>
                  <w:tcW w:w="780" w:type="dxa"/>
                  <w:vAlign w:val="center"/>
                </w:tcPr>
                <w:p w14:paraId="4190AEA4">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废气治理</w:t>
                  </w:r>
                </w:p>
              </w:tc>
              <w:tc>
                <w:tcPr>
                  <w:tcW w:w="978" w:type="dxa"/>
                  <w:vAlign w:val="center"/>
                </w:tcPr>
                <w:p w14:paraId="668892C8">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一般固体废物</w:t>
                  </w:r>
                </w:p>
              </w:tc>
              <w:tc>
                <w:tcPr>
                  <w:tcW w:w="625" w:type="dxa"/>
                  <w:vAlign w:val="center"/>
                </w:tcPr>
                <w:p w14:paraId="2073EE41">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固态</w:t>
                  </w:r>
                </w:p>
              </w:tc>
              <w:tc>
                <w:tcPr>
                  <w:tcW w:w="989" w:type="dxa"/>
                  <w:vAlign w:val="center"/>
                </w:tcPr>
                <w:p w14:paraId="1A880729">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SW59</w:t>
                  </w:r>
                </w:p>
              </w:tc>
              <w:tc>
                <w:tcPr>
                  <w:tcW w:w="1313" w:type="dxa"/>
                  <w:vAlign w:val="center"/>
                </w:tcPr>
                <w:p w14:paraId="6F8777AC">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900-099-S59</w:t>
                  </w:r>
                </w:p>
              </w:tc>
              <w:tc>
                <w:tcPr>
                  <w:tcW w:w="754" w:type="dxa"/>
                  <w:vAlign w:val="center"/>
                </w:tcPr>
                <w:p w14:paraId="3B070223">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508" w:type="dxa"/>
                  <w:vAlign w:val="center"/>
                </w:tcPr>
                <w:p w14:paraId="16E9CDE9">
                  <w:pPr>
                    <w:spacing w:line="240" w:lineRule="auto"/>
                    <w:ind w:firstLine="0" w:firstLineChars="0"/>
                    <w:contextualSpacing/>
                    <w:jc w:val="center"/>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0.4t/a</w:t>
                  </w:r>
                </w:p>
              </w:tc>
            </w:tr>
            <w:tr w14:paraId="28EDB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14:paraId="27351EFA">
                  <w:pPr>
                    <w:spacing w:line="240" w:lineRule="auto"/>
                    <w:ind w:firstLine="0" w:firstLineChars="0"/>
                    <w:contextualSpacing/>
                    <w:jc w:val="center"/>
                    <w:rPr>
                      <w:rFonts w:cs="Times New Roman"/>
                      <w:color w:val="000000"/>
                      <w:sz w:val="21"/>
                      <w:szCs w:val="21"/>
                    </w:rPr>
                  </w:pPr>
                  <w:r>
                    <w:rPr>
                      <w:rFonts w:cs="Times New Roman"/>
                      <w:color w:val="000000"/>
                      <w:sz w:val="21"/>
                      <w:szCs w:val="21"/>
                    </w:rPr>
                    <w:t>6</w:t>
                  </w:r>
                </w:p>
              </w:tc>
              <w:tc>
                <w:tcPr>
                  <w:tcW w:w="998" w:type="dxa"/>
                  <w:vAlign w:val="center"/>
                </w:tcPr>
                <w:p w14:paraId="3BF22CB2">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w:t>
                  </w:r>
                </w:p>
              </w:tc>
              <w:tc>
                <w:tcPr>
                  <w:tcW w:w="780" w:type="dxa"/>
                  <w:vMerge w:val="restart"/>
                  <w:vAlign w:val="center"/>
                </w:tcPr>
                <w:p w14:paraId="54A97444">
                  <w:pPr>
                    <w:spacing w:line="240" w:lineRule="auto"/>
                    <w:ind w:firstLine="0" w:firstLineChars="0"/>
                    <w:contextualSpacing/>
                    <w:rPr>
                      <w:rFonts w:cs="Times New Roman"/>
                      <w:color w:val="000000"/>
                      <w:sz w:val="21"/>
                      <w:szCs w:val="21"/>
                    </w:rPr>
                  </w:pPr>
                  <w:r>
                    <w:rPr>
                      <w:rFonts w:cs="Times New Roman"/>
                      <w:color w:val="000000"/>
                      <w:sz w:val="21"/>
                      <w:szCs w:val="21"/>
                    </w:rPr>
                    <w:t>设备检修、维护</w:t>
                  </w:r>
                </w:p>
              </w:tc>
              <w:tc>
                <w:tcPr>
                  <w:tcW w:w="978" w:type="dxa"/>
                  <w:vMerge w:val="restart"/>
                  <w:vAlign w:val="center"/>
                </w:tcPr>
                <w:p w14:paraId="03DE391C">
                  <w:pPr>
                    <w:spacing w:line="240" w:lineRule="auto"/>
                    <w:ind w:firstLine="0" w:firstLineChars="0"/>
                    <w:contextualSpacing/>
                    <w:jc w:val="center"/>
                    <w:rPr>
                      <w:rFonts w:cs="Times New Roman"/>
                      <w:color w:val="000000"/>
                      <w:sz w:val="21"/>
                      <w:szCs w:val="21"/>
                    </w:rPr>
                  </w:pPr>
                  <w:r>
                    <w:rPr>
                      <w:rFonts w:cs="Times New Roman"/>
                      <w:color w:val="000000"/>
                      <w:sz w:val="21"/>
                      <w:szCs w:val="21"/>
                    </w:rPr>
                    <w:t>危险</w:t>
                  </w:r>
                </w:p>
                <w:p w14:paraId="7F41A9EE">
                  <w:pPr>
                    <w:spacing w:line="240" w:lineRule="auto"/>
                    <w:ind w:firstLine="0" w:firstLineChars="0"/>
                    <w:contextualSpacing/>
                    <w:jc w:val="center"/>
                    <w:rPr>
                      <w:rFonts w:cs="Times New Roman"/>
                      <w:color w:val="000000"/>
                      <w:sz w:val="21"/>
                      <w:szCs w:val="21"/>
                    </w:rPr>
                  </w:pPr>
                  <w:r>
                    <w:rPr>
                      <w:rFonts w:cs="Times New Roman"/>
                      <w:color w:val="000000"/>
                      <w:sz w:val="21"/>
                      <w:szCs w:val="21"/>
                    </w:rPr>
                    <w:t>废物</w:t>
                  </w:r>
                </w:p>
              </w:tc>
              <w:tc>
                <w:tcPr>
                  <w:tcW w:w="625" w:type="dxa"/>
                  <w:vAlign w:val="center"/>
                </w:tcPr>
                <w:p w14:paraId="15210999">
                  <w:pPr>
                    <w:spacing w:line="240" w:lineRule="auto"/>
                    <w:ind w:firstLine="0" w:firstLineChars="0"/>
                    <w:contextualSpacing/>
                    <w:jc w:val="center"/>
                    <w:rPr>
                      <w:rFonts w:cs="Times New Roman"/>
                      <w:color w:val="000000"/>
                      <w:sz w:val="21"/>
                      <w:szCs w:val="21"/>
                    </w:rPr>
                  </w:pPr>
                  <w:r>
                    <w:rPr>
                      <w:rFonts w:cs="Times New Roman"/>
                      <w:color w:val="000000"/>
                      <w:sz w:val="21"/>
                      <w:szCs w:val="21"/>
                    </w:rPr>
                    <w:t>液态</w:t>
                  </w:r>
                </w:p>
              </w:tc>
              <w:tc>
                <w:tcPr>
                  <w:tcW w:w="989" w:type="dxa"/>
                  <w:vAlign w:val="center"/>
                </w:tcPr>
                <w:p w14:paraId="2F79E90E">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14:paraId="72EE99F2">
                  <w:pPr>
                    <w:spacing w:line="240" w:lineRule="auto"/>
                    <w:ind w:firstLine="0" w:firstLineChars="0"/>
                    <w:contextualSpacing/>
                    <w:jc w:val="center"/>
                    <w:rPr>
                      <w:rFonts w:cs="Times New Roman"/>
                      <w:color w:val="000000"/>
                      <w:sz w:val="21"/>
                      <w:szCs w:val="21"/>
                    </w:rPr>
                  </w:pPr>
                  <w:r>
                    <w:rPr>
                      <w:rFonts w:cs="Times New Roman"/>
                      <w:color w:val="000000"/>
                      <w:sz w:val="21"/>
                      <w:szCs w:val="21"/>
                    </w:rPr>
                    <w:t>900-214-08</w:t>
                  </w:r>
                </w:p>
              </w:tc>
              <w:tc>
                <w:tcPr>
                  <w:tcW w:w="754" w:type="dxa"/>
                  <w:vAlign w:val="center"/>
                </w:tcPr>
                <w:p w14:paraId="4694CD47">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14:paraId="5593FA14">
                  <w:pPr>
                    <w:spacing w:line="240" w:lineRule="auto"/>
                    <w:ind w:firstLine="0" w:firstLineChars="0"/>
                    <w:contextualSpacing/>
                    <w:jc w:val="center"/>
                    <w:rPr>
                      <w:rFonts w:cs="Times New Roman"/>
                      <w:color w:val="000000"/>
                      <w:sz w:val="21"/>
                      <w:szCs w:val="21"/>
                    </w:rPr>
                  </w:pPr>
                  <w:r>
                    <w:rPr>
                      <w:rFonts w:cs="Times New Roman"/>
                      <w:color w:val="000000"/>
                      <w:sz w:val="21"/>
                      <w:szCs w:val="21"/>
                    </w:rPr>
                    <w:t>0.1t/a</w:t>
                  </w:r>
                </w:p>
              </w:tc>
            </w:tr>
            <w:tr w14:paraId="52357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14:paraId="419BD30A">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7</w:t>
                  </w:r>
                </w:p>
              </w:tc>
              <w:tc>
                <w:tcPr>
                  <w:tcW w:w="998" w:type="dxa"/>
                  <w:vAlign w:val="center"/>
                </w:tcPr>
                <w:p w14:paraId="11FC0618">
                  <w:pPr>
                    <w:spacing w:line="240" w:lineRule="auto"/>
                    <w:ind w:firstLine="0" w:firstLineChars="0"/>
                    <w:contextualSpacing/>
                    <w:rPr>
                      <w:rFonts w:cs="Times New Roman"/>
                      <w:color w:val="000000"/>
                      <w:sz w:val="21"/>
                      <w:szCs w:val="21"/>
                    </w:rPr>
                  </w:pPr>
                  <w:r>
                    <w:rPr>
                      <w:rFonts w:cs="Times New Roman"/>
                      <w:color w:val="000000"/>
                      <w:sz w:val="21"/>
                      <w:szCs w:val="21"/>
                    </w:rPr>
                    <w:t>沾有废机油的废抹布和废手套</w:t>
                  </w:r>
                </w:p>
              </w:tc>
              <w:tc>
                <w:tcPr>
                  <w:tcW w:w="780" w:type="dxa"/>
                  <w:vMerge w:val="continue"/>
                  <w:vAlign w:val="center"/>
                </w:tcPr>
                <w:p w14:paraId="0C8289EF">
                  <w:pPr>
                    <w:spacing w:line="240" w:lineRule="auto"/>
                    <w:ind w:firstLine="0" w:firstLineChars="0"/>
                    <w:contextualSpacing/>
                    <w:rPr>
                      <w:rFonts w:cs="Times New Roman"/>
                      <w:color w:val="000000"/>
                      <w:sz w:val="21"/>
                      <w:szCs w:val="21"/>
                    </w:rPr>
                  </w:pPr>
                </w:p>
              </w:tc>
              <w:tc>
                <w:tcPr>
                  <w:tcW w:w="978" w:type="dxa"/>
                  <w:vMerge w:val="continue"/>
                  <w:vAlign w:val="center"/>
                </w:tcPr>
                <w:p w14:paraId="06F246AE">
                  <w:pPr>
                    <w:spacing w:line="240" w:lineRule="auto"/>
                    <w:ind w:firstLine="0" w:firstLineChars="0"/>
                    <w:contextualSpacing/>
                    <w:jc w:val="center"/>
                    <w:rPr>
                      <w:rFonts w:cs="Times New Roman"/>
                      <w:color w:val="000000"/>
                      <w:sz w:val="21"/>
                      <w:szCs w:val="21"/>
                    </w:rPr>
                  </w:pPr>
                </w:p>
              </w:tc>
              <w:tc>
                <w:tcPr>
                  <w:tcW w:w="625" w:type="dxa"/>
                  <w:vAlign w:val="center"/>
                </w:tcPr>
                <w:p w14:paraId="178E452C">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14:paraId="48007928">
                  <w:pPr>
                    <w:spacing w:line="240" w:lineRule="auto"/>
                    <w:ind w:firstLine="0" w:firstLineChars="0"/>
                    <w:contextualSpacing/>
                    <w:jc w:val="center"/>
                    <w:rPr>
                      <w:rFonts w:cs="Times New Roman"/>
                      <w:color w:val="000000"/>
                      <w:sz w:val="21"/>
                      <w:szCs w:val="21"/>
                    </w:rPr>
                  </w:pPr>
                  <w:r>
                    <w:rPr>
                      <w:rFonts w:cs="Times New Roman"/>
                      <w:color w:val="000000"/>
                      <w:sz w:val="21"/>
                      <w:szCs w:val="21"/>
                    </w:rPr>
                    <w:t>HW49</w:t>
                  </w:r>
                </w:p>
              </w:tc>
              <w:tc>
                <w:tcPr>
                  <w:tcW w:w="1313" w:type="dxa"/>
                  <w:vAlign w:val="center"/>
                </w:tcPr>
                <w:p w14:paraId="5534DB02">
                  <w:pPr>
                    <w:spacing w:line="240" w:lineRule="auto"/>
                    <w:ind w:firstLine="0" w:firstLineChars="0"/>
                    <w:contextualSpacing/>
                    <w:jc w:val="center"/>
                    <w:rPr>
                      <w:rFonts w:cs="Times New Roman"/>
                      <w:color w:val="000000"/>
                      <w:sz w:val="21"/>
                      <w:szCs w:val="21"/>
                    </w:rPr>
                  </w:pPr>
                  <w:r>
                    <w:rPr>
                      <w:rFonts w:cs="Times New Roman"/>
                      <w:sz w:val="21"/>
                      <w:szCs w:val="21"/>
                    </w:rPr>
                    <w:t>900-041-49</w:t>
                  </w:r>
                </w:p>
              </w:tc>
              <w:tc>
                <w:tcPr>
                  <w:tcW w:w="754" w:type="dxa"/>
                  <w:vAlign w:val="center"/>
                </w:tcPr>
                <w:p w14:paraId="67C2AFA5">
                  <w:pPr>
                    <w:spacing w:line="240" w:lineRule="auto"/>
                    <w:ind w:firstLine="0" w:firstLineChars="0"/>
                    <w:contextualSpacing/>
                    <w:jc w:val="center"/>
                    <w:rPr>
                      <w:rFonts w:cs="Times New Roman"/>
                      <w:color w:val="000000"/>
                      <w:sz w:val="21"/>
                      <w:szCs w:val="21"/>
                    </w:rPr>
                  </w:pPr>
                  <w:r>
                    <w:rPr>
                      <w:rFonts w:cs="Times New Roman"/>
                      <w:color w:val="000000"/>
                      <w:sz w:val="21"/>
                      <w:szCs w:val="21"/>
                    </w:rPr>
                    <w:t>T/In</w:t>
                  </w:r>
                </w:p>
              </w:tc>
              <w:tc>
                <w:tcPr>
                  <w:tcW w:w="1508" w:type="dxa"/>
                  <w:vAlign w:val="center"/>
                </w:tcPr>
                <w:p w14:paraId="32D93791">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r w14:paraId="4D40E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1" w:hRule="atLeast"/>
              </w:trPr>
              <w:tc>
                <w:tcPr>
                  <w:tcW w:w="555" w:type="dxa"/>
                  <w:vAlign w:val="center"/>
                </w:tcPr>
                <w:p w14:paraId="68CA4F69">
                  <w:pPr>
                    <w:spacing w:line="240" w:lineRule="auto"/>
                    <w:ind w:firstLine="0" w:firstLineChars="0"/>
                    <w:contextualSpacing/>
                    <w:jc w:val="center"/>
                    <w:rPr>
                      <w:rFonts w:cs="Times New Roman"/>
                      <w:color w:val="000000"/>
                      <w:sz w:val="21"/>
                      <w:szCs w:val="21"/>
                    </w:rPr>
                  </w:pPr>
                  <w:r>
                    <w:rPr>
                      <w:rFonts w:hint="eastAsia" w:cs="Times New Roman"/>
                      <w:color w:val="000000"/>
                      <w:sz w:val="21"/>
                      <w:szCs w:val="21"/>
                    </w:rPr>
                    <w:t>8</w:t>
                  </w:r>
                </w:p>
              </w:tc>
              <w:tc>
                <w:tcPr>
                  <w:tcW w:w="998" w:type="dxa"/>
                  <w:vAlign w:val="center"/>
                </w:tcPr>
                <w:p w14:paraId="34556AED">
                  <w:pPr>
                    <w:spacing w:line="240" w:lineRule="auto"/>
                    <w:ind w:firstLine="0" w:firstLineChars="0"/>
                    <w:contextualSpacing/>
                    <w:jc w:val="center"/>
                    <w:rPr>
                      <w:rFonts w:cs="Times New Roman"/>
                      <w:color w:val="000000"/>
                      <w:sz w:val="21"/>
                      <w:szCs w:val="21"/>
                    </w:rPr>
                  </w:pPr>
                  <w:r>
                    <w:rPr>
                      <w:rFonts w:cs="Times New Roman"/>
                      <w:color w:val="000000"/>
                      <w:sz w:val="21"/>
                      <w:szCs w:val="21"/>
                    </w:rPr>
                    <w:t>废机油桶</w:t>
                  </w:r>
                </w:p>
              </w:tc>
              <w:tc>
                <w:tcPr>
                  <w:tcW w:w="780" w:type="dxa"/>
                  <w:vMerge w:val="continue"/>
                  <w:vAlign w:val="center"/>
                </w:tcPr>
                <w:p w14:paraId="4BF3E2A2">
                  <w:pPr>
                    <w:spacing w:line="240" w:lineRule="auto"/>
                    <w:ind w:firstLine="0" w:firstLineChars="0"/>
                    <w:contextualSpacing/>
                    <w:rPr>
                      <w:rFonts w:cs="Times New Roman"/>
                      <w:color w:val="000000"/>
                      <w:sz w:val="21"/>
                      <w:szCs w:val="21"/>
                    </w:rPr>
                  </w:pPr>
                </w:p>
              </w:tc>
              <w:tc>
                <w:tcPr>
                  <w:tcW w:w="978" w:type="dxa"/>
                  <w:vMerge w:val="continue"/>
                  <w:vAlign w:val="center"/>
                </w:tcPr>
                <w:p w14:paraId="664A4734">
                  <w:pPr>
                    <w:spacing w:line="240" w:lineRule="auto"/>
                    <w:ind w:firstLine="0" w:firstLineChars="0"/>
                    <w:contextualSpacing/>
                    <w:jc w:val="center"/>
                    <w:rPr>
                      <w:rFonts w:cs="Times New Roman"/>
                      <w:color w:val="000000"/>
                      <w:sz w:val="21"/>
                      <w:szCs w:val="21"/>
                    </w:rPr>
                  </w:pPr>
                </w:p>
              </w:tc>
              <w:tc>
                <w:tcPr>
                  <w:tcW w:w="625" w:type="dxa"/>
                  <w:vAlign w:val="center"/>
                </w:tcPr>
                <w:p w14:paraId="4A9A7460">
                  <w:pPr>
                    <w:spacing w:line="240" w:lineRule="auto"/>
                    <w:ind w:firstLine="0" w:firstLineChars="0"/>
                    <w:contextualSpacing/>
                    <w:jc w:val="center"/>
                    <w:rPr>
                      <w:rFonts w:cs="Times New Roman"/>
                      <w:color w:val="000000"/>
                      <w:sz w:val="21"/>
                      <w:szCs w:val="21"/>
                    </w:rPr>
                  </w:pPr>
                  <w:r>
                    <w:rPr>
                      <w:rFonts w:cs="Times New Roman"/>
                      <w:color w:val="000000"/>
                      <w:sz w:val="21"/>
                      <w:szCs w:val="21"/>
                    </w:rPr>
                    <w:t>固态</w:t>
                  </w:r>
                </w:p>
              </w:tc>
              <w:tc>
                <w:tcPr>
                  <w:tcW w:w="989" w:type="dxa"/>
                  <w:vAlign w:val="center"/>
                </w:tcPr>
                <w:p w14:paraId="226F6297">
                  <w:pPr>
                    <w:spacing w:line="240" w:lineRule="auto"/>
                    <w:ind w:firstLine="0" w:firstLineChars="0"/>
                    <w:contextualSpacing/>
                    <w:jc w:val="center"/>
                    <w:rPr>
                      <w:rFonts w:cs="Times New Roman"/>
                      <w:color w:val="000000"/>
                      <w:sz w:val="21"/>
                      <w:szCs w:val="21"/>
                    </w:rPr>
                  </w:pPr>
                  <w:r>
                    <w:rPr>
                      <w:rFonts w:cs="Times New Roman"/>
                      <w:color w:val="000000"/>
                      <w:sz w:val="21"/>
                      <w:szCs w:val="21"/>
                    </w:rPr>
                    <w:t>HW08</w:t>
                  </w:r>
                </w:p>
              </w:tc>
              <w:tc>
                <w:tcPr>
                  <w:tcW w:w="1313" w:type="dxa"/>
                  <w:vAlign w:val="center"/>
                </w:tcPr>
                <w:p w14:paraId="2625FAEC">
                  <w:pPr>
                    <w:spacing w:line="240" w:lineRule="auto"/>
                    <w:ind w:firstLine="0" w:firstLineChars="0"/>
                    <w:contextualSpacing/>
                    <w:jc w:val="center"/>
                    <w:rPr>
                      <w:rFonts w:cs="Times New Roman"/>
                      <w:color w:val="000000"/>
                      <w:sz w:val="21"/>
                      <w:szCs w:val="21"/>
                    </w:rPr>
                  </w:pPr>
                  <w:r>
                    <w:rPr>
                      <w:rFonts w:cs="Times New Roman"/>
                      <w:snapToGrid w:val="0"/>
                      <w:kern w:val="0"/>
                      <w:sz w:val="21"/>
                      <w:szCs w:val="21"/>
                    </w:rPr>
                    <w:t>900-249-08</w:t>
                  </w:r>
                </w:p>
              </w:tc>
              <w:tc>
                <w:tcPr>
                  <w:tcW w:w="754" w:type="dxa"/>
                  <w:vAlign w:val="center"/>
                </w:tcPr>
                <w:p w14:paraId="1A17EED4">
                  <w:pPr>
                    <w:spacing w:line="240" w:lineRule="auto"/>
                    <w:ind w:firstLine="0" w:firstLineChars="0"/>
                    <w:contextualSpacing/>
                    <w:jc w:val="center"/>
                    <w:rPr>
                      <w:rFonts w:cs="Times New Roman"/>
                      <w:color w:val="000000"/>
                      <w:sz w:val="21"/>
                      <w:szCs w:val="21"/>
                    </w:rPr>
                  </w:pPr>
                  <w:r>
                    <w:rPr>
                      <w:rFonts w:cs="Times New Roman"/>
                      <w:color w:val="000000"/>
                      <w:sz w:val="21"/>
                      <w:szCs w:val="21"/>
                    </w:rPr>
                    <w:t>T，I</w:t>
                  </w:r>
                </w:p>
              </w:tc>
              <w:tc>
                <w:tcPr>
                  <w:tcW w:w="1508" w:type="dxa"/>
                  <w:vAlign w:val="center"/>
                </w:tcPr>
                <w:p w14:paraId="2331EC3F">
                  <w:pPr>
                    <w:spacing w:line="240" w:lineRule="auto"/>
                    <w:ind w:firstLine="0" w:firstLineChars="0"/>
                    <w:contextualSpacing/>
                    <w:jc w:val="center"/>
                    <w:rPr>
                      <w:rFonts w:cs="Times New Roman"/>
                      <w:color w:val="000000"/>
                      <w:sz w:val="21"/>
                      <w:szCs w:val="21"/>
                    </w:rPr>
                  </w:pPr>
                  <w:r>
                    <w:rPr>
                      <w:rFonts w:cs="Times New Roman"/>
                      <w:color w:val="000000"/>
                      <w:sz w:val="21"/>
                      <w:szCs w:val="21"/>
                    </w:rPr>
                    <w:t>0.01t/a</w:t>
                  </w:r>
                </w:p>
              </w:tc>
            </w:tr>
          </w:tbl>
          <w:p w14:paraId="4EDD6B15">
            <w:pPr>
              <w:ind w:firstLine="0" w:firstLineChars="0"/>
              <w:jc w:val="left"/>
              <w:textAlignment w:val="auto"/>
              <w:rPr>
                <w:b/>
                <w:bCs/>
              </w:rPr>
            </w:pPr>
            <w:r>
              <w:rPr>
                <w:rFonts w:hint="eastAsia" w:cs="Times New Roman"/>
                <w:b/>
                <w:bCs/>
                <w:snapToGrid w:val="0"/>
                <w:color w:val="000000"/>
                <w:kern w:val="0"/>
                <w:szCs w:val="24"/>
              </w:rPr>
              <w:t>4.2.4.1</w:t>
            </w:r>
            <w:r>
              <w:rPr>
                <w:rFonts w:hint="eastAsia"/>
                <w:b/>
                <w:bCs/>
              </w:rPr>
              <w:t>一般固体废物暂存间建设及管理要求</w:t>
            </w:r>
          </w:p>
          <w:p w14:paraId="1F61EDFB">
            <w:pPr>
              <w:widowControl/>
              <w:adjustRightInd w:val="0"/>
              <w:snapToGrid w:val="0"/>
              <w:ind w:firstLine="480"/>
            </w:pPr>
            <w:r>
              <w:t>1）一般固体废物暂存区按照《一般工业固体废物贮存和填埋污染物控制</w:t>
            </w:r>
            <w:r>
              <w:rPr>
                <w:rFonts w:hint="eastAsia"/>
              </w:rPr>
              <w:t>标准</w:t>
            </w:r>
            <w:r>
              <w:t>》（GB18599-2020）中标准要求进行管理；</w:t>
            </w:r>
          </w:p>
          <w:p w14:paraId="0AF37880">
            <w:pPr>
              <w:widowControl/>
              <w:adjustRightInd w:val="0"/>
              <w:snapToGrid w:val="0"/>
              <w:ind w:firstLine="480"/>
            </w:pPr>
            <w:r>
              <w:rPr>
                <w:rFonts w:hint="eastAsia"/>
              </w:rPr>
              <w:t>2）</w:t>
            </w:r>
            <w:r>
              <w:t>对固体废物实行从产生、收集、运输、贮存直至最终处理实行全过程管理，按照有关</w:t>
            </w:r>
            <w:r>
              <w:rPr>
                <w:rFonts w:hint="eastAsia"/>
              </w:rPr>
              <w:t>法律法规</w:t>
            </w:r>
            <w:r>
              <w:t>的要求，对固体废弃物全过程管理应报当地生态环境行政主管部门等批准。</w:t>
            </w:r>
          </w:p>
          <w:p w14:paraId="39627076">
            <w:pPr>
              <w:widowControl/>
              <w:adjustRightInd w:val="0"/>
              <w:snapToGrid w:val="0"/>
              <w:ind w:firstLine="480"/>
            </w:pPr>
            <w:r>
              <w:rPr>
                <w:rFonts w:hint="eastAsia"/>
              </w:rPr>
              <w:t>3）</w:t>
            </w:r>
            <w:r>
              <w:t>加强固体废物规范化管理，固体废物分类定点堆放，堆放场所远离办公区</w:t>
            </w:r>
            <w:r>
              <w:rPr>
                <w:rFonts w:hint="eastAsia"/>
              </w:rPr>
              <w:t>。</w:t>
            </w:r>
          </w:p>
          <w:p w14:paraId="10812DEB">
            <w:pPr>
              <w:widowControl/>
              <w:adjustRightInd w:val="0"/>
              <w:snapToGrid w:val="0"/>
              <w:ind w:firstLine="480"/>
              <w:jc w:val="left"/>
            </w:pPr>
            <w:r>
              <w:rPr>
                <w:rFonts w:hint="eastAsia"/>
              </w:rPr>
              <w:t>4）</w:t>
            </w:r>
            <w:r>
              <w:t>固体废物要及时清运，避免产生二次污染。</w:t>
            </w:r>
          </w:p>
          <w:p w14:paraId="46CB5C0C">
            <w:pPr>
              <w:widowControl/>
              <w:adjustRightInd w:val="0"/>
              <w:snapToGrid w:val="0"/>
              <w:ind w:firstLine="480"/>
              <w:jc w:val="left"/>
            </w:pPr>
            <w:r>
              <w:t>一般工业固体废物贮存、处置场，禁止危险废物和生活垃圾混入。贮存、处置场使用单位，应建立检查维护制度。发现有损坏可能或异常，应及时采取必要措施，以保障正常运行。贮存、处置场的使用单位，应建立档案制度。应将入场的一般工业固体废物的种类和数量，详细记录在案，长期保存，供随时查阅。贮存、处置场的环境保护图形标志，应按相关规定进行检查和维护。本项目一般固废暂存区位于</w:t>
            </w:r>
            <w:r>
              <w:rPr>
                <w:rFonts w:hint="eastAsia"/>
              </w:rPr>
              <w:t>车间内</w:t>
            </w:r>
            <w:r>
              <w:t>，地面全部硬化处理，遵守以上管理要求，确保一般固体废物合理处置。</w:t>
            </w:r>
          </w:p>
          <w:p w14:paraId="029723BC">
            <w:pPr>
              <w:ind w:firstLine="0" w:firstLineChars="0"/>
              <w:jc w:val="left"/>
              <w:textAlignment w:val="auto"/>
              <w:rPr>
                <w:b/>
                <w:bCs/>
              </w:rPr>
            </w:pPr>
            <w:r>
              <w:rPr>
                <w:rFonts w:hint="eastAsia" w:cs="Times New Roman"/>
                <w:b/>
                <w:bCs/>
                <w:snapToGrid w:val="0"/>
                <w:color w:val="000000"/>
                <w:kern w:val="0"/>
                <w:szCs w:val="24"/>
              </w:rPr>
              <w:t>4.2.4.</w:t>
            </w:r>
            <w:r>
              <w:rPr>
                <w:rFonts w:cs="Times New Roman"/>
                <w:b/>
                <w:bCs/>
                <w:snapToGrid w:val="0"/>
                <w:color w:val="000000"/>
                <w:kern w:val="0"/>
                <w:szCs w:val="24"/>
              </w:rPr>
              <w:t>2</w:t>
            </w:r>
            <w:r>
              <w:rPr>
                <w:rFonts w:hint="eastAsia" w:cs="Times New Roman"/>
                <w:b/>
                <w:bCs/>
                <w:snapToGrid w:val="0"/>
                <w:color w:val="000000"/>
                <w:kern w:val="0"/>
                <w:szCs w:val="24"/>
              </w:rPr>
              <w:t>危险废物</w:t>
            </w:r>
            <w:r>
              <w:rPr>
                <w:rFonts w:hint="eastAsia"/>
                <w:b/>
                <w:bCs/>
              </w:rPr>
              <w:t>贮存点环境管理要求</w:t>
            </w:r>
          </w:p>
          <w:p w14:paraId="7B42A1EF">
            <w:pPr>
              <w:ind w:firstLine="480"/>
              <w:textAlignment w:val="auto"/>
              <w:rPr>
                <w:b/>
                <w:bCs/>
              </w:rPr>
            </w:pPr>
            <w:r>
              <w:rPr>
                <w:rFonts w:hint="eastAsia"/>
              </w:rPr>
              <w:t>危险废物集中收集后，分区存放于危险废物贮存点，定期交由有危险废物处理资质的单位回收处理</w:t>
            </w:r>
            <w:r>
              <w:t>。</w:t>
            </w:r>
          </w:p>
          <w:p w14:paraId="464B4856">
            <w:pPr>
              <w:ind w:left="480" w:leftChars="200" w:firstLine="0" w:firstLineChars="0"/>
              <w:jc w:val="left"/>
              <w:textAlignment w:val="auto"/>
            </w:pPr>
            <w:r>
              <w:rPr>
                <w:rFonts w:hint="eastAsia"/>
              </w:rPr>
              <w:t>1）贮存点应具有固定的区域边界，并应采取与其他区域进行隔离的措施。2）贮存点应采取</w:t>
            </w:r>
            <w:bookmarkStart w:id="23" w:name="OLE_LINK5"/>
            <w:r>
              <w:rPr>
                <w:rFonts w:hint="eastAsia"/>
              </w:rPr>
              <w:t>防风、防雨、防晒</w:t>
            </w:r>
            <w:bookmarkEnd w:id="23"/>
            <w:r>
              <w:rPr>
                <w:rFonts w:hint="eastAsia"/>
              </w:rPr>
              <w:t>和防止危险废物流失、扬散等措施。</w:t>
            </w:r>
          </w:p>
          <w:p w14:paraId="5122D50C">
            <w:pPr>
              <w:ind w:firstLine="480"/>
              <w:jc w:val="left"/>
              <w:textAlignment w:val="auto"/>
            </w:pPr>
            <w:r>
              <w:rPr>
                <w:rFonts w:hint="eastAsia"/>
              </w:rPr>
              <w:t>3）贮存点贮存的危险废物应置于容器或包装物中，不应直接散堆。</w:t>
            </w:r>
          </w:p>
          <w:p w14:paraId="405403FA">
            <w:pPr>
              <w:ind w:firstLine="480"/>
              <w:textAlignment w:val="auto"/>
            </w:pPr>
            <w:r>
              <w:rPr>
                <w:rFonts w:hint="eastAsia"/>
              </w:rPr>
              <w:t>4）贮存点应根据危险废物的形态、物理化学性质、包装形式等，采取防渗、防漏等污染防治措施或采用具有相应功能的装置。</w:t>
            </w:r>
          </w:p>
          <w:p w14:paraId="722966C2">
            <w:pPr>
              <w:ind w:firstLine="480"/>
              <w:jc w:val="left"/>
              <w:textAlignment w:val="auto"/>
            </w:pPr>
            <w:r>
              <w:rPr>
                <w:rFonts w:hint="eastAsia"/>
              </w:rPr>
              <w:t>5）贮存点应及时清运贮存的危险废物，实时贮存量不应超过</w:t>
            </w:r>
            <w:r>
              <w:t>3</w:t>
            </w:r>
            <w:r>
              <w:rPr>
                <w:rFonts w:hint="eastAsia"/>
              </w:rPr>
              <w:t>吨。</w:t>
            </w:r>
          </w:p>
          <w:p w14:paraId="580B009F">
            <w:pPr>
              <w:ind w:firstLine="480"/>
              <w:rPr>
                <w:b/>
                <w:bCs/>
              </w:rPr>
            </w:pPr>
            <w:r>
              <w:rPr>
                <w:rFonts w:hint="eastAsia"/>
              </w:rPr>
              <w:t>（</w:t>
            </w:r>
            <w:r>
              <w:t>2</w:t>
            </w:r>
            <w:r>
              <w:rPr>
                <w:rFonts w:hint="eastAsia"/>
              </w:rPr>
              <w:t>）</w:t>
            </w:r>
            <w:r>
              <w:rPr>
                <w:rFonts w:hint="eastAsia"/>
                <w:b/>
                <w:bCs/>
              </w:rPr>
              <w:t>危险废物贮存库标识要求</w:t>
            </w:r>
          </w:p>
          <w:p w14:paraId="3923B458">
            <w:pPr>
              <w:ind w:firstLine="480"/>
              <w:rPr>
                <w:rFonts w:cs="Times New Roman"/>
                <w:kern w:val="0"/>
                <w:szCs w:val="24"/>
              </w:rPr>
            </w:pPr>
            <w:r>
              <w:t>根据《危险废物贮存污染控制标准》(GB18597-2023)、《危险废物识别标志设置技术规范》(HJ1276-2022)</w:t>
            </w:r>
            <w:r>
              <w:rPr>
                <w:rFonts w:hint="eastAsia"/>
              </w:rPr>
              <w:t>、《环境保护图形标志—固体废物贮存（处置）场》（GB15562.2-1995）修改单</w:t>
            </w:r>
            <w:r>
              <w:t>等相关规定</w:t>
            </w:r>
            <w:r>
              <w:rPr>
                <w:rFonts w:ascii="SourceHanSansCN-Regular" w:hAnsi="SourceHanSansCN-Regular" w:eastAsia="SourceHanSansCN-Regular" w:cs="SourceHanSansCN-Regular"/>
                <w:color w:val="000000"/>
                <w:kern w:val="0"/>
                <w:szCs w:val="24"/>
                <w:lang w:bidi="ar"/>
              </w:rPr>
              <w:t>，对危险废物贮存</w:t>
            </w:r>
            <w:r>
              <w:rPr>
                <w:rFonts w:hint="eastAsia" w:cs="SourceHanSansCN-Regular" w:asciiTheme="minorEastAsia" w:hAnsiTheme="minorEastAsia" w:eastAsiaTheme="minorEastAsia"/>
                <w:color w:val="000000"/>
                <w:kern w:val="0"/>
                <w:szCs w:val="24"/>
                <w:lang w:bidi="ar"/>
              </w:rPr>
              <w:t>点</w:t>
            </w:r>
            <w:r>
              <w:rPr>
                <w:rFonts w:ascii="SourceHanSansCN-Regular" w:hAnsi="SourceHanSansCN-Regular" w:eastAsia="SourceHanSansCN-Regular" w:cs="SourceHanSansCN-Regular"/>
                <w:color w:val="000000"/>
                <w:kern w:val="0"/>
                <w:szCs w:val="24"/>
                <w:lang w:bidi="ar"/>
              </w:rPr>
              <w:t>及危险废物贮存相关标志的设置提出要求</w:t>
            </w:r>
            <w:r>
              <w:rPr>
                <w:rFonts w:cs="Times New Roman"/>
                <w:kern w:val="0"/>
                <w:szCs w:val="24"/>
              </w:rPr>
              <w:t>，具体要求如下</w:t>
            </w:r>
            <w:r>
              <w:rPr>
                <w:rFonts w:hint="eastAsia" w:cs="Times New Roman"/>
                <w:kern w:val="0"/>
                <w:szCs w:val="24"/>
              </w:rPr>
              <w:t>：</w:t>
            </w:r>
          </w:p>
          <w:p w14:paraId="1EB54736">
            <w:pPr>
              <w:adjustRightInd w:val="0"/>
              <w:snapToGrid w:val="0"/>
              <w:spacing w:line="240" w:lineRule="auto"/>
              <w:ind w:firstLine="422"/>
              <w:jc w:val="center"/>
              <w:rPr>
                <w:b/>
                <w:bCs/>
                <w:kern w:val="0"/>
                <w:sz w:val="21"/>
                <w:szCs w:val="21"/>
              </w:rPr>
            </w:pPr>
            <w:r>
              <w:rPr>
                <w:b/>
                <w:bCs/>
                <w:kern w:val="0"/>
                <w:sz w:val="21"/>
                <w:szCs w:val="21"/>
              </w:rPr>
              <w:t>表4-9</w:t>
            </w:r>
            <w:r>
              <w:rPr>
                <w:rFonts w:hint="eastAsia"/>
                <w:b/>
                <w:bCs/>
                <w:kern w:val="0"/>
                <w:sz w:val="21"/>
                <w:szCs w:val="21"/>
              </w:rPr>
              <w:t xml:space="preserve">  </w:t>
            </w:r>
            <w:r>
              <w:rPr>
                <w:b/>
                <w:bCs/>
                <w:kern w:val="0"/>
                <w:sz w:val="21"/>
                <w:szCs w:val="21"/>
              </w:rPr>
              <w:t>危险废物</w:t>
            </w:r>
            <w:r>
              <w:rPr>
                <w:rFonts w:hint="eastAsia"/>
                <w:b/>
                <w:bCs/>
                <w:kern w:val="0"/>
                <w:sz w:val="21"/>
                <w:szCs w:val="21"/>
              </w:rPr>
              <w:t>贮存点</w:t>
            </w:r>
            <w:r>
              <w:rPr>
                <w:b/>
                <w:bCs/>
                <w:kern w:val="0"/>
                <w:sz w:val="21"/>
                <w:szCs w:val="21"/>
              </w:rPr>
              <w:t>及</w:t>
            </w:r>
            <w:r>
              <w:rPr>
                <w:rFonts w:hint="eastAsia"/>
                <w:b/>
                <w:bCs/>
                <w:kern w:val="0"/>
                <w:sz w:val="21"/>
                <w:szCs w:val="21"/>
              </w:rPr>
              <w:t>贮存</w:t>
            </w:r>
            <w:r>
              <w:rPr>
                <w:b/>
                <w:bCs/>
                <w:kern w:val="0"/>
                <w:sz w:val="21"/>
                <w:szCs w:val="21"/>
              </w:rPr>
              <w:t>容器标签示例</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3456"/>
              <w:gridCol w:w="4663"/>
            </w:tblGrid>
            <w:tr w14:paraId="2E543C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66" w:type="pct"/>
                  <w:vAlign w:val="center"/>
                </w:tcPr>
                <w:p w14:paraId="2B79AA07">
                  <w:pPr>
                    <w:spacing w:line="240" w:lineRule="auto"/>
                    <w:ind w:firstLine="0" w:firstLineChars="0"/>
                    <w:jc w:val="center"/>
                    <w:rPr>
                      <w:rFonts w:cs="Times New Roman"/>
                      <w:sz w:val="21"/>
                      <w:szCs w:val="21"/>
                    </w:rPr>
                  </w:pPr>
                  <w:r>
                    <w:rPr>
                      <w:rFonts w:cs="Times New Roman"/>
                      <w:sz w:val="21"/>
                      <w:szCs w:val="21"/>
                    </w:rPr>
                    <w:t>场合</w:t>
                  </w:r>
                </w:p>
              </w:tc>
              <w:tc>
                <w:tcPr>
                  <w:tcW w:w="1905" w:type="pct"/>
                  <w:vAlign w:val="center"/>
                </w:tcPr>
                <w:p w14:paraId="757C9CFD">
                  <w:pPr>
                    <w:spacing w:line="240" w:lineRule="auto"/>
                    <w:ind w:firstLine="0" w:firstLineChars="0"/>
                    <w:jc w:val="center"/>
                    <w:rPr>
                      <w:rFonts w:cs="Times New Roman"/>
                      <w:sz w:val="21"/>
                      <w:szCs w:val="21"/>
                    </w:rPr>
                  </w:pPr>
                  <w:r>
                    <w:rPr>
                      <w:rFonts w:cs="Times New Roman"/>
                      <w:sz w:val="21"/>
                      <w:szCs w:val="21"/>
                    </w:rPr>
                    <w:t>样式</w:t>
                  </w:r>
                </w:p>
              </w:tc>
              <w:tc>
                <w:tcPr>
                  <w:tcW w:w="2729" w:type="pct"/>
                  <w:vAlign w:val="center"/>
                </w:tcPr>
                <w:p w14:paraId="489F9CEE">
                  <w:pPr>
                    <w:spacing w:line="240" w:lineRule="auto"/>
                    <w:ind w:firstLine="0" w:firstLineChars="0"/>
                    <w:jc w:val="center"/>
                    <w:rPr>
                      <w:rFonts w:cs="Times New Roman"/>
                      <w:sz w:val="21"/>
                      <w:szCs w:val="21"/>
                    </w:rPr>
                  </w:pPr>
                  <w:r>
                    <w:rPr>
                      <w:rFonts w:cs="Times New Roman"/>
                      <w:sz w:val="21"/>
                      <w:szCs w:val="21"/>
                    </w:rPr>
                    <w:t>要求</w:t>
                  </w:r>
                </w:p>
              </w:tc>
            </w:tr>
            <w:tr w14:paraId="69E2B9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4" w:hRule="atLeast"/>
                <w:jc w:val="center"/>
              </w:trPr>
              <w:tc>
                <w:tcPr>
                  <w:tcW w:w="366" w:type="pct"/>
                  <w:vAlign w:val="center"/>
                </w:tcPr>
                <w:p w14:paraId="70A5366F">
                  <w:pPr>
                    <w:spacing w:line="240" w:lineRule="auto"/>
                    <w:ind w:firstLine="0" w:firstLineChars="0"/>
                    <w:jc w:val="center"/>
                    <w:rPr>
                      <w:rFonts w:cs="Times New Roman"/>
                      <w:sz w:val="21"/>
                      <w:szCs w:val="21"/>
                    </w:rPr>
                  </w:pPr>
                  <w:r>
                    <w:rPr>
                      <w:rFonts w:hint="eastAsia" w:ascii="宋体" w:hAnsi="宋体" w:cs="宋体"/>
                      <w:sz w:val="21"/>
                      <w:szCs w:val="21"/>
                    </w:rPr>
                    <w:t>危险废物贮存设施标志</w:t>
                  </w:r>
                </w:p>
              </w:tc>
              <w:tc>
                <w:tcPr>
                  <w:tcW w:w="1905" w:type="pct"/>
                  <w:vAlign w:val="center"/>
                </w:tcPr>
                <w:p w14:paraId="0D262867">
                  <w:pPr>
                    <w:spacing w:line="240" w:lineRule="auto"/>
                    <w:ind w:firstLine="0" w:firstLineChars="0"/>
                    <w:jc w:val="center"/>
                    <w:rPr>
                      <w:rFonts w:cs="Times New Roman"/>
                      <w:sz w:val="21"/>
                      <w:szCs w:val="21"/>
                    </w:rPr>
                  </w:pPr>
                  <w:r>
                    <w:rPr>
                      <w:rFonts w:hint="eastAsia" w:ascii="宋体" w:hAnsi="宋体" w:cs="宋体"/>
                      <w:sz w:val="21"/>
                      <w:szCs w:val="21"/>
                    </w:rPr>
                    <w:drawing>
                      <wp:inline distT="0" distB="0" distL="0" distR="0">
                        <wp:extent cx="2051050" cy="1115060"/>
                        <wp:effectExtent l="0" t="0" r="6350" b="8890"/>
                        <wp:docPr id="9" name="图片 9" descr="1a018b077d60362579a1ca174770a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a018b077d60362579a1ca174770a2b"/>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051050" cy="1115060"/>
                                </a:xfrm>
                                <a:prstGeom prst="rect">
                                  <a:avLst/>
                                </a:prstGeom>
                                <a:noFill/>
                                <a:ln>
                                  <a:noFill/>
                                </a:ln>
                                <a:effectLst/>
                              </pic:spPr>
                            </pic:pic>
                          </a:graphicData>
                        </a:graphic>
                      </wp:inline>
                    </w:drawing>
                  </w:r>
                </w:p>
              </w:tc>
              <w:tc>
                <w:tcPr>
                  <w:tcW w:w="2729" w:type="pct"/>
                  <w:vAlign w:val="center"/>
                </w:tcPr>
                <w:p w14:paraId="764E2AB6">
                  <w:pPr>
                    <w:adjustRightInd w:val="0"/>
                    <w:snapToGrid w:val="0"/>
                    <w:spacing w:line="300" w:lineRule="exact"/>
                    <w:ind w:firstLine="0" w:firstLineChars="0"/>
                    <w:textAlignment w:val="auto"/>
                    <w:rPr>
                      <w:rFonts w:cs="Times New Roman"/>
                      <w:sz w:val="21"/>
                      <w:szCs w:val="21"/>
                    </w:rPr>
                  </w:pPr>
                  <w:r>
                    <w:rPr>
                      <w:rFonts w:cs="Times New Roman"/>
                      <w:sz w:val="21"/>
                      <w:szCs w:val="21"/>
                    </w:rPr>
                    <w:t>1、颜色</w:t>
                  </w:r>
                </w:p>
                <w:p w14:paraId="2FC98E9D">
                  <w:pPr>
                    <w:adjustRightInd w:val="0"/>
                    <w:snapToGrid w:val="0"/>
                    <w:spacing w:line="300" w:lineRule="exact"/>
                    <w:ind w:firstLine="0" w:firstLineChars="0"/>
                    <w:textAlignment w:val="auto"/>
                    <w:rPr>
                      <w:rFonts w:cs="Times New Roman"/>
                      <w:sz w:val="21"/>
                      <w:szCs w:val="21"/>
                    </w:rPr>
                  </w:pPr>
                  <w:r>
                    <w:rPr>
                      <w:rFonts w:cs="Times New Roman"/>
                      <w:sz w:val="21"/>
                      <w:szCs w:val="21"/>
                    </w:rPr>
                    <w:t>危险废物设施标志背景颜色为黄色，RGB颜色值为(255,255,0)。字体和边框颜色为黑色，RGB颜色值为(0,0,0)。</w:t>
                  </w:r>
                </w:p>
                <w:p w14:paraId="6270F8AC">
                  <w:pPr>
                    <w:adjustRightInd w:val="0"/>
                    <w:snapToGrid w:val="0"/>
                    <w:spacing w:line="300" w:lineRule="exact"/>
                    <w:ind w:firstLine="0" w:firstLineChars="0"/>
                    <w:textAlignment w:val="auto"/>
                    <w:rPr>
                      <w:rFonts w:cs="Times New Roman"/>
                      <w:sz w:val="21"/>
                      <w:szCs w:val="21"/>
                    </w:rPr>
                  </w:pPr>
                  <w:r>
                    <w:rPr>
                      <w:rFonts w:cs="Times New Roman"/>
                      <w:sz w:val="21"/>
                      <w:szCs w:val="21"/>
                    </w:rPr>
                    <w:t>2、字体</w:t>
                  </w:r>
                </w:p>
                <w:p w14:paraId="2300BDF2">
                  <w:pPr>
                    <w:adjustRightInd w:val="0"/>
                    <w:snapToGrid w:val="0"/>
                    <w:spacing w:line="300" w:lineRule="exact"/>
                    <w:ind w:firstLine="0" w:firstLineChars="0"/>
                    <w:textAlignment w:val="auto"/>
                    <w:rPr>
                      <w:rFonts w:cs="Times New Roman"/>
                      <w:sz w:val="21"/>
                      <w:szCs w:val="21"/>
                    </w:rPr>
                  </w:pPr>
                  <w:r>
                    <w:rPr>
                      <w:rFonts w:cs="Times New Roman"/>
                      <w:sz w:val="21"/>
                      <w:szCs w:val="21"/>
                    </w:rPr>
                    <w:t>字体应采用黑体字，其中危险废物设施类型的字样应加粗放大并居中显示。</w:t>
                  </w:r>
                </w:p>
                <w:p w14:paraId="6E83B01F">
                  <w:pPr>
                    <w:adjustRightInd w:val="0"/>
                    <w:snapToGrid w:val="0"/>
                    <w:spacing w:line="300" w:lineRule="exact"/>
                    <w:ind w:firstLine="0" w:firstLineChars="0"/>
                    <w:textAlignment w:val="auto"/>
                    <w:rPr>
                      <w:rFonts w:cs="Times New Roman"/>
                      <w:sz w:val="21"/>
                      <w:szCs w:val="21"/>
                    </w:rPr>
                  </w:pPr>
                  <w:r>
                    <w:rPr>
                      <w:rFonts w:cs="Times New Roman"/>
                      <w:sz w:val="21"/>
                      <w:szCs w:val="21"/>
                    </w:rPr>
                    <w:t>3、材质</w:t>
                  </w:r>
                </w:p>
                <w:p w14:paraId="4D0892D7">
                  <w:pPr>
                    <w:adjustRightInd w:val="0"/>
                    <w:snapToGrid w:val="0"/>
                    <w:spacing w:line="300" w:lineRule="exact"/>
                    <w:ind w:firstLine="0" w:firstLineChars="0"/>
                    <w:textAlignment w:val="auto"/>
                    <w:rPr>
                      <w:rFonts w:cs="Times New Roman"/>
                      <w:sz w:val="21"/>
                      <w:szCs w:val="21"/>
                    </w:rPr>
                  </w:pPr>
                  <w:r>
                    <w:rPr>
                      <w:rFonts w:cs="Times New Roman"/>
                      <w:sz w:val="21"/>
                      <w:szCs w:val="21"/>
                    </w:rPr>
                    <w:t>宜采用坚固耐用的材料(如1.5mm～2mm冷轧钢板)，并做搪瓷处理或贴膜处理。一般不宜使用遇水变形、变质或易燃的材料。柱式标志牌的立柱可采用38×4无缝钢管或其他坚固耐用的材料，并经过防腐处理。</w:t>
                  </w:r>
                </w:p>
                <w:p w14:paraId="5CF62C6D">
                  <w:pPr>
                    <w:adjustRightInd w:val="0"/>
                    <w:snapToGrid w:val="0"/>
                    <w:spacing w:line="300" w:lineRule="exact"/>
                    <w:ind w:firstLine="0" w:firstLineChars="0"/>
                    <w:textAlignment w:val="auto"/>
                    <w:rPr>
                      <w:rFonts w:cs="Times New Roman"/>
                      <w:kern w:val="0"/>
                      <w:sz w:val="21"/>
                      <w:szCs w:val="21"/>
                    </w:rPr>
                  </w:pPr>
                  <w:r>
                    <w:rPr>
                      <w:rFonts w:cs="Times New Roman"/>
                      <w:kern w:val="0"/>
                      <w:sz w:val="21"/>
                      <w:szCs w:val="21"/>
                    </w:rPr>
                    <w:t>4、印刷</w:t>
                  </w:r>
                </w:p>
                <w:p w14:paraId="45E47ED6">
                  <w:pPr>
                    <w:spacing w:line="240" w:lineRule="auto"/>
                    <w:ind w:firstLine="0" w:firstLineChars="0"/>
                    <w:rPr>
                      <w:rFonts w:cs="Times New Roman"/>
                      <w:sz w:val="21"/>
                      <w:szCs w:val="21"/>
                    </w:rPr>
                  </w:pPr>
                  <w:r>
                    <w:rPr>
                      <w:rFonts w:cs="Times New Roman"/>
                      <w:kern w:val="0"/>
                      <w:sz w:val="21"/>
                      <w:szCs w:val="21"/>
                    </w:rPr>
                    <w:t>标志的图形和文字应清晰、完整，保证在足够的观察距离条件下也不影响阅读。三角形警告性图形与其他信息间宜加黑色分界线区分，分界线的宽度宜不小于3mm。</w:t>
                  </w:r>
                </w:p>
              </w:tc>
            </w:tr>
            <w:tr w14:paraId="7876B8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366" w:type="pct"/>
                  <w:vAlign w:val="center"/>
                </w:tcPr>
                <w:p w14:paraId="39EE655A">
                  <w:pPr>
                    <w:spacing w:line="240" w:lineRule="auto"/>
                    <w:ind w:firstLine="0" w:firstLineChars="0"/>
                    <w:jc w:val="center"/>
                    <w:rPr>
                      <w:rFonts w:cs="Times New Roman"/>
                      <w:sz w:val="21"/>
                      <w:szCs w:val="21"/>
                    </w:rPr>
                  </w:pPr>
                  <w:r>
                    <w:rPr>
                      <w:rFonts w:hint="eastAsia" w:ascii="宋体" w:hAnsi="宋体" w:cs="宋体"/>
                      <w:sz w:val="21"/>
                      <w:szCs w:val="21"/>
                    </w:rPr>
                    <w:t>粘贴于危险废物储存容器</w:t>
                  </w:r>
                </w:p>
              </w:tc>
              <w:tc>
                <w:tcPr>
                  <w:tcW w:w="1905" w:type="pct"/>
                  <w:vAlign w:val="center"/>
                </w:tcPr>
                <w:p w14:paraId="09B3007F">
                  <w:pPr>
                    <w:spacing w:line="240" w:lineRule="auto"/>
                    <w:ind w:firstLine="0" w:firstLineChars="0"/>
                    <w:jc w:val="center"/>
                    <w:rPr>
                      <w:rFonts w:cs="Times New Roman"/>
                      <w:sz w:val="21"/>
                      <w:szCs w:val="21"/>
                    </w:rPr>
                  </w:pPr>
                  <w:r>
                    <w:rPr>
                      <w:rFonts w:hint="eastAsia" w:ascii="宋体" w:hAnsi="宋体" w:cs="宋体"/>
                      <w:sz w:val="21"/>
                      <w:szCs w:val="21"/>
                    </w:rPr>
                    <w:drawing>
                      <wp:inline distT="0" distB="0" distL="0" distR="0">
                        <wp:extent cx="1856740" cy="1856740"/>
                        <wp:effectExtent l="0" t="0" r="10160" b="10160"/>
                        <wp:docPr id="4" name="图片 4" descr="f019db8573dcdbf680efac9fde36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019db8573dcdbf680efac9fde3676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856740" cy="1856740"/>
                                </a:xfrm>
                                <a:prstGeom prst="rect">
                                  <a:avLst/>
                                </a:prstGeom>
                                <a:noFill/>
                                <a:ln>
                                  <a:noFill/>
                                </a:ln>
                              </pic:spPr>
                            </pic:pic>
                          </a:graphicData>
                        </a:graphic>
                      </wp:inline>
                    </w:drawing>
                  </w:r>
                </w:p>
              </w:tc>
              <w:tc>
                <w:tcPr>
                  <w:tcW w:w="2729" w:type="pct"/>
                  <w:vAlign w:val="center"/>
                </w:tcPr>
                <w:p w14:paraId="09C02297">
                  <w:pPr>
                    <w:spacing w:line="300" w:lineRule="exact"/>
                    <w:ind w:firstLine="0" w:firstLineChars="0"/>
                    <w:textAlignment w:val="auto"/>
                    <w:rPr>
                      <w:rFonts w:cs="Times New Roman"/>
                      <w:sz w:val="21"/>
                      <w:szCs w:val="21"/>
                    </w:rPr>
                  </w:pPr>
                  <w:r>
                    <w:rPr>
                      <w:rFonts w:cs="Times New Roman"/>
                      <w:sz w:val="21"/>
                      <w:szCs w:val="21"/>
                    </w:rPr>
                    <w:t>1、危险废物标签背景色应采用醒目的橘黄色，RGB颜色值为(255,150,0)。标签边框和字体颜色为黑色，RGB颜色值为(0,0,0)。</w:t>
                  </w:r>
                </w:p>
                <w:p w14:paraId="2AFBA15F">
                  <w:pPr>
                    <w:spacing w:line="300" w:lineRule="exact"/>
                    <w:ind w:firstLine="0" w:firstLineChars="0"/>
                    <w:textAlignment w:val="auto"/>
                    <w:rPr>
                      <w:rFonts w:cs="Times New Roman"/>
                      <w:sz w:val="21"/>
                      <w:szCs w:val="21"/>
                    </w:rPr>
                  </w:pPr>
                  <w:r>
                    <w:rPr>
                      <w:rFonts w:cs="Times New Roman"/>
                      <w:sz w:val="21"/>
                      <w:szCs w:val="21"/>
                    </w:rPr>
                    <w:t>2、危险废物标签字体宜采用黑体字，其中“危险废物”字样应加粗放大。</w:t>
                  </w:r>
                </w:p>
                <w:p w14:paraId="126A7AED">
                  <w:pPr>
                    <w:spacing w:line="300" w:lineRule="exact"/>
                    <w:ind w:firstLine="0" w:firstLineChars="0"/>
                    <w:textAlignment w:val="auto"/>
                    <w:rPr>
                      <w:rFonts w:cs="Times New Roman"/>
                      <w:sz w:val="21"/>
                      <w:szCs w:val="21"/>
                    </w:rPr>
                  </w:pPr>
                  <w:r>
                    <w:rPr>
                      <w:rFonts w:cs="Times New Roman"/>
                      <w:sz w:val="21"/>
                      <w:szCs w:val="21"/>
                    </w:rPr>
                    <w:t>3、尺寸:</w:t>
                  </w:r>
                </w:p>
                <w:tbl>
                  <w:tblPr>
                    <w:tblStyle w:val="24"/>
                    <w:tblW w:w="4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8"/>
                    <w:gridCol w:w="1428"/>
                    <w:gridCol w:w="1302"/>
                  </w:tblGrid>
                  <w:tr w14:paraId="220D8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748" w:type="pct"/>
                      </w:tcPr>
                      <w:p w14:paraId="19FA9F88">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容器或包装物容积（L)</w:t>
                        </w:r>
                      </w:p>
                    </w:tc>
                    <w:tc>
                      <w:tcPr>
                        <w:tcW w:w="1700" w:type="pct"/>
                      </w:tcPr>
                      <w:p w14:paraId="3EC6D82F">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标签最小尺寸（mm×mm）</w:t>
                        </w:r>
                      </w:p>
                    </w:tc>
                    <w:tc>
                      <w:tcPr>
                        <w:tcW w:w="1550" w:type="pct"/>
                      </w:tcPr>
                      <w:p w14:paraId="6D604A4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低文字高度（mm）</w:t>
                        </w:r>
                      </w:p>
                    </w:tc>
                  </w:tr>
                  <w:tr w14:paraId="0CAF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748" w:type="pct"/>
                      </w:tcPr>
                      <w:p w14:paraId="7D2F43E6">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≤50</w:t>
                        </w:r>
                      </w:p>
                    </w:tc>
                    <w:tc>
                      <w:tcPr>
                        <w:tcW w:w="1700" w:type="pct"/>
                      </w:tcPr>
                      <w:p w14:paraId="194CB98E">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100×100</w:t>
                        </w:r>
                      </w:p>
                    </w:tc>
                    <w:tc>
                      <w:tcPr>
                        <w:tcW w:w="1550" w:type="pct"/>
                      </w:tcPr>
                      <w:p w14:paraId="2F773EC0">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3</w:t>
                        </w:r>
                      </w:p>
                    </w:tc>
                  </w:tr>
                  <w:tr w14:paraId="7F2A6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48" w:type="pct"/>
                      </w:tcPr>
                      <w:p w14:paraId="32BE2C02">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＞50～≤450</w:t>
                        </w:r>
                      </w:p>
                    </w:tc>
                    <w:tc>
                      <w:tcPr>
                        <w:tcW w:w="1700" w:type="pct"/>
                      </w:tcPr>
                      <w:p w14:paraId="44AB13A8">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150×150</w:t>
                        </w:r>
                      </w:p>
                    </w:tc>
                    <w:tc>
                      <w:tcPr>
                        <w:tcW w:w="1550" w:type="pct"/>
                      </w:tcPr>
                      <w:p w14:paraId="721DE015">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5</w:t>
                        </w:r>
                      </w:p>
                    </w:tc>
                  </w:tr>
                  <w:tr w14:paraId="35B1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748" w:type="pct"/>
                      </w:tcPr>
                      <w:p w14:paraId="19B6D83C">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＞450</w:t>
                        </w:r>
                      </w:p>
                    </w:tc>
                    <w:tc>
                      <w:tcPr>
                        <w:tcW w:w="1700" w:type="pct"/>
                      </w:tcPr>
                      <w:p w14:paraId="16923377">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200×200</w:t>
                        </w:r>
                      </w:p>
                    </w:tc>
                    <w:tc>
                      <w:tcPr>
                        <w:tcW w:w="1550" w:type="pct"/>
                      </w:tcPr>
                      <w:p w14:paraId="01CD2284">
                        <w:pPr>
                          <w:adjustRightInd w:val="0"/>
                          <w:snapToGrid w:val="0"/>
                          <w:spacing w:line="240" w:lineRule="auto"/>
                          <w:ind w:firstLine="0" w:firstLineChars="0"/>
                          <w:jc w:val="center"/>
                          <w:textAlignment w:val="auto"/>
                          <w:rPr>
                            <w:rFonts w:cs="Times New Roman"/>
                            <w:kern w:val="0"/>
                            <w:sz w:val="21"/>
                            <w:szCs w:val="21"/>
                          </w:rPr>
                        </w:pPr>
                        <w:r>
                          <w:rPr>
                            <w:rFonts w:cs="Times New Roman"/>
                            <w:kern w:val="0"/>
                            <w:sz w:val="21"/>
                            <w:szCs w:val="21"/>
                          </w:rPr>
                          <w:t>6</w:t>
                        </w:r>
                      </w:p>
                    </w:tc>
                  </w:tr>
                </w:tbl>
                <w:p w14:paraId="0483558D">
                  <w:pPr>
                    <w:spacing w:line="300" w:lineRule="exact"/>
                    <w:ind w:firstLine="0" w:firstLineChars="0"/>
                    <w:textAlignment w:val="auto"/>
                    <w:rPr>
                      <w:rFonts w:cs="Times New Roman"/>
                      <w:kern w:val="0"/>
                      <w:sz w:val="21"/>
                      <w:szCs w:val="21"/>
                    </w:rPr>
                  </w:pPr>
                  <w:r>
                    <w:rPr>
                      <w:rFonts w:cs="Times New Roman"/>
                      <w:kern w:val="0"/>
                      <w:sz w:val="21"/>
                      <w:szCs w:val="21"/>
                    </w:rPr>
                    <w:t>4、材质</w:t>
                  </w:r>
                </w:p>
                <w:p w14:paraId="3D75AC08">
                  <w:pPr>
                    <w:spacing w:line="300" w:lineRule="exact"/>
                    <w:ind w:firstLine="0" w:firstLineChars="0"/>
                    <w:textAlignment w:val="auto"/>
                    <w:rPr>
                      <w:rFonts w:cs="Times New Roman"/>
                      <w:kern w:val="0"/>
                      <w:sz w:val="21"/>
                      <w:szCs w:val="21"/>
                    </w:rPr>
                  </w:pPr>
                  <w:r>
                    <w:rPr>
                      <w:rFonts w:cs="Times New Roman"/>
                      <w:kern w:val="0"/>
                      <w:sz w:val="21"/>
                      <w:szCs w:val="21"/>
                    </w:rPr>
                    <w:t>宜具有一定的耐用性和防水性。标签可采用不干胶印刷品，或印刷品外加防水塑料袋或塑封等。</w:t>
                  </w:r>
                </w:p>
                <w:p w14:paraId="66559661">
                  <w:pPr>
                    <w:spacing w:line="300" w:lineRule="exact"/>
                    <w:ind w:firstLine="0" w:firstLineChars="0"/>
                    <w:textAlignment w:val="auto"/>
                    <w:rPr>
                      <w:rFonts w:cs="Times New Roman"/>
                      <w:kern w:val="0"/>
                      <w:sz w:val="21"/>
                      <w:szCs w:val="21"/>
                    </w:rPr>
                  </w:pPr>
                  <w:r>
                    <w:rPr>
                      <w:rFonts w:cs="Times New Roman"/>
                      <w:kern w:val="0"/>
                      <w:sz w:val="21"/>
                      <w:szCs w:val="21"/>
                    </w:rPr>
                    <w:t>5、印刷</w:t>
                  </w:r>
                </w:p>
                <w:p w14:paraId="52E00D9A">
                  <w:pPr>
                    <w:spacing w:line="300" w:lineRule="exact"/>
                    <w:ind w:firstLine="0" w:firstLineChars="0"/>
                    <w:rPr>
                      <w:rFonts w:cs="Times New Roman"/>
                      <w:kern w:val="0"/>
                      <w:sz w:val="28"/>
                      <w:szCs w:val="20"/>
                    </w:rPr>
                  </w:pPr>
                  <w:r>
                    <w:rPr>
                      <w:rFonts w:cs="Times New Roman"/>
                      <w:kern w:val="0"/>
                      <w:sz w:val="21"/>
                      <w:szCs w:val="21"/>
                    </w:rPr>
                    <w:t>危险废物标签印刷的油墨应均匀，图案和文字应清晰、完整。危险废物标签的文字边缘宜加黑色边框，边框宽度不小于1mm，边框外宜留不小于3mm的空白。</w:t>
                  </w:r>
                </w:p>
              </w:tc>
            </w:tr>
          </w:tbl>
          <w:p w14:paraId="7D9DFF85">
            <w:pPr>
              <w:pStyle w:val="23"/>
              <w:adjustRightInd w:val="0"/>
              <w:snapToGrid w:val="0"/>
              <w:spacing w:after="0"/>
            </w:pPr>
            <w:r>
              <w:rPr>
                <w:rFonts w:hint="eastAsia"/>
              </w:rPr>
              <w:t>（</w:t>
            </w:r>
            <w:r>
              <w:t>3</w:t>
            </w:r>
            <w:r>
              <w:rPr>
                <w:rFonts w:hint="eastAsia"/>
              </w:rPr>
              <w:t>）台账管理制度</w:t>
            </w:r>
          </w:p>
          <w:p w14:paraId="3160956B">
            <w:pPr>
              <w:pStyle w:val="23"/>
              <w:adjustRightInd w:val="0"/>
              <w:snapToGrid w:val="0"/>
              <w:spacing w:after="0"/>
            </w:pPr>
            <w:r>
              <w:rPr>
                <w:rFonts w:hint="eastAsia"/>
              </w:rPr>
              <w:t>①台账录入要及时、准确、清晰，便于查看。</w:t>
            </w:r>
          </w:p>
          <w:p w14:paraId="6150E656">
            <w:pPr>
              <w:pStyle w:val="23"/>
              <w:adjustRightInd w:val="0"/>
              <w:snapToGrid w:val="0"/>
              <w:spacing w:after="0"/>
            </w:pPr>
            <w:r>
              <w:rPr>
                <w:rFonts w:hint="eastAsia"/>
              </w:rPr>
              <w:t>②台账要专人录入，数据、信息、记录内容要真实，与实际相符。</w:t>
            </w:r>
          </w:p>
          <w:p w14:paraId="77A1617B">
            <w:pPr>
              <w:pStyle w:val="23"/>
              <w:adjustRightInd w:val="0"/>
              <w:snapToGrid w:val="0"/>
              <w:spacing w:after="0"/>
            </w:pPr>
            <w:r>
              <w:rPr>
                <w:rFonts w:hint="eastAsia"/>
              </w:rPr>
              <w:t>③台账要设专人管理，定点存放。无关人员不得随意移动、查看。</w:t>
            </w:r>
          </w:p>
          <w:p w14:paraId="0525AFA3">
            <w:pPr>
              <w:pStyle w:val="23"/>
              <w:adjustRightInd w:val="0"/>
              <w:snapToGrid w:val="0"/>
              <w:spacing w:after="0"/>
            </w:pPr>
            <w:r>
              <w:rPr>
                <w:rFonts w:hint="eastAsia"/>
              </w:rPr>
              <w:t>④重要台账必须以纸版与电子版两种形式保存。</w:t>
            </w:r>
          </w:p>
          <w:p w14:paraId="11CFAEC0">
            <w:pPr>
              <w:pStyle w:val="23"/>
              <w:adjustRightInd w:val="0"/>
              <w:snapToGrid w:val="0"/>
              <w:spacing w:after="0"/>
            </w:pPr>
            <w:r>
              <w:rPr>
                <w:rFonts w:hint="eastAsia"/>
              </w:rPr>
              <w:t>⑤业务部定期对台账数据进行审核，定期检查台账录入内容，确保台账数据的准确性、及时性和完整性。</w:t>
            </w:r>
            <w:bookmarkStart w:id="27" w:name="_GoBack"/>
            <w:bookmarkEnd w:id="27"/>
          </w:p>
          <w:p w14:paraId="676FA782">
            <w:pPr>
              <w:pStyle w:val="23"/>
              <w:adjustRightInd w:val="0"/>
              <w:snapToGrid w:val="0"/>
              <w:spacing w:after="0"/>
            </w:pPr>
            <w:r>
              <w:rPr>
                <w:rFonts w:hint="eastAsia"/>
              </w:rPr>
              <w:t>⑥安全台账应与其他台账分开放置，由专职安全员亲自管理。所有台账盒签必须统一打印，名称清楚、完整。项目产生的固体废物得到了合理处置或综合利用，不会对周围环境产生影响。</w:t>
            </w:r>
          </w:p>
          <w:p w14:paraId="417A0310">
            <w:pPr>
              <w:pStyle w:val="23"/>
              <w:adjustRightInd w:val="0"/>
              <w:snapToGrid w:val="0"/>
              <w:spacing w:after="0"/>
            </w:pPr>
            <w:r>
              <w:rPr>
                <w:rFonts w:hint="eastAsia"/>
              </w:rPr>
              <w:t>（</w:t>
            </w:r>
            <w:r>
              <w:t>4</w:t>
            </w:r>
            <w:r>
              <w:rPr>
                <w:rFonts w:hint="eastAsia"/>
              </w:rPr>
              <w:t>）环境管理制度</w:t>
            </w:r>
          </w:p>
          <w:p w14:paraId="00D458AE">
            <w:pPr>
              <w:pStyle w:val="23"/>
              <w:adjustRightInd w:val="0"/>
              <w:snapToGrid w:val="0"/>
              <w:spacing w:after="0"/>
            </w:pPr>
            <w:r>
              <w:rPr>
                <w:rFonts w:hint="eastAsia"/>
              </w:rPr>
              <w:t>一般工业固体废物管理要求：根据《一般工业固废台账管理指南（试行）》中台账记录要求建议建设单位建立电子台账，实现一般工业固体废物管理台账的数字化、信息化。</w:t>
            </w:r>
          </w:p>
          <w:p w14:paraId="6D5AB2D8">
            <w:pPr>
              <w:pStyle w:val="23"/>
              <w:adjustRightInd w:val="0"/>
              <w:snapToGrid w:val="0"/>
              <w:spacing w:after="0"/>
            </w:pPr>
            <w:r>
              <w:rPr>
                <w:rFonts w:hint="eastAsia"/>
              </w:rPr>
              <w:t>①一般工业固体废物管理台账实施分级管理。记录固体废物的基础信息及流向信息、产生、贮存以及自行利用处置的详细信息。</w:t>
            </w:r>
          </w:p>
          <w:p w14:paraId="4B8C0C0B">
            <w:pPr>
              <w:pStyle w:val="23"/>
              <w:adjustRightInd w:val="0"/>
              <w:snapToGrid w:val="0"/>
              <w:spacing w:after="0"/>
            </w:pPr>
            <w:r>
              <w:rPr>
                <w:rFonts w:hint="eastAsia"/>
              </w:rPr>
              <w:t>②根据实际生产运营情况填写固体废物产生信息，如实按月记录固体废物的产生、贮存、利用、处置数量等信息；按批次填写每一批固体废物的出厂以及流向信息。</w:t>
            </w:r>
          </w:p>
          <w:p w14:paraId="56B6E5E0">
            <w:pPr>
              <w:pStyle w:val="23"/>
              <w:adjustRightInd w:val="0"/>
              <w:snapToGrid w:val="0"/>
              <w:spacing w:after="0"/>
            </w:pPr>
            <w:r>
              <w:rPr>
                <w:rFonts w:hint="eastAsia"/>
              </w:rPr>
              <w:t>③确保每一批次的固体废物来源信息与流向信息、数量信息与人员信息一一对应。对于批次产生的固体废物应按次记录，对于连续产生的固体废物应按日记录。</w:t>
            </w:r>
          </w:p>
          <w:p w14:paraId="419DA116">
            <w:pPr>
              <w:pStyle w:val="23"/>
              <w:adjustRightInd w:val="0"/>
              <w:snapToGrid w:val="0"/>
              <w:spacing w:after="0"/>
            </w:pPr>
            <w:r>
              <w:rPr>
                <w:rFonts w:hint="eastAsia"/>
              </w:rPr>
              <w:t>④一般工业固体废物管理台账应由专人管理，防止遗失。一般工业固体废物管理台账保存期限不少于5年。</w:t>
            </w:r>
          </w:p>
          <w:p w14:paraId="5739933F">
            <w:pPr>
              <w:pStyle w:val="23"/>
              <w:adjustRightInd w:val="0"/>
              <w:snapToGrid w:val="0"/>
              <w:spacing w:after="0"/>
            </w:pPr>
            <w:r>
              <w:rPr>
                <w:rFonts w:hint="eastAsia"/>
              </w:rPr>
              <w:t>危险废物管理要求：根据《危险废物管理计划和管理台账制定技术导则》（HJ1259-2022）分类管理要求实行危险废物登记管理。</w:t>
            </w:r>
          </w:p>
          <w:p w14:paraId="56D2B1F3">
            <w:pPr>
              <w:pStyle w:val="23"/>
              <w:adjustRightInd w:val="0"/>
              <w:snapToGrid w:val="0"/>
              <w:spacing w:after="0"/>
            </w:pPr>
            <w:r>
              <w:rPr>
                <w:rFonts w:hint="eastAsia"/>
              </w:rPr>
              <w:t>⑤按年度制定危险废物管理计划。</w:t>
            </w:r>
          </w:p>
          <w:p w14:paraId="6C019DDA">
            <w:pPr>
              <w:pStyle w:val="23"/>
              <w:adjustRightInd w:val="0"/>
              <w:snapToGrid w:val="0"/>
              <w:spacing w:after="0"/>
            </w:pPr>
            <w:r>
              <w:rPr>
                <w:rFonts w:hint="eastAsia"/>
              </w:rPr>
              <w:t>⑥每年3月31日前通过国家危险废物信息管理系统在线填写并提交当年度的危险废物管理计划，由国家危险废物信息管理系统自动生成备案编号和回执，完成备案。</w:t>
            </w:r>
          </w:p>
          <w:p w14:paraId="1511A796">
            <w:pPr>
              <w:pStyle w:val="23"/>
              <w:adjustRightInd w:val="0"/>
              <w:snapToGrid w:val="0"/>
              <w:spacing w:after="0"/>
            </w:pPr>
            <w:r>
              <w:rPr>
                <w:rFonts w:hint="eastAsia"/>
              </w:rPr>
              <w:t>（</w:t>
            </w:r>
            <w:r>
              <w:t>5</w:t>
            </w:r>
            <w:r>
              <w:rPr>
                <w:rFonts w:hint="eastAsia"/>
              </w:rPr>
              <w:t>）危险废物转移要求：</w:t>
            </w:r>
          </w:p>
          <w:p w14:paraId="6156F4D7">
            <w:pPr>
              <w:pStyle w:val="23"/>
              <w:adjustRightInd w:val="0"/>
              <w:snapToGrid w:val="0"/>
              <w:spacing w:after="0"/>
            </w:pPr>
            <w:r>
              <w:rPr>
                <w:rFonts w:hint="eastAsia"/>
              </w:rPr>
              <w:t>危险废物委托有资质单位处置过程必须按照国家《危险废物转移管理办法》（生态 环境部 公安部 交通运输部 部令 第 23号）执行。</w:t>
            </w:r>
          </w:p>
          <w:p w14:paraId="5FFBC3A8">
            <w:pPr>
              <w:pStyle w:val="23"/>
              <w:adjustRightInd w:val="0"/>
              <w:snapToGrid w:val="0"/>
              <w:spacing w:after="0"/>
            </w:pPr>
            <w:r>
              <w:rPr>
                <w:rFonts w:hint="eastAsia"/>
              </w:rPr>
              <w:t>①危险废物转移联单应当根据危险废物管理计划中填报的危险废物转移等备案信息填写、运行。</w:t>
            </w:r>
          </w:p>
          <w:p w14:paraId="588DDEEB">
            <w:pPr>
              <w:pStyle w:val="23"/>
              <w:adjustRightInd w:val="0"/>
              <w:snapToGrid w:val="0"/>
              <w:spacing w:after="0"/>
            </w:pPr>
            <w:r>
              <w:rPr>
                <w:rFonts w:hint="eastAsia"/>
              </w:rPr>
              <w:t>②危险废物转移联单实行全国统一编号，编号由十四位阿拉伯数字组成。第一至四位数字为年份代码；第五、六位数字为移出地省级行政区划代码；第七、八位数字为移出地设区的市级行政区划代码；其余六位数字以移出地设区的市级行政区域为单位进行流水编号。</w:t>
            </w:r>
          </w:p>
          <w:p w14:paraId="55ADC3DF">
            <w:pPr>
              <w:pStyle w:val="23"/>
              <w:adjustRightInd w:val="0"/>
              <w:snapToGrid w:val="0"/>
              <w:spacing w:after="0"/>
            </w:pPr>
            <w:r>
              <w:rPr>
                <w:rFonts w:hint="eastAsia"/>
              </w:rPr>
              <w:t>③移出人每转移一车（船或者其他运输工具）次同类危险废物，应当填写、运行一份危险废物转移联单；每车（船或者其他运输工具）次转移多类危险废物的，可以填写、运行一份危险废物转移联单，也可以每一类危险废物填写、运行一份危险废物转移联单。使用同一车（船或者其他运输工具）一次为多个移出人转移危险废物的，每个移出人应当分别填写、运行危险废物转移联单。</w:t>
            </w:r>
          </w:p>
          <w:p w14:paraId="06402E70">
            <w:pPr>
              <w:pStyle w:val="23"/>
              <w:adjustRightInd w:val="0"/>
              <w:snapToGrid w:val="0"/>
              <w:spacing w:after="0"/>
            </w:pPr>
            <w:r>
              <w:rPr>
                <w:rFonts w:hint="eastAsia"/>
              </w:rPr>
              <w:t>④采用联运方式转移危险废物的，前一承运人和后一承运人应当明确运输交接的时间和地点。后一承运人应当核实危险废物转移联单确定的移出人信息、前一承运人信息及危险废物相关信息。</w:t>
            </w:r>
          </w:p>
          <w:p w14:paraId="67422BCB">
            <w:pPr>
              <w:pStyle w:val="23"/>
              <w:adjustRightInd w:val="0"/>
              <w:snapToGrid w:val="0"/>
              <w:spacing w:after="0"/>
            </w:pPr>
            <w:r>
              <w:rPr>
                <w:rFonts w:hint="eastAsia"/>
              </w:rPr>
              <w:t>⑤接受人应当对运抵的危险废物进行核实验收，并在接受之日起五个工作日内通过信息系统确认接受。运抵的危险废物的名称、数量、特性、形态、包装方式与危险废物转移联单填写内容不符的，接受人应当及时告知移出人，视情况决定是否接受，同时向接受地生态环境主管部门报告。</w:t>
            </w:r>
          </w:p>
          <w:p w14:paraId="7096F1EB">
            <w:pPr>
              <w:pStyle w:val="23"/>
              <w:adjustRightInd w:val="0"/>
              <w:snapToGrid w:val="0"/>
              <w:spacing w:after="0"/>
            </w:pPr>
            <w:r>
              <w:rPr>
                <w:rFonts w:hint="eastAsia"/>
              </w:rPr>
              <w:t>⑥对不通过车（船或者其他运输工具），且无法按次对危险废物计量的其他方式转移危险废物的，移出人和接受人应当分别配备计量记录设备，将每天危险废物转移的种类、重量（数量）、形态和危险特性等信息纳入相关台账记录，并根据所在地设区的市级以上地方生态环境主管部门的要求填写、运行危险废物转移联单。</w:t>
            </w:r>
          </w:p>
          <w:p w14:paraId="69CBC924">
            <w:pPr>
              <w:pStyle w:val="23"/>
              <w:adjustRightInd w:val="0"/>
              <w:snapToGrid w:val="0"/>
              <w:spacing w:after="0"/>
            </w:pPr>
            <w:r>
              <w:rPr>
                <w:rFonts w:hint="eastAsia"/>
              </w:rPr>
              <w:t>⑦危险废物电子转移联单数据应当在信息系统中至少保存十年。因特殊原因无法运行危险废物电子转移联单的，可以先使用纸质转移联单，并于转移活动完成后十个工作日内在信息系统中补录电子转移联单。</w:t>
            </w:r>
          </w:p>
          <w:p w14:paraId="49F0652F">
            <w:pPr>
              <w:pStyle w:val="23"/>
              <w:adjustRightInd w:val="0"/>
              <w:snapToGrid w:val="0"/>
              <w:spacing w:after="0"/>
              <w:ind w:firstLine="0" w:firstLineChars="0"/>
              <w:rPr>
                <w:rFonts w:cs="Times New Roman"/>
                <w:b/>
                <w:bCs/>
                <w:snapToGrid w:val="0"/>
                <w:color w:val="000000"/>
                <w:kern w:val="0"/>
                <w:szCs w:val="24"/>
              </w:rPr>
            </w:pPr>
            <w:r>
              <w:rPr>
                <w:rFonts w:cs="Times New Roman"/>
                <w:b/>
                <w:bCs/>
                <w:snapToGrid w:val="0"/>
                <w:color w:val="000000"/>
                <w:kern w:val="0"/>
                <w:szCs w:val="24"/>
              </w:rPr>
              <w:t>4.2.4.</w:t>
            </w:r>
            <w:r>
              <w:rPr>
                <w:rFonts w:hint="eastAsia" w:cs="Times New Roman"/>
                <w:b/>
                <w:bCs/>
                <w:snapToGrid w:val="0"/>
                <w:color w:val="000000"/>
                <w:kern w:val="0"/>
                <w:szCs w:val="24"/>
              </w:rPr>
              <w:t>3固废环境影响评价结论</w:t>
            </w:r>
          </w:p>
          <w:p w14:paraId="27E75C33">
            <w:pPr>
              <w:pStyle w:val="23"/>
              <w:adjustRightInd w:val="0"/>
              <w:snapToGrid w:val="0"/>
              <w:spacing w:after="0"/>
              <w:rPr>
                <w:color w:val="000000" w:themeColor="text1"/>
                <w14:textFill>
                  <w14:solidFill>
                    <w14:schemeClr w14:val="tx1"/>
                  </w14:solidFill>
                </w14:textFill>
              </w:rPr>
            </w:pPr>
            <w:r>
              <w:rPr>
                <w:rFonts w:hint="eastAsia"/>
              </w:rPr>
              <w:t>本项目产生的生活垃圾集中收集至专用垃圾箱，由当地环卫部门统一清运处置；轻质杂质集中收集后，就近拉运至一般工业固废填埋场，实现资源化利用；沉淀池沉渣以无机颗粒物为主，无危险</w:t>
            </w:r>
            <w:r>
              <w:rPr>
                <w:rFonts w:hint="eastAsia"/>
                <w:color w:val="000000" w:themeColor="text1"/>
                <w14:textFill>
                  <w14:solidFill>
                    <w14:schemeClr w14:val="tx1"/>
                  </w14:solidFill>
                </w14:textFill>
              </w:rPr>
              <w:t>特性，性质稳定，</w:t>
            </w:r>
            <w:r>
              <w:rPr>
                <w:rFonts w:ascii="Segoe UI" w:hAnsi="Segoe UI" w:cs="Segoe UI"/>
                <w:color w:val="0F1115"/>
                <w:shd w:val="clear" w:color="auto" w:fill="FFFFFF"/>
              </w:rPr>
              <w:t>经自然晾晒干化后含水率可降低至满足入场要求的水平</w:t>
            </w:r>
            <w:r>
              <w:rPr>
                <w:rFonts w:hint="eastAsia"/>
                <w:color w:val="000000" w:themeColor="text1"/>
                <w14:textFill>
                  <w14:solidFill>
                    <w14:schemeClr w14:val="tx1"/>
                  </w14:solidFill>
                </w14:textFill>
              </w:rPr>
              <w:t>，送往一般工业固废填埋场进行填埋，该方式具有操作简便、能耗低、运行维护成本低等优势；布袋集尘属于一般工业固废，集中收集后，就近拉运至一般工业固废填埋场；废布袋经收集后定期交由厂家回收。</w:t>
            </w:r>
          </w:p>
          <w:p w14:paraId="60E2A98C">
            <w:pPr>
              <w:pStyle w:val="23"/>
              <w:adjustRightInd w:val="0"/>
              <w:snapToGrid w:val="0"/>
              <w:spacing w:after="0"/>
              <w:rPr>
                <w:color w:val="000000" w:themeColor="text1"/>
                <w14:textFill>
                  <w14:solidFill>
                    <w14:schemeClr w14:val="tx1"/>
                  </w14:solidFill>
                </w14:textFill>
              </w:rPr>
            </w:pPr>
            <w:r>
              <w:rPr>
                <w:rFonts w:hint="eastAsia"/>
                <w:color w:val="000000" w:themeColor="text1"/>
                <w14:textFill>
                  <w14:solidFill>
                    <w14:schemeClr w14:val="tx1"/>
                  </w14:solidFill>
                </w14:textFill>
              </w:rPr>
              <w:t>建设单位承诺将在项目投产前，就近选择已建成且具备接收能力的一般工业固废填埋场，签订处置协议，确保固废类别符合入场要求、剩余库容充足，并采用密闭车辆运输。在此前提下，依托处置可行。</w:t>
            </w:r>
          </w:p>
          <w:p w14:paraId="2666A6A0">
            <w:pPr>
              <w:pStyle w:val="23"/>
              <w:adjustRightInd w:val="0"/>
              <w:snapToGrid w:val="0"/>
              <w:spacing w:after="0"/>
              <w:rPr>
                <w:color w:val="000000" w:themeColor="text1"/>
                <w14:textFill>
                  <w14:solidFill>
                    <w14:schemeClr w14:val="tx1"/>
                  </w14:solidFill>
                </w14:textFill>
              </w:rPr>
            </w:pPr>
            <w:r>
              <w:rPr>
                <w:rFonts w:hint="eastAsia"/>
                <w:color w:val="000000" w:themeColor="text1"/>
                <w14:textFill>
                  <w14:solidFill>
                    <w14:schemeClr w14:val="tx1"/>
                  </w14:solidFill>
                </w14:textFill>
              </w:rPr>
              <w:t>危险废物集中收集后，分区存放于危险废物贮存点，定期交由有危险废物处理资质的单位回收处理，并严格执行危险废物转移联单</w:t>
            </w:r>
            <w:r>
              <w:rPr>
                <w:rFonts w:hint="eastAsia"/>
              </w:rPr>
              <w:t>制度。</w:t>
            </w:r>
          </w:p>
          <w:p w14:paraId="4B1306D7">
            <w:pPr>
              <w:pStyle w:val="23"/>
              <w:adjustRightInd w:val="0"/>
              <w:snapToGrid w:val="0"/>
              <w:spacing w:after="0"/>
              <w:rPr>
                <w:color w:val="000000"/>
              </w:rPr>
            </w:pPr>
            <w:r>
              <w:rPr>
                <w:rFonts w:hint="eastAsia"/>
              </w:rPr>
              <w:t>综上，本项目固体废物均得到分类管理与妥善处置，全面落实“减量化、资源化、无害化”原则。在严格落实各项污染防治和管理制度的前提下，固体废物不会对周边环境造成二次</w:t>
            </w:r>
            <w:r>
              <w:rPr>
                <w:rFonts w:hint="eastAsia"/>
                <w:color w:val="000000"/>
              </w:rPr>
              <w:t>污染，环境影响可控，结论可行。</w:t>
            </w:r>
          </w:p>
          <w:p w14:paraId="33FA4138">
            <w:pPr>
              <w:pStyle w:val="23"/>
              <w:adjustRightInd w:val="0"/>
              <w:snapToGrid w:val="0"/>
              <w:spacing w:after="0"/>
              <w:ind w:firstLine="0" w:firstLineChars="0"/>
              <w:rPr>
                <w:b/>
                <w:bCs/>
                <w:color w:val="000000"/>
              </w:rPr>
            </w:pPr>
            <w:r>
              <w:rPr>
                <w:rFonts w:hint="eastAsia"/>
                <w:b/>
                <w:bCs/>
                <w:color w:val="000000"/>
              </w:rPr>
              <w:t>4</w:t>
            </w:r>
            <w:r>
              <w:rPr>
                <w:b/>
                <w:bCs/>
                <w:color w:val="000000"/>
              </w:rPr>
              <w:t>.</w:t>
            </w:r>
            <w:r>
              <w:rPr>
                <w:rFonts w:hint="eastAsia"/>
                <w:b/>
                <w:bCs/>
                <w:color w:val="000000"/>
              </w:rPr>
              <w:t>3地下水、土壤环境影响分析</w:t>
            </w:r>
          </w:p>
          <w:p w14:paraId="22A4D664">
            <w:pPr>
              <w:pStyle w:val="23"/>
              <w:adjustRightInd w:val="0"/>
              <w:snapToGrid w:val="0"/>
              <w:spacing w:after="0"/>
              <w:rPr>
                <w:rFonts w:cs="Times New Roman"/>
                <w:color w:val="000000"/>
              </w:rPr>
            </w:pPr>
            <w:r>
              <w:rPr>
                <w:color w:val="000000"/>
              </w:rPr>
              <w:t>项目选址内和厂界附</w:t>
            </w:r>
            <w:r>
              <w:rPr>
                <w:rFonts w:cs="Times New Roman"/>
                <w:color w:val="000000"/>
              </w:rPr>
              <w:t>近均为硬化地面。正常生产</w:t>
            </w:r>
            <w:r>
              <w:rPr>
                <w:rFonts w:hint="eastAsia" w:cs="Times New Roman"/>
                <w:color w:val="000000"/>
              </w:rPr>
              <w:t>情况</w:t>
            </w:r>
            <w:r>
              <w:rPr>
                <w:rFonts w:cs="Times New Roman"/>
                <w:color w:val="000000"/>
              </w:rPr>
              <w:t>下，项目固体废物均置于厂</w:t>
            </w:r>
            <w:r>
              <w:rPr>
                <w:rFonts w:hint="eastAsia" w:cs="Times New Roman"/>
                <w:color w:val="000000"/>
              </w:rPr>
              <w:t>房</w:t>
            </w:r>
            <w:r>
              <w:rPr>
                <w:rFonts w:cs="Times New Roman"/>
                <w:color w:val="000000"/>
              </w:rPr>
              <w:t>内储存，</w:t>
            </w:r>
            <w:r>
              <w:rPr>
                <w:rFonts w:hint="eastAsia" w:cs="Times New Roman"/>
                <w:color w:val="000000"/>
              </w:rPr>
              <w:t>原料堆场篷布遮盖，</w:t>
            </w:r>
            <w:r>
              <w:rPr>
                <w:rFonts w:cs="Times New Roman"/>
                <w:color w:val="000000"/>
              </w:rPr>
              <w:t>不存在露天生产或储存的情况，即不存</w:t>
            </w:r>
            <w:r>
              <w:rPr>
                <w:rFonts w:hint="eastAsia" w:cs="Times New Roman"/>
                <w:color w:val="000000"/>
              </w:rPr>
              <w:t>在</w:t>
            </w:r>
            <w:r>
              <w:rPr>
                <w:rFonts w:cs="Times New Roman"/>
                <w:color w:val="000000"/>
              </w:rPr>
              <w:t>受雨水冲刷、淋溶出污染物的情况。</w:t>
            </w:r>
          </w:p>
          <w:p w14:paraId="28C17406">
            <w:pPr>
              <w:pStyle w:val="23"/>
              <w:adjustRightInd w:val="0"/>
              <w:snapToGrid w:val="0"/>
              <w:spacing w:after="0"/>
            </w:pPr>
            <w:r>
              <w:rPr>
                <w:rFonts w:hint="eastAsia"/>
                <w:color w:val="000000"/>
              </w:rPr>
              <w:t>本项目营运过程产生的危险废物均密封包装后存放于危险废物贮存点。此外，项目危险废物贮存点、</w:t>
            </w:r>
            <w:r>
              <w:rPr>
                <w:rFonts w:hint="eastAsia" w:cs="Times New Roman"/>
                <w:color w:val="000000"/>
              </w:rPr>
              <w:t>车间</w:t>
            </w:r>
            <w:r>
              <w:rPr>
                <w:rFonts w:hint="eastAsia"/>
                <w:color w:val="000000"/>
              </w:rPr>
              <w:t>等区域均按要求采取防腐防渗措施，可防止泄漏液体通过地表漫流进入周边水系</w:t>
            </w:r>
            <w:r>
              <w:rPr>
                <w:rFonts w:hint="eastAsia"/>
              </w:rPr>
              <w:t>。</w:t>
            </w:r>
          </w:p>
          <w:p w14:paraId="208CDEC7">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4.3.1</w:t>
            </w:r>
            <w:r>
              <w:rPr>
                <w:rFonts w:hint="eastAsia" w:cs="Times New Roman"/>
                <w:b/>
                <w:bCs/>
                <w:snapToGrid w:val="0"/>
                <w:color w:val="000000"/>
                <w:kern w:val="0"/>
                <w:szCs w:val="24"/>
              </w:rPr>
              <w:t>源头控制措施</w:t>
            </w:r>
          </w:p>
          <w:p w14:paraId="574B2E8A">
            <w:pPr>
              <w:ind w:firstLine="480"/>
              <w:textAlignment w:val="auto"/>
              <w:rPr>
                <w:rFonts w:cs="Times New Roman"/>
                <w:color w:val="000000"/>
              </w:rPr>
            </w:pPr>
            <w:r>
              <w:rPr>
                <w:rFonts w:cs="Times New Roman"/>
                <w:color w:val="000000"/>
              </w:rPr>
              <w:t>（1）按照国家、行业和环保相关规范标准和工艺要求进行相关设备、设施、管道、建（构）筑物的设计和施工；</w:t>
            </w:r>
          </w:p>
          <w:p w14:paraId="7A455173">
            <w:pPr>
              <w:ind w:firstLine="480"/>
              <w:jc w:val="left"/>
              <w:textAlignment w:val="auto"/>
              <w:rPr>
                <w:rFonts w:cs="Times New Roman"/>
                <w:color w:val="000000"/>
              </w:rPr>
            </w:pPr>
            <w:r>
              <w:rPr>
                <w:rFonts w:cs="Times New Roman"/>
                <w:color w:val="000000"/>
              </w:rPr>
              <w:t>（2）在项目使用过程中应严格按照分区防控措施中相应原则进行防腐防渗处理；</w:t>
            </w:r>
          </w:p>
          <w:p w14:paraId="5052A981">
            <w:pPr>
              <w:ind w:firstLine="480"/>
              <w:jc w:val="left"/>
              <w:textAlignment w:val="auto"/>
              <w:rPr>
                <w:rFonts w:cs="Times New Roman"/>
                <w:color w:val="000000"/>
              </w:rPr>
            </w:pPr>
            <w:r>
              <w:rPr>
                <w:rFonts w:cs="Times New Roman"/>
                <w:color w:val="000000"/>
              </w:rPr>
              <w:t>（3）对</w:t>
            </w:r>
            <w:r>
              <w:rPr>
                <w:rFonts w:hint="eastAsia" w:cs="Times New Roman"/>
                <w:color w:val="000000"/>
              </w:rPr>
              <w:t>生产车间</w:t>
            </w:r>
            <w:r>
              <w:rPr>
                <w:rFonts w:cs="Times New Roman"/>
                <w:color w:val="000000"/>
              </w:rPr>
              <w:t>、危险废物</w:t>
            </w:r>
            <w:r>
              <w:rPr>
                <w:rFonts w:hint="eastAsia" w:cs="Times New Roman"/>
                <w:snapToGrid w:val="0"/>
                <w:kern w:val="0"/>
                <w:szCs w:val="24"/>
              </w:rPr>
              <w:t>贮存点</w:t>
            </w:r>
            <w:r>
              <w:rPr>
                <w:rFonts w:cs="Times New Roman"/>
                <w:color w:val="000000"/>
              </w:rPr>
              <w:t>地面每日检查，发现裂缝等及时修补；</w:t>
            </w:r>
          </w:p>
          <w:p w14:paraId="0E3D961A">
            <w:pPr>
              <w:ind w:firstLine="480"/>
              <w:jc w:val="left"/>
              <w:textAlignment w:val="auto"/>
              <w:rPr>
                <w:rFonts w:cs="Times New Roman"/>
                <w:color w:val="000000"/>
              </w:rPr>
            </w:pPr>
            <w:r>
              <w:rPr>
                <w:rFonts w:cs="Times New Roman"/>
                <w:color w:val="000000"/>
              </w:rPr>
              <w:t>（4）定期检查危险废物贮存容器，定期进行更换，防止老化、锈蚀发生</w:t>
            </w:r>
            <w:r>
              <w:rPr>
                <w:rFonts w:hint="eastAsia" w:cs="Times New Roman"/>
                <w:color w:val="000000"/>
              </w:rPr>
              <w:t>泄漏</w:t>
            </w:r>
          </w:p>
          <w:p w14:paraId="6BB42DEC">
            <w:pPr>
              <w:ind w:firstLine="480"/>
              <w:jc w:val="left"/>
              <w:textAlignment w:val="auto"/>
              <w:rPr>
                <w:rFonts w:cs="Times New Roman"/>
                <w:color w:val="000000"/>
              </w:rPr>
            </w:pPr>
            <w:r>
              <w:rPr>
                <w:rFonts w:cs="Times New Roman"/>
                <w:color w:val="000000"/>
              </w:rPr>
              <w:t>（5）</w:t>
            </w:r>
            <w:r>
              <w:rPr>
                <w:rFonts w:hint="eastAsia"/>
                <w:color w:val="000000"/>
              </w:rPr>
              <w:t>危险废物贮存点</w:t>
            </w:r>
            <w:r>
              <w:rPr>
                <w:rFonts w:cs="Times New Roman"/>
                <w:color w:val="000000"/>
              </w:rPr>
              <w:t>地面均进行硬化处理，并喷刷环氧地坪漆；</w:t>
            </w:r>
          </w:p>
          <w:p w14:paraId="7A52A5B3">
            <w:pPr>
              <w:ind w:firstLine="480"/>
              <w:jc w:val="left"/>
              <w:textAlignment w:val="auto"/>
              <w:rPr>
                <w:rFonts w:cs="Times New Roman"/>
                <w:color w:val="000000"/>
              </w:rPr>
            </w:pPr>
            <w:r>
              <w:rPr>
                <w:rFonts w:cs="Times New Roman"/>
                <w:color w:val="000000"/>
              </w:rPr>
              <w:t>（6）定期检测环保设施，防止净化装置损坏导致有毒大气污染物随大气沉降影响土壤环境。通过采用上述源头综合控制措施，可将污染物跑、冒、滴、漏降到最低限度，将渗漏的环境风险事故发生的可能性降低到最低程度</w:t>
            </w:r>
            <w:r>
              <w:rPr>
                <w:rFonts w:hint="eastAsia" w:cs="Times New Roman"/>
                <w:color w:val="000000"/>
              </w:rPr>
              <w:t>。</w:t>
            </w:r>
          </w:p>
          <w:p w14:paraId="4FABC4AE">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4.3.2</w:t>
            </w:r>
            <w:r>
              <w:rPr>
                <w:rFonts w:hint="eastAsia" w:cs="Times New Roman"/>
                <w:b/>
                <w:bCs/>
                <w:snapToGrid w:val="0"/>
                <w:color w:val="000000"/>
                <w:kern w:val="0"/>
                <w:szCs w:val="24"/>
              </w:rPr>
              <w:t>过程控制措施</w:t>
            </w:r>
          </w:p>
          <w:p w14:paraId="0BA51C68">
            <w:pPr>
              <w:ind w:firstLine="480"/>
              <w:jc w:val="left"/>
              <w:textAlignment w:val="auto"/>
              <w:rPr>
                <w:rFonts w:cs="Times New Roman"/>
                <w:color w:val="000000"/>
              </w:rPr>
            </w:pPr>
            <w:r>
              <w:rPr>
                <w:rFonts w:cs="Times New Roman"/>
                <w:color w:val="000000"/>
              </w:rPr>
              <w:t>根据《环境影响评价技术导则 土壤环境》（HJ964-2018）及土壤环境影响评价结果，对本建设项目按照相关的技术要求采取过程阻断、污染物削减和分区防控措施。</w:t>
            </w:r>
            <w:r>
              <w:rPr>
                <w:rFonts w:hint="eastAsia" w:cs="Times New Roman"/>
                <w:color w:val="000000"/>
              </w:rPr>
              <w:t>企业应主要阻断污染物与土壤的直接接触，防止污染物进入土壤环境中</w:t>
            </w:r>
            <w:r>
              <w:rPr>
                <w:rFonts w:cs="Times New Roman"/>
                <w:color w:val="000000"/>
              </w:rPr>
              <w:t>。本项目应根据拟建布局功能实际情况，分别针对大气沉降影响、垂直入渗途径影响，采取相应的过程防控措施。</w:t>
            </w:r>
          </w:p>
          <w:p w14:paraId="583F8969">
            <w:pPr>
              <w:ind w:firstLine="480"/>
              <w:jc w:val="left"/>
              <w:textAlignment w:val="auto"/>
              <w:rPr>
                <w:rFonts w:cs="Times New Roman"/>
                <w:color w:val="000000"/>
              </w:rPr>
            </w:pPr>
            <w:r>
              <w:rPr>
                <w:rFonts w:cs="Times New Roman"/>
                <w:color w:val="000000"/>
              </w:rPr>
              <w:t>（1）涉及大气沉降影响的，占地范围内应采取绿化措施，以种植具有较强吸附能力的植物为主；</w:t>
            </w:r>
          </w:p>
          <w:p w14:paraId="188773DD">
            <w:pPr>
              <w:ind w:firstLine="480"/>
              <w:jc w:val="left"/>
              <w:textAlignment w:val="auto"/>
              <w:rPr>
                <w:rFonts w:cs="Times New Roman"/>
                <w:color w:val="000000"/>
              </w:rPr>
            </w:pPr>
            <w:r>
              <w:rPr>
                <w:rFonts w:cs="Times New Roman"/>
                <w:color w:val="000000"/>
              </w:rPr>
              <w:t>（2）针对</w:t>
            </w:r>
            <w:r>
              <w:rPr>
                <w:rFonts w:hint="eastAsia"/>
                <w:color w:val="000000"/>
              </w:rPr>
              <w:t>危险废物贮存点</w:t>
            </w:r>
            <w:r>
              <w:rPr>
                <w:rFonts w:cs="Times New Roman"/>
                <w:color w:val="000000"/>
              </w:rPr>
              <w:t>等涉及入渗途径影响的，应根据相关标准规范要求，对设备设施采取相应的防渗措施，如地面硬化处理、喷刷环氧地坪漆、设置阻挡围堰等措施，以防止土壤环境污染。</w:t>
            </w:r>
          </w:p>
          <w:p w14:paraId="1F749C49">
            <w:pPr>
              <w:ind w:firstLine="480"/>
              <w:jc w:val="left"/>
              <w:textAlignment w:val="auto"/>
              <w:rPr>
                <w:color w:val="000000"/>
              </w:rPr>
            </w:pPr>
            <w:r>
              <w:rPr>
                <w:rFonts w:cs="Times New Roman"/>
                <w:color w:val="000000"/>
              </w:rPr>
              <w:t>（3）应按上述要求设计实施防渗措施，还应建立定期巡查、检查的制度，及时发现异常或污染，以及结合地下水环境保护措施与对策建立完善的针对风险事故的土壤应急预案，</w:t>
            </w:r>
            <w:r>
              <w:rPr>
                <w:rFonts w:hint="eastAsia"/>
                <w:color w:val="000000"/>
              </w:rPr>
              <w:t>极力避免污染物进入土壤、地下水环境。</w:t>
            </w:r>
          </w:p>
          <w:p w14:paraId="579C5C6F">
            <w:pPr>
              <w:ind w:firstLine="0" w:firstLineChars="0"/>
              <w:textAlignment w:val="auto"/>
              <w:rPr>
                <w:rFonts w:cs="Times New Roman"/>
                <w:b/>
                <w:bCs/>
                <w:snapToGrid w:val="0"/>
                <w:color w:val="000000"/>
                <w:kern w:val="0"/>
                <w:szCs w:val="24"/>
              </w:rPr>
            </w:pPr>
            <w:r>
              <w:rPr>
                <w:rFonts w:cs="Times New Roman"/>
                <w:b/>
                <w:bCs/>
                <w:snapToGrid w:val="0"/>
                <w:color w:val="000000"/>
                <w:kern w:val="0"/>
                <w:szCs w:val="24"/>
              </w:rPr>
              <w:t>4.3.3</w:t>
            </w:r>
            <w:r>
              <w:rPr>
                <w:rFonts w:hint="eastAsia" w:cs="Times New Roman"/>
                <w:b/>
                <w:bCs/>
                <w:snapToGrid w:val="0"/>
                <w:color w:val="000000"/>
                <w:kern w:val="0"/>
                <w:szCs w:val="24"/>
              </w:rPr>
              <w:t>分区防控措施</w:t>
            </w:r>
          </w:p>
          <w:p w14:paraId="2492E5D8">
            <w:pPr>
              <w:ind w:firstLine="480"/>
            </w:pPr>
            <w:r>
              <w:rPr>
                <w:rFonts w:hint="eastAsia"/>
              </w:rPr>
              <w:t>（</w:t>
            </w:r>
            <w:r>
              <w:t>1</w:t>
            </w:r>
            <w:r>
              <w:rPr>
                <w:rFonts w:hint="eastAsia"/>
              </w:rPr>
              <w:t>）源头控制措施</w:t>
            </w:r>
          </w:p>
          <w:p w14:paraId="328848F1">
            <w:pPr>
              <w:ind w:firstLine="480"/>
            </w:pPr>
            <w:r>
              <w:rPr>
                <w:rFonts w:hint="eastAsia"/>
              </w:rPr>
              <w:t>①积极推行实施清洁生产，实现各类废物循环利用，减少污染物的排放量；</w:t>
            </w:r>
          </w:p>
          <w:p w14:paraId="3163053E">
            <w:pPr>
              <w:ind w:firstLine="480"/>
            </w:pPr>
            <w:r>
              <w:rPr>
                <w:rFonts w:hint="eastAsia"/>
              </w:rPr>
              <w:t>②应根据国家现行相关规范加强环境管理，采取防止和降低污染物跑、冒、滴、漏的措施。正常运营过程中应加强巡检及时处理污染物跑、冒、滴、漏，同时应加强对防渗工程的检查，若发现防渗密封材料老化或损坏，应及时维修更换；</w:t>
            </w:r>
          </w:p>
          <w:p w14:paraId="3ECCDE23">
            <w:pPr>
              <w:ind w:firstLine="480"/>
            </w:pPr>
            <w:r>
              <w:rPr>
                <w:rFonts w:hint="eastAsia"/>
              </w:rPr>
              <w:t>③对工艺、管道、设备、污水储存及处理构筑物采取控制措施，防止污染物的跑、冒、滴、漏，将污染物泄漏的环境风险事故降到最低限度。</w:t>
            </w:r>
          </w:p>
          <w:p w14:paraId="5472AA8C">
            <w:pPr>
              <w:ind w:firstLine="480"/>
            </w:pPr>
            <w:r>
              <w:rPr>
                <w:rFonts w:hint="eastAsia"/>
              </w:rPr>
              <w:t>（</w:t>
            </w:r>
            <w:r>
              <w:t>2</w:t>
            </w:r>
            <w:r>
              <w:rPr>
                <w:rFonts w:hint="eastAsia"/>
              </w:rPr>
              <w:t>）分区防控措施</w:t>
            </w:r>
          </w:p>
          <w:p w14:paraId="4E05A1CA">
            <w:pPr>
              <w:ind w:firstLine="480"/>
              <w:rPr>
                <w:lang w:val="zh-CN" w:bidi="zh-CN"/>
              </w:rPr>
            </w:pPr>
            <w:r>
              <w:rPr>
                <w:rFonts w:hint="eastAsia"/>
                <w:lang w:val="zh-CN" w:bidi="zh-CN"/>
              </w:rPr>
              <w:t>根据物料或者污染物泄漏的途径和生产单元所处的位置，将项目区厂区分为重点防渗区、一般防渗区、简单防渗区。</w:t>
            </w:r>
          </w:p>
          <w:p w14:paraId="491C8F8F">
            <w:pPr>
              <w:ind w:firstLine="480"/>
              <w:rPr>
                <w:lang w:val="zh-CN" w:bidi="zh-CN"/>
              </w:rPr>
            </w:pPr>
            <w:r>
              <w:rPr>
                <w:rFonts w:hint="eastAsia"/>
                <w:lang w:val="zh-CN" w:bidi="zh-CN"/>
              </w:rPr>
              <w:t>参照《环境影响评价技术导则 地下水环境》（HJ610-2016）的分区防控措施，根据场地天然包气带防污性能、污染控制难易程度和污染物特性，参照表</w:t>
            </w:r>
            <w:r>
              <w:rPr>
                <w:lang w:val="zh-CN" w:bidi="zh-CN"/>
              </w:rPr>
              <w:t>4</w:t>
            </w:r>
            <w:r>
              <w:rPr>
                <w:rFonts w:hint="eastAsia"/>
                <w:lang w:val="zh-CN" w:bidi="zh-CN"/>
              </w:rPr>
              <w:t>—</w:t>
            </w:r>
            <w:r>
              <w:rPr>
                <w:lang w:val="zh-CN" w:bidi="zh-CN"/>
              </w:rPr>
              <w:t>8</w:t>
            </w:r>
            <w:r>
              <w:rPr>
                <w:rFonts w:hint="eastAsia"/>
                <w:lang w:val="zh-CN" w:bidi="zh-CN"/>
              </w:rPr>
              <w:t>对项目厂区提出防渗技术要求。</w:t>
            </w:r>
          </w:p>
          <w:p w14:paraId="67BC3E3C">
            <w:pPr>
              <w:spacing w:line="240" w:lineRule="auto"/>
              <w:ind w:firstLine="0" w:firstLineChars="0"/>
              <w:jc w:val="center"/>
              <w:rPr>
                <w:b/>
                <w:bCs/>
                <w:sz w:val="21"/>
                <w:szCs w:val="21"/>
                <w:lang w:val="zh-CN"/>
              </w:rPr>
            </w:pPr>
            <w:r>
              <w:rPr>
                <w:rFonts w:hint="eastAsia"/>
                <w:b/>
                <w:bCs/>
                <w:sz w:val="21"/>
                <w:szCs w:val="21"/>
                <w:lang w:val="zh-CN"/>
              </w:rPr>
              <w:t>表4-</w:t>
            </w:r>
            <w:r>
              <w:rPr>
                <w:b/>
                <w:bCs/>
                <w:sz w:val="21"/>
                <w:szCs w:val="21"/>
                <w:lang w:val="zh-CN"/>
              </w:rPr>
              <w:t>10</w:t>
            </w:r>
            <w:r>
              <w:rPr>
                <w:rFonts w:hint="eastAsia"/>
                <w:b/>
                <w:bCs/>
                <w:sz w:val="21"/>
                <w:szCs w:val="21"/>
                <w:lang w:val="zh-CN"/>
              </w:rPr>
              <w:t xml:space="preserve">  地下水污染防渗分区参照表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28" w:type="dxa"/>
                <w:left w:w="0" w:type="dxa"/>
                <w:bottom w:w="28" w:type="dxa"/>
                <w:right w:w="0" w:type="dxa"/>
              </w:tblCellMar>
            </w:tblPr>
            <w:tblGrid>
              <w:gridCol w:w="1445"/>
              <w:gridCol w:w="1415"/>
              <w:gridCol w:w="1128"/>
              <w:gridCol w:w="1733"/>
              <w:gridCol w:w="2958"/>
            </w:tblGrid>
            <w:tr w14:paraId="5DA84D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14:paraId="3BAC631B">
                  <w:pPr>
                    <w:pStyle w:val="32"/>
                    <w:rPr>
                      <w:snapToGrid w:val="0"/>
                    </w:rPr>
                  </w:pPr>
                  <w:r>
                    <w:rPr>
                      <w:snapToGrid w:val="0"/>
                    </w:rPr>
                    <w:t>防渗分区</w:t>
                  </w:r>
                </w:p>
              </w:tc>
              <w:tc>
                <w:tcPr>
                  <w:tcW w:w="1355" w:type="dxa"/>
                  <w:vAlign w:val="center"/>
                </w:tcPr>
                <w:p w14:paraId="5F62DE72">
                  <w:pPr>
                    <w:pStyle w:val="32"/>
                    <w:rPr>
                      <w:snapToGrid w:val="0"/>
                    </w:rPr>
                  </w:pPr>
                  <w:r>
                    <w:rPr>
                      <w:snapToGrid w:val="0"/>
                      <w:spacing w:val="8"/>
                    </w:rPr>
                    <w:t>天</w:t>
                  </w:r>
                  <w:r>
                    <w:rPr>
                      <w:snapToGrid w:val="0"/>
                      <w:spacing w:val="7"/>
                    </w:rPr>
                    <w:t>然包气带</w:t>
                  </w:r>
                  <w:r>
                    <w:rPr>
                      <w:snapToGrid w:val="0"/>
                    </w:rPr>
                    <w:t>防污性能</w:t>
                  </w:r>
                </w:p>
              </w:tc>
              <w:tc>
                <w:tcPr>
                  <w:tcW w:w="1080" w:type="dxa"/>
                  <w:vAlign w:val="center"/>
                </w:tcPr>
                <w:p w14:paraId="6EFC9ADF">
                  <w:pPr>
                    <w:pStyle w:val="32"/>
                    <w:rPr>
                      <w:snapToGrid w:val="0"/>
                    </w:rPr>
                  </w:pPr>
                  <w:r>
                    <w:rPr>
                      <w:snapToGrid w:val="0"/>
                      <w:spacing w:val="7"/>
                    </w:rPr>
                    <w:t>污染控</w:t>
                  </w:r>
                  <w:r>
                    <w:rPr>
                      <w:snapToGrid w:val="0"/>
                      <w:spacing w:val="6"/>
                    </w:rPr>
                    <w:t>制</w:t>
                  </w:r>
                  <w:r>
                    <w:rPr>
                      <w:snapToGrid w:val="0"/>
                      <w:spacing w:val="9"/>
                    </w:rPr>
                    <w:t>难</w:t>
                  </w:r>
                  <w:r>
                    <w:rPr>
                      <w:snapToGrid w:val="0"/>
                      <w:spacing w:val="7"/>
                    </w:rPr>
                    <w:t>易程度</w:t>
                  </w:r>
                </w:p>
              </w:tc>
              <w:tc>
                <w:tcPr>
                  <w:tcW w:w="1660" w:type="dxa"/>
                  <w:vAlign w:val="center"/>
                </w:tcPr>
                <w:p w14:paraId="6BCE4695">
                  <w:pPr>
                    <w:pStyle w:val="32"/>
                    <w:rPr>
                      <w:snapToGrid w:val="0"/>
                    </w:rPr>
                  </w:pPr>
                  <w:r>
                    <w:rPr>
                      <w:snapToGrid w:val="0"/>
                      <w:spacing w:val="8"/>
                    </w:rPr>
                    <w:t>污染物类</w:t>
                  </w:r>
                  <w:r>
                    <w:rPr>
                      <w:snapToGrid w:val="0"/>
                      <w:spacing w:val="7"/>
                    </w:rPr>
                    <w:t>型</w:t>
                  </w:r>
                </w:p>
              </w:tc>
              <w:tc>
                <w:tcPr>
                  <w:tcW w:w="2833" w:type="dxa"/>
                  <w:vAlign w:val="center"/>
                </w:tcPr>
                <w:p w14:paraId="6376BFC8">
                  <w:pPr>
                    <w:pStyle w:val="32"/>
                    <w:rPr>
                      <w:snapToGrid w:val="0"/>
                    </w:rPr>
                  </w:pPr>
                  <w:r>
                    <w:rPr>
                      <w:snapToGrid w:val="0"/>
                      <w:spacing w:val="6"/>
                    </w:rPr>
                    <w:t>防渗技术要求</w:t>
                  </w:r>
                </w:p>
              </w:tc>
            </w:tr>
            <w:tr w14:paraId="732622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restart"/>
                  <w:vAlign w:val="center"/>
                </w:tcPr>
                <w:p w14:paraId="1C9FB234">
                  <w:pPr>
                    <w:pStyle w:val="32"/>
                    <w:rPr>
                      <w:snapToGrid w:val="0"/>
                    </w:rPr>
                  </w:pPr>
                  <w:r>
                    <w:rPr>
                      <w:snapToGrid w:val="0"/>
                      <w:spacing w:val="8"/>
                    </w:rPr>
                    <w:t>重点防渗</w:t>
                  </w:r>
                  <w:r>
                    <w:rPr>
                      <w:snapToGrid w:val="0"/>
                      <w:spacing w:val="7"/>
                    </w:rPr>
                    <w:t>区</w:t>
                  </w:r>
                </w:p>
              </w:tc>
              <w:tc>
                <w:tcPr>
                  <w:tcW w:w="1355" w:type="dxa"/>
                  <w:vAlign w:val="center"/>
                </w:tcPr>
                <w:p w14:paraId="35843242">
                  <w:pPr>
                    <w:pStyle w:val="32"/>
                    <w:rPr>
                      <w:snapToGrid w:val="0"/>
                    </w:rPr>
                  </w:pPr>
                  <w:r>
                    <w:rPr>
                      <w:snapToGrid w:val="0"/>
                    </w:rPr>
                    <w:t>弱</w:t>
                  </w:r>
                </w:p>
              </w:tc>
              <w:tc>
                <w:tcPr>
                  <w:tcW w:w="1080" w:type="dxa"/>
                  <w:vAlign w:val="center"/>
                </w:tcPr>
                <w:p w14:paraId="2B88DEC0">
                  <w:pPr>
                    <w:pStyle w:val="32"/>
                    <w:rPr>
                      <w:snapToGrid w:val="0"/>
                    </w:rPr>
                  </w:pPr>
                  <w:r>
                    <w:rPr>
                      <w:snapToGrid w:val="0"/>
                      <w:spacing w:val="1"/>
                    </w:rPr>
                    <w:t>难</w:t>
                  </w:r>
                </w:p>
              </w:tc>
              <w:tc>
                <w:tcPr>
                  <w:tcW w:w="1660" w:type="dxa"/>
                  <w:vMerge w:val="restart"/>
                  <w:vAlign w:val="center"/>
                </w:tcPr>
                <w:p w14:paraId="3CD63E3F">
                  <w:pPr>
                    <w:pStyle w:val="32"/>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restart"/>
                  <w:vAlign w:val="center"/>
                </w:tcPr>
                <w:p w14:paraId="021ED035">
                  <w:pPr>
                    <w:pStyle w:val="32"/>
                    <w:rPr>
                      <w:snapToGrid w:val="0"/>
                    </w:rPr>
                  </w:pPr>
                  <w:r>
                    <w:rPr>
                      <w:snapToGrid w:val="0"/>
                      <w:spacing w:val="-14"/>
                    </w:rPr>
                    <w:t>等</w:t>
                  </w:r>
                  <w:r>
                    <w:rPr>
                      <w:snapToGrid w:val="0"/>
                      <w:spacing w:val="-10"/>
                    </w:rPr>
                    <w:t>效黏土防渗层</w:t>
                  </w:r>
                  <w:r>
                    <w:rPr>
                      <w:rFonts w:eastAsia="Times New Roman"/>
                      <w:snapToGrid w:val="0"/>
                      <w:spacing w:val="-10"/>
                    </w:rPr>
                    <w:t>Mb≥6.0m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GB18598</w:t>
                  </w:r>
                  <w:r>
                    <w:rPr>
                      <w:snapToGrid w:val="0"/>
                      <w:spacing w:val="6"/>
                    </w:rPr>
                    <w:t>执</w:t>
                  </w:r>
                  <w:r>
                    <w:rPr>
                      <w:snapToGrid w:val="0"/>
                    </w:rPr>
                    <w:t>行</w:t>
                  </w:r>
                </w:p>
              </w:tc>
            </w:tr>
            <w:tr w14:paraId="1BF8F5B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18F8DBAF">
                  <w:pPr>
                    <w:pStyle w:val="32"/>
                    <w:rPr>
                      <w:snapToGrid w:val="0"/>
                    </w:rPr>
                  </w:pPr>
                </w:p>
              </w:tc>
              <w:tc>
                <w:tcPr>
                  <w:tcW w:w="1355" w:type="dxa"/>
                  <w:vAlign w:val="center"/>
                </w:tcPr>
                <w:p w14:paraId="1E1084E5">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14:paraId="7AC70121">
                  <w:pPr>
                    <w:pStyle w:val="32"/>
                    <w:rPr>
                      <w:snapToGrid w:val="0"/>
                    </w:rPr>
                  </w:pPr>
                  <w:r>
                    <w:rPr>
                      <w:snapToGrid w:val="0"/>
                      <w:spacing w:val="1"/>
                    </w:rPr>
                    <w:t>难</w:t>
                  </w:r>
                </w:p>
              </w:tc>
              <w:tc>
                <w:tcPr>
                  <w:tcW w:w="1660" w:type="dxa"/>
                  <w:vMerge w:val="continue"/>
                  <w:vAlign w:val="center"/>
                </w:tcPr>
                <w:p w14:paraId="3F835B2E">
                  <w:pPr>
                    <w:pStyle w:val="32"/>
                    <w:rPr>
                      <w:snapToGrid w:val="0"/>
                    </w:rPr>
                  </w:pPr>
                </w:p>
              </w:tc>
              <w:tc>
                <w:tcPr>
                  <w:tcW w:w="2833" w:type="dxa"/>
                  <w:vMerge w:val="continue"/>
                  <w:vAlign w:val="center"/>
                </w:tcPr>
                <w:p w14:paraId="2D4DC7DB">
                  <w:pPr>
                    <w:pStyle w:val="32"/>
                    <w:rPr>
                      <w:snapToGrid w:val="0"/>
                    </w:rPr>
                  </w:pPr>
                </w:p>
              </w:tc>
            </w:tr>
            <w:tr w14:paraId="269936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continue"/>
                  <w:vAlign w:val="center"/>
                </w:tcPr>
                <w:p w14:paraId="38F799E4">
                  <w:pPr>
                    <w:pStyle w:val="32"/>
                    <w:rPr>
                      <w:snapToGrid w:val="0"/>
                    </w:rPr>
                  </w:pPr>
                </w:p>
              </w:tc>
              <w:tc>
                <w:tcPr>
                  <w:tcW w:w="1355" w:type="dxa"/>
                  <w:vAlign w:val="center"/>
                </w:tcPr>
                <w:p w14:paraId="0DD797F2">
                  <w:pPr>
                    <w:pStyle w:val="32"/>
                    <w:rPr>
                      <w:snapToGrid w:val="0"/>
                    </w:rPr>
                  </w:pPr>
                  <w:r>
                    <w:rPr>
                      <w:snapToGrid w:val="0"/>
                    </w:rPr>
                    <w:t>弱</w:t>
                  </w:r>
                </w:p>
              </w:tc>
              <w:tc>
                <w:tcPr>
                  <w:tcW w:w="1080" w:type="dxa"/>
                  <w:vAlign w:val="center"/>
                </w:tcPr>
                <w:p w14:paraId="22ECE9C5">
                  <w:pPr>
                    <w:pStyle w:val="32"/>
                    <w:rPr>
                      <w:snapToGrid w:val="0"/>
                    </w:rPr>
                  </w:pPr>
                  <w:r>
                    <w:rPr>
                      <w:snapToGrid w:val="0"/>
                    </w:rPr>
                    <w:t>易</w:t>
                  </w:r>
                </w:p>
              </w:tc>
              <w:tc>
                <w:tcPr>
                  <w:tcW w:w="1660" w:type="dxa"/>
                  <w:vMerge w:val="continue"/>
                  <w:vAlign w:val="center"/>
                </w:tcPr>
                <w:p w14:paraId="75D0EFA6">
                  <w:pPr>
                    <w:pStyle w:val="32"/>
                    <w:rPr>
                      <w:snapToGrid w:val="0"/>
                    </w:rPr>
                  </w:pPr>
                </w:p>
              </w:tc>
              <w:tc>
                <w:tcPr>
                  <w:tcW w:w="2833" w:type="dxa"/>
                  <w:vMerge w:val="continue"/>
                  <w:vAlign w:val="center"/>
                </w:tcPr>
                <w:p w14:paraId="6B869F46">
                  <w:pPr>
                    <w:pStyle w:val="32"/>
                    <w:rPr>
                      <w:snapToGrid w:val="0"/>
                    </w:rPr>
                  </w:pPr>
                </w:p>
              </w:tc>
            </w:tr>
            <w:tr w14:paraId="695A66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Merge w:val="restart"/>
                  <w:vAlign w:val="center"/>
                </w:tcPr>
                <w:p w14:paraId="5EDBA969">
                  <w:pPr>
                    <w:pStyle w:val="32"/>
                    <w:rPr>
                      <w:snapToGrid w:val="0"/>
                    </w:rPr>
                  </w:pPr>
                  <w:r>
                    <w:rPr>
                      <w:snapToGrid w:val="0"/>
                      <w:spacing w:val="9"/>
                    </w:rPr>
                    <w:t>一</w:t>
                  </w:r>
                  <w:r>
                    <w:rPr>
                      <w:snapToGrid w:val="0"/>
                      <w:spacing w:val="7"/>
                    </w:rPr>
                    <w:t>般防渗区</w:t>
                  </w:r>
                </w:p>
              </w:tc>
              <w:tc>
                <w:tcPr>
                  <w:tcW w:w="1355" w:type="dxa"/>
                  <w:vAlign w:val="center"/>
                </w:tcPr>
                <w:p w14:paraId="2BFF0028">
                  <w:pPr>
                    <w:pStyle w:val="32"/>
                    <w:rPr>
                      <w:snapToGrid w:val="0"/>
                    </w:rPr>
                  </w:pPr>
                  <w:r>
                    <w:rPr>
                      <w:snapToGrid w:val="0"/>
                    </w:rPr>
                    <w:t>弱</w:t>
                  </w:r>
                </w:p>
              </w:tc>
              <w:tc>
                <w:tcPr>
                  <w:tcW w:w="1080" w:type="dxa"/>
                  <w:vAlign w:val="center"/>
                </w:tcPr>
                <w:p w14:paraId="70B5BE4B">
                  <w:pPr>
                    <w:pStyle w:val="32"/>
                    <w:rPr>
                      <w:snapToGrid w:val="0"/>
                    </w:rPr>
                  </w:pPr>
                  <w:r>
                    <w:rPr>
                      <w:snapToGrid w:val="0"/>
                      <w:spacing w:val="-6"/>
                    </w:rPr>
                    <w:t>易</w:t>
                  </w:r>
                  <w:r>
                    <w:rPr>
                      <w:rFonts w:eastAsia="Times New Roman"/>
                      <w:snapToGrid w:val="0"/>
                      <w:spacing w:val="-6"/>
                    </w:rPr>
                    <w:t>-</w:t>
                  </w:r>
                  <w:r>
                    <w:rPr>
                      <w:snapToGrid w:val="0"/>
                      <w:spacing w:val="-6"/>
                    </w:rPr>
                    <w:t>难</w:t>
                  </w:r>
                </w:p>
              </w:tc>
              <w:tc>
                <w:tcPr>
                  <w:tcW w:w="1660" w:type="dxa"/>
                  <w:vMerge w:val="restart"/>
                  <w:vAlign w:val="center"/>
                </w:tcPr>
                <w:p w14:paraId="07523331">
                  <w:pPr>
                    <w:pStyle w:val="32"/>
                    <w:rPr>
                      <w:snapToGrid w:val="0"/>
                    </w:rPr>
                  </w:pPr>
                  <w:r>
                    <w:rPr>
                      <w:snapToGrid w:val="0"/>
                      <w:spacing w:val="7"/>
                    </w:rPr>
                    <w:t>其他类型</w:t>
                  </w:r>
                </w:p>
              </w:tc>
              <w:tc>
                <w:tcPr>
                  <w:tcW w:w="2833" w:type="dxa"/>
                  <w:vMerge w:val="restart"/>
                  <w:vAlign w:val="center"/>
                </w:tcPr>
                <w:p w14:paraId="7782A0A9">
                  <w:pPr>
                    <w:pStyle w:val="32"/>
                    <w:rPr>
                      <w:snapToGrid w:val="0"/>
                    </w:rPr>
                  </w:pPr>
                  <w:r>
                    <w:rPr>
                      <w:snapToGrid w:val="0"/>
                      <w:spacing w:val="-14"/>
                    </w:rPr>
                    <w:t>等</w:t>
                  </w:r>
                  <w:r>
                    <w:rPr>
                      <w:snapToGrid w:val="0"/>
                      <w:spacing w:val="-10"/>
                    </w:rPr>
                    <w:t>效黏土防渗层</w:t>
                  </w:r>
                  <w:r>
                    <w:rPr>
                      <w:rFonts w:eastAsia="Times New Roman"/>
                      <w:snapToGrid w:val="0"/>
                      <w:spacing w:val="-10"/>
                    </w:rPr>
                    <w:t>Mb≥1.5m</w:t>
                  </w:r>
                  <w:r>
                    <w:rPr>
                      <w:snapToGrid w:val="0"/>
                      <w:spacing w:val="-10"/>
                    </w:rPr>
                    <w:t>，</w:t>
                  </w:r>
                  <w:r>
                    <w:rPr>
                      <w:rFonts w:eastAsia="Times New Roman"/>
                      <w:snapToGrid w:val="0"/>
                    </w:rPr>
                    <w:t>K</w:t>
                  </w:r>
                  <w:r>
                    <w:rPr>
                      <w:rFonts w:eastAsia="Times New Roman"/>
                      <w:snapToGrid w:val="0"/>
                      <w:spacing w:val="-1"/>
                    </w:rPr>
                    <w:t>≤1×10</w:t>
                  </w:r>
                  <w:r>
                    <w:rPr>
                      <w:rFonts w:eastAsia="Times New Roman"/>
                      <w:snapToGrid w:val="0"/>
                      <w:spacing w:val="-1"/>
                      <w:position w:val="6"/>
                      <w:sz w:val="13"/>
                      <w:szCs w:val="13"/>
                    </w:rPr>
                    <w:t>-7</w:t>
                  </w:r>
                  <w:r>
                    <w:rPr>
                      <w:rFonts w:eastAsia="Times New Roman"/>
                      <w:snapToGrid w:val="0"/>
                    </w:rPr>
                    <w:t>cm</w:t>
                  </w:r>
                  <w:r>
                    <w:rPr>
                      <w:rFonts w:eastAsia="Times New Roman"/>
                      <w:snapToGrid w:val="0"/>
                      <w:spacing w:val="-1"/>
                    </w:rPr>
                    <w:t>/</w:t>
                  </w:r>
                  <w:r>
                    <w:rPr>
                      <w:rFonts w:eastAsia="Times New Roman"/>
                      <w:snapToGrid w:val="0"/>
                    </w:rPr>
                    <w:t>s</w:t>
                  </w:r>
                  <w:r>
                    <w:rPr>
                      <w:snapToGrid w:val="0"/>
                      <w:spacing w:val="-1"/>
                    </w:rPr>
                    <w:t>；或参照</w:t>
                  </w:r>
                  <w:r>
                    <w:rPr>
                      <w:rFonts w:eastAsia="Times New Roman"/>
                      <w:snapToGrid w:val="0"/>
                    </w:rPr>
                    <w:t>GB16889</w:t>
                  </w:r>
                  <w:r>
                    <w:rPr>
                      <w:snapToGrid w:val="0"/>
                      <w:spacing w:val="6"/>
                    </w:rPr>
                    <w:t>执</w:t>
                  </w:r>
                  <w:r>
                    <w:rPr>
                      <w:snapToGrid w:val="0"/>
                    </w:rPr>
                    <w:t>行</w:t>
                  </w:r>
                </w:p>
              </w:tc>
            </w:tr>
            <w:tr w14:paraId="51D84D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4C203CC7">
                  <w:pPr>
                    <w:pStyle w:val="32"/>
                    <w:rPr>
                      <w:snapToGrid w:val="0"/>
                    </w:rPr>
                  </w:pPr>
                </w:p>
              </w:tc>
              <w:tc>
                <w:tcPr>
                  <w:tcW w:w="1355" w:type="dxa"/>
                  <w:vAlign w:val="center"/>
                </w:tcPr>
                <w:p w14:paraId="0BC875AA">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14:paraId="2456A64B">
                  <w:pPr>
                    <w:pStyle w:val="32"/>
                    <w:rPr>
                      <w:snapToGrid w:val="0"/>
                    </w:rPr>
                  </w:pPr>
                  <w:r>
                    <w:rPr>
                      <w:snapToGrid w:val="0"/>
                      <w:spacing w:val="1"/>
                    </w:rPr>
                    <w:t>难</w:t>
                  </w:r>
                </w:p>
              </w:tc>
              <w:tc>
                <w:tcPr>
                  <w:tcW w:w="1660" w:type="dxa"/>
                  <w:vMerge w:val="continue"/>
                  <w:vAlign w:val="center"/>
                </w:tcPr>
                <w:p w14:paraId="2B36532E">
                  <w:pPr>
                    <w:pStyle w:val="32"/>
                    <w:rPr>
                      <w:snapToGrid w:val="0"/>
                    </w:rPr>
                  </w:pPr>
                </w:p>
              </w:tc>
              <w:tc>
                <w:tcPr>
                  <w:tcW w:w="2833" w:type="dxa"/>
                  <w:vMerge w:val="continue"/>
                  <w:vAlign w:val="center"/>
                </w:tcPr>
                <w:p w14:paraId="5E21CD92">
                  <w:pPr>
                    <w:pStyle w:val="32"/>
                    <w:rPr>
                      <w:snapToGrid w:val="0"/>
                    </w:rPr>
                  </w:pPr>
                </w:p>
              </w:tc>
            </w:tr>
            <w:tr w14:paraId="10765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72198491">
                  <w:pPr>
                    <w:pStyle w:val="32"/>
                    <w:rPr>
                      <w:snapToGrid w:val="0"/>
                    </w:rPr>
                  </w:pPr>
                </w:p>
              </w:tc>
              <w:tc>
                <w:tcPr>
                  <w:tcW w:w="1355" w:type="dxa"/>
                  <w:vAlign w:val="center"/>
                </w:tcPr>
                <w:p w14:paraId="57FF9E78">
                  <w:pPr>
                    <w:pStyle w:val="32"/>
                    <w:rPr>
                      <w:snapToGrid w:val="0"/>
                    </w:rPr>
                  </w:pPr>
                  <w:r>
                    <w:rPr>
                      <w:snapToGrid w:val="0"/>
                    </w:rPr>
                    <w:t>中</w:t>
                  </w:r>
                </w:p>
              </w:tc>
              <w:tc>
                <w:tcPr>
                  <w:tcW w:w="1080" w:type="dxa"/>
                  <w:vAlign w:val="center"/>
                </w:tcPr>
                <w:p w14:paraId="046F3BBD">
                  <w:pPr>
                    <w:pStyle w:val="32"/>
                    <w:rPr>
                      <w:snapToGrid w:val="0"/>
                    </w:rPr>
                  </w:pPr>
                  <w:r>
                    <w:rPr>
                      <w:snapToGrid w:val="0"/>
                    </w:rPr>
                    <w:t>易</w:t>
                  </w:r>
                </w:p>
              </w:tc>
              <w:tc>
                <w:tcPr>
                  <w:tcW w:w="1660" w:type="dxa"/>
                  <w:vMerge w:val="restart"/>
                  <w:vAlign w:val="center"/>
                </w:tcPr>
                <w:p w14:paraId="3A53627B">
                  <w:pPr>
                    <w:pStyle w:val="32"/>
                    <w:rPr>
                      <w:snapToGrid w:val="0"/>
                    </w:rPr>
                  </w:pPr>
                  <w:r>
                    <w:rPr>
                      <w:snapToGrid w:val="0"/>
                      <w:spacing w:val="6"/>
                    </w:rPr>
                    <w:t>重</w:t>
                  </w:r>
                  <w:r>
                    <w:rPr>
                      <w:snapToGrid w:val="0"/>
                    </w:rPr>
                    <w:t>金</w:t>
                  </w:r>
                  <w:r>
                    <w:rPr>
                      <w:snapToGrid w:val="0"/>
                      <w:spacing w:val="3"/>
                    </w:rPr>
                    <w:t>属、持久性有</w:t>
                  </w:r>
                  <w:r>
                    <w:rPr>
                      <w:snapToGrid w:val="0"/>
                      <w:spacing w:val="9"/>
                    </w:rPr>
                    <w:t>机</w:t>
                  </w:r>
                  <w:r>
                    <w:rPr>
                      <w:snapToGrid w:val="0"/>
                      <w:spacing w:val="8"/>
                    </w:rPr>
                    <w:t>物污染物</w:t>
                  </w:r>
                </w:p>
              </w:tc>
              <w:tc>
                <w:tcPr>
                  <w:tcW w:w="2833" w:type="dxa"/>
                  <w:vMerge w:val="continue"/>
                  <w:vAlign w:val="center"/>
                </w:tcPr>
                <w:p w14:paraId="2BF5D197">
                  <w:pPr>
                    <w:pStyle w:val="32"/>
                    <w:rPr>
                      <w:snapToGrid w:val="0"/>
                    </w:rPr>
                  </w:pPr>
                </w:p>
              </w:tc>
            </w:tr>
            <w:tr w14:paraId="4B2C73C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28" w:type="dxa"/>
                  <w:left w:w="0" w:type="dxa"/>
                  <w:bottom w:w="28" w:type="dxa"/>
                  <w:right w:w="0" w:type="dxa"/>
                </w:tblCellMar>
              </w:tblPrEx>
              <w:trPr>
                <w:trHeight w:val="20" w:hRule="atLeast"/>
                <w:jc w:val="center"/>
              </w:trPr>
              <w:tc>
                <w:tcPr>
                  <w:tcW w:w="1384" w:type="dxa"/>
                  <w:vMerge w:val="continue"/>
                  <w:vAlign w:val="center"/>
                </w:tcPr>
                <w:p w14:paraId="27F0DACC">
                  <w:pPr>
                    <w:pStyle w:val="32"/>
                    <w:rPr>
                      <w:snapToGrid w:val="0"/>
                    </w:rPr>
                  </w:pPr>
                </w:p>
              </w:tc>
              <w:tc>
                <w:tcPr>
                  <w:tcW w:w="1355" w:type="dxa"/>
                  <w:vAlign w:val="center"/>
                </w:tcPr>
                <w:p w14:paraId="5E068A64">
                  <w:pPr>
                    <w:pStyle w:val="32"/>
                    <w:rPr>
                      <w:snapToGrid w:val="0"/>
                    </w:rPr>
                  </w:pPr>
                  <w:r>
                    <w:rPr>
                      <w:snapToGrid w:val="0"/>
                    </w:rPr>
                    <w:t>强</w:t>
                  </w:r>
                </w:p>
              </w:tc>
              <w:tc>
                <w:tcPr>
                  <w:tcW w:w="1080" w:type="dxa"/>
                  <w:vAlign w:val="center"/>
                </w:tcPr>
                <w:p w14:paraId="3BF806B4">
                  <w:pPr>
                    <w:pStyle w:val="32"/>
                    <w:rPr>
                      <w:snapToGrid w:val="0"/>
                    </w:rPr>
                  </w:pPr>
                  <w:r>
                    <w:rPr>
                      <w:snapToGrid w:val="0"/>
                    </w:rPr>
                    <w:t>易</w:t>
                  </w:r>
                </w:p>
              </w:tc>
              <w:tc>
                <w:tcPr>
                  <w:tcW w:w="1660" w:type="dxa"/>
                  <w:vMerge w:val="continue"/>
                  <w:vAlign w:val="center"/>
                </w:tcPr>
                <w:p w14:paraId="35260234">
                  <w:pPr>
                    <w:pStyle w:val="32"/>
                    <w:rPr>
                      <w:snapToGrid w:val="0"/>
                    </w:rPr>
                  </w:pPr>
                </w:p>
              </w:tc>
              <w:tc>
                <w:tcPr>
                  <w:tcW w:w="2833" w:type="dxa"/>
                  <w:vMerge w:val="continue"/>
                  <w:vAlign w:val="center"/>
                </w:tcPr>
                <w:p w14:paraId="0E2F646D">
                  <w:pPr>
                    <w:pStyle w:val="32"/>
                    <w:rPr>
                      <w:snapToGrid w:val="0"/>
                    </w:rPr>
                  </w:pPr>
                </w:p>
              </w:tc>
            </w:tr>
            <w:tr w14:paraId="297F47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20" w:hRule="atLeast"/>
                <w:jc w:val="center"/>
              </w:trPr>
              <w:tc>
                <w:tcPr>
                  <w:tcW w:w="1384" w:type="dxa"/>
                  <w:vAlign w:val="center"/>
                </w:tcPr>
                <w:p w14:paraId="03626C64">
                  <w:pPr>
                    <w:pStyle w:val="32"/>
                    <w:rPr>
                      <w:snapToGrid w:val="0"/>
                    </w:rPr>
                  </w:pPr>
                  <w:r>
                    <w:rPr>
                      <w:snapToGrid w:val="0"/>
                      <w:spacing w:val="8"/>
                    </w:rPr>
                    <w:t>简</w:t>
                  </w:r>
                  <w:r>
                    <w:rPr>
                      <w:snapToGrid w:val="0"/>
                      <w:spacing w:val="7"/>
                    </w:rPr>
                    <w:t>单防渗区</w:t>
                  </w:r>
                </w:p>
              </w:tc>
              <w:tc>
                <w:tcPr>
                  <w:tcW w:w="1355" w:type="dxa"/>
                  <w:vAlign w:val="center"/>
                </w:tcPr>
                <w:p w14:paraId="71E4FCA9">
                  <w:pPr>
                    <w:pStyle w:val="32"/>
                    <w:rPr>
                      <w:snapToGrid w:val="0"/>
                    </w:rPr>
                  </w:pPr>
                  <w:r>
                    <w:rPr>
                      <w:snapToGrid w:val="0"/>
                      <w:spacing w:val="-1"/>
                    </w:rPr>
                    <w:t>中</w:t>
                  </w:r>
                  <w:r>
                    <w:rPr>
                      <w:rFonts w:eastAsia="Times New Roman"/>
                      <w:snapToGrid w:val="0"/>
                      <w:spacing w:val="-1"/>
                    </w:rPr>
                    <w:t>-</w:t>
                  </w:r>
                  <w:r>
                    <w:rPr>
                      <w:snapToGrid w:val="0"/>
                      <w:spacing w:val="-1"/>
                    </w:rPr>
                    <w:t>强</w:t>
                  </w:r>
                </w:p>
              </w:tc>
              <w:tc>
                <w:tcPr>
                  <w:tcW w:w="1080" w:type="dxa"/>
                  <w:vAlign w:val="center"/>
                </w:tcPr>
                <w:p w14:paraId="78BDD268">
                  <w:pPr>
                    <w:pStyle w:val="32"/>
                    <w:rPr>
                      <w:snapToGrid w:val="0"/>
                    </w:rPr>
                  </w:pPr>
                  <w:r>
                    <w:rPr>
                      <w:snapToGrid w:val="0"/>
                    </w:rPr>
                    <w:t>易</w:t>
                  </w:r>
                </w:p>
              </w:tc>
              <w:tc>
                <w:tcPr>
                  <w:tcW w:w="1660" w:type="dxa"/>
                  <w:vAlign w:val="center"/>
                </w:tcPr>
                <w:p w14:paraId="253DD918">
                  <w:pPr>
                    <w:pStyle w:val="32"/>
                    <w:rPr>
                      <w:snapToGrid w:val="0"/>
                    </w:rPr>
                  </w:pPr>
                  <w:r>
                    <w:rPr>
                      <w:snapToGrid w:val="0"/>
                      <w:spacing w:val="-2"/>
                    </w:rPr>
                    <w:t>其</w:t>
                  </w:r>
                  <w:r>
                    <w:rPr>
                      <w:snapToGrid w:val="0"/>
                      <w:spacing w:val="-1"/>
                    </w:rPr>
                    <w:t>他类型</w:t>
                  </w:r>
                </w:p>
              </w:tc>
              <w:tc>
                <w:tcPr>
                  <w:tcW w:w="2833" w:type="dxa"/>
                  <w:vAlign w:val="center"/>
                </w:tcPr>
                <w:p w14:paraId="50BE2431">
                  <w:pPr>
                    <w:pStyle w:val="32"/>
                    <w:rPr>
                      <w:snapToGrid w:val="0"/>
                    </w:rPr>
                  </w:pPr>
                  <w:r>
                    <w:rPr>
                      <w:snapToGrid w:val="0"/>
                      <w:spacing w:val="-2"/>
                    </w:rPr>
                    <w:t>一般地面硬</w:t>
                  </w:r>
                  <w:r>
                    <w:rPr>
                      <w:snapToGrid w:val="0"/>
                      <w:spacing w:val="-1"/>
                    </w:rPr>
                    <w:t>化</w:t>
                  </w:r>
                </w:p>
              </w:tc>
            </w:tr>
          </w:tbl>
          <w:p w14:paraId="12ED12C3">
            <w:pPr>
              <w:ind w:firstLine="536"/>
              <w:rPr>
                <w:snapToGrid w:val="0"/>
              </w:rPr>
            </w:pPr>
            <w:r>
              <w:rPr>
                <w:snapToGrid w:val="0"/>
                <w:spacing w:val="14"/>
              </w:rPr>
              <w:t>根据《</w:t>
            </w:r>
            <w:r>
              <w:rPr>
                <w:snapToGrid w:val="0"/>
              </w:rPr>
              <w:t>环境影响评价技术导则</w:t>
            </w:r>
            <w:r>
              <w:rPr>
                <w:rFonts w:hint="eastAsia"/>
                <w:snapToGrid w:val="0"/>
              </w:rPr>
              <w:t xml:space="preserve"> </w:t>
            </w:r>
            <w:r>
              <w:rPr>
                <w:snapToGrid w:val="0"/>
              </w:rPr>
              <w:t>地下水环境》（</w:t>
            </w:r>
            <w:r>
              <w:rPr>
                <w:rFonts w:eastAsia="Times New Roman"/>
                <w:snapToGrid w:val="0"/>
              </w:rPr>
              <w:t>HJ610-2016</w:t>
            </w:r>
            <w:r>
              <w:rPr>
                <w:snapToGrid w:val="0"/>
              </w:rPr>
              <w:t>）要求，结合本项目的</w:t>
            </w:r>
            <w:r>
              <w:rPr>
                <w:snapToGrid w:val="0"/>
                <w:spacing w:val="16"/>
              </w:rPr>
              <w:t>性</w:t>
            </w:r>
            <w:r>
              <w:rPr>
                <w:snapToGrid w:val="0"/>
              </w:rPr>
              <w:t>质，厂区分区防渗设置如下：</w:t>
            </w:r>
          </w:p>
          <w:p w14:paraId="2BF579B0">
            <w:pPr>
              <w:spacing w:line="240" w:lineRule="auto"/>
              <w:ind w:firstLine="0" w:firstLineChars="0"/>
              <w:jc w:val="center"/>
              <w:textAlignment w:val="auto"/>
              <w:rPr>
                <w:b/>
                <w:bCs/>
                <w:sz w:val="21"/>
                <w:szCs w:val="21"/>
              </w:rPr>
            </w:pPr>
            <w:r>
              <w:rPr>
                <w:rFonts w:hint="eastAsia"/>
                <w:b/>
                <w:bCs/>
                <w:sz w:val="21"/>
                <w:szCs w:val="21"/>
              </w:rPr>
              <w:t>表4-</w:t>
            </w:r>
            <w:r>
              <w:rPr>
                <w:b/>
                <w:bCs/>
                <w:sz w:val="21"/>
                <w:szCs w:val="21"/>
              </w:rPr>
              <w:t xml:space="preserve">11  </w:t>
            </w:r>
            <w:r>
              <w:rPr>
                <w:rFonts w:hint="eastAsia"/>
                <w:b/>
                <w:bCs/>
                <w:color w:val="000000" w:themeColor="text1"/>
                <w:sz w:val="21"/>
                <w:szCs w:val="21"/>
                <w:lang w:val="zh-CN"/>
                <w14:textFill>
                  <w14:solidFill>
                    <w14:schemeClr w14:val="tx1"/>
                  </w14:solidFill>
                </w14:textFill>
              </w:rPr>
              <w:t>工程防渗措施要求一览表</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1889"/>
              <w:gridCol w:w="3589"/>
              <w:gridCol w:w="1675"/>
            </w:tblGrid>
            <w:tr w14:paraId="0BF835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93" w:type="pct"/>
                  <w:vAlign w:val="center"/>
                </w:tcPr>
                <w:p w14:paraId="034A2D48">
                  <w:pPr>
                    <w:spacing w:line="240" w:lineRule="auto"/>
                    <w:ind w:firstLine="0" w:firstLineChars="0"/>
                    <w:jc w:val="center"/>
                    <w:textAlignment w:val="auto"/>
                    <w:rPr>
                      <w:rFonts w:cs="Times New Roman"/>
                      <w:sz w:val="21"/>
                      <w:szCs w:val="21"/>
                    </w:rPr>
                  </w:pPr>
                  <w:r>
                    <w:rPr>
                      <w:rFonts w:cs="Times New Roman"/>
                      <w:sz w:val="21"/>
                      <w:szCs w:val="21"/>
                    </w:rPr>
                    <w:t>防渗分区</w:t>
                  </w:r>
                </w:p>
              </w:tc>
              <w:tc>
                <w:tcPr>
                  <w:tcW w:w="1104" w:type="pct"/>
                  <w:vAlign w:val="center"/>
                </w:tcPr>
                <w:p w14:paraId="4FB7DC8D">
                  <w:pPr>
                    <w:spacing w:line="240" w:lineRule="auto"/>
                    <w:ind w:firstLine="0" w:firstLineChars="0"/>
                    <w:jc w:val="center"/>
                    <w:textAlignment w:val="auto"/>
                    <w:rPr>
                      <w:rFonts w:cs="Times New Roman"/>
                      <w:sz w:val="21"/>
                      <w:szCs w:val="21"/>
                    </w:rPr>
                  </w:pPr>
                  <w:r>
                    <w:rPr>
                      <w:rFonts w:cs="Times New Roman"/>
                      <w:sz w:val="21"/>
                      <w:szCs w:val="21"/>
                    </w:rPr>
                    <w:t>防渗区域</w:t>
                  </w:r>
                </w:p>
              </w:tc>
              <w:tc>
                <w:tcPr>
                  <w:tcW w:w="2084" w:type="pct"/>
                  <w:vAlign w:val="center"/>
                </w:tcPr>
                <w:p w14:paraId="5B94EC4F">
                  <w:pPr>
                    <w:spacing w:line="240" w:lineRule="auto"/>
                    <w:ind w:firstLine="0" w:firstLineChars="0"/>
                    <w:jc w:val="center"/>
                    <w:textAlignment w:val="auto"/>
                    <w:rPr>
                      <w:rFonts w:cs="Times New Roman"/>
                      <w:sz w:val="21"/>
                      <w:szCs w:val="21"/>
                    </w:rPr>
                  </w:pPr>
                  <w:r>
                    <w:rPr>
                      <w:rFonts w:cs="Times New Roman"/>
                      <w:sz w:val="21"/>
                      <w:szCs w:val="21"/>
                    </w:rPr>
                    <w:t>防渗要求</w:t>
                  </w:r>
                </w:p>
              </w:tc>
              <w:tc>
                <w:tcPr>
                  <w:tcW w:w="919" w:type="pct"/>
                  <w:vAlign w:val="center"/>
                </w:tcPr>
                <w:p w14:paraId="7B3A706E">
                  <w:pPr>
                    <w:spacing w:line="240" w:lineRule="auto"/>
                    <w:ind w:firstLine="0" w:firstLineChars="0"/>
                    <w:jc w:val="center"/>
                    <w:textAlignment w:val="auto"/>
                    <w:rPr>
                      <w:rFonts w:cs="Times New Roman"/>
                      <w:sz w:val="21"/>
                      <w:szCs w:val="21"/>
                    </w:rPr>
                  </w:pPr>
                  <w:r>
                    <w:rPr>
                      <w:rFonts w:cs="Times New Roman"/>
                      <w:snapToGrid w:val="0"/>
                      <w:kern w:val="0"/>
                      <w:sz w:val="21"/>
                      <w:szCs w:val="24"/>
                    </w:rPr>
                    <w:t>执行标准</w:t>
                  </w:r>
                </w:p>
              </w:tc>
            </w:tr>
            <w:tr w14:paraId="15E55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93" w:type="pct"/>
                  <w:vAlign w:val="center"/>
                </w:tcPr>
                <w:p w14:paraId="4C1929B0">
                  <w:pPr>
                    <w:spacing w:line="240" w:lineRule="auto"/>
                    <w:ind w:firstLine="0" w:firstLineChars="0"/>
                    <w:jc w:val="center"/>
                    <w:textAlignment w:val="auto"/>
                    <w:rPr>
                      <w:rFonts w:cs="Times New Roman"/>
                      <w:sz w:val="21"/>
                      <w:szCs w:val="21"/>
                    </w:rPr>
                  </w:pPr>
                  <w:r>
                    <w:rPr>
                      <w:rFonts w:cs="Times New Roman"/>
                      <w:sz w:val="21"/>
                      <w:szCs w:val="21"/>
                    </w:rPr>
                    <w:t>重点防渗区</w:t>
                  </w:r>
                </w:p>
              </w:tc>
              <w:tc>
                <w:tcPr>
                  <w:tcW w:w="1104" w:type="pct"/>
                  <w:vAlign w:val="center"/>
                </w:tcPr>
                <w:p w14:paraId="7C613494">
                  <w:pPr>
                    <w:spacing w:line="240" w:lineRule="auto"/>
                    <w:ind w:firstLine="0" w:firstLineChars="0"/>
                    <w:jc w:val="center"/>
                    <w:textAlignment w:val="auto"/>
                    <w:rPr>
                      <w:rFonts w:cs="Times New Roman"/>
                      <w:sz w:val="21"/>
                      <w:szCs w:val="21"/>
                    </w:rPr>
                  </w:pPr>
                  <w:r>
                    <w:rPr>
                      <w:rFonts w:hint="eastAsia"/>
                      <w:sz w:val="21"/>
                      <w:szCs w:val="21"/>
                    </w:rPr>
                    <w:t>危险废物贮存点</w:t>
                  </w:r>
                </w:p>
              </w:tc>
              <w:tc>
                <w:tcPr>
                  <w:tcW w:w="2084" w:type="pct"/>
                  <w:vAlign w:val="center"/>
                </w:tcPr>
                <w:p w14:paraId="382B0455">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w:t>
                  </w:r>
                  <w:r>
                    <w:rPr>
                      <w:rFonts w:hint="eastAsia" w:ascii="宋体" w:hAnsi="宋体" w:cs="宋体"/>
                      <w:snapToGrid w:val="0"/>
                      <w:kern w:val="0"/>
                      <w:sz w:val="21"/>
                      <w:szCs w:val="24"/>
                    </w:rPr>
                    <w:t>≧</w:t>
                  </w:r>
                  <w:r>
                    <w:rPr>
                      <w:rFonts w:cs="Times New Roman"/>
                      <w:snapToGrid w:val="0"/>
                      <w:kern w:val="0"/>
                      <w:sz w:val="21"/>
                      <w:szCs w:val="24"/>
                    </w:rPr>
                    <w:t>6.0m，K≤1.0×10</w:t>
                  </w:r>
                  <w:r>
                    <w:rPr>
                      <w:rFonts w:cs="Times New Roman"/>
                      <w:snapToGrid w:val="0"/>
                      <w:kern w:val="0"/>
                      <w:sz w:val="21"/>
                      <w:szCs w:val="24"/>
                      <w:vertAlign w:val="superscript"/>
                    </w:rPr>
                    <w:t>-7</w:t>
                  </w:r>
                  <w:r>
                    <w:rPr>
                      <w:rFonts w:cs="Times New Roman"/>
                      <w:snapToGrid w:val="0"/>
                      <w:kern w:val="0"/>
                      <w:sz w:val="21"/>
                      <w:szCs w:val="24"/>
                    </w:rPr>
                    <w:t>cm/s；或参照GB18598执行</w:t>
                  </w:r>
                </w:p>
              </w:tc>
              <w:tc>
                <w:tcPr>
                  <w:tcW w:w="919" w:type="pct"/>
                  <w:vMerge w:val="restart"/>
                  <w:vAlign w:val="center"/>
                </w:tcPr>
                <w:p w14:paraId="65520060">
                  <w:pPr>
                    <w:spacing w:line="240" w:lineRule="auto"/>
                    <w:ind w:firstLine="0" w:firstLineChars="0"/>
                    <w:jc w:val="center"/>
                    <w:textAlignment w:val="auto"/>
                    <w:rPr>
                      <w:rFonts w:cs="Times New Roman"/>
                      <w:sz w:val="21"/>
                      <w:szCs w:val="21"/>
                    </w:rPr>
                  </w:pPr>
                  <w:r>
                    <w:rPr>
                      <w:rFonts w:cs="Times New Roman"/>
                      <w:snapToGrid w:val="0"/>
                      <w:kern w:val="0"/>
                      <w:sz w:val="21"/>
                      <w:szCs w:val="24"/>
                    </w:rPr>
                    <w:t>《环境影响评价技术导则 地下水环境》</w:t>
                  </w:r>
                  <w:r>
                    <w:rPr>
                      <w:rFonts w:hint="eastAsia" w:cs="Times New Roman"/>
                      <w:snapToGrid w:val="0"/>
                      <w:kern w:val="0"/>
                      <w:sz w:val="21"/>
                      <w:szCs w:val="24"/>
                    </w:rPr>
                    <w:t>（</w:t>
                  </w:r>
                  <w:r>
                    <w:rPr>
                      <w:rFonts w:cs="Times New Roman"/>
                      <w:snapToGrid w:val="0"/>
                      <w:kern w:val="0"/>
                      <w:sz w:val="21"/>
                      <w:szCs w:val="24"/>
                    </w:rPr>
                    <w:t>HJ610-2016</w:t>
                  </w:r>
                  <w:r>
                    <w:rPr>
                      <w:rFonts w:hint="eastAsia" w:cs="Times New Roman"/>
                      <w:snapToGrid w:val="0"/>
                      <w:kern w:val="0"/>
                      <w:sz w:val="21"/>
                      <w:szCs w:val="24"/>
                    </w:rPr>
                    <w:t>）</w:t>
                  </w:r>
                </w:p>
              </w:tc>
            </w:tr>
            <w:tr w14:paraId="11F3FE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893" w:type="pct"/>
                  <w:vAlign w:val="center"/>
                </w:tcPr>
                <w:p w14:paraId="1A7BBA6F">
                  <w:pPr>
                    <w:spacing w:line="240" w:lineRule="auto"/>
                    <w:ind w:firstLine="0" w:firstLineChars="0"/>
                    <w:jc w:val="center"/>
                    <w:textAlignment w:val="auto"/>
                    <w:rPr>
                      <w:rFonts w:cs="Times New Roman"/>
                      <w:sz w:val="21"/>
                      <w:szCs w:val="21"/>
                    </w:rPr>
                  </w:pPr>
                  <w:r>
                    <w:rPr>
                      <w:rFonts w:cs="Times New Roman"/>
                      <w:sz w:val="21"/>
                      <w:szCs w:val="21"/>
                    </w:rPr>
                    <w:t>一般防渗区</w:t>
                  </w:r>
                </w:p>
              </w:tc>
              <w:tc>
                <w:tcPr>
                  <w:tcW w:w="1104" w:type="pct"/>
                  <w:vAlign w:val="center"/>
                </w:tcPr>
                <w:p w14:paraId="17ABF537">
                  <w:pPr>
                    <w:spacing w:line="240" w:lineRule="auto"/>
                    <w:ind w:firstLine="0" w:firstLineChars="0"/>
                    <w:textAlignment w:val="auto"/>
                    <w:rPr>
                      <w:rFonts w:cs="Times New Roman"/>
                      <w:sz w:val="21"/>
                      <w:szCs w:val="21"/>
                    </w:rPr>
                  </w:pPr>
                  <w:r>
                    <w:rPr>
                      <w:rFonts w:hint="eastAsia" w:cs="Times New Roman"/>
                      <w:sz w:val="21"/>
                      <w:szCs w:val="21"/>
                    </w:rPr>
                    <w:t>生产车间、原料堆场、成品堆场、沉淀池、晾晒场</w:t>
                  </w:r>
                </w:p>
              </w:tc>
              <w:tc>
                <w:tcPr>
                  <w:tcW w:w="2084" w:type="pct"/>
                  <w:vAlign w:val="center"/>
                </w:tcPr>
                <w:p w14:paraId="3AEAFDFF">
                  <w:pPr>
                    <w:spacing w:line="240" w:lineRule="auto"/>
                    <w:ind w:firstLine="0" w:firstLineChars="0"/>
                    <w:jc w:val="center"/>
                    <w:textAlignment w:val="auto"/>
                    <w:rPr>
                      <w:rFonts w:cs="Times New Roman"/>
                      <w:sz w:val="21"/>
                      <w:szCs w:val="21"/>
                    </w:rPr>
                  </w:pPr>
                  <w:r>
                    <w:rPr>
                      <w:rFonts w:cs="Times New Roman"/>
                      <w:snapToGrid w:val="0"/>
                      <w:kern w:val="0"/>
                      <w:sz w:val="21"/>
                      <w:szCs w:val="24"/>
                    </w:rPr>
                    <w:t>等效黏土防渗层Mb≥1.5m，K≤1.0×10</w:t>
                  </w:r>
                  <w:r>
                    <w:rPr>
                      <w:rFonts w:cs="Times New Roman"/>
                      <w:snapToGrid w:val="0"/>
                      <w:kern w:val="0"/>
                      <w:sz w:val="21"/>
                      <w:szCs w:val="24"/>
                      <w:vertAlign w:val="superscript"/>
                    </w:rPr>
                    <w:t>-7</w:t>
                  </w:r>
                  <w:r>
                    <w:rPr>
                      <w:rFonts w:cs="Times New Roman"/>
                      <w:snapToGrid w:val="0"/>
                      <w:kern w:val="0"/>
                      <w:sz w:val="21"/>
                      <w:szCs w:val="24"/>
                    </w:rPr>
                    <w:t>cm/s；或参照GB16889执行</w:t>
                  </w:r>
                </w:p>
              </w:tc>
              <w:tc>
                <w:tcPr>
                  <w:tcW w:w="919" w:type="pct"/>
                  <w:vMerge w:val="continue"/>
                  <w:vAlign w:val="center"/>
                </w:tcPr>
                <w:p w14:paraId="641EF042">
                  <w:pPr>
                    <w:spacing w:line="240" w:lineRule="auto"/>
                    <w:ind w:firstLine="0" w:firstLineChars="0"/>
                    <w:jc w:val="center"/>
                    <w:textAlignment w:val="auto"/>
                    <w:rPr>
                      <w:rFonts w:cs="Times New Roman"/>
                      <w:sz w:val="21"/>
                      <w:szCs w:val="21"/>
                    </w:rPr>
                  </w:pPr>
                </w:p>
              </w:tc>
            </w:tr>
            <w:tr w14:paraId="4EF63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893" w:type="pct"/>
                  <w:vAlign w:val="center"/>
                </w:tcPr>
                <w:p w14:paraId="58869F1C">
                  <w:pPr>
                    <w:spacing w:line="240" w:lineRule="auto"/>
                    <w:ind w:firstLine="0" w:firstLineChars="0"/>
                    <w:jc w:val="center"/>
                    <w:textAlignment w:val="auto"/>
                    <w:rPr>
                      <w:rFonts w:cs="Times New Roman"/>
                      <w:sz w:val="21"/>
                      <w:szCs w:val="21"/>
                    </w:rPr>
                  </w:pPr>
                  <w:r>
                    <w:rPr>
                      <w:rFonts w:cs="Times New Roman"/>
                      <w:sz w:val="21"/>
                      <w:szCs w:val="21"/>
                    </w:rPr>
                    <w:t>简单防渗区</w:t>
                  </w:r>
                </w:p>
              </w:tc>
              <w:tc>
                <w:tcPr>
                  <w:tcW w:w="1104" w:type="pct"/>
                  <w:vAlign w:val="center"/>
                </w:tcPr>
                <w:p w14:paraId="3F92E20B">
                  <w:pPr>
                    <w:spacing w:line="240" w:lineRule="auto"/>
                    <w:ind w:firstLine="0" w:firstLineChars="0"/>
                    <w:jc w:val="center"/>
                    <w:textAlignment w:val="auto"/>
                    <w:rPr>
                      <w:rFonts w:cs="Times New Roman"/>
                      <w:sz w:val="21"/>
                      <w:szCs w:val="21"/>
                    </w:rPr>
                  </w:pPr>
                  <w:r>
                    <w:rPr>
                      <w:rFonts w:hint="eastAsia" w:cs="Times New Roman"/>
                      <w:sz w:val="21"/>
                      <w:szCs w:val="21"/>
                    </w:rPr>
                    <w:t>办公生活区</w:t>
                  </w:r>
                </w:p>
              </w:tc>
              <w:tc>
                <w:tcPr>
                  <w:tcW w:w="2084" w:type="pct"/>
                  <w:vAlign w:val="center"/>
                </w:tcPr>
                <w:p w14:paraId="00F696EB">
                  <w:pPr>
                    <w:widowControl/>
                    <w:spacing w:line="240" w:lineRule="auto"/>
                    <w:ind w:firstLine="0" w:firstLineChars="0"/>
                    <w:jc w:val="center"/>
                    <w:textAlignment w:val="auto"/>
                    <w:rPr>
                      <w:rFonts w:cs="Times New Roman"/>
                      <w:sz w:val="21"/>
                      <w:szCs w:val="21"/>
                    </w:rPr>
                  </w:pPr>
                  <w:r>
                    <w:rPr>
                      <w:rFonts w:cs="Times New Roman"/>
                      <w:snapToGrid w:val="0"/>
                      <w:kern w:val="0"/>
                      <w:sz w:val="21"/>
                      <w:szCs w:val="24"/>
                    </w:rPr>
                    <w:t>一般地面硬化</w:t>
                  </w:r>
                </w:p>
              </w:tc>
              <w:tc>
                <w:tcPr>
                  <w:tcW w:w="919" w:type="pct"/>
                  <w:vMerge w:val="continue"/>
                  <w:vAlign w:val="center"/>
                </w:tcPr>
                <w:p w14:paraId="0F085D76">
                  <w:pPr>
                    <w:spacing w:line="240" w:lineRule="auto"/>
                    <w:ind w:firstLine="0" w:firstLineChars="0"/>
                    <w:jc w:val="center"/>
                    <w:textAlignment w:val="auto"/>
                    <w:rPr>
                      <w:rFonts w:cs="Times New Roman"/>
                      <w:sz w:val="21"/>
                      <w:szCs w:val="21"/>
                    </w:rPr>
                  </w:pPr>
                </w:p>
              </w:tc>
            </w:tr>
          </w:tbl>
          <w:p w14:paraId="55EF405F">
            <w:pPr>
              <w:ind w:firstLine="480"/>
              <w:textAlignment w:val="auto"/>
            </w:pPr>
            <w:r>
              <w:rPr>
                <w:rFonts w:hint="eastAsia"/>
              </w:rPr>
              <w:t>由上述措施可知，本项目针对可能造成地下水和土壤污染影响的各途径均进行有效预防，在确保各项防控措施得以落实，并加强环境管理的前提下，可有效杜绝地下水和土壤污染。</w:t>
            </w:r>
          </w:p>
          <w:p w14:paraId="56856D34">
            <w:pPr>
              <w:ind w:firstLine="480"/>
              <w:textAlignment w:val="auto"/>
            </w:pPr>
            <w:r>
              <w:rPr>
                <w:rFonts w:hint="eastAsia"/>
              </w:rPr>
              <w:t>综上所述，本项目在采取上述防控措施后，可有效防止地下水和土壤的污染。</w:t>
            </w:r>
          </w:p>
          <w:p w14:paraId="57BB44EC">
            <w:pPr>
              <w:pStyle w:val="3"/>
            </w:pPr>
            <w:r>
              <w:rPr>
                <w:rFonts w:hint="eastAsia"/>
              </w:rPr>
              <w:t>4</w:t>
            </w:r>
            <w:r>
              <w:t>.4</w:t>
            </w:r>
            <w:r>
              <w:rPr>
                <w:rFonts w:hint="eastAsia"/>
              </w:rPr>
              <w:t>生态环境</w:t>
            </w:r>
          </w:p>
          <w:p w14:paraId="464FF431">
            <w:pPr>
              <w:ind w:firstLine="480"/>
              <w:textAlignment w:val="auto"/>
            </w:pPr>
            <w:r>
              <w:t>项目占地范围内无生态环境保护目标，无生态环境影响</w:t>
            </w:r>
            <w:r>
              <w:rPr>
                <w:rFonts w:hint="eastAsia"/>
              </w:rPr>
              <w:t>。</w:t>
            </w:r>
          </w:p>
          <w:p w14:paraId="0457C935">
            <w:pPr>
              <w:pStyle w:val="3"/>
              <w:rPr>
                <w:color w:val="000000" w:themeColor="text1"/>
                <w14:textFill>
                  <w14:solidFill>
                    <w14:schemeClr w14:val="tx1"/>
                  </w14:solidFill>
                </w14:textFill>
              </w:rPr>
            </w:pPr>
            <w:r>
              <w:rPr>
                <w:color w:val="000000" w:themeColor="text1"/>
                <w14:textFill>
                  <w14:solidFill>
                    <w14:schemeClr w14:val="tx1"/>
                  </w14:solidFill>
                </w14:textFill>
              </w:rPr>
              <w:t>4.5</w:t>
            </w:r>
            <w:r>
              <w:rPr>
                <w:rFonts w:hint="eastAsia"/>
                <w:color w:val="000000" w:themeColor="text1"/>
                <w14:textFill>
                  <w14:solidFill>
                    <w14:schemeClr w14:val="tx1"/>
                  </w14:solidFill>
                </w14:textFill>
              </w:rPr>
              <w:t>环境风险</w:t>
            </w:r>
          </w:p>
          <w:p w14:paraId="36CE9BB8">
            <w:pPr>
              <w:pStyle w:val="3"/>
              <w:rPr>
                <w:rFonts w:cs="Times New Roman"/>
              </w:rPr>
            </w:pPr>
            <w:r>
              <w:rPr>
                <w:rFonts w:cs="Times New Roman"/>
              </w:rPr>
              <w:t>4.5.1</w:t>
            </w:r>
            <w:r>
              <w:rPr>
                <w:rFonts w:hint="eastAsia"/>
              </w:rPr>
              <w:t>风险调查</w:t>
            </w:r>
          </w:p>
          <w:p w14:paraId="2F38B4CA">
            <w:pPr>
              <w:ind w:firstLine="480"/>
              <w:rPr>
                <w:rFonts w:cs="Times New Roman"/>
              </w:rPr>
            </w:pPr>
            <w:r>
              <w:rPr>
                <w:rFonts w:cs="Times New Roman"/>
              </w:rPr>
              <w:t>（1）建设项目风险源调查</w:t>
            </w:r>
          </w:p>
          <w:p w14:paraId="2D7C8625">
            <w:pPr>
              <w:ind w:firstLine="480"/>
              <w:rPr>
                <w:rFonts w:cs="Times New Roman"/>
              </w:rPr>
            </w:pPr>
            <w:r>
              <w:rPr>
                <w:rFonts w:cs="Times New Roman"/>
              </w:rPr>
              <w:t>对照《建设项目环境风险评价技术导则》（HJ169-2018）附录B，本项目生产、使用、</w:t>
            </w:r>
            <w:r>
              <w:rPr>
                <w:rFonts w:hint="eastAsia"/>
              </w:rPr>
              <w:t>贮存</w:t>
            </w:r>
            <w:r>
              <w:rPr>
                <w:rFonts w:cs="Times New Roman"/>
              </w:rPr>
              <w:t>过程中涉及的危险物质数量与临界量的比值Q见下表。</w:t>
            </w:r>
          </w:p>
          <w:p w14:paraId="1D330E56">
            <w:pPr>
              <w:ind w:firstLine="480"/>
              <w:rPr>
                <w:rFonts w:cs="Times New Roman"/>
              </w:rPr>
            </w:pPr>
            <w:r>
              <w:rPr>
                <w:rFonts w:cs="Times New Roman"/>
              </w:rPr>
              <w:t>（2）环境敏感目标调查</w:t>
            </w:r>
          </w:p>
          <w:p w14:paraId="4AB9CB5D">
            <w:pPr>
              <w:ind w:firstLine="480"/>
              <w:rPr>
                <w:rFonts w:cs="Times New Roman"/>
              </w:rPr>
            </w:pPr>
            <w:r>
              <w:rPr>
                <w:rFonts w:cs="Times New Roman"/>
              </w:rPr>
              <w:t>本项目环境风险评价范围内无自然保护区、风景名胜区、水源地等环境风险敏感目标。</w:t>
            </w:r>
          </w:p>
          <w:p w14:paraId="54BB8B9F">
            <w:pPr>
              <w:keepNext/>
              <w:keepLines/>
              <w:spacing w:before="120" w:after="60" w:line="240" w:lineRule="auto"/>
              <w:ind w:firstLine="0" w:firstLineChars="0"/>
              <w:outlineLvl w:val="1"/>
              <w:rPr>
                <w:b/>
                <w:color w:val="000000" w:themeColor="text1"/>
                <w:kern w:val="0"/>
                <w14:textFill>
                  <w14:solidFill>
                    <w14:schemeClr w14:val="tx1"/>
                  </w14:solidFill>
                </w14:textFill>
              </w:rPr>
            </w:pPr>
            <w:r>
              <w:rPr>
                <w:rFonts w:hint="eastAsia"/>
                <w:b/>
                <w:color w:val="000000" w:themeColor="text1"/>
                <w:kern w:val="0"/>
                <w14:textFill>
                  <w14:solidFill>
                    <w14:schemeClr w14:val="tx1"/>
                  </w14:solidFill>
                </w14:textFill>
              </w:rPr>
              <w:t>4.</w:t>
            </w:r>
            <w:r>
              <w:rPr>
                <w:b/>
                <w:color w:val="000000" w:themeColor="text1"/>
                <w:kern w:val="0"/>
                <w14:textFill>
                  <w14:solidFill>
                    <w14:schemeClr w14:val="tx1"/>
                  </w14:solidFill>
                </w14:textFill>
              </w:rPr>
              <w:t>5</w:t>
            </w:r>
            <w:r>
              <w:rPr>
                <w:rFonts w:hint="eastAsia"/>
                <w:b/>
                <w:color w:val="000000" w:themeColor="text1"/>
                <w:kern w:val="0"/>
                <w14:textFill>
                  <w14:solidFill>
                    <w14:schemeClr w14:val="tx1"/>
                  </w14:solidFill>
                </w14:textFill>
              </w:rPr>
              <w:t>.2环境风险评价等级</w:t>
            </w:r>
          </w:p>
          <w:p w14:paraId="39E82EA0">
            <w:pPr>
              <w:ind w:firstLine="480"/>
              <w:textAlignment w:val="auto"/>
            </w:pPr>
            <w:r>
              <w:rPr>
                <w:rFonts w:hint="eastAsia"/>
              </w:rPr>
              <w:t>根据《建设项目环境风险评价技术导则》（HJ169-2018）项目风险物质为废机油。风险源情况详见下表4</w:t>
            </w:r>
            <w:r>
              <w:t>-12</w:t>
            </w:r>
            <w:r>
              <w:rPr>
                <w:rFonts w:hint="eastAsia"/>
              </w:rPr>
              <w:t>。</w:t>
            </w:r>
          </w:p>
          <w:p w14:paraId="1B517E21">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2  </w:t>
            </w:r>
            <w:r>
              <w:rPr>
                <w:rFonts w:hint="eastAsia"/>
                <w:b/>
                <w:bCs/>
                <w:sz w:val="21"/>
                <w:szCs w:val="21"/>
              </w:rPr>
              <w:t>危险化学品临界量一览表</w:t>
            </w:r>
          </w:p>
          <w:tbl>
            <w:tblPr>
              <w:tblStyle w:val="24"/>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94"/>
              <w:gridCol w:w="1684"/>
              <w:gridCol w:w="2302"/>
              <w:gridCol w:w="1793"/>
              <w:gridCol w:w="2106"/>
            </w:tblGrid>
            <w:tr w14:paraId="216698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28" w:hRule="exact"/>
                <w:jc w:val="center"/>
              </w:trPr>
              <w:tc>
                <w:tcPr>
                  <w:tcW w:w="458" w:type="pct"/>
                  <w:vAlign w:val="center"/>
                </w:tcPr>
                <w:p w14:paraId="20606ED7">
                  <w:pPr>
                    <w:spacing w:line="240" w:lineRule="auto"/>
                    <w:ind w:firstLine="0" w:firstLineChars="0"/>
                    <w:jc w:val="center"/>
                    <w:textAlignment w:val="auto"/>
                    <w:rPr>
                      <w:sz w:val="21"/>
                      <w:szCs w:val="21"/>
                    </w:rPr>
                  </w:pPr>
                  <w:r>
                    <w:rPr>
                      <w:rFonts w:hint="eastAsia"/>
                      <w:sz w:val="21"/>
                      <w:szCs w:val="21"/>
                    </w:rPr>
                    <w:t>序号</w:t>
                  </w:r>
                </w:p>
              </w:tc>
              <w:tc>
                <w:tcPr>
                  <w:tcW w:w="970" w:type="pct"/>
                  <w:vAlign w:val="center"/>
                </w:tcPr>
                <w:p w14:paraId="2E88E016">
                  <w:pPr>
                    <w:spacing w:line="240" w:lineRule="auto"/>
                    <w:ind w:firstLine="0" w:firstLineChars="0"/>
                    <w:jc w:val="center"/>
                    <w:textAlignment w:val="auto"/>
                    <w:rPr>
                      <w:sz w:val="21"/>
                      <w:szCs w:val="21"/>
                    </w:rPr>
                  </w:pPr>
                  <w:r>
                    <w:rPr>
                      <w:rFonts w:hint="eastAsia"/>
                      <w:sz w:val="21"/>
                      <w:szCs w:val="21"/>
                    </w:rPr>
                    <w:t>环境风险物质</w:t>
                  </w:r>
                </w:p>
              </w:tc>
              <w:tc>
                <w:tcPr>
                  <w:tcW w:w="1326" w:type="pct"/>
                  <w:vAlign w:val="center"/>
                </w:tcPr>
                <w:p w14:paraId="54096563">
                  <w:pPr>
                    <w:spacing w:line="240" w:lineRule="auto"/>
                    <w:ind w:firstLine="0" w:firstLineChars="0"/>
                    <w:jc w:val="center"/>
                    <w:textAlignment w:val="auto"/>
                    <w:rPr>
                      <w:sz w:val="21"/>
                      <w:szCs w:val="21"/>
                    </w:rPr>
                  </w:pPr>
                  <w:r>
                    <w:rPr>
                      <w:rFonts w:hint="eastAsia"/>
                      <w:sz w:val="21"/>
                      <w:szCs w:val="21"/>
                    </w:rPr>
                    <w:t>贮存量（q）</w:t>
                  </w:r>
                </w:p>
              </w:tc>
              <w:tc>
                <w:tcPr>
                  <w:tcW w:w="1033" w:type="pct"/>
                  <w:vAlign w:val="center"/>
                </w:tcPr>
                <w:p w14:paraId="0783660D">
                  <w:pPr>
                    <w:spacing w:line="240" w:lineRule="auto"/>
                    <w:ind w:firstLine="0" w:firstLineChars="0"/>
                    <w:jc w:val="center"/>
                    <w:textAlignment w:val="auto"/>
                    <w:rPr>
                      <w:sz w:val="21"/>
                      <w:szCs w:val="21"/>
                    </w:rPr>
                  </w:pPr>
                  <w:r>
                    <w:rPr>
                      <w:rFonts w:hint="eastAsia"/>
                      <w:sz w:val="21"/>
                      <w:szCs w:val="21"/>
                    </w:rPr>
                    <w:t>临界量（Q）</w:t>
                  </w:r>
                </w:p>
              </w:tc>
              <w:tc>
                <w:tcPr>
                  <w:tcW w:w="1213" w:type="pct"/>
                  <w:vAlign w:val="center"/>
                </w:tcPr>
                <w:p w14:paraId="56EEC774">
                  <w:pPr>
                    <w:spacing w:line="240" w:lineRule="auto"/>
                    <w:ind w:firstLine="0" w:firstLineChars="0"/>
                    <w:jc w:val="center"/>
                    <w:textAlignment w:val="auto"/>
                    <w:rPr>
                      <w:sz w:val="21"/>
                      <w:szCs w:val="21"/>
                    </w:rPr>
                  </w:pPr>
                  <w:r>
                    <w:rPr>
                      <w:sz w:val="21"/>
                      <w:szCs w:val="21"/>
                    </w:rPr>
                    <w:t>q/Q</w:t>
                  </w:r>
                </w:p>
              </w:tc>
            </w:tr>
            <w:tr w14:paraId="47A99C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exact"/>
                <w:jc w:val="center"/>
              </w:trPr>
              <w:tc>
                <w:tcPr>
                  <w:tcW w:w="458" w:type="pct"/>
                  <w:vAlign w:val="center"/>
                </w:tcPr>
                <w:p w14:paraId="7806FDD0">
                  <w:pPr>
                    <w:spacing w:line="240" w:lineRule="auto"/>
                    <w:ind w:firstLine="0" w:firstLineChars="0"/>
                    <w:jc w:val="center"/>
                    <w:textAlignment w:val="auto"/>
                    <w:rPr>
                      <w:sz w:val="21"/>
                      <w:szCs w:val="21"/>
                    </w:rPr>
                  </w:pPr>
                  <w:r>
                    <w:rPr>
                      <w:sz w:val="21"/>
                      <w:szCs w:val="21"/>
                    </w:rPr>
                    <w:t>1</w:t>
                  </w:r>
                </w:p>
              </w:tc>
              <w:tc>
                <w:tcPr>
                  <w:tcW w:w="970" w:type="pct"/>
                  <w:vAlign w:val="center"/>
                </w:tcPr>
                <w:p w14:paraId="3F441CB5">
                  <w:pPr>
                    <w:spacing w:line="240" w:lineRule="auto"/>
                    <w:ind w:firstLine="0" w:firstLineChars="0"/>
                    <w:jc w:val="center"/>
                    <w:textAlignment w:val="auto"/>
                    <w:rPr>
                      <w:sz w:val="21"/>
                      <w:szCs w:val="21"/>
                    </w:rPr>
                  </w:pPr>
                  <w:r>
                    <w:rPr>
                      <w:rFonts w:hint="eastAsia"/>
                      <w:sz w:val="21"/>
                      <w:szCs w:val="21"/>
                    </w:rPr>
                    <w:t>废机油</w:t>
                  </w:r>
                </w:p>
              </w:tc>
              <w:tc>
                <w:tcPr>
                  <w:tcW w:w="1326" w:type="pct"/>
                  <w:vAlign w:val="center"/>
                </w:tcPr>
                <w:p w14:paraId="330E273E">
                  <w:pPr>
                    <w:spacing w:line="240" w:lineRule="auto"/>
                    <w:ind w:firstLine="0" w:firstLineChars="0"/>
                    <w:jc w:val="center"/>
                    <w:textAlignment w:val="auto"/>
                    <w:rPr>
                      <w:sz w:val="21"/>
                      <w:szCs w:val="21"/>
                    </w:rPr>
                  </w:pPr>
                  <w:r>
                    <w:rPr>
                      <w:sz w:val="21"/>
                      <w:szCs w:val="21"/>
                    </w:rPr>
                    <w:t>0.1</w:t>
                  </w:r>
                </w:p>
              </w:tc>
              <w:tc>
                <w:tcPr>
                  <w:tcW w:w="1033" w:type="pct"/>
                  <w:vAlign w:val="center"/>
                </w:tcPr>
                <w:p w14:paraId="4104470C">
                  <w:pPr>
                    <w:spacing w:line="240" w:lineRule="auto"/>
                    <w:ind w:firstLine="0" w:firstLineChars="0"/>
                    <w:jc w:val="center"/>
                    <w:textAlignment w:val="auto"/>
                    <w:rPr>
                      <w:sz w:val="21"/>
                      <w:szCs w:val="21"/>
                    </w:rPr>
                  </w:pPr>
                  <w:r>
                    <w:rPr>
                      <w:rFonts w:hint="eastAsia"/>
                      <w:sz w:val="21"/>
                      <w:szCs w:val="21"/>
                    </w:rPr>
                    <w:t>2</w:t>
                  </w:r>
                  <w:r>
                    <w:rPr>
                      <w:sz w:val="21"/>
                      <w:szCs w:val="21"/>
                    </w:rPr>
                    <w:t>500</w:t>
                  </w:r>
                </w:p>
              </w:tc>
              <w:tc>
                <w:tcPr>
                  <w:tcW w:w="1213" w:type="pct"/>
                  <w:vAlign w:val="center"/>
                </w:tcPr>
                <w:p w14:paraId="5C2662D0">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r w14:paraId="6280B77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99" w:hRule="exact"/>
                <w:jc w:val="center"/>
              </w:trPr>
              <w:tc>
                <w:tcPr>
                  <w:tcW w:w="3787" w:type="pct"/>
                  <w:gridSpan w:val="4"/>
                  <w:vAlign w:val="center"/>
                </w:tcPr>
                <w:p w14:paraId="50D3A9E9">
                  <w:pPr>
                    <w:spacing w:line="240" w:lineRule="auto"/>
                    <w:ind w:firstLine="0" w:firstLineChars="0"/>
                    <w:jc w:val="center"/>
                    <w:textAlignment w:val="auto"/>
                    <w:rPr>
                      <w:sz w:val="21"/>
                      <w:szCs w:val="21"/>
                    </w:rPr>
                  </w:pPr>
                  <w:r>
                    <w:rPr>
                      <w:rFonts w:hint="eastAsia"/>
                      <w:sz w:val="21"/>
                      <w:szCs w:val="21"/>
                    </w:rPr>
                    <w:t>合计</w:t>
                  </w:r>
                </w:p>
              </w:tc>
              <w:tc>
                <w:tcPr>
                  <w:tcW w:w="1213" w:type="pct"/>
                  <w:vAlign w:val="center"/>
                </w:tcPr>
                <w:p w14:paraId="632A22AA">
                  <w:pPr>
                    <w:spacing w:line="240" w:lineRule="auto"/>
                    <w:ind w:firstLine="0" w:firstLineChars="0"/>
                    <w:jc w:val="center"/>
                    <w:textAlignment w:val="auto"/>
                    <w:rPr>
                      <w:sz w:val="21"/>
                      <w:szCs w:val="21"/>
                    </w:rPr>
                  </w:pPr>
                  <w:r>
                    <w:rPr>
                      <w:rFonts w:hint="eastAsia"/>
                      <w:sz w:val="21"/>
                      <w:szCs w:val="21"/>
                    </w:rPr>
                    <w:t>0</w:t>
                  </w:r>
                  <w:r>
                    <w:rPr>
                      <w:sz w:val="21"/>
                      <w:szCs w:val="21"/>
                    </w:rPr>
                    <w:t>.00004</w:t>
                  </w:r>
                </w:p>
              </w:tc>
            </w:tr>
          </w:tbl>
          <w:p w14:paraId="7F0C072E">
            <w:pPr>
              <w:autoSpaceDE w:val="0"/>
              <w:autoSpaceDN w:val="0"/>
              <w:adjustRightInd w:val="0"/>
              <w:snapToGrid w:val="0"/>
              <w:ind w:firstLine="480"/>
              <w:rPr>
                <w:rFonts w:cs="Times New Roman"/>
                <w:snapToGrid w:val="0"/>
                <w:kern w:val="0"/>
                <w:szCs w:val="24"/>
              </w:rPr>
            </w:pPr>
            <w:r>
              <w:rPr>
                <w:rFonts w:cs="Times New Roman"/>
                <w:bCs/>
              </w:rPr>
              <w:t>根据危险物质数量与临界量比值，确定Q=0.00004＜1。当Q＜1时，该项目风险期潜势为Ⅰ，风险期潜势为Ⅰ时，环境风险评价工作等级为简单分析。</w:t>
            </w:r>
          </w:p>
          <w:p w14:paraId="0B7C6893">
            <w:pPr>
              <w:keepNext/>
              <w:spacing w:before="163" w:beforeLines="50" w:line="240" w:lineRule="auto"/>
              <w:ind w:firstLine="422"/>
              <w:jc w:val="center"/>
              <w:rPr>
                <w:rFonts w:cs="Times New Roman"/>
                <w:b/>
                <w:snapToGrid w:val="0"/>
                <w:sz w:val="21"/>
              </w:rPr>
            </w:pPr>
            <w:r>
              <w:rPr>
                <w:rFonts w:hint="eastAsia" w:cs="Times New Roman"/>
                <w:b/>
                <w:snapToGrid w:val="0"/>
                <w:sz w:val="21"/>
              </w:rPr>
              <w:t>表</w:t>
            </w:r>
            <w:r>
              <w:rPr>
                <w:rFonts w:cs="Times New Roman"/>
                <w:b/>
                <w:snapToGrid w:val="0"/>
                <w:sz w:val="21"/>
              </w:rPr>
              <w:t xml:space="preserve">4-13  </w:t>
            </w:r>
            <w:r>
              <w:rPr>
                <w:rFonts w:hint="eastAsia" w:cs="Times New Roman"/>
                <w:b/>
                <w:snapToGrid w:val="0"/>
                <w:sz w:val="21"/>
              </w:rPr>
              <w:t>评价工作等级划分</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566"/>
              <w:gridCol w:w="1550"/>
              <w:gridCol w:w="1791"/>
              <w:gridCol w:w="2180"/>
              <w:gridCol w:w="1592"/>
            </w:tblGrid>
            <w:tr w14:paraId="2CEEC9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12" w:space="0"/>
                    <w:left w:val="single" w:color="auto" w:sz="12" w:space="0"/>
                    <w:bottom w:val="single" w:color="auto" w:sz="6" w:space="0"/>
                    <w:right w:val="single" w:color="auto" w:sz="6" w:space="0"/>
                  </w:tcBorders>
                  <w:vAlign w:val="center"/>
                </w:tcPr>
                <w:p w14:paraId="3EC4826E">
                  <w:pPr>
                    <w:spacing w:line="240" w:lineRule="auto"/>
                    <w:ind w:firstLine="0" w:firstLineChars="0"/>
                    <w:jc w:val="center"/>
                    <w:rPr>
                      <w:rFonts w:cs="Times New Roman"/>
                      <w:snapToGrid w:val="0"/>
                      <w:sz w:val="21"/>
                      <w:szCs w:val="24"/>
                    </w:rPr>
                  </w:pPr>
                  <w:r>
                    <w:rPr>
                      <w:rFonts w:hint="eastAsia" w:cs="Times New Roman"/>
                      <w:snapToGrid w:val="0"/>
                      <w:sz w:val="21"/>
                      <w:szCs w:val="24"/>
                    </w:rPr>
                    <w:t>环境风险潜势</w:t>
                  </w:r>
                </w:p>
              </w:tc>
              <w:tc>
                <w:tcPr>
                  <w:tcW w:w="893" w:type="pct"/>
                  <w:tcBorders>
                    <w:top w:val="single" w:color="auto" w:sz="12" w:space="0"/>
                    <w:left w:val="single" w:color="auto" w:sz="6" w:space="0"/>
                    <w:bottom w:val="single" w:color="auto" w:sz="6" w:space="0"/>
                    <w:right w:val="single" w:color="auto" w:sz="6" w:space="0"/>
                  </w:tcBorders>
                  <w:vAlign w:val="center"/>
                </w:tcPr>
                <w:p w14:paraId="13CC8430">
                  <w:pPr>
                    <w:spacing w:line="240" w:lineRule="auto"/>
                    <w:ind w:firstLine="0" w:firstLineChars="0"/>
                    <w:jc w:val="center"/>
                    <w:rPr>
                      <w:rFonts w:cs="Times New Roman"/>
                      <w:snapToGrid w:val="0"/>
                      <w:sz w:val="21"/>
                      <w:szCs w:val="24"/>
                    </w:rPr>
                  </w:pPr>
                  <w:r>
                    <w:rPr>
                      <w:rFonts w:cs="Times New Roman"/>
                      <w:snapToGrid w:val="0"/>
                      <w:sz w:val="21"/>
                      <w:szCs w:val="24"/>
                    </w:rPr>
                    <w:t>Ⅳ+</w:t>
                  </w:r>
                  <w:r>
                    <w:rPr>
                      <w:rFonts w:hint="eastAsia" w:cs="Times New Roman"/>
                      <w:snapToGrid w:val="0"/>
                      <w:sz w:val="21"/>
                      <w:szCs w:val="24"/>
                    </w:rPr>
                    <w:t>、</w:t>
                  </w:r>
                  <w:r>
                    <w:rPr>
                      <w:rFonts w:cs="Times New Roman"/>
                      <w:snapToGrid w:val="0"/>
                      <w:sz w:val="21"/>
                      <w:szCs w:val="24"/>
                    </w:rPr>
                    <w:t>Ⅳ</w:t>
                  </w:r>
                </w:p>
              </w:tc>
              <w:tc>
                <w:tcPr>
                  <w:tcW w:w="1032" w:type="pct"/>
                  <w:tcBorders>
                    <w:top w:val="single" w:color="auto" w:sz="12" w:space="0"/>
                    <w:left w:val="single" w:color="auto" w:sz="6" w:space="0"/>
                    <w:bottom w:val="single" w:color="auto" w:sz="6" w:space="0"/>
                    <w:right w:val="single" w:color="auto" w:sz="6" w:space="0"/>
                  </w:tcBorders>
                  <w:vAlign w:val="center"/>
                </w:tcPr>
                <w:p w14:paraId="27F7F131">
                  <w:pPr>
                    <w:spacing w:line="240" w:lineRule="auto"/>
                    <w:ind w:firstLine="0" w:firstLineChars="0"/>
                    <w:jc w:val="center"/>
                    <w:rPr>
                      <w:rFonts w:cs="Times New Roman"/>
                      <w:snapToGrid w:val="0"/>
                      <w:sz w:val="21"/>
                      <w:szCs w:val="24"/>
                    </w:rPr>
                  </w:pPr>
                  <w:r>
                    <w:rPr>
                      <w:rFonts w:cs="Times New Roman"/>
                      <w:snapToGrid w:val="0"/>
                      <w:sz w:val="21"/>
                      <w:szCs w:val="24"/>
                    </w:rPr>
                    <w:t>Ⅲ</w:t>
                  </w:r>
                </w:p>
              </w:tc>
              <w:tc>
                <w:tcPr>
                  <w:tcW w:w="1256" w:type="pct"/>
                  <w:tcBorders>
                    <w:top w:val="single" w:color="auto" w:sz="12" w:space="0"/>
                    <w:left w:val="single" w:color="auto" w:sz="6" w:space="0"/>
                    <w:bottom w:val="single" w:color="auto" w:sz="6" w:space="0"/>
                    <w:right w:val="single" w:color="auto" w:sz="6" w:space="0"/>
                  </w:tcBorders>
                  <w:vAlign w:val="center"/>
                </w:tcPr>
                <w:p w14:paraId="6DECB0C7">
                  <w:pPr>
                    <w:spacing w:line="240" w:lineRule="auto"/>
                    <w:ind w:firstLine="0" w:firstLineChars="0"/>
                    <w:jc w:val="center"/>
                    <w:rPr>
                      <w:rFonts w:cs="Times New Roman"/>
                      <w:snapToGrid w:val="0"/>
                      <w:sz w:val="21"/>
                      <w:szCs w:val="24"/>
                    </w:rPr>
                  </w:pPr>
                  <w:r>
                    <w:rPr>
                      <w:rFonts w:cs="Times New Roman"/>
                      <w:snapToGrid w:val="0"/>
                      <w:sz w:val="21"/>
                      <w:szCs w:val="24"/>
                    </w:rPr>
                    <w:t>Ⅱ</w:t>
                  </w:r>
                </w:p>
              </w:tc>
              <w:tc>
                <w:tcPr>
                  <w:tcW w:w="917" w:type="pct"/>
                  <w:tcBorders>
                    <w:top w:val="single" w:color="auto" w:sz="12" w:space="0"/>
                    <w:left w:val="single" w:color="auto" w:sz="6" w:space="0"/>
                    <w:bottom w:val="single" w:color="auto" w:sz="6" w:space="0"/>
                    <w:right w:val="single" w:color="auto" w:sz="12" w:space="0"/>
                  </w:tcBorders>
                  <w:shd w:val="clear" w:color="auto" w:fill="E7E6E6" w:themeFill="background2"/>
                  <w:vAlign w:val="center"/>
                </w:tcPr>
                <w:p w14:paraId="2C46A32D">
                  <w:pPr>
                    <w:spacing w:line="240" w:lineRule="auto"/>
                    <w:ind w:firstLine="0" w:firstLineChars="0"/>
                    <w:jc w:val="center"/>
                    <w:rPr>
                      <w:rFonts w:cs="Times New Roman"/>
                      <w:snapToGrid w:val="0"/>
                      <w:sz w:val="21"/>
                      <w:szCs w:val="24"/>
                    </w:rPr>
                  </w:pPr>
                  <w:r>
                    <w:rPr>
                      <w:rFonts w:cs="Times New Roman"/>
                      <w:snapToGrid w:val="0"/>
                      <w:sz w:val="21"/>
                      <w:szCs w:val="24"/>
                    </w:rPr>
                    <w:t>Ⅰ</w:t>
                  </w:r>
                </w:p>
              </w:tc>
            </w:tr>
            <w:tr w14:paraId="53BFB9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902" w:type="pct"/>
                  <w:tcBorders>
                    <w:top w:val="single" w:color="auto" w:sz="6" w:space="0"/>
                    <w:left w:val="single" w:color="auto" w:sz="12" w:space="0"/>
                    <w:bottom w:val="single" w:color="auto" w:sz="6" w:space="0"/>
                    <w:right w:val="single" w:color="auto" w:sz="6" w:space="0"/>
                  </w:tcBorders>
                  <w:vAlign w:val="center"/>
                </w:tcPr>
                <w:p w14:paraId="5FC5FF29">
                  <w:pPr>
                    <w:spacing w:line="240" w:lineRule="auto"/>
                    <w:ind w:firstLine="0" w:firstLineChars="0"/>
                    <w:jc w:val="center"/>
                    <w:rPr>
                      <w:rFonts w:cs="Times New Roman"/>
                      <w:snapToGrid w:val="0"/>
                      <w:sz w:val="21"/>
                      <w:szCs w:val="24"/>
                    </w:rPr>
                  </w:pPr>
                  <w:r>
                    <w:rPr>
                      <w:rFonts w:hint="eastAsia" w:cs="Times New Roman"/>
                      <w:snapToGrid w:val="0"/>
                      <w:sz w:val="21"/>
                      <w:szCs w:val="24"/>
                    </w:rPr>
                    <w:t>评价工作等级</w:t>
                  </w:r>
                </w:p>
              </w:tc>
              <w:tc>
                <w:tcPr>
                  <w:tcW w:w="893" w:type="pct"/>
                  <w:tcBorders>
                    <w:top w:val="single" w:color="auto" w:sz="6" w:space="0"/>
                    <w:left w:val="single" w:color="auto" w:sz="6" w:space="0"/>
                    <w:bottom w:val="single" w:color="auto" w:sz="6" w:space="0"/>
                    <w:right w:val="single" w:color="auto" w:sz="6" w:space="0"/>
                  </w:tcBorders>
                  <w:vAlign w:val="center"/>
                </w:tcPr>
                <w:p w14:paraId="49DAB537">
                  <w:pPr>
                    <w:spacing w:line="240" w:lineRule="auto"/>
                    <w:ind w:firstLine="0" w:firstLineChars="0"/>
                    <w:jc w:val="center"/>
                    <w:rPr>
                      <w:rFonts w:cs="Times New Roman"/>
                      <w:snapToGrid w:val="0"/>
                      <w:sz w:val="21"/>
                      <w:szCs w:val="24"/>
                    </w:rPr>
                  </w:pPr>
                  <w:r>
                    <w:rPr>
                      <w:rFonts w:hint="eastAsia" w:cs="Times New Roman"/>
                      <w:snapToGrid w:val="0"/>
                      <w:sz w:val="21"/>
                      <w:szCs w:val="24"/>
                    </w:rPr>
                    <w:t>一</w:t>
                  </w:r>
                </w:p>
              </w:tc>
              <w:tc>
                <w:tcPr>
                  <w:tcW w:w="1032" w:type="pct"/>
                  <w:tcBorders>
                    <w:top w:val="single" w:color="auto" w:sz="6" w:space="0"/>
                    <w:left w:val="single" w:color="auto" w:sz="6" w:space="0"/>
                    <w:bottom w:val="single" w:color="auto" w:sz="6" w:space="0"/>
                    <w:right w:val="single" w:color="auto" w:sz="6" w:space="0"/>
                  </w:tcBorders>
                  <w:vAlign w:val="center"/>
                </w:tcPr>
                <w:p w14:paraId="6666D958">
                  <w:pPr>
                    <w:spacing w:line="240" w:lineRule="auto"/>
                    <w:ind w:firstLine="0" w:firstLineChars="0"/>
                    <w:jc w:val="center"/>
                    <w:rPr>
                      <w:rFonts w:cs="Times New Roman"/>
                      <w:snapToGrid w:val="0"/>
                      <w:sz w:val="21"/>
                      <w:szCs w:val="24"/>
                    </w:rPr>
                  </w:pPr>
                  <w:r>
                    <w:rPr>
                      <w:rFonts w:hint="eastAsia" w:cs="Times New Roman"/>
                      <w:snapToGrid w:val="0"/>
                      <w:sz w:val="21"/>
                      <w:szCs w:val="24"/>
                    </w:rPr>
                    <w:t>二</w:t>
                  </w:r>
                </w:p>
              </w:tc>
              <w:tc>
                <w:tcPr>
                  <w:tcW w:w="1256" w:type="pct"/>
                  <w:tcBorders>
                    <w:top w:val="single" w:color="auto" w:sz="6" w:space="0"/>
                    <w:left w:val="single" w:color="auto" w:sz="6" w:space="0"/>
                    <w:bottom w:val="single" w:color="auto" w:sz="6" w:space="0"/>
                    <w:right w:val="single" w:color="auto" w:sz="6" w:space="0"/>
                  </w:tcBorders>
                  <w:vAlign w:val="center"/>
                </w:tcPr>
                <w:p w14:paraId="12ACE10F">
                  <w:pPr>
                    <w:spacing w:line="240" w:lineRule="auto"/>
                    <w:ind w:firstLine="0" w:firstLineChars="0"/>
                    <w:jc w:val="center"/>
                    <w:rPr>
                      <w:rFonts w:cs="Times New Roman"/>
                      <w:snapToGrid w:val="0"/>
                      <w:sz w:val="21"/>
                      <w:szCs w:val="24"/>
                    </w:rPr>
                  </w:pPr>
                  <w:r>
                    <w:rPr>
                      <w:rFonts w:hint="eastAsia" w:cs="Times New Roman"/>
                      <w:snapToGrid w:val="0"/>
                      <w:sz w:val="21"/>
                      <w:szCs w:val="24"/>
                    </w:rPr>
                    <w:t>三</w:t>
                  </w:r>
                </w:p>
              </w:tc>
              <w:tc>
                <w:tcPr>
                  <w:tcW w:w="917" w:type="pct"/>
                  <w:tcBorders>
                    <w:top w:val="single" w:color="auto" w:sz="6" w:space="0"/>
                    <w:left w:val="single" w:color="auto" w:sz="6" w:space="0"/>
                    <w:bottom w:val="single" w:color="auto" w:sz="6" w:space="0"/>
                    <w:right w:val="single" w:color="auto" w:sz="12" w:space="0"/>
                  </w:tcBorders>
                  <w:shd w:val="clear" w:color="auto" w:fill="E7E6E6" w:themeFill="background2"/>
                  <w:vAlign w:val="center"/>
                </w:tcPr>
                <w:p w14:paraId="0D42B8FF">
                  <w:pPr>
                    <w:spacing w:line="240" w:lineRule="auto"/>
                    <w:ind w:firstLine="0" w:firstLineChars="0"/>
                    <w:jc w:val="center"/>
                    <w:rPr>
                      <w:rFonts w:cs="Times New Roman"/>
                      <w:snapToGrid w:val="0"/>
                      <w:sz w:val="21"/>
                      <w:szCs w:val="24"/>
                    </w:rPr>
                  </w:pPr>
                  <w:r>
                    <w:rPr>
                      <w:rFonts w:hint="eastAsia" w:cs="Times New Roman"/>
                      <w:snapToGrid w:val="0"/>
                      <w:sz w:val="21"/>
                      <w:szCs w:val="24"/>
                    </w:rPr>
                    <w:t>简单分析</w:t>
                  </w:r>
                  <w:r>
                    <w:rPr>
                      <w:rFonts w:cs="Times New Roman"/>
                      <w:snapToGrid w:val="0"/>
                      <w:sz w:val="21"/>
                      <w:szCs w:val="24"/>
                    </w:rPr>
                    <w:t>a</w:t>
                  </w:r>
                </w:p>
              </w:tc>
            </w:tr>
            <w:tr w14:paraId="5D54BB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0" w:hRule="atLeast"/>
                <w:jc w:val="center"/>
              </w:trPr>
              <w:tc>
                <w:tcPr>
                  <w:tcW w:w="5000" w:type="pct"/>
                  <w:gridSpan w:val="5"/>
                  <w:tcBorders>
                    <w:top w:val="single" w:color="auto" w:sz="6" w:space="0"/>
                    <w:left w:val="single" w:color="auto" w:sz="12" w:space="0"/>
                    <w:bottom w:val="single" w:color="auto" w:sz="12" w:space="0"/>
                    <w:right w:val="single" w:color="auto" w:sz="12" w:space="0"/>
                  </w:tcBorders>
                  <w:vAlign w:val="center"/>
                </w:tcPr>
                <w:p w14:paraId="7D2DB3B9">
                  <w:pPr>
                    <w:spacing w:line="240" w:lineRule="auto"/>
                    <w:ind w:firstLine="0" w:firstLineChars="0"/>
                    <w:rPr>
                      <w:rFonts w:cs="Times New Roman"/>
                      <w:snapToGrid w:val="0"/>
                      <w:sz w:val="21"/>
                      <w:szCs w:val="24"/>
                    </w:rPr>
                  </w:pPr>
                  <w:r>
                    <w:rPr>
                      <w:rFonts w:cs="Times New Roman"/>
                      <w:snapToGrid w:val="0"/>
                      <w:sz w:val="21"/>
                      <w:szCs w:val="24"/>
                    </w:rPr>
                    <w:t>a</w:t>
                  </w:r>
                  <w:r>
                    <w:rPr>
                      <w:rFonts w:hint="eastAsia" w:cs="Times New Roman"/>
                      <w:snapToGrid w:val="0"/>
                      <w:sz w:val="21"/>
                      <w:szCs w:val="24"/>
                    </w:rPr>
                    <w:t>是相对于详细评价工作内容而言，在描述危险物质、环境影响途径、环境危害后果、风险防范措施等方面给出定性的说明。见附录</w:t>
                  </w:r>
                  <w:r>
                    <w:rPr>
                      <w:rFonts w:cs="Times New Roman"/>
                      <w:snapToGrid w:val="0"/>
                      <w:sz w:val="21"/>
                      <w:szCs w:val="24"/>
                    </w:rPr>
                    <w:t>A.</w:t>
                  </w:r>
                </w:p>
              </w:tc>
            </w:tr>
          </w:tbl>
          <w:p w14:paraId="16B415EA">
            <w:pPr>
              <w:ind w:firstLine="0" w:firstLineChars="0"/>
              <w:textAlignment w:val="auto"/>
              <w:rPr>
                <w:rFonts w:cs="Times New Roman"/>
                <w:b/>
                <w:bCs/>
                <w:kern w:val="0"/>
                <w:szCs w:val="24"/>
              </w:rPr>
            </w:pPr>
            <w:r>
              <w:rPr>
                <w:rFonts w:hint="eastAsia" w:cs="Times New Roman"/>
                <w:b/>
                <w:bCs/>
                <w:kern w:val="0"/>
                <w:szCs w:val="24"/>
              </w:rPr>
              <w:t>4.</w:t>
            </w:r>
            <w:r>
              <w:rPr>
                <w:rFonts w:cs="Times New Roman"/>
                <w:b/>
                <w:bCs/>
                <w:kern w:val="0"/>
                <w:szCs w:val="24"/>
              </w:rPr>
              <w:t>5</w:t>
            </w:r>
            <w:r>
              <w:rPr>
                <w:rFonts w:hint="eastAsia" w:cs="Times New Roman"/>
                <w:b/>
                <w:bCs/>
                <w:kern w:val="0"/>
                <w:szCs w:val="24"/>
              </w:rPr>
              <w:t>.3环境风险识别</w:t>
            </w:r>
          </w:p>
          <w:p w14:paraId="15B95EF8">
            <w:pPr>
              <w:widowControl/>
              <w:ind w:firstLine="480"/>
              <w:jc w:val="left"/>
            </w:pPr>
            <w:r>
              <w:rPr>
                <w:rFonts w:hint="eastAsia" w:ascii="宋体" w:hAnsi="宋体" w:cs="宋体"/>
                <w:color w:val="000000"/>
                <w:kern w:val="0"/>
                <w:szCs w:val="24"/>
                <w:lang w:bidi="ar"/>
              </w:rPr>
              <w:t>①环境风险物质识别</w:t>
            </w:r>
          </w:p>
          <w:p w14:paraId="037D02F9">
            <w:pPr>
              <w:ind w:firstLine="480"/>
            </w:pPr>
            <w:r>
              <w:rPr>
                <w:rFonts w:hint="eastAsia"/>
              </w:rPr>
              <w:t>本项目存在的主要风险包括</w:t>
            </w:r>
            <w:r>
              <w:rPr>
                <w:rFonts w:hint="eastAsia" w:cs="Times New Roman"/>
                <w:snapToGrid w:val="0"/>
                <w:kern w:val="0"/>
                <w:szCs w:val="24"/>
              </w:rPr>
              <w:t>废机油</w:t>
            </w:r>
            <w:r>
              <w:rPr>
                <w:rFonts w:hint="eastAsia"/>
              </w:rPr>
              <w:t>贮存过程可能引发的火灾事故。</w:t>
            </w:r>
          </w:p>
          <w:p w14:paraId="6DE7CABE">
            <w:pPr>
              <w:spacing w:line="240" w:lineRule="auto"/>
              <w:ind w:firstLine="211" w:firstLineChars="100"/>
              <w:jc w:val="center"/>
              <w:textAlignment w:val="auto"/>
              <w:rPr>
                <w:b/>
                <w:bCs/>
                <w:sz w:val="21"/>
                <w:szCs w:val="21"/>
              </w:rPr>
            </w:pPr>
            <w:r>
              <w:rPr>
                <w:rFonts w:hint="eastAsia"/>
                <w:b/>
                <w:bCs/>
                <w:sz w:val="21"/>
                <w:szCs w:val="21"/>
              </w:rPr>
              <w:t>表4-1</w:t>
            </w:r>
            <w:r>
              <w:rPr>
                <w:b/>
                <w:bCs/>
                <w:sz w:val="21"/>
                <w:szCs w:val="21"/>
              </w:rPr>
              <w:t xml:space="preserve">4  </w:t>
            </w:r>
            <w:r>
              <w:rPr>
                <w:rFonts w:hint="eastAsia"/>
                <w:b/>
                <w:bCs/>
                <w:sz w:val="21"/>
                <w:szCs w:val="21"/>
              </w:rPr>
              <w:t>本项目风险物质的扩散途径及环境影响一览</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1590"/>
              <w:gridCol w:w="1300"/>
              <w:gridCol w:w="4779"/>
            </w:tblGrid>
            <w:tr w14:paraId="61B5BA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82" w:type="pct"/>
                  <w:vAlign w:val="center"/>
                </w:tcPr>
                <w:p w14:paraId="7059D561">
                  <w:pPr>
                    <w:spacing w:line="240" w:lineRule="auto"/>
                    <w:ind w:firstLine="0" w:firstLineChars="0"/>
                    <w:jc w:val="center"/>
                    <w:outlineLvl w:val="2"/>
                    <w:rPr>
                      <w:color w:val="000000"/>
                      <w:sz w:val="21"/>
                      <w:szCs w:val="21"/>
                    </w:rPr>
                  </w:pPr>
                  <w:r>
                    <w:rPr>
                      <w:color w:val="000000"/>
                      <w:sz w:val="21"/>
                      <w:szCs w:val="21"/>
                    </w:rPr>
                    <w:t>序号</w:t>
                  </w:r>
                </w:p>
              </w:tc>
              <w:tc>
                <w:tcPr>
                  <w:tcW w:w="916" w:type="pct"/>
                  <w:vAlign w:val="center"/>
                </w:tcPr>
                <w:p w14:paraId="415BDBE8">
                  <w:pPr>
                    <w:spacing w:line="240" w:lineRule="auto"/>
                    <w:ind w:firstLine="0" w:firstLineChars="0"/>
                    <w:jc w:val="center"/>
                    <w:outlineLvl w:val="2"/>
                    <w:rPr>
                      <w:color w:val="000000"/>
                      <w:sz w:val="21"/>
                      <w:szCs w:val="21"/>
                    </w:rPr>
                  </w:pPr>
                  <w:r>
                    <w:rPr>
                      <w:color w:val="000000"/>
                      <w:sz w:val="21"/>
                      <w:szCs w:val="21"/>
                    </w:rPr>
                    <w:t>环境风险单元</w:t>
                  </w:r>
                </w:p>
              </w:tc>
              <w:tc>
                <w:tcPr>
                  <w:tcW w:w="749" w:type="pct"/>
                  <w:vAlign w:val="center"/>
                </w:tcPr>
                <w:p w14:paraId="7C101BE2">
                  <w:pPr>
                    <w:spacing w:line="240" w:lineRule="auto"/>
                    <w:ind w:firstLine="0" w:firstLineChars="0"/>
                    <w:jc w:val="center"/>
                    <w:outlineLvl w:val="2"/>
                    <w:rPr>
                      <w:color w:val="000000"/>
                      <w:sz w:val="21"/>
                      <w:szCs w:val="21"/>
                    </w:rPr>
                  </w:pPr>
                  <w:r>
                    <w:rPr>
                      <w:color w:val="000000"/>
                      <w:sz w:val="21"/>
                      <w:szCs w:val="21"/>
                    </w:rPr>
                    <w:t>涉及物质</w:t>
                  </w:r>
                </w:p>
              </w:tc>
              <w:tc>
                <w:tcPr>
                  <w:tcW w:w="2752" w:type="pct"/>
                  <w:vAlign w:val="center"/>
                </w:tcPr>
                <w:p w14:paraId="110AADAF">
                  <w:pPr>
                    <w:spacing w:line="240" w:lineRule="auto"/>
                    <w:ind w:firstLine="0" w:firstLineChars="0"/>
                    <w:jc w:val="center"/>
                    <w:outlineLvl w:val="2"/>
                    <w:rPr>
                      <w:color w:val="000000"/>
                      <w:sz w:val="21"/>
                      <w:szCs w:val="21"/>
                    </w:rPr>
                  </w:pPr>
                  <w:r>
                    <w:rPr>
                      <w:color w:val="000000"/>
                      <w:sz w:val="21"/>
                      <w:szCs w:val="21"/>
                    </w:rPr>
                    <w:t>扩散途径及环境影响</w:t>
                  </w:r>
                </w:p>
              </w:tc>
            </w:tr>
            <w:tr w14:paraId="1B9B15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582" w:type="pct"/>
                  <w:vAlign w:val="center"/>
                </w:tcPr>
                <w:p w14:paraId="13BB4693">
                  <w:pPr>
                    <w:spacing w:line="240" w:lineRule="auto"/>
                    <w:ind w:firstLine="0" w:firstLineChars="0"/>
                    <w:jc w:val="center"/>
                    <w:outlineLvl w:val="2"/>
                    <w:rPr>
                      <w:color w:val="000000"/>
                      <w:sz w:val="21"/>
                      <w:szCs w:val="21"/>
                    </w:rPr>
                  </w:pPr>
                  <w:r>
                    <w:rPr>
                      <w:color w:val="000000"/>
                      <w:sz w:val="21"/>
                      <w:szCs w:val="21"/>
                    </w:rPr>
                    <w:t>1</w:t>
                  </w:r>
                </w:p>
              </w:tc>
              <w:tc>
                <w:tcPr>
                  <w:tcW w:w="916" w:type="pct"/>
                  <w:vAlign w:val="center"/>
                </w:tcPr>
                <w:p w14:paraId="128F1F24">
                  <w:pPr>
                    <w:spacing w:line="240" w:lineRule="auto"/>
                    <w:ind w:firstLine="0" w:firstLineChars="0"/>
                    <w:jc w:val="center"/>
                    <w:outlineLvl w:val="2"/>
                    <w:rPr>
                      <w:color w:val="000000"/>
                      <w:sz w:val="21"/>
                      <w:szCs w:val="21"/>
                    </w:rPr>
                  </w:pPr>
                  <w:r>
                    <w:rPr>
                      <w:color w:val="000000"/>
                      <w:sz w:val="21"/>
                      <w:szCs w:val="21"/>
                    </w:rPr>
                    <w:t>危险废物</w:t>
                  </w:r>
                  <w:r>
                    <w:rPr>
                      <w:rFonts w:hint="eastAsia"/>
                      <w:color w:val="000000"/>
                      <w:sz w:val="21"/>
                      <w:szCs w:val="21"/>
                    </w:rPr>
                    <w:t>贮存点</w:t>
                  </w:r>
                </w:p>
              </w:tc>
              <w:tc>
                <w:tcPr>
                  <w:tcW w:w="749" w:type="pct"/>
                  <w:vAlign w:val="center"/>
                </w:tcPr>
                <w:p w14:paraId="17AA623A">
                  <w:pPr>
                    <w:spacing w:line="240" w:lineRule="auto"/>
                    <w:ind w:firstLine="0" w:firstLineChars="0"/>
                    <w:jc w:val="center"/>
                    <w:outlineLvl w:val="2"/>
                    <w:rPr>
                      <w:color w:val="000000"/>
                      <w:sz w:val="21"/>
                      <w:szCs w:val="21"/>
                    </w:rPr>
                  </w:pPr>
                  <w:r>
                    <w:rPr>
                      <w:color w:val="000000"/>
                      <w:sz w:val="21"/>
                      <w:szCs w:val="21"/>
                    </w:rPr>
                    <w:t>危险废物（废机油）</w:t>
                  </w:r>
                </w:p>
              </w:tc>
              <w:tc>
                <w:tcPr>
                  <w:tcW w:w="2752" w:type="pct"/>
                  <w:vAlign w:val="center"/>
                </w:tcPr>
                <w:p w14:paraId="7E86FCBF">
                  <w:pPr>
                    <w:spacing w:line="240" w:lineRule="auto"/>
                    <w:ind w:firstLine="0" w:firstLineChars="0"/>
                    <w:jc w:val="center"/>
                    <w:outlineLvl w:val="2"/>
                    <w:rPr>
                      <w:color w:val="000000"/>
                      <w:sz w:val="21"/>
                      <w:szCs w:val="21"/>
                    </w:rPr>
                  </w:pPr>
                  <w:r>
                    <w:rPr>
                      <w:color w:val="000000"/>
                      <w:sz w:val="21"/>
                      <w:szCs w:val="21"/>
                    </w:rPr>
                    <w:t>危险废物</w:t>
                  </w:r>
                  <w:r>
                    <w:rPr>
                      <w:rFonts w:hint="eastAsia"/>
                      <w:color w:val="000000"/>
                      <w:sz w:val="21"/>
                      <w:szCs w:val="21"/>
                    </w:rPr>
                    <w:t>贮存点一旦</w:t>
                  </w:r>
                  <w:r>
                    <w:rPr>
                      <w:color w:val="000000"/>
                      <w:sz w:val="21"/>
                      <w:szCs w:val="21"/>
                    </w:rPr>
                    <w:t>发生火灾，污染大气，消防水影响水环境；静电等导致危废起火，发生火灾，污染大气，消防水影响水环境</w:t>
                  </w:r>
                </w:p>
              </w:tc>
            </w:tr>
          </w:tbl>
          <w:p w14:paraId="2799D792">
            <w:pPr>
              <w:ind w:firstLine="0" w:firstLineChars="0"/>
              <w:textAlignment w:val="auto"/>
              <w:rPr>
                <w:rFonts w:cs="Times New Roman"/>
                <w:b/>
                <w:bCs/>
                <w:kern w:val="0"/>
                <w:szCs w:val="24"/>
              </w:rPr>
            </w:pPr>
            <w:r>
              <w:rPr>
                <w:rFonts w:cs="Times New Roman"/>
                <w:b/>
                <w:bCs/>
                <w:kern w:val="0"/>
                <w:szCs w:val="24"/>
              </w:rPr>
              <w:t>4.5.</w:t>
            </w:r>
            <w:r>
              <w:rPr>
                <w:rFonts w:hint="eastAsia" w:cs="Times New Roman"/>
                <w:b/>
                <w:bCs/>
                <w:kern w:val="0"/>
                <w:szCs w:val="24"/>
              </w:rPr>
              <w:t>4环境风险影响分析</w:t>
            </w:r>
          </w:p>
          <w:p w14:paraId="53EFCF35">
            <w:pPr>
              <w:ind w:firstLine="480"/>
            </w:pPr>
            <w:r>
              <w:rPr>
                <w:rFonts w:hint="eastAsia"/>
              </w:rPr>
              <w:t>本项目在运营过程中涉及少量废机油的临时贮存，主要环境风险为废机油泄漏及其引发的火灾、爆炸等次生事故。具体影响分析如下：</w:t>
            </w:r>
          </w:p>
          <w:p w14:paraId="31ED15EC">
            <w:pPr>
              <w:ind w:firstLine="480"/>
            </w:pPr>
            <w:r>
              <w:rPr>
                <w:rFonts w:hint="eastAsia"/>
              </w:rPr>
              <w:t>1.废机油泄漏风险分析</w:t>
            </w:r>
          </w:p>
          <w:p w14:paraId="6F6EC743">
            <w:pPr>
              <w:ind w:firstLine="480"/>
            </w:pPr>
            <w:r>
              <w:rPr>
                <w:rFonts w:hint="eastAsia"/>
              </w:rPr>
              <w:t>废机油属于《国家危险废物名录》中规定的危险废物（类别：HW08）。若贮存容器破损，可能导致废机油泄漏。泄漏后油品可能沿地面漫流，污染厂区土壤；在无有效防渗措施的情况下，还可能下渗进入地下水系统，造成地下水污染。尤其在降雨条件下，污染物可随径流进入周边地表水体，存在一定的水环境风险。</w:t>
            </w:r>
          </w:p>
          <w:p w14:paraId="07DF4EF4">
            <w:pPr>
              <w:ind w:firstLine="480"/>
            </w:pPr>
            <w:r>
              <w:rPr>
                <w:rFonts w:hint="eastAsia"/>
              </w:rPr>
              <w:t>2.火灾与爆炸风险分析</w:t>
            </w:r>
          </w:p>
          <w:p w14:paraId="1CE492A0">
            <w:pPr>
              <w:ind w:firstLine="480"/>
            </w:pPr>
            <w:r>
              <w:rPr>
                <w:rFonts w:hint="eastAsia"/>
              </w:rPr>
              <w:t>废机油具有可燃性，在密闭空间内挥发的油气与空气混合后，遇明火、高温或静电火花可能引发火灾甚至爆炸。燃烧过程中会产生一氧化碳（CO）、氮氧化物（NOx）及不完全燃烧产物（如烟尘、多环芳烃等），对周边大气环境和人体健康造成短期不利影响。</w:t>
            </w:r>
          </w:p>
          <w:p w14:paraId="07D9CF82">
            <w:pPr>
              <w:ind w:firstLine="480"/>
            </w:pPr>
            <w:r>
              <w:rPr>
                <w:rFonts w:hint="eastAsia"/>
              </w:rPr>
              <w:t>3.次生环境污染分析</w:t>
            </w:r>
          </w:p>
          <w:p w14:paraId="49FA575D">
            <w:pPr>
              <w:ind w:firstLine="480"/>
            </w:pPr>
            <w:r>
              <w:rPr>
                <w:rFonts w:hint="eastAsia"/>
              </w:rPr>
              <w:t>若发生火灾事故，灭火过程中产生的消防废水含有油类污染物和燃烧残留物。若未及时收集处理，废水可能随地表径流外排，污染附近地表水体，并可能通过渗透影响地下水安全，构成“二次污染”风险。</w:t>
            </w:r>
          </w:p>
          <w:p w14:paraId="23F659E9">
            <w:pPr>
              <w:ind w:firstLine="480"/>
            </w:pPr>
            <w:r>
              <w:rPr>
                <w:rFonts w:hint="eastAsia"/>
              </w:rPr>
              <w:t>4.风险概率评估</w:t>
            </w:r>
          </w:p>
          <w:p w14:paraId="3CE4124A">
            <w:pPr>
              <w:ind w:firstLine="480"/>
            </w:pPr>
            <w:r>
              <w:rPr>
                <w:rFonts w:hint="eastAsia" w:cs="Times New Roman"/>
                <w:szCs w:val="24"/>
              </w:rPr>
              <w:t>项目废机油产生量小，废机油集中存放于危险废物贮存点。贮存点按照《危险废物贮存污染控制标准》（GB18597-2023）要求进行重点防渗区设计，并配备泄漏收集托盘和应急物资；企业定期委托具有相应资质的单位进行清运与处置，全过程管理规范。综合判断，发生泄漏或火灾事故的概率较低</w:t>
            </w:r>
            <w:r>
              <w:rPr>
                <w:rFonts w:hint="eastAsia"/>
              </w:rPr>
              <w:t>。</w:t>
            </w:r>
          </w:p>
          <w:p w14:paraId="149E8823">
            <w:pPr>
              <w:ind w:firstLine="0" w:firstLineChars="0"/>
              <w:rPr>
                <w:b/>
                <w:bCs/>
              </w:rPr>
            </w:pPr>
            <w:r>
              <w:rPr>
                <w:rFonts w:hint="eastAsia"/>
                <w:b/>
                <w:bCs/>
              </w:rPr>
              <w:t>4.</w:t>
            </w:r>
            <w:r>
              <w:rPr>
                <w:b/>
                <w:bCs/>
              </w:rPr>
              <w:t>5</w:t>
            </w:r>
            <w:r>
              <w:rPr>
                <w:rFonts w:hint="eastAsia"/>
                <w:b/>
                <w:bCs/>
              </w:rPr>
              <w:t>.5环境风险应急预案</w:t>
            </w:r>
          </w:p>
          <w:p w14:paraId="20D965BB">
            <w:pPr>
              <w:ind w:firstLine="480"/>
            </w:pPr>
            <w:r>
              <w:t>该项目应结合各阶段的实际情况编制环境风险事故应急预案，其主要内容包括：</w:t>
            </w:r>
          </w:p>
          <w:p w14:paraId="4F20878E">
            <w:pPr>
              <w:ind w:firstLine="480"/>
            </w:pPr>
            <w:r>
              <w:rPr>
                <w:rFonts w:hint="eastAsia"/>
              </w:rPr>
              <w:t>（1）</w:t>
            </w:r>
            <w:r>
              <w:t>说明工程所处的地理位置及周边情况（各环境敏感目标、农户情况、当地气象条件等）、项目所在地现状、道路及运输情况等内容。</w:t>
            </w:r>
          </w:p>
          <w:p w14:paraId="2DFD3D83">
            <w:pPr>
              <w:ind w:firstLine="480"/>
            </w:pPr>
            <w:r>
              <w:rPr>
                <w:rFonts w:hint="eastAsia"/>
              </w:rPr>
              <w:t>（</w:t>
            </w:r>
            <w:r>
              <w:t>2）明确各阶段环境风险源的基本情况。</w:t>
            </w:r>
          </w:p>
          <w:p w14:paraId="672D85C8">
            <w:pPr>
              <w:ind w:firstLine="480"/>
            </w:pPr>
            <w:r>
              <w:rPr>
                <w:rFonts w:hint="eastAsia"/>
              </w:rPr>
              <w:t>（</w:t>
            </w:r>
            <w:r>
              <w:t>3）建立应急救援指挥机构，明确其职责，并确定通讯联络和联络方式。</w:t>
            </w:r>
          </w:p>
          <w:p w14:paraId="58723687">
            <w:pPr>
              <w:ind w:firstLine="480"/>
            </w:pPr>
            <w:r>
              <w:rPr>
                <w:rFonts w:hint="eastAsia"/>
              </w:rPr>
              <w:t>（</w:t>
            </w:r>
            <w:r>
              <w:t>4）明确必要的应急装备和设施。</w:t>
            </w:r>
          </w:p>
          <w:p w14:paraId="30A2AFF6">
            <w:pPr>
              <w:ind w:firstLine="480"/>
            </w:pPr>
            <w:r>
              <w:rPr>
                <w:rFonts w:hint="eastAsia"/>
              </w:rPr>
              <w:t>（</w:t>
            </w:r>
            <w:r>
              <w:t>5）组织应急救援专业队伍，明确任务及救援程序，并经常进行训练和演习。</w:t>
            </w:r>
          </w:p>
          <w:p w14:paraId="6C453ED1">
            <w:pPr>
              <w:ind w:firstLine="480"/>
            </w:pPr>
            <w:r>
              <w:rPr>
                <w:rFonts w:hint="eastAsia"/>
              </w:rPr>
              <w:t>（</w:t>
            </w:r>
            <w:r>
              <w:t>6）制定各类环境风险事故的应急处置方案和救援程序。</w:t>
            </w:r>
          </w:p>
          <w:p w14:paraId="3787B896">
            <w:pPr>
              <w:ind w:firstLine="480"/>
            </w:pPr>
            <w:r>
              <w:rPr>
                <w:rFonts w:hint="eastAsia"/>
              </w:rPr>
              <w:t>（</w:t>
            </w:r>
            <w:r>
              <w:t>7）建立汇报和协调程序。事故发生后，立即按程序汇报，并配合环境监测部门对事故现场及影响区域进行跟踪监测。</w:t>
            </w:r>
          </w:p>
          <w:p w14:paraId="6CC11241">
            <w:pPr>
              <w:ind w:firstLine="480"/>
            </w:pPr>
            <w:r>
              <w:rPr>
                <w:rFonts w:hint="eastAsia"/>
              </w:rPr>
              <w:t>（</w:t>
            </w:r>
            <w:r>
              <w:t>8）发生事故后，抢险人员应根据事先拟定的方案，在做好个人防护的技术基础上，以最快的速度及时堵漏排险、消灭事故。</w:t>
            </w:r>
          </w:p>
          <w:p w14:paraId="45E6378E">
            <w:pPr>
              <w:ind w:firstLine="480"/>
            </w:pPr>
            <w:r>
              <w:rPr>
                <w:rFonts w:hint="eastAsia"/>
              </w:rPr>
              <w:t>（</w:t>
            </w:r>
            <w:r>
              <w:t>9）发生重大事故可能对人群安全构成威胁时，必须在指挥部统一指挥下，紧急疏散与事故应急救援无关的人员，疏散方向、距离和集中地点，必须根据不同事故，作出具体规定。总的原则是疏散安全点处于当时的上风向。</w:t>
            </w:r>
          </w:p>
          <w:p w14:paraId="2BEE2AD0">
            <w:pPr>
              <w:ind w:firstLine="480"/>
            </w:pPr>
            <w:r>
              <w:rPr>
                <w:rFonts w:hint="eastAsia"/>
              </w:rPr>
              <w:t>（</w:t>
            </w:r>
            <w:r>
              <w:t>10）对应急救援人员进行培训，对社会或周边人员应急响应知识的宣传，必要时组织多方人员参与培训和应急演练。</w:t>
            </w:r>
          </w:p>
          <w:p w14:paraId="6AED3A70">
            <w:pPr>
              <w:ind w:firstLine="480"/>
            </w:pPr>
            <w:r>
              <w:rPr>
                <w:rFonts w:hint="eastAsia"/>
              </w:rPr>
              <w:t>（</w:t>
            </w:r>
            <w:r>
              <w:t>11）明确演练计划和方式。</w:t>
            </w:r>
          </w:p>
          <w:p w14:paraId="29E7C277">
            <w:pPr>
              <w:ind w:firstLine="480"/>
            </w:pP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废机油</w:t>
            </w:r>
            <w:r>
              <w:t>泄漏应急救援预案</w:t>
            </w:r>
          </w:p>
          <w:p w14:paraId="3B1C18BC">
            <w:pPr>
              <w:ind w:firstLine="480"/>
            </w:pP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t>当</w:t>
            </w:r>
            <w:r>
              <w:rPr>
                <w:rFonts w:hint="eastAsia"/>
              </w:rPr>
              <w:t>废机油</w:t>
            </w:r>
            <w:r>
              <w:t>外溢时，应及时围堵，并及时进行清理。</w:t>
            </w:r>
          </w:p>
          <w:p w14:paraId="3FEDC567">
            <w:pPr>
              <w:ind w:firstLine="480"/>
            </w:pP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t>对受泄漏</w:t>
            </w:r>
            <w:r>
              <w:rPr>
                <w:rFonts w:hint="eastAsia"/>
              </w:rPr>
              <w:t>废机油</w:t>
            </w:r>
            <w:r>
              <w:t>污染的土壤进行清理和置换，确保农业生产不受影响。</w:t>
            </w:r>
          </w:p>
          <w:p w14:paraId="1FBAE9D8">
            <w:pPr>
              <w:ind w:firstLine="480"/>
            </w:pPr>
            <w:r>
              <w:fldChar w:fldCharType="begin"/>
            </w:r>
            <w:r>
              <w:instrText xml:space="preserve"> </w:instrText>
            </w:r>
            <w:r>
              <w:rPr>
                <w:rFonts w:hint="eastAsia"/>
              </w:rPr>
              <w:instrText xml:space="preserve">= 4 \* GB3</w:instrText>
            </w:r>
            <w:r>
              <w:instrText xml:space="preserve"> </w:instrText>
            </w:r>
            <w:r>
              <w:fldChar w:fldCharType="separate"/>
            </w:r>
            <w:r>
              <w:rPr>
                <w:rFonts w:hint="eastAsia"/>
              </w:rPr>
              <w:t>④</w:t>
            </w:r>
            <w:r>
              <w:fldChar w:fldCharType="end"/>
            </w:r>
            <w:r>
              <w:t>宣传、培训和演习</w:t>
            </w:r>
          </w:p>
          <w:p w14:paraId="60A9CCBF">
            <w:pPr>
              <w:ind w:firstLine="480"/>
            </w:pPr>
            <w:r>
              <w:fldChar w:fldCharType="begin"/>
            </w:r>
            <w:r>
              <w:instrText xml:space="preserve"> </w:instrText>
            </w:r>
            <w:r>
              <w:rPr>
                <w:rFonts w:hint="eastAsia"/>
              </w:rPr>
              <w:instrText xml:space="preserve">= 5 \* GB3</w:instrText>
            </w:r>
            <w:r>
              <w:instrText xml:space="preserve"> </w:instrText>
            </w:r>
            <w:r>
              <w:fldChar w:fldCharType="separate"/>
            </w:r>
            <w:r>
              <w:rPr>
                <w:rFonts w:hint="eastAsia"/>
              </w:rPr>
              <w:t>⑤</w:t>
            </w:r>
            <w:r>
              <w:fldChar w:fldCharType="end"/>
            </w:r>
            <w:r>
              <w:t>企业要按规定向公众和员工广泛宣传应急救援有关法律法规和事故预防、避险、避灾、自救、互救的常识。</w:t>
            </w:r>
          </w:p>
          <w:p w14:paraId="6D20ADF3">
            <w:pPr>
              <w:ind w:firstLine="480"/>
            </w:pPr>
            <w:r>
              <w:fldChar w:fldCharType="begin"/>
            </w:r>
            <w:r>
              <w:instrText xml:space="preserve"> </w:instrText>
            </w:r>
            <w:r>
              <w:rPr>
                <w:rFonts w:hint="eastAsia"/>
              </w:rPr>
              <w:instrText xml:space="preserve">= 6 \* GB3</w:instrText>
            </w:r>
            <w:r>
              <w:instrText xml:space="preserve"> </w:instrText>
            </w:r>
            <w:r>
              <w:fldChar w:fldCharType="separate"/>
            </w:r>
            <w:r>
              <w:rPr>
                <w:rFonts w:hint="eastAsia"/>
              </w:rPr>
              <w:t>⑥</w:t>
            </w:r>
            <w:r>
              <w:fldChar w:fldCharType="end"/>
            </w:r>
            <w:r>
              <w:t>培训。有关应急救援队伍按照有关规定参加业务培训；企业按照有关规定对员工进行应急培训；</w:t>
            </w:r>
          </w:p>
          <w:p w14:paraId="19BE3911">
            <w:pPr>
              <w:ind w:firstLine="480"/>
            </w:pPr>
            <w:r>
              <w:fldChar w:fldCharType="begin"/>
            </w:r>
            <w:r>
              <w:instrText xml:space="preserve"> </w:instrText>
            </w:r>
            <w:r>
              <w:rPr>
                <w:rFonts w:hint="eastAsia"/>
              </w:rPr>
              <w:instrText xml:space="preserve">= 7 \* GB3</w:instrText>
            </w:r>
            <w:r>
              <w:instrText xml:space="preserve"> </w:instrText>
            </w:r>
            <w:r>
              <w:fldChar w:fldCharType="separate"/>
            </w:r>
            <w:r>
              <w:rPr>
                <w:rFonts w:hint="eastAsia"/>
              </w:rPr>
              <w:t>⑦</w:t>
            </w:r>
            <w:r>
              <w:fldChar w:fldCharType="end"/>
            </w:r>
            <w:r>
              <w:t>演习。企业每年至少组织一次事故应急演习，并将演习总结报应急办公室。</w:t>
            </w:r>
          </w:p>
          <w:p w14:paraId="31A00955">
            <w:pPr>
              <w:ind w:firstLine="0" w:firstLineChars="0"/>
              <w:rPr>
                <w:b/>
                <w:bCs/>
              </w:rPr>
            </w:pPr>
            <w:r>
              <w:rPr>
                <w:rFonts w:hint="eastAsia"/>
                <w:b/>
                <w:bCs/>
              </w:rPr>
              <w:t>4.</w:t>
            </w:r>
            <w:r>
              <w:rPr>
                <w:b/>
                <w:bCs/>
              </w:rPr>
              <w:t>5</w:t>
            </w:r>
            <w:r>
              <w:rPr>
                <w:rFonts w:hint="eastAsia"/>
                <w:b/>
                <w:bCs/>
              </w:rPr>
              <w:t>.6环境风险防范措施</w:t>
            </w:r>
          </w:p>
          <w:p w14:paraId="6392D8A5">
            <w:pPr>
              <w:ind w:firstLine="480"/>
            </w:pPr>
            <w:r>
              <w:rPr>
                <w:rFonts w:hint="eastAsia"/>
              </w:rPr>
              <w:t>为进一步降低环境风险，提升应急响应能力，现补充和完善以下风险防范措施：</w:t>
            </w:r>
          </w:p>
          <w:p w14:paraId="138E18D2">
            <w:pPr>
              <w:ind w:firstLine="480"/>
            </w:pPr>
            <w:r>
              <w:rPr>
                <w:rFonts w:hint="eastAsia"/>
              </w:rPr>
              <w:t>①贮存管理规范化</w:t>
            </w:r>
          </w:p>
          <w:p w14:paraId="4D5AF2D3">
            <w:pPr>
              <w:ind w:firstLine="480"/>
            </w:pPr>
            <w:r>
              <w:rPr>
                <w:rFonts w:hint="eastAsia" w:ascii="Segoe UI" w:hAnsi="Segoe UI" w:cs="Segoe UI"/>
                <w:color w:val="0F1115"/>
                <w:shd w:val="clear" w:color="auto" w:fill="FFFFFF"/>
              </w:rPr>
              <w:t>废机油应贮存于重点防渗的专用区域内</w:t>
            </w:r>
            <w:r>
              <w:rPr>
                <w:rFonts w:ascii="Segoe UI" w:hAnsi="Segoe UI" w:cs="Segoe UI"/>
                <w:color w:val="0F1115"/>
                <w:shd w:val="clear" w:color="auto" w:fill="FFFFFF"/>
              </w:rPr>
              <w:t>，并设置围堰及集液沟，确保泄漏物可收集、不外排。贮存须使用密闭、耐腐蚀的专用容器，并定期检查。同时，区域应张贴包含废物种类、数量及应急措施的标识，并建立规范的贮存管理台账</w:t>
            </w:r>
            <w:r>
              <w:rPr>
                <w:rFonts w:hint="eastAsia"/>
              </w:rPr>
              <w:t>。</w:t>
            </w:r>
          </w:p>
          <w:p w14:paraId="35226DE2">
            <w:pPr>
              <w:ind w:firstLine="480"/>
            </w:pPr>
            <w:r>
              <w:rPr>
                <w:rFonts w:hint="eastAsia"/>
              </w:rPr>
              <w:t>②火灾预防与消防保障</w:t>
            </w:r>
          </w:p>
          <w:p w14:paraId="04DE39CB">
            <w:pPr>
              <w:ind w:firstLine="480"/>
            </w:pPr>
            <w:r>
              <w:rPr>
                <w:rFonts w:hint="eastAsia"/>
              </w:rPr>
              <w:t>危险废物贮存点严禁烟火，不得靠近热源和电气线路。</w:t>
            </w:r>
          </w:p>
          <w:p w14:paraId="5C5BC72F">
            <w:pPr>
              <w:ind w:firstLine="480"/>
            </w:pPr>
            <w:r>
              <w:rPr>
                <w:rFonts w:hint="eastAsia"/>
              </w:rPr>
              <w:t>厂区配备干粉灭火器、消防沙箱、消防栓等设施，定期检查维护，确保完好可用；设置火灾自动报警系统和手动报警按钮，并与厂区值班室联动，实现快速响应。</w:t>
            </w:r>
          </w:p>
          <w:p w14:paraId="47F536E2">
            <w:pPr>
              <w:ind w:firstLine="480"/>
            </w:pPr>
            <w:r>
              <w:rPr>
                <w:rFonts w:hint="eastAsia"/>
              </w:rPr>
              <w:t>③人员培训与制度建设</w:t>
            </w:r>
          </w:p>
          <w:p w14:paraId="254749A8">
            <w:pPr>
              <w:ind w:firstLine="480"/>
            </w:pPr>
            <w:r>
              <w:rPr>
                <w:rFonts w:hint="eastAsia"/>
              </w:rPr>
              <w:t>对相关岗位员工开展危险废物管理和应急处置专项培训，每年至少组织一次消防与泄漏应急演练，提高实战能力；建立岗位责任制和日常巡查制度，每日检查贮存容器密封性、防渗设施完整性及消防器材状态，发现问题及时整改。所有操作人员须经考核合格后持证上岗，严格执行操作规程，杜绝人为失误。</w:t>
            </w:r>
          </w:p>
          <w:p w14:paraId="3AE1656F">
            <w:pPr>
              <w:ind w:firstLine="480"/>
            </w:pPr>
            <w:r>
              <w:rPr>
                <w:rFonts w:hint="eastAsia"/>
              </w:rPr>
              <w:fldChar w:fldCharType="begin"/>
            </w:r>
            <w:r>
              <w:rPr>
                <w:rFonts w:hint="eastAsia"/>
              </w:rPr>
              <w:instrText xml:space="preserve"> = 4 \* GB3 \* MERGEFORMAT </w:instrText>
            </w:r>
            <w:r>
              <w:rPr>
                <w:rFonts w:hint="eastAsia"/>
              </w:rPr>
              <w:fldChar w:fldCharType="separate"/>
            </w:r>
            <w:r>
              <w:rPr>
                <w:rFonts w:hint="eastAsia" w:ascii="宋体" w:hAnsi="宋体" w:cs="宋体"/>
              </w:rPr>
              <w:t>④</w:t>
            </w:r>
            <w:r>
              <w:rPr>
                <w:rFonts w:hint="eastAsia"/>
              </w:rPr>
              <w:fldChar w:fldCharType="end"/>
            </w:r>
            <w:r>
              <w:rPr>
                <w:rFonts w:hint="eastAsia"/>
              </w:rPr>
              <w:t>联防联控机制</w:t>
            </w:r>
          </w:p>
          <w:p w14:paraId="73FD1E06">
            <w:pPr>
              <w:ind w:firstLine="480"/>
            </w:pPr>
            <w:r>
              <w:rPr>
                <w:rFonts w:hint="eastAsia"/>
              </w:rPr>
              <w:t>与当地生态环境部门、消防机构建立信息通报机制，发生重大风险事件时能够迅速联动处置。委托有资质的第三方单位定期清运废机油。</w:t>
            </w:r>
          </w:p>
          <w:p w14:paraId="5075D00E">
            <w:pPr>
              <w:ind w:firstLine="480"/>
            </w:pPr>
            <w:r>
              <w:rPr>
                <w:rFonts w:hint="eastAsia"/>
              </w:rPr>
              <w:t>综上所述，虽然本项目存在废机油泄漏及火灾等潜在环境风险，但通过采取严格的源头控制、过程监管、末端防控和应急管理措施，可显著降低事故发生概率和环境影响程度。在全面落实上述风险防范措施的基础上，项目的环境风险水平可控，不会对周边环境和人群健康造成显著影响。</w:t>
            </w:r>
          </w:p>
          <w:p w14:paraId="52BB76F0">
            <w:pPr>
              <w:ind w:firstLine="0" w:firstLineChars="0"/>
              <w:rPr>
                <w:b/>
              </w:rPr>
            </w:pPr>
            <w:r>
              <w:rPr>
                <w:rFonts w:hint="eastAsia"/>
                <w:b/>
              </w:rPr>
              <w:t>4.</w:t>
            </w:r>
            <w:r>
              <w:rPr>
                <w:b/>
              </w:rPr>
              <w:t>5</w:t>
            </w:r>
            <w:r>
              <w:rPr>
                <w:rFonts w:hint="eastAsia"/>
                <w:b/>
              </w:rPr>
              <w:t>.7环境风险分析结论及建议</w:t>
            </w:r>
          </w:p>
          <w:p w14:paraId="7CCEA475">
            <w:pPr>
              <w:ind w:firstLine="480"/>
            </w:pPr>
            <w:r>
              <w:t>本项目存在一定环境风险，但在全面落实各项风险防范措施和应急预案的前提下，环境风险可控</w:t>
            </w:r>
            <w:r>
              <w:rPr>
                <w:rFonts w:hint="eastAsia"/>
              </w:rPr>
              <w:t>。</w:t>
            </w:r>
          </w:p>
          <w:p w14:paraId="1E882374">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15  </w:t>
            </w:r>
            <w:r>
              <w:rPr>
                <w:rFonts w:hint="eastAsia"/>
                <w:b/>
                <w:bCs/>
                <w:sz w:val="21"/>
                <w:szCs w:val="21"/>
              </w:rPr>
              <w:t>建设项目环境风险简单分析内容表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2"/>
              <w:gridCol w:w="734"/>
              <w:gridCol w:w="2020"/>
              <w:gridCol w:w="998"/>
              <w:gridCol w:w="2520"/>
            </w:tblGrid>
            <w:tr w14:paraId="018CC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385" w:type="pct"/>
                  <w:vAlign w:val="center"/>
                </w:tcPr>
                <w:p w14:paraId="67C4D1DC">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建设项目名称</w:t>
                  </w:r>
                </w:p>
              </w:tc>
              <w:tc>
                <w:tcPr>
                  <w:tcW w:w="3614" w:type="pct"/>
                  <w:gridSpan w:val="4"/>
                  <w:vAlign w:val="center"/>
                </w:tcPr>
                <w:p w14:paraId="04B3D205">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sz w:val="21"/>
                      <w:szCs w:val="21"/>
                    </w:rPr>
                    <w:t>新疆飞在远方再生资源有限公司废旧塑料回收加工处置建设项目</w:t>
                  </w:r>
                </w:p>
              </w:tc>
            </w:tr>
            <w:tr w14:paraId="722BC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385" w:type="pct"/>
                  <w:vAlign w:val="center"/>
                </w:tcPr>
                <w:p w14:paraId="11F898E2">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建设地点</w:t>
                  </w:r>
                </w:p>
              </w:tc>
              <w:tc>
                <w:tcPr>
                  <w:tcW w:w="3614" w:type="pct"/>
                  <w:gridSpan w:val="4"/>
                  <w:vAlign w:val="center"/>
                </w:tcPr>
                <w:p w14:paraId="090DD186">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库尔勒市哈拉玉宫乡废旧物资回收加工产业园18号厂区</w:t>
                  </w:r>
                </w:p>
              </w:tc>
            </w:tr>
            <w:tr w14:paraId="42A67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385" w:type="pct"/>
                  <w:vAlign w:val="center"/>
                </w:tcPr>
                <w:p w14:paraId="13C72AA4">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地理坐标</w:t>
                  </w:r>
                </w:p>
              </w:tc>
              <w:tc>
                <w:tcPr>
                  <w:tcW w:w="423" w:type="pct"/>
                  <w:vAlign w:val="center"/>
                </w:tcPr>
                <w:p w14:paraId="5ABB7F50">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经度</w:t>
                  </w:r>
                </w:p>
              </w:tc>
              <w:tc>
                <w:tcPr>
                  <w:tcW w:w="1164" w:type="pct"/>
                  <w:vAlign w:val="center"/>
                </w:tcPr>
                <w:p w14:paraId="66100091">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bCs/>
                      <w:sz w:val="21"/>
                      <w:szCs w:val="21"/>
                    </w:rPr>
                    <w:t>86°05'37.001"</w:t>
                  </w:r>
                </w:p>
              </w:tc>
              <w:tc>
                <w:tcPr>
                  <w:tcW w:w="575" w:type="pct"/>
                  <w:vAlign w:val="center"/>
                </w:tcPr>
                <w:p w14:paraId="0EF2B915">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纬度</w:t>
                  </w:r>
                </w:p>
              </w:tc>
              <w:tc>
                <w:tcPr>
                  <w:tcW w:w="1452" w:type="pct"/>
                  <w:vAlign w:val="center"/>
                </w:tcPr>
                <w:p w14:paraId="10B31E84">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bCs/>
                      <w:sz w:val="21"/>
                      <w:szCs w:val="21"/>
                    </w:rPr>
                    <w:t>41°37'55.033"</w:t>
                  </w:r>
                </w:p>
              </w:tc>
            </w:tr>
            <w:tr w14:paraId="51A7E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1385" w:type="pct"/>
                  <w:vAlign w:val="center"/>
                </w:tcPr>
                <w:p w14:paraId="07362522">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主要危险物质及分布</w:t>
                  </w:r>
                </w:p>
              </w:tc>
              <w:tc>
                <w:tcPr>
                  <w:tcW w:w="3614" w:type="pct"/>
                  <w:gridSpan w:val="4"/>
                  <w:vAlign w:val="center"/>
                </w:tcPr>
                <w:p w14:paraId="433B3689">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所涉及的主要危险废物是</w:t>
                  </w:r>
                  <w:r>
                    <w:rPr>
                      <w:rFonts w:hint="eastAsia" w:cs="Times New Roman"/>
                      <w:color w:val="000000" w:themeColor="text1"/>
                      <w:sz w:val="21"/>
                      <w:szCs w:val="21"/>
                      <w14:textFill>
                        <w14:solidFill>
                          <w14:schemeClr w14:val="tx1"/>
                        </w14:solidFill>
                      </w14:textFill>
                    </w:rPr>
                    <w:t>废机油</w:t>
                  </w:r>
                  <w:r>
                    <w:rPr>
                      <w:rFonts w:cs="Times New Roman"/>
                      <w:color w:val="000000" w:themeColor="text1"/>
                      <w:sz w:val="21"/>
                      <w:szCs w:val="21"/>
                      <w14:textFill>
                        <w14:solidFill>
                          <w14:schemeClr w14:val="tx1"/>
                        </w14:solidFill>
                      </w14:textFill>
                    </w:rPr>
                    <w:t>，位于危险废物贮存点</w:t>
                  </w:r>
                </w:p>
              </w:tc>
            </w:tr>
            <w:tr w14:paraId="066901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385" w:type="pct"/>
                  <w:vAlign w:val="center"/>
                </w:tcPr>
                <w:p w14:paraId="32511483">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环境影响途径及危害后果（大气、地表水、地下水等）</w:t>
                  </w:r>
                </w:p>
              </w:tc>
              <w:tc>
                <w:tcPr>
                  <w:tcW w:w="3614" w:type="pct"/>
                  <w:gridSpan w:val="4"/>
                  <w:vAlign w:val="center"/>
                </w:tcPr>
                <w:p w14:paraId="6B8CBAB5">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本项目可能发生的事故包括</w:t>
                  </w:r>
                </w:p>
                <w:p w14:paraId="10E398C9">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①危险废物泄漏，引起火灾、爆炸风险事故；</w:t>
                  </w:r>
                </w:p>
              </w:tc>
            </w:tr>
            <w:tr w14:paraId="0823CE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5" w:type="pct"/>
                  <w:vAlign w:val="center"/>
                </w:tcPr>
                <w:p w14:paraId="05600BD9">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风险防范措施要求</w:t>
                  </w:r>
                </w:p>
              </w:tc>
              <w:tc>
                <w:tcPr>
                  <w:tcW w:w="3614" w:type="pct"/>
                  <w:gridSpan w:val="4"/>
                  <w:vAlign w:val="center"/>
                </w:tcPr>
                <w:p w14:paraId="50B34325">
                  <w:pPr>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项目在生产过程中要一定注意通风，远离火花、明火、热源。厂区内应安装消防及火灾报警系统，并配套相应的消防设施。厂区总平面布置符合防范事故要求，有应急救援设施及救援通道。</w:t>
                  </w:r>
                  <w:r>
                    <w:rPr>
                      <w:rFonts w:hint="eastAsia" w:cs="Times New Roman"/>
                      <w:color w:val="000000" w:themeColor="text1"/>
                      <w:sz w:val="21"/>
                      <w:szCs w:val="21"/>
                      <w14:textFill>
                        <w14:solidFill>
                          <w14:schemeClr w14:val="tx1"/>
                        </w14:solidFill>
                      </w14:textFill>
                    </w:rPr>
                    <w:t>危险废物贮存点的废油类物质的贮存容器要有足够的贮存空间及盛装余量，贮存场所进行重点防渗处理，并安装泄漏报警装置，一旦发生泄漏自动报警，及时切断输送管道或采取其他有效措施，避免进一步泄漏引发火灾及爆炸的风险</w:t>
                  </w:r>
                </w:p>
              </w:tc>
            </w:tr>
            <w:tr w14:paraId="2E8A2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385" w:type="pct"/>
                  <w:vAlign w:val="center"/>
                </w:tcPr>
                <w:p w14:paraId="60C6A7A0">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填表说明</w:t>
                  </w:r>
                </w:p>
              </w:tc>
              <w:tc>
                <w:tcPr>
                  <w:tcW w:w="3614" w:type="pct"/>
                  <w:gridSpan w:val="4"/>
                  <w:vAlign w:val="center"/>
                </w:tcPr>
                <w:p w14:paraId="4019882E">
                  <w:pPr>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color w:val="000000" w:themeColor="text1"/>
                      <w:sz w:val="21"/>
                      <w:szCs w:val="21"/>
                      <w14:textFill>
                        <w14:solidFill>
                          <w14:schemeClr w14:val="tx1"/>
                        </w14:solidFill>
                      </w14:textFill>
                    </w:rPr>
                    <w:t>/</w:t>
                  </w:r>
                </w:p>
              </w:tc>
            </w:tr>
          </w:tbl>
          <w:p w14:paraId="05B3785D">
            <w:pPr>
              <w:ind w:firstLine="480"/>
            </w:pPr>
            <w:r>
              <w:t>环境风险评价是针对建设项目在建设和运行期间发生的可预测突发性事件或事故（一般不包括人为破坏及自然灾害）引起有毒有害、易燃易爆等物质的</w:t>
            </w:r>
            <w:r>
              <w:rPr>
                <w:rFonts w:hint="eastAsia"/>
              </w:rPr>
              <w:t>泄漏</w:t>
            </w:r>
            <w:r>
              <w:t>，或突发事件产生的新的有毒有害物质，所造成的对人</w:t>
            </w:r>
            <w:r>
              <w:rPr>
                <w:rFonts w:hint="eastAsia"/>
              </w:rPr>
              <w:t>身</w:t>
            </w:r>
            <w:r>
              <w:t>安全与环境的影响与损害，进行评估，提出防患与减缓的措施。</w:t>
            </w:r>
          </w:p>
          <w:p w14:paraId="511D375D">
            <w:pPr>
              <w:ind w:firstLine="480"/>
            </w:pPr>
            <w:r>
              <w:rPr>
                <w:rFonts w:hint="eastAsia"/>
              </w:rPr>
              <w:t>本项目生产过程中涉及的风险物质主要为废机油。因此，环评要求建设单位对危险废物贮存点严格落实防渗措施，设置危险废物标识标牌，建立规范的台账管理制度，并严格按照《危险废物贮存污染控制标准》（GB18597-2023）的要求进行建设和运行管理，防止因泄漏造成土壤及地下水污染。</w:t>
            </w:r>
          </w:p>
          <w:p w14:paraId="68E1D1BC">
            <w:pPr>
              <w:ind w:firstLine="480"/>
            </w:pPr>
            <w:r>
              <w:t>生产过程中要严格遵守生产和安全的有关规章和规程，否则，生产人员的操作失误可能导致事故的发生，轻则停产、遭受经济损失，重则发生人员伤亡事故。这些事故均可通过公司的严格管理，以及建立完善的工作制度而得到控制，同时公司应该加强职工安全意识教育及防火技能培训，定期接受专业培训，以</w:t>
            </w:r>
            <w:r>
              <w:rPr>
                <w:rFonts w:hint="eastAsia"/>
              </w:rPr>
              <w:t>应对</w:t>
            </w:r>
            <w:r>
              <w:t>突发性事故。</w:t>
            </w:r>
            <w:r>
              <w:rPr>
                <w:rFonts w:hint="eastAsia"/>
              </w:rPr>
              <w:t>因此，本项目环境风险可控</w:t>
            </w:r>
            <w:r>
              <w:t>。</w:t>
            </w:r>
          </w:p>
          <w:p w14:paraId="3A38092A">
            <w:pPr>
              <w:ind w:firstLine="0" w:firstLineChars="0"/>
              <w:rPr>
                <w:b/>
                <w:bCs/>
              </w:rPr>
            </w:pPr>
            <w:r>
              <w:rPr>
                <w:b/>
                <w:bCs/>
              </w:rPr>
              <w:t>4.6</w:t>
            </w:r>
            <w:r>
              <w:rPr>
                <w:rFonts w:hint="eastAsia"/>
                <w:b/>
                <w:bCs/>
              </w:rPr>
              <w:t>排污许可管理</w:t>
            </w:r>
          </w:p>
          <w:p w14:paraId="12C4715E">
            <w:pPr>
              <w:widowControl/>
              <w:adjustRightInd w:val="0"/>
              <w:snapToGrid w:val="0"/>
              <w:ind w:firstLine="480"/>
              <w:rPr>
                <w:rFonts w:cs="Times New Roman"/>
                <w:color w:val="000000"/>
                <w:kern w:val="0"/>
                <w:lang w:bidi="ar"/>
              </w:rPr>
            </w:pPr>
            <w:r>
              <w:rPr>
                <w:rFonts w:hint="eastAsia" w:cs="Times New Roman"/>
                <w:color w:val="000000"/>
                <w:kern w:val="0"/>
                <w:lang w:bidi="ar"/>
              </w:rPr>
              <w:t>根据《固定污染源排污许可分类管理名录（2019年版）》，本项目属于“三十七、废弃资源综合利用业42”中的“金属废料和碎屑加工处理421”及“非金属废料和碎屑加工处理422”类别。项目涉及废塑料清洗、破碎等加工处理，对照名录规定，应实行排污许可简化管理。本项目运营期将严格遵循以排污许可制为核心的固定污染源监管制度，将环评文件及其批复中的各项环境管理要求纳入排污许可证，确保依法持证排污、按证监管。</w:t>
            </w:r>
          </w:p>
          <w:p w14:paraId="153DE636">
            <w:pPr>
              <w:spacing w:line="240" w:lineRule="auto"/>
              <w:ind w:firstLine="211" w:firstLineChars="100"/>
              <w:jc w:val="center"/>
              <w:textAlignment w:val="auto"/>
              <w:rPr>
                <w:b/>
                <w:bCs/>
                <w:sz w:val="21"/>
                <w:szCs w:val="21"/>
              </w:rPr>
            </w:pPr>
            <w:r>
              <w:rPr>
                <w:rFonts w:hint="eastAsia"/>
                <w:b/>
                <w:bCs/>
                <w:sz w:val="21"/>
                <w:szCs w:val="21"/>
              </w:rPr>
              <w:t>表4-</w:t>
            </w:r>
            <w:r>
              <w:rPr>
                <w:b/>
                <w:bCs/>
                <w:sz w:val="21"/>
                <w:szCs w:val="21"/>
              </w:rPr>
              <w:t xml:space="preserve">16  </w:t>
            </w:r>
            <w:r>
              <w:rPr>
                <w:rFonts w:hint="eastAsia"/>
                <w:b/>
                <w:bCs/>
                <w:sz w:val="21"/>
                <w:szCs w:val="21"/>
              </w:rPr>
              <w:t>排污许可分类管理名录对应类别</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446"/>
              <w:gridCol w:w="1590"/>
              <w:gridCol w:w="3616"/>
              <w:gridCol w:w="1309"/>
            </w:tblGrid>
            <w:tr w14:paraId="2FE3A9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414" w:type="pct"/>
                  <w:vAlign w:val="center"/>
                </w:tcPr>
                <w:p w14:paraId="02B56EE7">
                  <w:pPr>
                    <w:spacing w:line="240" w:lineRule="auto"/>
                    <w:ind w:firstLine="0" w:firstLineChars="0"/>
                    <w:jc w:val="center"/>
                    <w:textAlignment w:val="auto"/>
                    <w:rPr>
                      <w:rFonts w:cs="Times New Roman"/>
                      <w:b/>
                      <w:bCs/>
                      <w:sz w:val="21"/>
                      <w:szCs w:val="21"/>
                    </w:rPr>
                  </w:pPr>
                  <w:r>
                    <w:rPr>
                      <w:rFonts w:hint="eastAsia" w:cs="Times New Roman"/>
                      <w:b/>
                      <w:bCs/>
                      <w:sz w:val="21"/>
                      <w:szCs w:val="21"/>
                    </w:rPr>
                    <w:t>序号</w:t>
                  </w:r>
                </w:p>
              </w:tc>
              <w:tc>
                <w:tcPr>
                  <w:tcW w:w="833" w:type="pct"/>
                  <w:vAlign w:val="center"/>
                </w:tcPr>
                <w:p w14:paraId="056C39C3">
                  <w:pPr>
                    <w:spacing w:line="240" w:lineRule="auto"/>
                    <w:ind w:firstLine="0" w:firstLineChars="0"/>
                    <w:jc w:val="center"/>
                    <w:textAlignment w:val="auto"/>
                    <w:rPr>
                      <w:rFonts w:cs="Times New Roman"/>
                      <w:b/>
                      <w:bCs/>
                      <w:sz w:val="21"/>
                      <w:szCs w:val="21"/>
                    </w:rPr>
                  </w:pPr>
                  <w:r>
                    <w:rPr>
                      <w:rFonts w:hint="eastAsia" w:cs="Times New Roman"/>
                      <w:b/>
                      <w:bCs/>
                      <w:sz w:val="21"/>
                      <w:szCs w:val="21"/>
                    </w:rPr>
                    <w:t>行业类别</w:t>
                  </w:r>
                </w:p>
              </w:tc>
              <w:tc>
                <w:tcPr>
                  <w:tcW w:w="916" w:type="pct"/>
                  <w:vAlign w:val="center"/>
                </w:tcPr>
                <w:p w14:paraId="23F096E8">
                  <w:pPr>
                    <w:spacing w:line="240" w:lineRule="auto"/>
                    <w:ind w:firstLine="0" w:firstLineChars="0"/>
                    <w:jc w:val="center"/>
                    <w:textAlignment w:val="auto"/>
                    <w:rPr>
                      <w:rFonts w:cs="Times New Roman"/>
                      <w:b/>
                      <w:bCs/>
                      <w:sz w:val="21"/>
                      <w:szCs w:val="21"/>
                    </w:rPr>
                  </w:pPr>
                  <w:r>
                    <w:rPr>
                      <w:rFonts w:hint="eastAsia" w:cs="Times New Roman"/>
                      <w:b/>
                      <w:bCs/>
                      <w:sz w:val="21"/>
                      <w:szCs w:val="21"/>
                    </w:rPr>
                    <w:t>重点管理</w:t>
                  </w:r>
                </w:p>
              </w:tc>
              <w:tc>
                <w:tcPr>
                  <w:tcW w:w="2083" w:type="pct"/>
                  <w:shd w:val="clear" w:color="auto" w:fill="E7E6E6" w:themeFill="background2"/>
                  <w:vAlign w:val="center"/>
                </w:tcPr>
                <w:p w14:paraId="5FD9FB11">
                  <w:pPr>
                    <w:spacing w:line="240" w:lineRule="auto"/>
                    <w:ind w:firstLine="0" w:firstLineChars="0"/>
                    <w:jc w:val="center"/>
                    <w:textAlignment w:val="auto"/>
                    <w:rPr>
                      <w:rFonts w:cs="Times New Roman"/>
                      <w:b/>
                      <w:bCs/>
                      <w:sz w:val="21"/>
                      <w:szCs w:val="21"/>
                    </w:rPr>
                  </w:pPr>
                  <w:r>
                    <w:rPr>
                      <w:rFonts w:hint="eastAsia" w:cs="Times New Roman"/>
                      <w:b/>
                      <w:bCs/>
                      <w:sz w:val="21"/>
                      <w:szCs w:val="21"/>
                    </w:rPr>
                    <w:t>简化管理</w:t>
                  </w:r>
                </w:p>
              </w:tc>
              <w:tc>
                <w:tcPr>
                  <w:tcW w:w="753" w:type="pct"/>
                  <w:vAlign w:val="center"/>
                </w:tcPr>
                <w:p w14:paraId="48819FFE">
                  <w:pPr>
                    <w:spacing w:line="240" w:lineRule="auto"/>
                    <w:ind w:firstLine="0" w:firstLineChars="0"/>
                    <w:jc w:val="center"/>
                    <w:textAlignment w:val="auto"/>
                    <w:rPr>
                      <w:rFonts w:cs="Times New Roman"/>
                      <w:b/>
                      <w:bCs/>
                      <w:sz w:val="21"/>
                      <w:szCs w:val="21"/>
                    </w:rPr>
                  </w:pPr>
                  <w:r>
                    <w:rPr>
                      <w:rFonts w:hint="eastAsia" w:cs="Times New Roman"/>
                      <w:b/>
                      <w:bCs/>
                      <w:sz w:val="21"/>
                      <w:szCs w:val="21"/>
                    </w:rPr>
                    <w:t>登记管理</w:t>
                  </w:r>
                </w:p>
              </w:tc>
            </w:tr>
            <w:tr w14:paraId="6B74F5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5"/>
                  <w:shd w:val="clear" w:color="auto" w:fill="E7E6E6" w:themeFill="background2"/>
                  <w:vAlign w:val="center"/>
                </w:tcPr>
                <w:p w14:paraId="4BDCAA10">
                  <w:pPr>
                    <w:spacing w:line="240" w:lineRule="auto"/>
                    <w:ind w:firstLine="0" w:firstLineChars="0"/>
                    <w:jc w:val="center"/>
                    <w:textAlignment w:val="auto"/>
                    <w:rPr>
                      <w:rFonts w:cs="Times New Roman"/>
                      <w:sz w:val="21"/>
                      <w:szCs w:val="21"/>
                    </w:rPr>
                  </w:pPr>
                  <w:r>
                    <w:rPr>
                      <w:rFonts w:hint="eastAsia" w:cs="Times New Roman"/>
                      <w:sz w:val="21"/>
                      <w:szCs w:val="21"/>
                    </w:rPr>
                    <w:t>三十七、废弃资源综合利用业42</w:t>
                  </w:r>
                </w:p>
              </w:tc>
            </w:tr>
            <w:tr w14:paraId="3BE068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14" w:type="pct"/>
                  <w:vAlign w:val="center"/>
                </w:tcPr>
                <w:p w14:paraId="00F8AA6D">
                  <w:pPr>
                    <w:spacing w:line="240" w:lineRule="auto"/>
                    <w:ind w:firstLine="0" w:firstLineChars="0"/>
                    <w:jc w:val="center"/>
                    <w:textAlignment w:val="auto"/>
                    <w:rPr>
                      <w:rFonts w:cs="Times New Roman"/>
                      <w:sz w:val="21"/>
                      <w:szCs w:val="21"/>
                    </w:rPr>
                  </w:pPr>
                  <w:r>
                    <w:rPr>
                      <w:rFonts w:hint="eastAsia" w:cs="Times New Roman"/>
                      <w:sz w:val="21"/>
                      <w:szCs w:val="21"/>
                    </w:rPr>
                    <w:t>9</w:t>
                  </w:r>
                  <w:r>
                    <w:rPr>
                      <w:rFonts w:cs="Times New Roman"/>
                      <w:sz w:val="21"/>
                      <w:szCs w:val="21"/>
                    </w:rPr>
                    <w:t>3</w:t>
                  </w:r>
                </w:p>
              </w:tc>
              <w:tc>
                <w:tcPr>
                  <w:tcW w:w="833" w:type="pct"/>
                  <w:vAlign w:val="center"/>
                </w:tcPr>
                <w:p w14:paraId="5EAEB7E4">
                  <w:pPr>
                    <w:spacing w:line="240" w:lineRule="auto"/>
                    <w:ind w:firstLine="0" w:firstLineChars="0"/>
                    <w:textAlignment w:val="auto"/>
                    <w:rPr>
                      <w:rFonts w:cs="Times New Roman"/>
                      <w:sz w:val="21"/>
                      <w:szCs w:val="21"/>
                    </w:rPr>
                  </w:pPr>
                  <w:r>
                    <w:rPr>
                      <w:rFonts w:hint="eastAsia" w:cs="Times New Roman"/>
                      <w:sz w:val="21"/>
                      <w:szCs w:val="21"/>
                    </w:rPr>
                    <w:t>金属废料和碎屑加工处理421，非金属废料和碎屑加工处理422</w:t>
                  </w:r>
                </w:p>
              </w:tc>
              <w:tc>
                <w:tcPr>
                  <w:tcW w:w="916" w:type="pct"/>
                  <w:vAlign w:val="center"/>
                </w:tcPr>
                <w:p w14:paraId="6FD18AAE">
                  <w:pPr>
                    <w:spacing w:line="240" w:lineRule="auto"/>
                    <w:ind w:firstLine="0" w:firstLineChars="0"/>
                    <w:jc w:val="center"/>
                    <w:textAlignment w:val="auto"/>
                    <w:rPr>
                      <w:rFonts w:cs="Times New Roman"/>
                      <w:sz w:val="21"/>
                      <w:szCs w:val="21"/>
                    </w:rPr>
                  </w:pPr>
                  <w:r>
                    <w:rPr>
                      <w:rFonts w:hint="eastAsia" w:cs="Times New Roman"/>
                      <w:sz w:val="21"/>
                      <w:szCs w:val="21"/>
                    </w:rPr>
                    <w:t>废电池、废油、废轮胎加工处理</w:t>
                  </w:r>
                </w:p>
              </w:tc>
              <w:tc>
                <w:tcPr>
                  <w:tcW w:w="2083" w:type="pct"/>
                  <w:shd w:val="clear" w:color="auto" w:fill="E7E6E6" w:themeFill="background2"/>
                  <w:vAlign w:val="center"/>
                </w:tcPr>
                <w:p w14:paraId="54C22D3F">
                  <w:pPr>
                    <w:spacing w:line="240" w:lineRule="auto"/>
                    <w:ind w:firstLine="0" w:firstLineChars="0"/>
                    <w:jc w:val="center"/>
                    <w:textAlignment w:val="auto"/>
                    <w:rPr>
                      <w:rFonts w:cs="Times New Roman"/>
                      <w:sz w:val="21"/>
                      <w:szCs w:val="21"/>
                    </w:rPr>
                  </w:pPr>
                  <w:r>
                    <w:rPr>
                      <w:rFonts w:hint="eastAsia" w:cs="Times New Roman"/>
                      <w:sz w:val="21"/>
                      <w:szCs w:val="21"/>
                    </w:rPr>
                    <w:t>废弃电器电子产品、废机动车、废电机、废电线电缆、</w:t>
                  </w:r>
                  <w:r>
                    <w:rPr>
                      <w:rFonts w:hint="eastAsia" w:cs="Times New Roman"/>
                      <w:b/>
                      <w:bCs/>
                      <w:sz w:val="21"/>
                      <w:szCs w:val="21"/>
                    </w:rPr>
                    <w:t>废塑料</w:t>
                  </w:r>
                  <w:r>
                    <w:rPr>
                      <w:rFonts w:hint="eastAsia" w:cs="Times New Roman"/>
                      <w:sz w:val="21"/>
                      <w:szCs w:val="21"/>
                    </w:rPr>
                    <w:t>、废船、</w:t>
                  </w:r>
                  <w:r>
                    <w:rPr>
                      <w:rFonts w:hint="eastAsia" w:cs="Times New Roman"/>
                      <w:b/>
                      <w:bCs/>
                      <w:color w:val="000000" w:themeColor="text1"/>
                      <w:sz w:val="21"/>
                      <w:szCs w:val="21"/>
                      <w14:textFill>
                        <w14:solidFill>
                          <w14:schemeClr w14:val="tx1"/>
                        </w14:solidFill>
                      </w14:textFill>
                    </w:rPr>
                    <w:t>含水洗工艺的其他废料</w:t>
                  </w:r>
                  <w:r>
                    <w:rPr>
                      <w:rFonts w:hint="eastAsia" w:cs="Times New Roman"/>
                      <w:sz w:val="21"/>
                      <w:szCs w:val="21"/>
                    </w:rPr>
                    <w:t>和碎屑加工处理</w:t>
                  </w:r>
                </w:p>
              </w:tc>
              <w:tc>
                <w:tcPr>
                  <w:tcW w:w="753" w:type="pct"/>
                  <w:vAlign w:val="center"/>
                </w:tcPr>
                <w:p w14:paraId="384EA36D">
                  <w:pPr>
                    <w:spacing w:line="240" w:lineRule="auto"/>
                    <w:ind w:firstLine="0" w:firstLineChars="0"/>
                    <w:jc w:val="center"/>
                    <w:textAlignment w:val="auto"/>
                    <w:rPr>
                      <w:rFonts w:cs="Times New Roman"/>
                      <w:sz w:val="21"/>
                      <w:szCs w:val="21"/>
                    </w:rPr>
                  </w:pPr>
                  <w:r>
                    <w:rPr>
                      <w:rFonts w:hint="eastAsia" w:cs="Times New Roman"/>
                      <w:sz w:val="21"/>
                      <w:szCs w:val="21"/>
                    </w:rPr>
                    <w:t>其他</w:t>
                  </w:r>
                </w:p>
              </w:tc>
            </w:tr>
          </w:tbl>
          <w:p w14:paraId="2B1FC45A">
            <w:pPr>
              <w:ind w:firstLine="0" w:firstLineChars="0"/>
              <w:rPr>
                <w:rFonts w:cs="Times New Roman"/>
                <w:b/>
                <w:bCs/>
              </w:rPr>
            </w:pPr>
            <w:r>
              <w:rPr>
                <w:rFonts w:cs="Times New Roman"/>
                <w:b/>
                <w:bCs/>
              </w:rPr>
              <w:t>4.6.1</w:t>
            </w:r>
            <w:r>
              <w:rPr>
                <w:rFonts w:hint="eastAsia" w:cs="Times New Roman"/>
                <w:b/>
                <w:bCs/>
              </w:rPr>
              <w:t>排污口规范化设置</w:t>
            </w:r>
          </w:p>
          <w:p w14:paraId="7CBC7D6B">
            <w:pPr>
              <w:ind w:firstLine="480"/>
              <w:rPr>
                <w:szCs w:val="24"/>
              </w:rPr>
            </w:pPr>
            <w:r>
              <w:rPr>
                <w:rFonts w:hint="eastAsia" w:cs="Times New Roman"/>
              </w:rPr>
              <w:t>污染源排污口的规范化整治，是加强企业环境管理的重要举措，也是实施污染物总量控制管理</w:t>
            </w:r>
            <w:r>
              <w:rPr>
                <w:rFonts w:hint="eastAsia"/>
                <w:szCs w:val="24"/>
              </w:rPr>
              <w:t>的基础工作。排污口规范化对于加强污染源管理，现场监督检查，促进企业落实污染治理措施，实现环境管理的科学化、定量化都具有很大的现实意义。</w:t>
            </w:r>
          </w:p>
          <w:p w14:paraId="66247212">
            <w:pPr>
              <w:pStyle w:val="6"/>
              <w:ind w:firstLine="480"/>
              <w:rPr>
                <w:rFonts w:ascii="Times New Roman" w:hAnsi="Times New Roman"/>
                <w:sz w:val="24"/>
                <w:szCs w:val="24"/>
              </w:rPr>
            </w:pPr>
            <w:r>
              <w:rPr>
                <w:rFonts w:hint="eastAsia" w:ascii="Times New Roman" w:hAnsi="Times New Roman"/>
                <w:sz w:val="24"/>
                <w:szCs w:val="24"/>
              </w:rPr>
              <w:t>排污口是企业排放污染物进入环境的通道，强化排污口的管理是实施污染物总量控制的基础工作之一，也是环境管理逐步实现污染物排放科学化、定量化的重要手段。</w:t>
            </w:r>
          </w:p>
          <w:p w14:paraId="1F3914A7">
            <w:pPr>
              <w:pStyle w:val="6"/>
              <w:ind w:firstLine="0" w:firstLineChars="0"/>
              <w:rPr>
                <w:rFonts w:ascii="Times New Roman" w:hAnsi="Times New Roman"/>
                <w:sz w:val="24"/>
                <w:szCs w:val="24"/>
              </w:rPr>
            </w:pPr>
            <w:r>
              <w:rPr>
                <w:rFonts w:hint="eastAsia" w:ascii="Times New Roman" w:hAnsi="Times New Roman"/>
                <w:b/>
                <w:bCs/>
                <w:sz w:val="24"/>
                <w:szCs w:val="24"/>
              </w:rPr>
              <w:t>1、排污口规范化管理的基本原则</w:t>
            </w:r>
          </w:p>
          <w:p w14:paraId="6BDA04A9">
            <w:pPr>
              <w:ind w:firstLine="480"/>
            </w:pPr>
            <w:r>
              <w:rPr>
                <w:rFonts w:hint="eastAsia"/>
                <w:szCs w:val="24"/>
              </w:rPr>
              <w:t>（</w:t>
            </w:r>
            <w:r>
              <w:rPr>
                <w:rFonts w:hint="eastAsia"/>
              </w:rPr>
              <w:t>1）向环境排放污染物的排污口必须规范化；</w:t>
            </w:r>
          </w:p>
          <w:p w14:paraId="25F1B7DD">
            <w:pPr>
              <w:ind w:firstLine="480"/>
            </w:pPr>
            <w:r>
              <w:rPr>
                <w:rFonts w:hint="eastAsia"/>
              </w:rPr>
              <w:t>（2）排污口应便于采样与计量监测，便于日常现场监督检查。</w:t>
            </w:r>
          </w:p>
          <w:p w14:paraId="4527657D">
            <w:pPr>
              <w:ind w:firstLine="0" w:firstLineChars="0"/>
              <w:rPr>
                <w:b/>
                <w:bCs/>
              </w:rPr>
            </w:pPr>
            <w:r>
              <w:rPr>
                <w:rFonts w:hint="eastAsia"/>
                <w:b/>
                <w:bCs/>
              </w:rPr>
              <w:t>2、排污口设置的技术要求</w:t>
            </w:r>
          </w:p>
          <w:p w14:paraId="136D3BD6">
            <w:pPr>
              <w:ind w:firstLine="480"/>
            </w:pPr>
            <w:r>
              <w:rPr>
                <w:rFonts w:hint="eastAsia"/>
              </w:rPr>
              <w:t>（1）排污口的位置必须合理确定，按《排污口规范化整治技术要求（试行）》（环监〔1996〕470号）文件、“污染源监测技术规范”中的相关规定要求进行规范化管理。</w:t>
            </w:r>
          </w:p>
          <w:p w14:paraId="609D48E5">
            <w:pPr>
              <w:ind w:firstLine="480"/>
            </w:pPr>
            <w:r>
              <w:rPr>
                <w:rFonts w:hint="eastAsia"/>
              </w:rPr>
              <w:t>（2）废气排放口要求在废气处理设施的进气口、排气筒排气口均应设置便于采样、监测的采样口和监测平台，采样口直径不小于40mm。设置规范的、便于测量流量、流速的测速段。</w:t>
            </w:r>
          </w:p>
          <w:p w14:paraId="32820EAB">
            <w:pPr>
              <w:ind w:firstLine="480"/>
            </w:pPr>
            <w:r>
              <w:rPr>
                <w:rFonts w:hint="eastAsia"/>
              </w:rPr>
              <w:t>（</w:t>
            </w:r>
            <w:r>
              <w:t>3</w:t>
            </w:r>
            <w:r>
              <w:rPr>
                <w:rFonts w:hint="eastAsia"/>
              </w:rPr>
              <w:t>）固体废物暂存场要求生活垃圾、一般工业固废和危险废物必须设置专用堆放场所，有防扬散、防流失、防渗漏等措施，设置环境保护图形标志和警示标志。</w:t>
            </w:r>
          </w:p>
          <w:p w14:paraId="427978A8">
            <w:pPr>
              <w:ind w:firstLine="0" w:firstLineChars="0"/>
              <w:rPr>
                <w:b/>
                <w:bCs/>
              </w:rPr>
            </w:pPr>
            <w:r>
              <w:rPr>
                <w:rFonts w:hint="eastAsia"/>
                <w:b/>
                <w:bCs/>
              </w:rPr>
              <w:t>3、排污口立标管理要求</w:t>
            </w:r>
          </w:p>
          <w:p w14:paraId="4916AA42">
            <w:pPr>
              <w:ind w:firstLine="480"/>
              <w:rPr>
                <w:szCs w:val="24"/>
              </w:rPr>
            </w:pPr>
            <w:r>
              <w:rPr>
                <w:rFonts w:hint="eastAsia"/>
              </w:rPr>
              <w:t>污染物排放口应按《环境保护图形标志》（GB15562.1-1995）与《环境保护图形标志--固体废物贮存（处置）场》（GB15562.2-1995）修改单的规定，设置生态环境部统一制作的环境保护图形标志牌；环保图形标志牌应设置在靠近采样点的醒目处，标志牌设置高度为其上缘距地面2m。根据项目的工艺特征和污染物排放情况，本项目废气、噪声、固废排污口标识见下表所示。</w:t>
            </w:r>
          </w:p>
          <w:p w14:paraId="058E8F08">
            <w:pPr>
              <w:pStyle w:val="6"/>
              <w:spacing w:line="240" w:lineRule="auto"/>
              <w:ind w:firstLine="422"/>
              <w:jc w:val="center"/>
              <w:rPr>
                <w:rFonts w:ascii="Times New Roman" w:hAnsi="Times New Roman"/>
                <w:b/>
                <w:bCs/>
                <w:sz w:val="21"/>
                <w:szCs w:val="21"/>
              </w:rPr>
            </w:pPr>
            <w:r>
              <w:rPr>
                <w:rFonts w:ascii="Times New Roman" w:hAnsi="Times New Roman"/>
                <w:b/>
                <w:bCs/>
                <w:sz w:val="21"/>
                <w:szCs w:val="21"/>
              </w:rPr>
              <w:t xml:space="preserve">表4-17  </w:t>
            </w:r>
            <w:r>
              <w:rPr>
                <w:rFonts w:hint="eastAsia" w:ascii="Times New Roman" w:hAnsi="Times New Roman"/>
                <w:b/>
                <w:bCs/>
                <w:sz w:val="21"/>
                <w:szCs w:val="21"/>
              </w:rPr>
              <w:t>环境保护图形符号一览表</w:t>
            </w:r>
          </w:p>
          <w:tbl>
            <w:tblPr>
              <w:tblStyle w:val="2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335"/>
              <w:gridCol w:w="1630"/>
              <w:gridCol w:w="1777"/>
              <w:gridCol w:w="1035"/>
              <w:gridCol w:w="2170"/>
            </w:tblGrid>
            <w:tr w14:paraId="38D4CE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4911CC58">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序号</w:t>
                  </w:r>
                </w:p>
              </w:tc>
              <w:tc>
                <w:tcPr>
                  <w:tcW w:w="769" w:type="pct"/>
                  <w:vAlign w:val="center"/>
                </w:tcPr>
                <w:p w14:paraId="4AD92CC7">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标志名称</w:t>
                  </w:r>
                </w:p>
              </w:tc>
              <w:tc>
                <w:tcPr>
                  <w:tcW w:w="939" w:type="pct"/>
                  <w:vAlign w:val="center"/>
                </w:tcPr>
                <w:p w14:paraId="08979BD9">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提示图形符号</w:t>
                  </w:r>
                </w:p>
              </w:tc>
              <w:tc>
                <w:tcPr>
                  <w:tcW w:w="1024" w:type="pct"/>
                  <w:vAlign w:val="center"/>
                </w:tcPr>
                <w:p w14:paraId="3B42873C">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警告图形符号</w:t>
                  </w:r>
                </w:p>
              </w:tc>
              <w:tc>
                <w:tcPr>
                  <w:tcW w:w="596" w:type="pct"/>
                  <w:vAlign w:val="center"/>
                </w:tcPr>
                <w:p w14:paraId="024AD381">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功能</w:t>
                  </w:r>
                </w:p>
                <w:p w14:paraId="0BA0B304">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说明</w:t>
                  </w:r>
                </w:p>
              </w:tc>
              <w:tc>
                <w:tcPr>
                  <w:tcW w:w="1250" w:type="pct"/>
                  <w:vAlign w:val="center"/>
                </w:tcPr>
                <w:p w14:paraId="2F0047F2">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要求</w:t>
                  </w:r>
                </w:p>
              </w:tc>
            </w:tr>
            <w:tr w14:paraId="51AA9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570F168E">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1</w:t>
                  </w:r>
                </w:p>
              </w:tc>
              <w:tc>
                <w:tcPr>
                  <w:tcW w:w="769" w:type="pct"/>
                  <w:vAlign w:val="center"/>
                </w:tcPr>
                <w:p w14:paraId="78E13A05">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废气排放</w:t>
                  </w:r>
                </w:p>
                <w:p w14:paraId="737BDC5B">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口</w:t>
                  </w:r>
                </w:p>
              </w:tc>
              <w:tc>
                <w:tcPr>
                  <w:tcW w:w="939" w:type="pct"/>
                  <w:vAlign w:val="center"/>
                </w:tcPr>
                <w:p w14:paraId="71C189B7">
                  <w:pPr>
                    <w:pStyle w:val="6"/>
                    <w:spacing w:line="240" w:lineRule="auto"/>
                    <w:ind w:firstLine="0" w:firstLineChars="0"/>
                    <w:jc w:val="center"/>
                    <w:rPr>
                      <w:rFonts w:ascii="Times New Roman" w:hAnsi="Times New Roman"/>
                      <w:sz w:val="21"/>
                      <w:szCs w:val="21"/>
                    </w:rPr>
                  </w:pPr>
                  <w:r>
                    <w:drawing>
                      <wp:inline distT="0" distB="0" distL="0" distR="0">
                        <wp:extent cx="790575" cy="790575"/>
                        <wp:effectExtent l="0" t="0" r="9525" b="9525"/>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spect="1"/>
                                </pic:cNvPicPr>
                              </pic:nvPicPr>
                              <pic:blipFill>
                                <a:blip r:embed="rId21"/>
                                <a:stretch>
                                  <a:fillRect/>
                                </a:stretch>
                              </pic:blipFill>
                              <pic:spPr>
                                <a:xfrm>
                                  <a:off x="0" y="0"/>
                                  <a:ext cx="790575" cy="790575"/>
                                </a:xfrm>
                                <a:prstGeom prst="rect">
                                  <a:avLst/>
                                </a:prstGeom>
                              </pic:spPr>
                            </pic:pic>
                          </a:graphicData>
                        </a:graphic>
                      </wp:inline>
                    </w:drawing>
                  </w:r>
                </w:p>
              </w:tc>
              <w:tc>
                <w:tcPr>
                  <w:tcW w:w="1024" w:type="pct"/>
                  <w:vAlign w:val="center"/>
                </w:tcPr>
                <w:p w14:paraId="28CD18A9">
                  <w:pPr>
                    <w:pStyle w:val="6"/>
                    <w:spacing w:line="240" w:lineRule="auto"/>
                    <w:ind w:firstLine="0" w:firstLineChars="0"/>
                    <w:jc w:val="center"/>
                    <w:rPr>
                      <w:rFonts w:ascii="Times New Roman" w:hAnsi="Times New Roman"/>
                      <w:sz w:val="21"/>
                      <w:szCs w:val="21"/>
                    </w:rPr>
                  </w:pPr>
                  <w:r>
                    <w:drawing>
                      <wp:inline distT="0" distB="0" distL="0" distR="0">
                        <wp:extent cx="819150" cy="781050"/>
                        <wp:effectExtent l="0" t="0" r="0"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pic:cNvPicPr>
                              </pic:nvPicPr>
                              <pic:blipFill>
                                <a:blip r:embed="rId22"/>
                                <a:stretch>
                                  <a:fillRect/>
                                </a:stretch>
                              </pic:blipFill>
                              <pic:spPr>
                                <a:xfrm>
                                  <a:off x="0" y="0"/>
                                  <a:ext cx="819150" cy="781050"/>
                                </a:xfrm>
                                <a:prstGeom prst="rect">
                                  <a:avLst/>
                                </a:prstGeom>
                              </pic:spPr>
                            </pic:pic>
                          </a:graphicData>
                        </a:graphic>
                      </wp:inline>
                    </w:drawing>
                  </w:r>
                </w:p>
              </w:tc>
              <w:tc>
                <w:tcPr>
                  <w:tcW w:w="596" w:type="pct"/>
                  <w:vAlign w:val="center"/>
                </w:tcPr>
                <w:p w14:paraId="5F37C384">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表示废气向大气环境排放</w:t>
                  </w:r>
                </w:p>
              </w:tc>
              <w:tc>
                <w:tcPr>
                  <w:tcW w:w="1250" w:type="pct"/>
                  <w:vMerge w:val="restart"/>
                  <w:vAlign w:val="center"/>
                </w:tcPr>
                <w:p w14:paraId="79547AAA">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排气筒按《固定污染源废气排放口监测点位设置技术规范》（T/CAEPI46-2022）设置监测孔、监测平台、监测梯架及其保</w:t>
                  </w:r>
                </w:p>
                <w:p w14:paraId="38F2B230">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障性、辅助性设施等。不监测时用管帽、盖板等封闭，不得封死，便于在监测时开启使用，并在废气污染源处设置废气排放口标志。</w:t>
                  </w:r>
                </w:p>
              </w:tc>
            </w:tr>
            <w:tr w14:paraId="14266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18F9E482">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2</w:t>
                  </w:r>
                </w:p>
              </w:tc>
              <w:tc>
                <w:tcPr>
                  <w:tcW w:w="769" w:type="pct"/>
                  <w:vAlign w:val="center"/>
                </w:tcPr>
                <w:p w14:paraId="45C00B8B">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噪声排放</w:t>
                  </w:r>
                </w:p>
                <w:p w14:paraId="7387B5CD">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源</w:t>
                  </w:r>
                </w:p>
              </w:tc>
              <w:tc>
                <w:tcPr>
                  <w:tcW w:w="939" w:type="pct"/>
                  <w:vAlign w:val="center"/>
                </w:tcPr>
                <w:p w14:paraId="38565F4D">
                  <w:pPr>
                    <w:pStyle w:val="6"/>
                    <w:spacing w:line="240" w:lineRule="auto"/>
                    <w:ind w:firstLine="0" w:firstLineChars="0"/>
                    <w:jc w:val="center"/>
                    <w:rPr>
                      <w:rFonts w:ascii="Times New Roman" w:hAnsi="Times New Roman"/>
                      <w:sz w:val="21"/>
                      <w:szCs w:val="21"/>
                    </w:rPr>
                  </w:pPr>
                  <w:r>
                    <w:drawing>
                      <wp:inline distT="0" distB="0" distL="0" distR="0">
                        <wp:extent cx="847725" cy="810260"/>
                        <wp:effectExtent l="0" t="0" r="9525" b="889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spect="1"/>
                                </pic:cNvPicPr>
                              </pic:nvPicPr>
                              <pic:blipFill>
                                <a:blip r:embed="rId23"/>
                                <a:stretch>
                                  <a:fillRect/>
                                </a:stretch>
                              </pic:blipFill>
                              <pic:spPr>
                                <a:xfrm>
                                  <a:off x="0" y="0"/>
                                  <a:ext cx="858086" cy="820777"/>
                                </a:xfrm>
                                <a:prstGeom prst="rect">
                                  <a:avLst/>
                                </a:prstGeom>
                              </pic:spPr>
                            </pic:pic>
                          </a:graphicData>
                        </a:graphic>
                      </wp:inline>
                    </w:drawing>
                  </w:r>
                </w:p>
              </w:tc>
              <w:tc>
                <w:tcPr>
                  <w:tcW w:w="1024" w:type="pct"/>
                  <w:vAlign w:val="center"/>
                </w:tcPr>
                <w:p w14:paraId="6492E11D">
                  <w:pPr>
                    <w:pStyle w:val="6"/>
                    <w:spacing w:line="240" w:lineRule="auto"/>
                    <w:ind w:firstLine="0" w:firstLineChars="0"/>
                    <w:jc w:val="center"/>
                    <w:rPr>
                      <w:rFonts w:ascii="Times New Roman" w:hAnsi="Times New Roman"/>
                      <w:sz w:val="21"/>
                      <w:szCs w:val="21"/>
                    </w:rPr>
                  </w:pPr>
                  <w:r>
                    <w:drawing>
                      <wp:inline distT="0" distB="0" distL="0" distR="0">
                        <wp:extent cx="787400" cy="638175"/>
                        <wp:effectExtent l="0" t="0" r="12700" b="9525"/>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spect="1"/>
                                </pic:cNvPicPr>
                              </pic:nvPicPr>
                              <pic:blipFill>
                                <a:blip r:embed="rId24"/>
                                <a:stretch>
                                  <a:fillRect/>
                                </a:stretch>
                              </pic:blipFill>
                              <pic:spPr>
                                <a:xfrm rot="10800000" flipV="1">
                                  <a:off x="0" y="0"/>
                                  <a:ext cx="799383" cy="647827"/>
                                </a:xfrm>
                                <a:prstGeom prst="rect">
                                  <a:avLst/>
                                </a:prstGeom>
                              </pic:spPr>
                            </pic:pic>
                          </a:graphicData>
                        </a:graphic>
                      </wp:inline>
                    </w:drawing>
                  </w:r>
                </w:p>
              </w:tc>
              <w:tc>
                <w:tcPr>
                  <w:tcW w:w="596" w:type="pct"/>
                  <w:vAlign w:val="center"/>
                </w:tcPr>
                <w:p w14:paraId="71D3150F">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表示噪声向外环境排放</w:t>
                  </w:r>
                </w:p>
              </w:tc>
              <w:tc>
                <w:tcPr>
                  <w:tcW w:w="1250" w:type="pct"/>
                  <w:vMerge w:val="continue"/>
                  <w:vAlign w:val="center"/>
                </w:tcPr>
                <w:p w14:paraId="49DBE67F">
                  <w:pPr>
                    <w:pStyle w:val="6"/>
                    <w:spacing w:line="240" w:lineRule="auto"/>
                    <w:ind w:firstLine="0" w:firstLineChars="0"/>
                    <w:jc w:val="center"/>
                    <w:rPr>
                      <w:rFonts w:ascii="Times New Roman" w:hAnsi="Times New Roman"/>
                      <w:sz w:val="21"/>
                      <w:szCs w:val="21"/>
                    </w:rPr>
                  </w:pPr>
                </w:p>
              </w:tc>
            </w:tr>
            <w:tr w14:paraId="352E6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2" w:type="pct"/>
                  <w:vAlign w:val="center"/>
                </w:tcPr>
                <w:p w14:paraId="21635E57">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3</w:t>
                  </w:r>
                </w:p>
              </w:tc>
              <w:tc>
                <w:tcPr>
                  <w:tcW w:w="769" w:type="pct"/>
                  <w:vAlign w:val="center"/>
                </w:tcPr>
                <w:p w14:paraId="7C26F091">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一般固体</w:t>
                  </w:r>
                </w:p>
                <w:p w14:paraId="7CE7D705">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废物</w:t>
                  </w:r>
                </w:p>
              </w:tc>
              <w:tc>
                <w:tcPr>
                  <w:tcW w:w="939" w:type="pct"/>
                  <w:vAlign w:val="center"/>
                </w:tcPr>
                <w:p w14:paraId="6530CDD4">
                  <w:pPr>
                    <w:pStyle w:val="6"/>
                    <w:spacing w:line="240" w:lineRule="auto"/>
                    <w:ind w:firstLine="0" w:firstLineChars="0"/>
                    <w:jc w:val="center"/>
                    <w:rPr>
                      <w:rFonts w:ascii="Times New Roman" w:hAnsi="Times New Roman"/>
                      <w:sz w:val="21"/>
                      <w:szCs w:val="21"/>
                    </w:rPr>
                  </w:pPr>
                  <w:r>
                    <w:drawing>
                      <wp:inline distT="0" distB="0" distL="0" distR="0">
                        <wp:extent cx="790575" cy="751205"/>
                        <wp:effectExtent l="0" t="0" r="9525" b="10795"/>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pic:cNvPicPr>
                              </pic:nvPicPr>
                              <pic:blipFill>
                                <a:blip r:embed="rId25"/>
                                <a:stretch>
                                  <a:fillRect/>
                                </a:stretch>
                              </pic:blipFill>
                              <pic:spPr>
                                <a:xfrm>
                                  <a:off x="0" y="0"/>
                                  <a:ext cx="797946" cy="758408"/>
                                </a:xfrm>
                                <a:prstGeom prst="rect">
                                  <a:avLst/>
                                </a:prstGeom>
                              </pic:spPr>
                            </pic:pic>
                          </a:graphicData>
                        </a:graphic>
                      </wp:inline>
                    </w:drawing>
                  </w:r>
                </w:p>
              </w:tc>
              <w:tc>
                <w:tcPr>
                  <w:tcW w:w="1024" w:type="pct"/>
                  <w:vAlign w:val="center"/>
                </w:tcPr>
                <w:p w14:paraId="1C553754">
                  <w:pPr>
                    <w:pStyle w:val="6"/>
                    <w:spacing w:line="240" w:lineRule="auto"/>
                    <w:ind w:firstLine="0" w:firstLineChars="0"/>
                    <w:jc w:val="center"/>
                    <w:rPr>
                      <w:rFonts w:ascii="Times New Roman" w:hAnsi="Times New Roman"/>
                      <w:sz w:val="21"/>
                      <w:szCs w:val="21"/>
                    </w:rPr>
                  </w:pPr>
                  <w:r>
                    <w:drawing>
                      <wp:inline distT="0" distB="0" distL="0" distR="0">
                        <wp:extent cx="800100" cy="702945"/>
                        <wp:effectExtent l="0" t="0" r="0" b="1905"/>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pic:cNvPicPr>
                              </pic:nvPicPr>
                              <pic:blipFill>
                                <a:blip r:embed="rId26"/>
                                <a:stretch>
                                  <a:fillRect/>
                                </a:stretch>
                              </pic:blipFill>
                              <pic:spPr>
                                <a:xfrm>
                                  <a:off x="0" y="0"/>
                                  <a:ext cx="807982" cy="710413"/>
                                </a:xfrm>
                                <a:prstGeom prst="rect">
                                  <a:avLst/>
                                </a:prstGeom>
                              </pic:spPr>
                            </pic:pic>
                          </a:graphicData>
                        </a:graphic>
                      </wp:inline>
                    </w:drawing>
                  </w:r>
                </w:p>
              </w:tc>
              <w:tc>
                <w:tcPr>
                  <w:tcW w:w="596" w:type="pct"/>
                  <w:vAlign w:val="center"/>
                </w:tcPr>
                <w:p w14:paraId="0C3847EB">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表示一般固体废物贮存、处置场</w:t>
                  </w:r>
                </w:p>
              </w:tc>
              <w:tc>
                <w:tcPr>
                  <w:tcW w:w="1250" w:type="pct"/>
                  <w:vMerge w:val="continue"/>
                  <w:vAlign w:val="center"/>
                </w:tcPr>
                <w:p w14:paraId="662BB0E6">
                  <w:pPr>
                    <w:pStyle w:val="6"/>
                    <w:spacing w:line="240" w:lineRule="auto"/>
                    <w:ind w:firstLine="0" w:firstLineChars="0"/>
                    <w:jc w:val="center"/>
                    <w:rPr>
                      <w:rFonts w:ascii="Times New Roman" w:hAnsi="Times New Roman"/>
                      <w:sz w:val="21"/>
                      <w:szCs w:val="21"/>
                    </w:rPr>
                  </w:pPr>
                </w:p>
              </w:tc>
            </w:tr>
          </w:tbl>
          <w:p w14:paraId="4F273C78">
            <w:pPr>
              <w:pStyle w:val="6"/>
              <w:spacing w:before="240" w:line="240" w:lineRule="auto"/>
              <w:ind w:firstLine="422"/>
              <w:jc w:val="center"/>
              <w:rPr>
                <w:rFonts w:ascii="Times New Roman" w:hAnsi="Times New Roman"/>
                <w:b/>
                <w:bCs/>
                <w:sz w:val="21"/>
                <w:szCs w:val="21"/>
              </w:rPr>
            </w:pPr>
            <w:r>
              <w:rPr>
                <w:rFonts w:ascii="Times New Roman" w:hAnsi="Times New Roman"/>
                <w:b/>
                <w:bCs/>
                <w:sz w:val="21"/>
                <w:szCs w:val="21"/>
              </w:rPr>
              <w:t>表</w:t>
            </w:r>
            <w:r>
              <w:rPr>
                <w:rFonts w:hint="eastAsia" w:ascii="Times New Roman" w:hAnsi="Times New Roman"/>
                <w:b/>
                <w:bCs/>
                <w:sz w:val="21"/>
                <w:szCs w:val="21"/>
              </w:rPr>
              <w:t>4</w:t>
            </w:r>
            <w:r>
              <w:rPr>
                <w:rFonts w:ascii="Times New Roman" w:hAnsi="Times New Roman"/>
                <w:b/>
                <w:bCs/>
                <w:sz w:val="21"/>
                <w:szCs w:val="21"/>
              </w:rPr>
              <w:t xml:space="preserve">-18  </w:t>
            </w:r>
            <w:r>
              <w:rPr>
                <w:rFonts w:hint="eastAsia" w:ascii="Times New Roman" w:hAnsi="Times New Roman"/>
                <w:b/>
                <w:bCs/>
                <w:sz w:val="21"/>
                <w:szCs w:val="21"/>
              </w:rPr>
              <w:t>环境保护图形标志的形状及颜色</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169"/>
              <w:gridCol w:w="2169"/>
              <w:gridCol w:w="2169"/>
            </w:tblGrid>
            <w:tr w14:paraId="0C197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2F47A375">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标志名称</w:t>
                  </w:r>
                </w:p>
              </w:tc>
              <w:tc>
                <w:tcPr>
                  <w:tcW w:w="1250" w:type="pct"/>
                  <w:vAlign w:val="center"/>
                </w:tcPr>
                <w:p w14:paraId="6A568D81">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形状</w:t>
                  </w:r>
                </w:p>
              </w:tc>
              <w:tc>
                <w:tcPr>
                  <w:tcW w:w="1250" w:type="pct"/>
                  <w:vAlign w:val="center"/>
                </w:tcPr>
                <w:p w14:paraId="157F6B14">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背景颜色</w:t>
                  </w:r>
                </w:p>
              </w:tc>
              <w:tc>
                <w:tcPr>
                  <w:tcW w:w="1250" w:type="pct"/>
                  <w:vAlign w:val="center"/>
                </w:tcPr>
                <w:p w14:paraId="543B903E">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图形颜色</w:t>
                  </w:r>
                </w:p>
              </w:tc>
            </w:tr>
            <w:tr w14:paraId="4E25A0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4874FB3D">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警告标志</w:t>
                  </w:r>
                </w:p>
              </w:tc>
              <w:tc>
                <w:tcPr>
                  <w:tcW w:w="1250" w:type="pct"/>
                  <w:vAlign w:val="center"/>
                </w:tcPr>
                <w:p w14:paraId="4AD74041">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三角形边框</w:t>
                  </w:r>
                </w:p>
              </w:tc>
              <w:tc>
                <w:tcPr>
                  <w:tcW w:w="1250" w:type="pct"/>
                  <w:vAlign w:val="center"/>
                </w:tcPr>
                <w:p w14:paraId="3EC8E96F">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黄色</w:t>
                  </w:r>
                </w:p>
              </w:tc>
              <w:tc>
                <w:tcPr>
                  <w:tcW w:w="1250" w:type="pct"/>
                  <w:vAlign w:val="center"/>
                </w:tcPr>
                <w:p w14:paraId="3CB02FC6">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黑色</w:t>
                  </w:r>
                </w:p>
              </w:tc>
            </w:tr>
            <w:tr w14:paraId="279E83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50" w:type="pct"/>
                  <w:vAlign w:val="center"/>
                </w:tcPr>
                <w:p w14:paraId="14934188">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提示标志</w:t>
                  </w:r>
                </w:p>
              </w:tc>
              <w:tc>
                <w:tcPr>
                  <w:tcW w:w="1250" w:type="pct"/>
                  <w:vAlign w:val="center"/>
                </w:tcPr>
                <w:p w14:paraId="7045C8F5">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正方形边框</w:t>
                  </w:r>
                </w:p>
              </w:tc>
              <w:tc>
                <w:tcPr>
                  <w:tcW w:w="1250" w:type="pct"/>
                  <w:vAlign w:val="center"/>
                </w:tcPr>
                <w:p w14:paraId="403B54F1">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绿色</w:t>
                  </w:r>
                </w:p>
              </w:tc>
              <w:tc>
                <w:tcPr>
                  <w:tcW w:w="1250" w:type="pct"/>
                  <w:vAlign w:val="center"/>
                </w:tcPr>
                <w:p w14:paraId="3F3677CB">
                  <w:pPr>
                    <w:pStyle w:val="6"/>
                    <w:spacing w:line="240" w:lineRule="auto"/>
                    <w:ind w:firstLine="0" w:firstLineChars="0"/>
                    <w:jc w:val="center"/>
                    <w:rPr>
                      <w:rFonts w:ascii="Times New Roman" w:hAnsi="Times New Roman"/>
                      <w:sz w:val="21"/>
                      <w:szCs w:val="21"/>
                    </w:rPr>
                  </w:pPr>
                  <w:r>
                    <w:rPr>
                      <w:rFonts w:hint="eastAsia" w:ascii="Times New Roman" w:hAnsi="Times New Roman"/>
                      <w:sz w:val="21"/>
                      <w:szCs w:val="21"/>
                    </w:rPr>
                    <w:t>白色</w:t>
                  </w:r>
                </w:p>
              </w:tc>
            </w:tr>
          </w:tbl>
          <w:p w14:paraId="071C67A4">
            <w:pPr>
              <w:ind w:firstLine="0" w:firstLineChars="0"/>
              <w:rPr>
                <w:b/>
                <w:bCs/>
              </w:rPr>
            </w:pPr>
            <w:r>
              <w:rPr>
                <w:rFonts w:hint="eastAsia"/>
                <w:b/>
                <w:bCs/>
              </w:rPr>
              <w:t>4、排污口建档管理要求</w:t>
            </w:r>
          </w:p>
          <w:p w14:paraId="67C0BAD2">
            <w:pPr>
              <w:ind w:firstLine="480"/>
            </w:pPr>
            <w:r>
              <w:rPr>
                <w:rFonts w:hint="eastAsia"/>
              </w:rPr>
              <w:t>（1）应使用《中华人民共和国规范化排污口标志登记证》，并按要求填写有关内容；</w:t>
            </w:r>
          </w:p>
          <w:p w14:paraId="67CBE5A0">
            <w:pPr>
              <w:ind w:firstLine="480"/>
            </w:pPr>
            <w:r>
              <w:rPr>
                <w:rFonts w:hint="eastAsia"/>
              </w:rPr>
              <w:t>（2）建设单位应将有关排污口的情况如：排污口的性质、编号、排污口的位置；主要排放的污染物种类、数量、浓度、排放规律、排放去向；污染治理设施的运行情况等进行建档管理，并报送生态环境主管部门备案。</w:t>
            </w:r>
          </w:p>
          <w:p w14:paraId="14351514">
            <w:pPr>
              <w:pStyle w:val="3"/>
              <w:rPr>
                <w:rFonts w:cs="Times New Roman"/>
              </w:rPr>
            </w:pPr>
            <w:r>
              <w:rPr>
                <w:rFonts w:cs="Times New Roman"/>
              </w:rPr>
              <w:t>4.</w:t>
            </w:r>
            <w:r>
              <w:rPr>
                <w:rFonts w:hint="eastAsia" w:cs="Times New Roman"/>
              </w:rPr>
              <w:t>7</w:t>
            </w:r>
            <w:r>
              <w:rPr>
                <w:rFonts w:cs="Times New Roman"/>
              </w:rPr>
              <w:t>环境保护计划</w:t>
            </w:r>
          </w:p>
          <w:p w14:paraId="53764D99">
            <w:pPr>
              <w:ind w:firstLine="480"/>
              <w:rPr>
                <w:rFonts w:cs="Times New Roman"/>
              </w:rPr>
            </w:pPr>
            <w:r>
              <w:rPr>
                <w:rFonts w:hint="eastAsia" w:cs="Times New Roman"/>
              </w:rPr>
              <w:t>根据《排污许可证申请与核发技术规范 废弃资源加工工业》（HJ1034-2019）和《排污单位自行监测技术指南 总则》（HJ819-2017）等文件要求，本项目将开展排污单位自行监测工作，具体监测计划详见表4-1</w:t>
            </w:r>
            <w:r>
              <w:rPr>
                <w:rFonts w:cs="Times New Roman"/>
              </w:rPr>
              <w:t>9。</w:t>
            </w:r>
          </w:p>
          <w:p w14:paraId="7C8BBC4C">
            <w:pPr>
              <w:pStyle w:val="79"/>
              <w:rPr>
                <w:rFonts w:ascii="Times New Roman" w:hAnsi="Times New Roman" w:cs="Times New Roman"/>
                <w:sz w:val="21"/>
                <w:szCs w:val="21"/>
              </w:rPr>
            </w:pPr>
            <w:r>
              <w:rPr>
                <w:rFonts w:ascii="Times New Roman" w:hAnsi="Times New Roman" w:cs="Times New Roman"/>
                <w:sz w:val="21"/>
                <w:szCs w:val="21"/>
              </w:rPr>
              <w:t>表4-1</w:t>
            </w:r>
            <w:r>
              <w:rPr>
                <w:rFonts w:ascii="Times New Roman" w:hAnsi="Times New Roman" w:cs="Times New Roman"/>
                <w:sz w:val="21"/>
                <w:szCs w:val="21"/>
                <w:lang w:val="en-US"/>
              </w:rPr>
              <w:t>9</w:t>
            </w:r>
            <w:r>
              <w:rPr>
                <w:rFonts w:ascii="Times New Roman" w:hAnsi="Times New Roman" w:cs="Times New Roman"/>
                <w:sz w:val="21"/>
                <w:szCs w:val="21"/>
              </w:rPr>
              <w:t xml:space="preserve">  环境监测计划</w:t>
            </w:r>
          </w:p>
          <w:tbl>
            <w:tblPr>
              <w:tblStyle w:val="24"/>
              <w:tblW w:w="492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550"/>
              <w:gridCol w:w="1413"/>
              <w:gridCol w:w="1419"/>
              <w:gridCol w:w="2882"/>
            </w:tblGrid>
            <w:tr w14:paraId="7F1821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vAlign w:val="center"/>
                </w:tcPr>
                <w:p w14:paraId="17C3A806">
                  <w:pPr>
                    <w:pStyle w:val="80"/>
                    <w:rPr>
                      <w:rFonts w:cs="Times New Roman"/>
                    </w:rPr>
                  </w:pPr>
                  <w:r>
                    <w:rPr>
                      <w:rFonts w:cs="Times New Roman"/>
                    </w:rPr>
                    <w:t>环境因素</w:t>
                  </w:r>
                </w:p>
              </w:tc>
              <w:tc>
                <w:tcPr>
                  <w:tcW w:w="907" w:type="pct"/>
                  <w:vAlign w:val="center"/>
                </w:tcPr>
                <w:p w14:paraId="48119DC2">
                  <w:pPr>
                    <w:pStyle w:val="80"/>
                    <w:rPr>
                      <w:rFonts w:cs="Times New Roman"/>
                    </w:rPr>
                  </w:pPr>
                  <w:r>
                    <w:rPr>
                      <w:rFonts w:cs="Times New Roman"/>
                    </w:rPr>
                    <w:t>监测项目</w:t>
                  </w:r>
                </w:p>
              </w:tc>
              <w:tc>
                <w:tcPr>
                  <w:tcW w:w="827" w:type="pct"/>
                  <w:vAlign w:val="center"/>
                </w:tcPr>
                <w:p w14:paraId="66DE026D">
                  <w:pPr>
                    <w:pStyle w:val="80"/>
                    <w:rPr>
                      <w:rFonts w:cs="Times New Roman"/>
                    </w:rPr>
                  </w:pPr>
                  <w:r>
                    <w:rPr>
                      <w:rFonts w:cs="Times New Roman"/>
                    </w:rPr>
                    <w:t>监测点位</w:t>
                  </w:r>
                </w:p>
              </w:tc>
              <w:tc>
                <w:tcPr>
                  <w:tcW w:w="830" w:type="pct"/>
                  <w:vAlign w:val="center"/>
                </w:tcPr>
                <w:p w14:paraId="6E0FFF77">
                  <w:pPr>
                    <w:pStyle w:val="80"/>
                    <w:rPr>
                      <w:rFonts w:cs="Times New Roman"/>
                    </w:rPr>
                  </w:pPr>
                  <w:r>
                    <w:rPr>
                      <w:rFonts w:cs="Times New Roman"/>
                    </w:rPr>
                    <w:t>监测频率</w:t>
                  </w:r>
                </w:p>
              </w:tc>
              <w:tc>
                <w:tcPr>
                  <w:tcW w:w="1686" w:type="pct"/>
                  <w:vAlign w:val="center"/>
                </w:tcPr>
                <w:p w14:paraId="76C85956">
                  <w:pPr>
                    <w:pStyle w:val="80"/>
                    <w:rPr>
                      <w:rFonts w:cs="Times New Roman"/>
                    </w:rPr>
                  </w:pPr>
                  <w:r>
                    <w:rPr>
                      <w:rFonts w:cs="Times New Roman"/>
                    </w:rPr>
                    <w:t>排放标准</w:t>
                  </w:r>
                </w:p>
              </w:tc>
            </w:tr>
            <w:tr w14:paraId="14AA16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vAlign w:val="center"/>
                </w:tcPr>
                <w:p w14:paraId="5BD06679">
                  <w:pPr>
                    <w:pStyle w:val="80"/>
                    <w:rPr>
                      <w:rFonts w:cs="Times New Roman"/>
                    </w:rPr>
                  </w:pPr>
                  <w:r>
                    <w:rPr>
                      <w:rFonts w:hint="eastAsia" w:cs="Times New Roman"/>
                    </w:rPr>
                    <w:t>有组织废气</w:t>
                  </w:r>
                </w:p>
              </w:tc>
              <w:tc>
                <w:tcPr>
                  <w:tcW w:w="907" w:type="pct"/>
                  <w:vAlign w:val="center"/>
                </w:tcPr>
                <w:p w14:paraId="64F82990">
                  <w:pPr>
                    <w:pStyle w:val="80"/>
                    <w:rPr>
                      <w:rFonts w:cs="Times New Roman"/>
                    </w:rPr>
                  </w:pPr>
                  <w:r>
                    <w:rPr>
                      <w:rFonts w:hint="eastAsia" w:cs="Times New Roman"/>
                    </w:rPr>
                    <w:t>颗粒物</w:t>
                  </w:r>
                </w:p>
              </w:tc>
              <w:tc>
                <w:tcPr>
                  <w:tcW w:w="827" w:type="pct"/>
                  <w:vAlign w:val="center"/>
                </w:tcPr>
                <w:p w14:paraId="1F5F71F3">
                  <w:pPr>
                    <w:pStyle w:val="80"/>
                    <w:rPr>
                      <w:rFonts w:cs="Times New Roman"/>
                    </w:rPr>
                  </w:pPr>
                  <w:r>
                    <w:rPr>
                      <w:rFonts w:hint="eastAsia" w:cs="Times New Roman"/>
                    </w:rPr>
                    <w:t>D</w:t>
                  </w:r>
                  <w:r>
                    <w:rPr>
                      <w:rFonts w:cs="Times New Roman"/>
                    </w:rPr>
                    <w:t>A001</w:t>
                  </w:r>
                </w:p>
              </w:tc>
              <w:tc>
                <w:tcPr>
                  <w:tcW w:w="830" w:type="pct"/>
                  <w:vAlign w:val="center"/>
                </w:tcPr>
                <w:p w14:paraId="2BA33BB0">
                  <w:pPr>
                    <w:pStyle w:val="80"/>
                    <w:rPr>
                      <w:rFonts w:cs="Times New Roman"/>
                    </w:rPr>
                  </w:pPr>
                  <w:r>
                    <w:rPr>
                      <w:rFonts w:hint="eastAsia" w:cs="Times New Roman"/>
                    </w:rPr>
                    <w:t>一次/年</w:t>
                  </w:r>
                </w:p>
              </w:tc>
              <w:tc>
                <w:tcPr>
                  <w:tcW w:w="1686" w:type="pct"/>
                  <w:vAlign w:val="center"/>
                </w:tcPr>
                <w:p w14:paraId="3035A28F">
                  <w:pPr>
                    <w:pStyle w:val="80"/>
                    <w:jc w:val="both"/>
                    <w:rPr>
                      <w:rFonts w:cs="Times New Roman"/>
                    </w:rPr>
                  </w:pPr>
                  <w:r>
                    <w:rPr>
                      <w:rFonts w:hint="eastAsia" w:cs="Times New Roman"/>
                      <w:color w:val="000000" w:themeColor="text1"/>
                      <w14:textFill>
                        <w14:solidFill>
                          <w14:schemeClr w14:val="tx1"/>
                        </w14:solidFill>
                      </w14:textFill>
                    </w:rPr>
                    <w:t>颗粒物执行《大气污染物综合排放标准》（GB16297-1996）中表2的排放限值（最高允许浓度为</w:t>
                  </w:r>
                  <w:r>
                    <w:rPr>
                      <w:rFonts w:cs="Times New Roman"/>
                      <w:color w:val="000000" w:themeColor="text1"/>
                      <w14:textFill>
                        <w14:solidFill>
                          <w14:schemeClr w14:val="tx1"/>
                        </w14:solidFill>
                      </w14:textFill>
                    </w:rPr>
                    <w:t>120</w:t>
                  </w:r>
                  <w:r>
                    <w:rPr>
                      <w:rFonts w:hint="eastAsia" w:cs="Times New Roman"/>
                      <w:color w:val="000000" w:themeColor="text1"/>
                      <w14:textFill>
                        <w14:solidFill>
                          <w14:schemeClr w14:val="tx1"/>
                        </w14:solidFill>
                      </w14:textFill>
                    </w:rPr>
                    <w:t>mg/m</w:t>
                  </w:r>
                  <w:r>
                    <w:rPr>
                      <w:rFonts w:hint="eastAsia" w:cs="Times New Roman"/>
                      <w:color w:val="000000" w:themeColor="text1"/>
                      <w:vertAlign w:val="superscript"/>
                      <w14:textFill>
                        <w14:solidFill>
                          <w14:schemeClr w14:val="tx1"/>
                        </w14:solidFill>
                      </w14:textFill>
                    </w:rPr>
                    <w:t>3</w:t>
                  </w:r>
                  <w:r>
                    <w:rPr>
                      <w:rFonts w:hint="eastAsia" w:cs="Times New Roman"/>
                      <w:color w:val="000000" w:themeColor="text1"/>
                      <w14:textFill>
                        <w14:solidFill>
                          <w14:schemeClr w14:val="tx1"/>
                        </w14:solidFill>
                      </w14:textFill>
                    </w:rPr>
                    <w:t>）</w:t>
                  </w:r>
                </w:p>
              </w:tc>
            </w:tr>
            <w:tr w14:paraId="49D75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748" w:type="pct"/>
                  <w:vAlign w:val="center"/>
                </w:tcPr>
                <w:p w14:paraId="5C35A732">
                  <w:pPr>
                    <w:pStyle w:val="80"/>
                    <w:rPr>
                      <w:rFonts w:cs="Times New Roman"/>
                    </w:rPr>
                  </w:pPr>
                  <w:r>
                    <w:rPr>
                      <w:rFonts w:hint="eastAsia" w:cs="Times New Roman"/>
                    </w:rPr>
                    <w:t>无组织</w:t>
                  </w:r>
                  <w:r>
                    <w:rPr>
                      <w:rFonts w:cs="Times New Roman"/>
                    </w:rPr>
                    <w:t>废气</w:t>
                  </w:r>
                </w:p>
              </w:tc>
              <w:tc>
                <w:tcPr>
                  <w:tcW w:w="907" w:type="pct"/>
                  <w:vAlign w:val="center"/>
                </w:tcPr>
                <w:p w14:paraId="115BFEA9">
                  <w:pPr>
                    <w:pStyle w:val="80"/>
                    <w:rPr>
                      <w:rFonts w:cs="Times New Roman"/>
                    </w:rPr>
                  </w:pPr>
                  <w:r>
                    <w:rPr>
                      <w:rFonts w:cs="Times New Roman"/>
                    </w:rPr>
                    <w:t>颗粒物</w:t>
                  </w:r>
                  <w:r>
                    <w:rPr>
                      <w:rFonts w:hint="eastAsia" w:cs="Times New Roman"/>
                    </w:rPr>
                    <w:t>、臭气浓度</w:t>
                  </w:r>
                </w:p>
              </w:tc>
              <w:tc>
                <w:tcPr>
                  <w:tcW w:w="827" w:type="pct"/>
                  <w:vAlign w:val="center"/>
                </w:tcPr>
                <w:p w14:paraId="1145568A">
                  <w:pPr>
                    <w:pStyle w:val="80"/>
                    <w:rPr>
                      <w:rFonts w:cs="Times New Roman"/>
                    </w:rPr>
                  </w:pPr>
                  <w:r>
                    <w:rPr>
                      <w:rFonts w:cs="Times New Roman"/>
                    </w:rPr>
                    <w:t>厂界</w:t>
                  </w:r>
                </w:p>
              </w:tc>
              <w:tc>
                <w:tcPr>
                  <w:tcW w:w="830" w:type="pct"/>
                  <w:vAlign w:val="center"/>
                </w:tcPr>
                <w:p w14:paraId="2C15A801">
                  <w:pPr>
                    <w:pStyle w:val="80"/>
                    <w:rPr>
                      <w:rFonts w:cs="Times New Roman"/>
                    </w:rPr>
                  </w:pPr>
                  <w:r>
                    <w:rPr>
                      <w:rFonts w:cs="Times New Roman"/>
                    </w:rPr>
                    <w:t>1次/年</w:t>
                  </w:r>
                </w:p>
              </w:tc>
              <w:tc>
                <w:tcPr>
                  <w:tcW w:w="1686" w:type="pct"/>
                  <w:vAlign w:val="center"/>
                </w:tcPr>
                <w:p w14:paraId="55DAE6DC">
                  <w:pPr>
                    <w:pStyle w:val="80"/>
                    <w:jc w:val="both"/>
                    <w:rPr>
                      <w:color w:val="000000" w:themeColor="text1"/>
                      <w14:textFill>
                        <w14:solidFill>
                          <w14:schemeClr w14:val="tx1"/>
                        </w14:solidFill>
                      </w14:textFill>
                    </w:rPr>
                  </w:pPr>
                  <w:r>
                    <w:rPr>
                      <w:rFonts w:hint="eastAsia"/>
                      <w:color w:val="000000"/>
                    </w:rPr>
                    <w:t>颗粒物执行《大气污染物综合排放标准》（GB16297-1996）表2中的</w:t>
                  </w:r>
                  <w:r>
                    <w:rPr>
                      <w:rFonts w:ascii="SourceHanSansCN-Regular" w:hAnsi="SourceHanSansCN-Regular"/>
                      <w:color w:val="000000"/>
                    </w:rPr>
                    <w:t>无组织排放监控点浓度限值</w:t>
                  </w:r>
                  <w:r>
                    <w:rPr>
                      <w:rFonts w:hint="eastAsia"/>
                      <w:color w:val="000000"/>
                    </w:rPr>
                    <w:t>要求（</w:t>
                  </w:r>
                  <w:r>
                    <w:rPr>
                      <w:color w:val="000000"/>
                    </w:rPr>
                    <w:t>1.0mg/m</w:t>
                  </w:r>
                  <w:r>
                    <w:rPr>
                      <w:color w:val="000000"/>
                      <w:vertAlign w:val="superscript"/>
                    </w:rPr>
                    <w:t>3</w:t>
                  </w:r>
                  <w:r>
                    <w:rPr>
                      <w:rFonts w:hint="eastAsia"/>
                      <w:color w:val="000000"/>
                    </w:rPr>
                    <w:t>）；臭气浓度执行《恶臭污染物排放标准》（GB14554-93）表1恶臭污染物厂界标准值新扩改建项目二级标准</w:t>
                  </w:r>
                </w:p>
              </w:tc>
            </w:tr>
            <w:tr w14:paraId="70304E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748" w:type="pct"/>
                  <w:vAlign w:val="center"/>
                </w:tcPr>
                <w:p w14:paraId="6642505B">
                  <w:pPr>
                    <w:pStyle w:val="80"/>
                    <w:rPr>
                      <w:rFonts w:cs="Times New Roman"/>
                    </w:rPr>
                  </w:pPr>
                  <w:r>
                    <w:rPr>
                      <w:rFonts w:cs="Times New Roman"/>
                    </w:rPr>
                    <w:t>噪声</w:t>
                  </w:r>
                </w:p>
              </w:tc>
              <w:tc>
                <w:tcPr>
                  <w:tcW w:w="907" w:type="pct"/>
                  <w:vAlign w:val="center"/>
                </w:tcPr>
                <w:p w14:paraId="19119A63">
                  <w:pPr>
                    <w:pStyle w:val="80"/>
                    <w:rPr>
                      <w:rFonts w:cs="Times New Roman"/>
                    </w:rPr>
                  </w:pPr>
                  <w:r>
                    <w:rPr>
                      <w:rFonts w:cs="Times New Roman"/>
                    </w:rPr>
                    <w:t>等效连续A声级Leq（A）</w:t>
                  </w:r>
                </w:p>
              </w:tc>
              <w:tc>
                <w:tcPr>
                  <w:tcW w:w="827" w:type="pct"/>
                  <w:vAlign w:val="center"/>
                </w:tcPr>
                <w:p w14:paraId="535C8DF2">
                  <w:pPr>
                    <w:pStyle w:val="80"/>
                    <w:rPr>
                      <w:rFonts w:cs="Times New Roman"/>
                    </w:rPr>
                  </w:pPr>
                  <w:r>
                    <w:rPr>
                      <w:rFonts w:cs="Times New Roman"/>
                    </w:rPr>
                    <w:t>厂界四周1m处</w:t>
                  </w:r>
                </w:p>
              </w:tc>
              <w:tc>
                <w:tcPr>
                  <w:tcW w:w="830" w:type="pct"/>
                  <w:vAlign w:val="center"/>
                </w:tcPr>
                <w:p w14:paraId="20BE6FC8">
                  <w:pPr>
                    <w:pStyle w:val="80"/>
                    <w:rPr>
                      <w:rFonts w:cs="Times New Roman"/>
                    </w:rPr>
                  </w:pPr>
                  <w:r>
                    <w:rPr>
                      <w:rFonts w:cs="Times New Roman"/>
                    </w:rPr>
                    <w:t>1次/季度</w:t>
                  </w:r>
                </w:p>
              </w:tc>
              <w:tc>
                <w:tcPr>
                  <w:tcW w:w="1686" w:type="pct"/>
                  <w:vAlign w:val="center"/>
                </w:tcPr>
                <w:p w14:paraId="44D31097">
                  <w:pPr>
                    <w:pStyle w:val="80"/>
                    <w:rPr>
                      <w:rFonts w:cs="Times New Roman"/>
                    </w:rPr>
                  </w:pPr>
                  <w:r>
                    <w:rPr>
                      <w:rFonts w:cs="Times New Roman"/>
                    </w:rPr>
                    <w:t>《工业企业厂界环境噪声排放标准》（GB12348-2008）2类标准</w:t>
                  </w:r>
                </w:p>
              </w:tc>
            </w:tr>
          </w:tbl>
          <w:p w14:paraId="084F5919">
            <w:pPr>
              <w:pStyle w:val="3"/>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color w:val="000000" w:themeColor="text1"/>
                <w14:textFill>
                  <w14:solidFill>
                    <w14:schemeClr w14:val="tx1"/>
                  </w14:solidFill>
                </w14:textFill>
              </w:rPr>
              <w:t>.8</w:t>
            </w:r>
            <w:r>
              <w:rPr>
                <w:rFonts w:hint="eastAsia"/>
                <w:color w:val="000000" w:themeColor="text1"/>
                <w14:textFill>
                  <w14:solidFill>
                    <w14:schemeClr w14:val="tx1"/>
                  </w14:solidFill>
                </w14:textFill>
              </w:rPr>
              <w:t>环保投资</w:t>
            </w:r>
          </w:p>
          <w:p w14:paraId="6719C6A8">
            <w:pPr>
              <w:ind w:firstLine="480"/>
              <w:rPr>
                <w:color w:val="000000" w:themeColor="text1"/>
                <w14:textFill>
                  <w14:solidFill>
                    <w14:schemeClr w14:val="tx1"/>
                  </w14:solidFill>
                </w14:textFill>
              </w:rPr>
            </w:pPr>
            <w:r>
              <w:rPr>
                <w:rFonts w:hint="eastAsia"/>
                <w:color w:val="000000" w:themeColor="text1"/>
                <w14:textFill>
                  <w14:solidFill>
                    <w14:schemeClr w14:val="tx1"/>
                  </w14:solidFill>
                </w14:textFill>
              </w:rPr>
              <w:t>本项目总投资约</w:t>
            </w:r>
            <w:r>
              <w:rPr>
                <w:rFonts w:cs="Times New Roman"/>
                <w:color w:val="000000" w:themeColor="text1"/>
                <w:szCs w:val="24"/>
                <w14:textFill>
                  <w14:solidFill>
                    <w14:schemeClr w14:val="tx1"/>
                  </w14:solidFill>
                </w14:textFill>
              </w:rPr>
              <w:t>120.5</w:t>
            </w:r>
            <w:r>
              <w:rPr>
                <w:rFonts w:hint="eastAsia"/>
                <w:color w:val="000000" w:themeColor="text1"/>
                <w14:textFill>
                  <w14:solidFill>
                    <w14:schemeClr w14:val="tx1"/>
                  </w14:solidFill>
                </w14:textFill>
              </w:rPr>
              <w:t>万元，其中环保投资</w:t>
            </w:r>
            <w:r>
              <w:rPr>
                <w:color w:val="000000" w:themeColor="text1"/>
                <w14:textFill>
                  <w14:solidFill>
                    <w14:schemeClr w14:val="tx1"/>
                  </w14:solidFill>
                </w14:textFill>
              </w:rPr>
              <w:t>29</w:t>
            </w:r>
            <w:r>
              <w:rPr>
                <w:rFonts w:hint="eastAsia"/>
                <w:color w:val="000000" w:themeColor="text1"/>
                <w14:textFill>
                  <w14:solidFill>
                    <w14:schemeClr w14:val="tx1"/>
                  </w14:solidFill>
                </w14:textFill>
              </w:rPr>
              <w:t>万元，占总投资</w:t>
            </w:r>
            <w:r>
              <w:rPr>
                <w:rFonts w:cs="Times New Roman"/>
                <w:color w:val="000000" w:themeColor="text1"/>
                <w:szCs w:val="24"/>
                <w14:textFill>
                  <w14:solidFill>
                    <w14:schemeClr w14:val="tx1"/>
                  </w14:solidFill>
                </w14:textFill>
              </w:rPr>
              <w:t>24.07</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。环保投资估算一览表见表</w:t>
            </w:r>
            <w:r>
              <w:rPr>
                <w:color w:val="000000" w:themeColor="text1"/>
                <w14:textFill>
                  <w14:solidFill>
                    <w14:schemeClr w14:val="tx1"/>
                  </w14:solidFill>
                </w14:textFill>
              </w:rPr>
              <w:t>4-20</w:t>
            </w:r>
            <w:r>
              <w:rPr>
                <w:rFonts w:hint="eastAsia"/>
                <w:color w:val="000000" w:themeColor="text1"/>
                <w14:textFill>
                  <w14:solidFill>
                    <w14:schemeClr w14:val="tx1"/>
                  </w14:solidFill>
                </w14:textFill>
              </w:rPr>
              <w:t>。</w:t>
            </w:r>
          </w:p>
          <w:p w14:paraId="62E70C2C">
            <w:pPr>
              <w:pStyle w:val="37"/>
              <w:spacing w:before="163"/>
              <w:rPr>
                <w:color w:val="000000" w:themeColor="text1"/>
                <w14:textFill>
                  <w14:solidFill>
                    <w14:schemeClr w14:val="tx1"/>
                  </w14:solidFill>
                </w14:textFill>
              </w:rPr>
            </w:pPr>
            <w:r>
              <w:rPr>
                <w:rFonts w:hint="eastAsia"/>
                <w:color w:val="000000" w:themeColor="text1"/>
                <w14:textFill>
                  <w14:solidFill>
                    <w14:schemeClr w14:val="tx1"/>
                  </w14:solidFill>
                </w14:textFill>
              </w:rPr>
              <w:t>表4</w:t>
            </w:r>
            <w:r>
              <w:rPr>
                <w:color w:val="000000" w:themeColor="text1"/>
                <w14:textFill>
                  <w14:solidFill>
                    <w14:schemeClr w14:val="tx1"/>
                  </w14:solidFill>
                </w14:textFill>
              </w:rPr>
              <w:t>-20</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环保投资一览表</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77"/>
              <w:gridCol w:w="1727"/>
              <w:gridCol w:w="4978"/>
              <w:gridCol w:w="1294"/>
            </w:tblGrid>
            <w:tr w14:paraId="6D6C5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tcBorders>
                    <w:tl2br w:val="nil"/>
                    <w:tr2bl w:val="nil"/>
                  </w:tcBorders>
                  <w:vAlign w:val="center"/>
                </w:tcPr>
                <w:p w14:paraId="54CAD876">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时段</w:t>
                  </w:r>
                </w:p>
              </w:tc>
              <w:tc>
                <w:tcPr>
                  <w:tcW w:w="995" w:type="pct"/>
                  <w:tcBorders>
                    <w:tl2br w:val="nil"/>
                    <w:tr2bl w:val="nil"/>
                  </w:tcBorders>
                  <w:vAlign w:val="center"/>
                </w:tcPr>
                <w:p w14:paraId="04DF16F7">
                  <w:pPr>
                    <w:spacing w:line="240" w:lineRule="auto"/>
                    <w:ind w:firstLine="0" w:firstLineChars="0"/>
                    <w:jc w:val="center"/>
                    <w:textAlignment w:val="auto"/>
                    <w:rPr>
                      <w:b/>
                      <w:bCs/>
                      <w:kern w:val="0"/>
                      <w:sz w:val="21"/>
                      <w:szCs w:val="21"/>
                    </w:rPr>
                  </w:pPr>
                  <w:r>
                    <w:rPr>
                      <w:rFonts w:hint="eastAsia"/>
                      <w:b/>
                      <w:bCs/>
                      <w:kern w:val="0"/>
                      <w:sz w:val="21"/>
                      <w:szCs w:val="21"/>
                    </w:rPr>
                    <w:t>项目</w:t>
                  </w:r>
                </w:p>
              </w:tc>
              <w:tc>
                <w:tcPr>
                  <w:tcW w:w="2869" w:type="pct"/>
                  <w:tcBorders>
                    <w:tl2br w:val="nil"/>
                    <w:tr2bl w:val="nil"/>
                  </w:tcBorders>
                  <w:vAlign w:val="center"/>
                </w:tcPr>
                <w:p w14:paraId="7D80AB03">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环保措施</w:t>
                  </w:r>
                </w:p>
              </w:tc>
              <w:tc>
                <w:tcPr>
                  <w:tcW w:w="746" w:type="pct"/>
                  <w:tcBorders>
                    <w:tl2br w:val="nil"/>
                    <w:tr2bl w:val="nil"/>
                  </w:tcBorders>
                  <w:vAlign w:val="center"/>
                </w:tcPr>
                <w:p w14:paraId="4C2D9583">
                  <w:pPr>
                    <w:spacing w:line="240" w:lineRule="auto"/>
                    <w:ind w:firstLine="0" w:firstLineChars="0"/>
                    <w:jc w:val="center"/>
                    <w:textAlignment w:val="auto"/>
                    <w:rPr>
                      <w:b/>
                      <w:bCs/>
                      <w:kern w:val="0"/>
                      <w:sz w:val="21"/>
                      <w:szCs w:val="21"/>
                    </w:rPr>
                  </w:pPr>
                  <w:r>
                    <w:rPr>
                      <w:b/>
                      <w:bCs/>
                      <w:kern w:val="0"/>
                      <w:sz w:val="21"/>
                      <w:szCs w:val="21"/>
                    </w:rPr>
                    <w:t>投资</w:t>
                  </w:r>
                </w:p>
                <w:p w14:paraId="0BCDB383">
                  <w:pPr>
                    <w:spacing w:line="240" w:lineRule="auto"/>
                    <w:ind w:firstLine="0" w:firstLineChars="0"/>
                    <w:jc w:val="center"/>
                    <w:textAlignment w:val="auto"/>
                    <w:rPr>
                      <w:color w:val="000000" w:themeColor="text1"/>
                      <w:szCs w:val="21"/>
                      <w14:textFill>
                        <w14:solidFill>
                          <w14:schemeClr w14:val="tx1"/>
                        </w14:solidFill>
                      </w14:textFill>
                    </w:rPr>
                  </w:pPr>
                  <w:r>
                    <w:rPr>
                      <w:b/>
                      <w:bCs/>
                      <w:kern w:val="0"/>
                      <w:sz w:val="21"/>
                      <w:szCs w:val="21"/>
                    </w:rPr>
                    <w:t>（万元）</w:t>
                  </w:r>
                </w:p>
              </w:tc>
            </w:tr>
            <w:tr w14:paraId="55B098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restart"/>
                  <w:tcBorders>
                    <w:tl2br w:val="nil"/>
                    <w:tr2bl w:val="nil"/>
                  </w:tcBorders>
                  <w:vAlign w:val="center"/>
                </w:tcPr>
                <w:p w14:paraId="6F8AFB90">
                  <w:pPr>
                    <w:pStyle w:val="32"/>
                    <w:rPr>
                      <w:color w:val="000000" w:themeColor="text1"/>
                      <w:szCs w:val="21"/>
                      <w14:textFill>
                        <w14:solidFill>
                          <w14:schemeClr w14:val="tx1"/>
                        </w14:solidFill>
                      </w14:textFill>
                    </w:rPr>
                  </w:pPr>
                  <w:r>
                    <w:rPr>
                      <w:rFonts w:hint="eastAsia"/>
                      <w:kern w:val="0"/>
                      <w:szCs w:val="21"/>
                    </w:rPr>
                    <w:t>施工期</w:t>
                  </w:r>
                </w:p>
              </w:tc>
              <w:tc>
                <w:tcPr>
                  <w:tcW w:w="995" w:type="pct"/>
                  <w:tcBorders>
                    <w:tl2br w:val="nil"/>
                    <w:tr2bl w:val="nil"/>
                  </w:tcBorders>
                  <w:vAlign w:val="center"/>
                </w:tcPr>
                <w:p w14:paraId="41E1B847">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废气</w:t>
                  </w:r>
                  <w:r>
                    <w:rPr>
                      <w:rFonts w:cs="Times New Roman"/>
                      <w:sz w:val="21"/>
                      <w:szCs w:val="21"/>
                    </w:rPr>
                    <w:t>治理</w:t>
                  </w:r>
                </w:p>
              </w:tc>
              <w:tc>
                <w:tcPr>
                  <w:tcW w:w="2869" w:type="pct"/>
                  <w:tcBorders>
                    <w:tl2br w:val="nil"/>
                    <w:tr2bl w:val="nil"/>
                  </w:tcBorders>
                  <w:vAlign w:val="center"/>
                </w:tcPr>
                <w:p w14:paraId="0B67441A">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洒水设施、篷布遮盖</w:t>
                  </w:r>
                </w:p>
              </w:tc>
              <w:tc>
                <w:tcPr>
                  <w:tcW w:w="746" w:type="pct"/>
                  <w:tcBorders>
                    <w:tl2br w:val="nil"/>
                    <w:tr2bl w:val="nil"/>
                  </w:tcBorders>
                  <w:vAlign w:val="center"/>
                </w:tcPr>
                <w:p w14:paraId="13AC57CA">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3.0</w:t>
                  </w:r>
                </w:p>
              </w:tc>
            </w:tr>
            <w:tr w14:paraId="41C98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72DD2850">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2960899D">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废水</w:t>
                  </w:r>
                  <w:r>
                    <w:rPr>
                      <w:rFonts w:cs="Times New Roman"/>
                      <w:sz w:val="21"/>
                      <w:szCs w:val="21"/>
                    </w:rPr>
                    <w:t>治理</w:t>
                  </w:r>
                </w:p>
              </w:tc>
              <w:tc>
                <w:tcPr>
                  <w:tcW w:w="2869" w:type="pct"/>
                  <w:tcBorders>
                    <w:tl2br w:val="nil"/>
                    <w:tr2bl w:val="nil"/>
                  </w:tcBorders>
                  <w:vAlign w:val="center"/>
                </w:tcPr>
                <w:p w14:paraId="778C0BF2">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临时沉淀池</w:t>
                  </w:r>
                </w:p>
              </w:tc>
              <w:tc>
                <w:tcPr>
                  <w:tcW w:w="746" w:type="pct"/>
                  <w:tcBorders>
                    <w:tl2br w:val="nil"/>
                    <w:tr2bl w:val="nil"/>
                  </w:tcBorders>
                  <w:vAlign w:val="center"/>
                </w:tcPr>
                <w:p w14:paraId="52B340CB">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2.0</w:t>
                  </w:r>
                </w:p>
              </w:tc>
            </w:tr>
            <w:tr w14:paraId="33361B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6BFC92D1">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539944E6">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噪声</w:t>
                  </w:r>
                  <w:r>
                    <w:rPr>
                      <w:rFonts w:cs="Times New Roman"/>
                      <w:sz w:val="21"/>
                      <w:szCs w:val="21"/>
                    </w:rPr>
                    <w:t>治理</w:t>
                  </w:r>
                </w:p>
              </w:tc>
              <w:tc>
                <w:tcPr>
                  <w:tcW w:w="2869" w:type="pct"/>
                  <w:tcBorders>
                    <w:tl2br w:val="nil"/>
                    <w:tr2bl w:val="nil"/>
                  </w:tcBorders>
                  <w:vAlign w:val="center"/>
                </w:tcPr>
                <w:p w14:paraId="39F517D4">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施工设备降噪，进出车辆减速</w:t>
                  </w:r>
                </w:p>
              </w:tc>
              <w:tc>
                <w:tcPr>
                  <w:tcW w:w="746" w:type="pct"/>
                  <w:tcBorders>
                    <w:tl2br w:val="nil"/>
                    <w:tr2bl w:val="nil"/>
                  </w:tcBorders>
                  <w:vAlign w:val="center"/>
                </w:tcPr>
                <w:p w14:paraId="0A9FE58D">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14:paraId="3843F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3DC15074">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3C384DEE">
                  <w:pPr>
                    <w:spacing w:line="240" w:lineRule="auto"/>
                    <w:ind w:firstLine="0" w:firstLineChars="0"/>
                    <w:jc w:val="center"/>
                    <w:textAlignment w:val="auto"/>
                    <w:rPr>
                      <w:color w:val="000000" w:themeColor="text1"/>
                      <w:szCs w:val="21"/>
                      <w14:textFill>
                        <w14:solidFill>
                          <w14:schemeClr w14:val="tx1"/>
                        </w14:solidFill>
                      </w14:textFill>
                    </w:rPr>
                  </w:pPr>
                  <w:r>
                    <w:rPr>
                      <w:kern w:val="0"/>
                      <w:sz w:val="21"/>
                      <w:szCs w:val="21"/>
                    </w:rPr>
                    <w:t>固体废物</w:t>
                  </w:r>
                </w:p>
              </w:tc>
              <w:tc>
                <w:tcPr>
                  <w:tcW w:w="2869" w:type="pct"/>
                  <w:tcBorders>
                    <w:tl2br w:val="nil"/>
                    <w:tr2bl w:val="nil"/>
                  </w:tcBorders>
                  <w:vAlign w:val="center"/>
                </w:tcPr>
                <w:p w14:paraId="57126A7E">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建筑垃圾、生活垃圾清运</w:t>
                  </w:r>
                </w:p>
              </w:tc>
              <w:tc>
                <w:tcPr>
                  <w:tcW w:w="746" w:type="pct"/>
                  <w:tcBorders>
                    <w:tl2br w:val="nil"/>
                    <w:tr2bl w:val="nil"/>
                  </w:tcBorders>
                  <w:vAlign w:val="center"/>
                </w:tcPr>
                <w:p w14:paraId="788C451A">
                  <w:pPr>
                    <w:spacing w:line="240" w:lineRule="auto"/>
                    <w:ind w:firstLine="0" w:firstLineChars="0"/>
                    <w:jc w:val="center"/>
                    <w:textAlignment w:val="auto"/>
                    <w:rPr>
                      <w:color w:val="000000" w:themeColor="text1"/>
                      <w:szCs w:val="21"/>
                      <w14:textFill>
                        <w14:solidFill>
                          <w14:schemeClr w14:val="tx1"/>
                        </w14:solidFill>
                      </w14:textFill>
                    </w:rPr>
                  </w:pPr>
                  <w:r>
                    <w:rPr>
                      <w:rFonts w:hint="eastAsia"/>
                      <w:kern w:val="0"/>
                      <w:sz w:val="21"/>
                      <w:szCs w:val="21"/>
                    </w:rPr>
                    <w:t>1.0</w:t>
                  </w:r>
                </w:p>
              </w:tc>
            </w:tr>
            <w:tr w14:paraId="23825A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2" w:hRule="atLeast"/>
              </w:trPr>
              <w:tc>
                <w:tcPr>
                  <w:tcW w:w="390" w:type="pct"/>
                  <w:vMerge w:val="restart"/>
                  <w:tcBorders>
                    <w:tl2br w:val="nil"/>
                    <w:tr2bl w:val="nil"/>
                  </w:tcBorders>
                  <w:vAlign w:val="center"/>
                </w:tcPr>
                <w:p w14:paraId="2212335D">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运营期</w:t>
                  </w:r>
                </w:p>
              </w:tc>
              <w:tc>
                <w:tcPr>
                  <w:tcW w:w="995" w:type="pct"/>
                  <w:tcBorders>
                    <w:tl2br w:val="nil"/>
                    <w:tr2bl w:val="nil"/>
                  </w:tcBorders>
                  <w:vAlign w:val="center"/>
                </w:tcPr>
                <w:p w14:paraId="2F492BB0">
                  <w:pPr>
                    <w:pStyle w:val="32"/>
                    <w:rPr>
                      <w:color w:val="000000" w:themeColor="text1"/>
                      <w:szCs w:val="21"/>
                      <w14:textFill>
                        <w14:solidFill>
                          <w14:schemeClr w14:val="tx1"/>
                        </w14:solidFill>
                      </w14:textFill>
                    </w:rPr>
                  </w:pPr>
                  <w:r>
                    <w:rPr>
                      <w:rFonts w:hint="eastAsia"/>
                      <w:kern w:val="0"/>
                      <w:szCs w:val="21"/>
                    </w:rPr>
                    <w:t>废气</w:t>
                  </w:r>
                  <w:r>
                    <w:rPr>
                      <w:rFonts w:cs="Times New Roman"/>
                      <w:szCs w:val="21"/>
                    </w:rPr>
                    <w:t>治理</w:t>
                  </w:r>
                </w:p>
              </w:tc>
              <w:tc>
                <w:tcPr>
                  <w:tcW w:w="2869" w:type="pct"/>
                  <w:tcBorders>
                    <w:tl2br w:val="nil"/>
                    <w:tr2bl w:val="nil"/>
                  </w:tcBorders>
                  <w:vAlign w:val="center"/>
                </w:tcPr>
                <w:p w14:paraId="1881CFBF">
                  <w:pPr>
                    <w:pStyle w:val="32"/>
                    <w:jc w:val="both"/>
                    <w:rPr>
                      <w:rFonts w:cs="Times New Roman"/>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有组织：项目生产线全部在全封闭车间内，破碎、粉碎、分选粉尘经集气罩+布袋除尘器处理后，由15m高排气筒排放；</w:t>
                  </w:r>
                </w:p>
                <w:p w14:paraId="251DBB8E">
                  <w:pPr>
                    <w:pStyle w:val="32"/>
                    <w:jc w:val="both"/>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无组织：生产车间全封闭，物料皮带采用封闭的方式进行物料运输，破碎工序采用湿法破碎工艺，防止粉尘逸散。原料堆场采用篷布全覆盖，并定期洒水抑尘；产品采用吨袋封装后堆放于成品堆场，有效防止粉尘逸散；运输扬尘采取路面硬化、道路洒水降尘、加强对车辆的管理等措施</w:t>
                  </w:r>
                </w:p>
              </w:tc>
              <w:tc>
                <w:tcPr>
                  <w:tcW w:w="746" w:type="pct"/>
                  <w:tcBorders>
                    <w:tl2br w:val="nil"/>
                    <w:tr2bl w:val="nil"/>
                  </w:tcBorders>
                  <w:vAlign w:val="center"/>
                </w:tcPr>
                <w:p w14:paraId="00B10E68">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8.0</w:t>
                  </w:r>
                </w:p>
              </w:tc>
            </w:tr>
            <w:tr w14:paraId="754C3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trPr>
              <w:tc>
                <w:tcPr>
                  <w:tcW w:w="390" w:type="pct"/>
                  <w:vMerge w:val="continue"/>
                  <w:tcBorders>
                    <w:tl2br w:val="nil"/>
                    <w:tr2bl w:val="nil"/>
                  </w:tcBorders>
                  <w:vAlign w:val="center"/>
                </w:tcPr>
                <w:p w14:paraId="5AE0C068">
                  <w:pPr>
                    <w:pStyle w:val="32"/>
                    <w:rPr>
                      <w:color w:val="000000" w:themeColor="text1"/>
                      <w:szCs w:val="21"/>
                      <w14:textFill>
                        <w14:solidFill>
                          <w14:schemeClr w14:val="tx1"/>
                        </w14:solidFill>
                      </w14:textFill>
                    </w:rPr>
                  </w:pPr>
                </w:p>
              </w:tc>
              <w:tc>
                <w:tcPr>
                  <w:tcW w:w="995" w:type="pct"/>
                  <w:vMerge w:val="restart"/>
                  <w:tcBorders>
                    <w:tl2br w:val="nil"/>
                    <w:tr2bl w:val="nil"/>
                  </w:tcBorders>
                  <w:vAlign w:val="center"/>
                </w:tcPr>
                <w:p w14:paraId="7B424BC1">
                  <w:pPr>
                    <w:pStyle w:val="32"/>
                    <w:rPr>
                      <w:szCs w:val="21"/>
                    </w:rPr>
                  </w:pPr>
                  <w:r>
                    <w:rPr>
                      <w:rFonts w:hint="eastAsia"/>
                      <w:kern w:val="0"/>
                      <w:szCs w:val="21"/>
                    </w:rPr>
                    <w:t>废水</w:t>
                  </w:r>
                  <w:r>
                    <w:rPr>
                      <w:rFonts w:cs="Times New Roman"/>
                      <w:szCs w:val="21"/>
                    </w:rPr>
                    <w:t>治理</w:t>
                  </w:r>
                </w:p>
              </w:tc>
              <w:tc>
                <w:tcPr>
                  <w:tcW w:w="2869" w:type="pct"/>
                  <w:tcBorders>
                    <w:tl2br w:val="nil"/>
                    <w:tr2bl w:val="nil"/>
                  </w:tcBorders>
                  <w:vAlign w:val="center"/>
                </w:tcPr>
                <w:p w14:paraId="396117E9">
                  <w:pPr>
                    <w:pStyle w:val="32"/>
                    <w:rPr>
                      <w:szCs w:val="21"/>
                    </w:rPr>
                  </w:pPr>
                  <w:r>
                    <w:rPr>
                      <w:rFonts w:hint="eastAsia" w:cs="Times New Roman"/>
                      <w:color w:val="000000" w:themeColor="text1"/>
                      <w:szCs w:val="21"/>
                      <w14:textFill>
                        <w14:solidFill>
                          <w14:schemeClr w14:val="tx1"/>
                        </w14:solidFill>
                      </w14:textFill>
                    </w:rPr>
                    <w:t>生产废水经沉淀处理后全部循环利用，不外排</w:t>
                  </w:r>
                </w:p>
              </w:tc>
              <w:tc>
                <w:tcPr>
                  <w:tcW w:w="746" w:type="pct"/>
                  <w:tcBorders>
                    <w:tl2br w:val="nil"/>
                    <w:tr2bl w:val="nil"/>
                  </w:tcBorders>
                  <w:vAlign w:val="center"/>
                </w:tcPr>
                <w:p w14:paraId="5CDF1597">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5.0</w:t>
                  </w:r>
                </w:p>
              </w:tc>
            </w:tr>
            <w:tr w14:paraId="3F3717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087837AB">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14:paraId="06FC5E56">
                  <w:pPr>
                    <w:pStyle w:val="32"/>
                    <w:rPr>
                      <w:szCs w:val="21"/>
                    </w:rPr>
                  </w:pPr>
                </w:p>
              </w:tc>
              <w:tc>
                <w:tcPr>
                  <w:tcW w:w="2869" w:type="pct"/>
                  <w:tcBorders>
                    <w:tl2br w:val="nil"/>
                    <w:tr2bl w:val="nil"/>
                  </w:tcBorders>
                  <w:vAlign w:val="center"/>
                </w:tcPr>
                <w:p w14:paraId="1ABBBA19">
                  <w:pPr>
                    <w:pStyle w:val="32"/>
                    <w:rPr>
                      <w:szCs w:val="21"/>
                    </w:rPr>
                  </w:pPr>
                  <w:r>
                    <w:rPr>
                      <w:rFonts w:hint="eastAsia" w:cs="Times New Roman"/>
                      <w:color w:val="000000" w:themeColor="text1"/>
                      <w:szCs w:val="21"/>
                      <w14:textFill>
                        <w14:solidFill>
                          <w14:schemeClr w14:val="tx1"/>
                        </w14:solidFill>
                      </w14:textFill>
                    </w:rPr>
                    <w:t>生活污水进入厂区化粪池进行预处理后，定期由吸污车抽运至库尔勒市南市区污水处理厂处理</w:t>
                  </w:r>
                </w:p>
              </w:tc>
              <w:tc>
                <w:tcPr>
                  <w:tcW w:w="746" w:type="pct"/>
                  <w:tcBorders>
                    <w:tl2br w:val="nil"/>
                    <w:tr2bl w:val="nil"/>
                  </w:tcBorders>
                  <w:vAlign w:val="center"/>
                </w:tcPr>
                <w:p w14:paraId="2EDF150B">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14:paraId="0B6EC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390" w:type="pct"/>
                  <w:vMerge w:val="continue"/>
                  <w:tcBorders>
                    <w:tl2br w:val="nil"/>
                    <w:tr2bl w:val="nil"/>
                  </w:tcBorders>
                  <w:vAlign w:val="center"/>
                </w:tcPr>
                <w:p w14:paraId="3F80B419">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4789F700">
                  <w:pPr>
                    <w:pStyle w:val="32"/>
                    <w:rPr>
                      <w:color w:val="000000" w:themeColor="text1"/>
                      <w:szCs w:val="21"/>
                      <w14:textFill>
                        <w14:solidFill>
                          <w14:schemeClr w14:val="tx1"/>
                        </w14:solidFill>
                      </w14:textFill>
                    </w:rPr>
                  </w:pPr>
                  <w:r>
                    <w:rPr>
                      <w:rFonts w:hint="eastAsia"/>
                      <w:kern w:val="0"/>
                      <w:szCs w:val="21"/>
                    </w:rPr>
                    <w:t>噪声</w:t>
                  </w:r>
                  <w:r>
                    <w:rPr>
                      <w:rFonts w:cs="Times New Roman"/>
                      <w:szCs w:val="21"/>
                    </w:rPr>
                    <w:t>治理</w:t>
                  </w:r>
                </w:p>
              </w:tc>
              <w:tc>
                <w:tcPr>
                  <w:tcW w:w="2869" w:type="pct"/>
                  <w:tcBorders>
                    <w:tl2br w:val="nil"/>
                    <w:tr2bl w:val="nil"/>
                  </w:tcBorders>
                  <w:vAlign w:val="center"/>
                </w:tcPr>
                <w:p w14:paraId="12D5A5A0">
                  <w:pPr>
                    <w:pStyle w:val="32"/>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设备噪声主要采用隔音、减振、合理布局、绿化等降噪措施</w:t>
                  </w:r>
                </w:p>
              </w:tc>
              <w:tc>
                <w:tcPr>
                  <w:tcW w:w="746" w:type="pct"/>
                  <w:tcBorders>
                    <w:tl2br w:val="nil"/>
                    <w:tr2bl w:val="nil"/>
                  </w:tcBorders>
                  <w:vAlign w:val="center"/>
                </w:tcPr>
                <w:p w14:paraId="293FB0CF">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14:paraId="569B0A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349C4938">
                  <w:pPr>
                    <w:pStyle w:val="32"/>
                    <w:rPr>
                      <w:color w:val="000000" w:themeColor="text1"/>
                      <w:szCs w:val="21"/>
                      <w14:textFill>
                        <w14:solidFill>
                          <w14:schemeClr w14:val="tx1"/>
                        </w14:solidFill>
                      </w14:textFill>
                    </w:rPr>
                  </w:pPr>
                </w:p>
              </w:tc>
              <w:tc>
                <w:tcPr>
                  <w:tcW w:w="995" w:type="pct"/>
                  <w:vMerge w:val="restart"/>
                  <w:tcBorders>
                    <w:tl2br w:val="nil"/>
                    <w:tr2bl w:val="nil"/>
                  </w:tcBorders>
                  <w:vAlign w:val="center"/>
                </w:tcPr>
                <w:p w14:paraId="6AB1C5E1">
                  <w:pPr>
                    <w:pStyle w:val="32"/>
                    <w:rPr>
                      <w:color w:val="000000" w:themeColor="text1"/>
                      <w:szCs w:val="21"/>
                      <w14:textFill>
                        <w14:solidFill>
                          <w14:schemeClr w14:val="tx1"/>
                        </w14:solidFill>
                      </w14:textFill>
                    </w:rPr>
                  </w:pPr>
                  <w:r>
                    <w:rPr>
                      <w:kern w:val="0"/>
                      <w:szCs w:val="21"/>
                    </w:rPr>
                    <w:t>固体废物</w:t>
                  </w:r>
                </w:p>
              </w:tc>
              <w:tc>
                <w:tcPr>
                  <w:tcW w:w="2869" w:type="pct"/>
                  <w:tcBorders>
                    <w:tl2br w:val="nil"/>
                    <w:tr2bl w:val="nil"/>
                  </w:tcBorders>
                  <w:vAlign w:val="center"/>
                </w:tcPr>
                <w:p w14:paraId="41012F17">
                  <w:pPr>
                    <w:pStyle w:val="32"/>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危险废物集中收集后，分区存放于危险废物贮存点，定期交由有危险废物处理资质的单位回收处理</w:t>
                  </w:r>
                </w:p>
              </w:tc>
              <w:tc>
                <w:tcPr>
                  <w:tcW w:w="746" w:type="pct"/>
                  <w:tcBorders>
                    <w:tl2br w:val="nil"/>
                    <w:tr2bl w:val="nil"/>
                  </w:tcBorders>
                  <w:vAlign w:val="center"/>
                </w:tcPr>
                <w:p w14:paraId="657863D7">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14:paraId="7DF05D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14FADA5B">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14:paraId="76979425">
                  <w:pPr>
                    <w:pStyle w:val="32"/>
                    <w:rPr>
                      <w:rFonts w:ascii="宋体" w:hAnsi="宋体" w:cs="宋体"/>
                      <w:szCs w:val="21"/>
                    </w:rPr>
                  </w:pPr>
                </w:p>
              </w:tc>
              <w:tc>
                <w:tcPr>
                  <w:tcW w:w="2869" w:type="pct"/>
                  <w:tcBorders>
                    <w:tl2br w:val="nil"/>
                    <w:tr2bl w:val="nil"/>
                  </w:tcBorders>
                  <w:vAlign w:val="center"/>
                </w:tcPr>
                <w:p w14:paraId="301B4D66">
                  <w:pPr>
                    <w:pStyle w:val="32"/>
                    <w:jc w:val="both"/>
                    <w:rPr>
                      <w:color w:val="000000" w:themeColor="text1"/>
                      <w:szCs w:val="21"/>
                      <w14:textFill>
                        <w14:solidFill>
                          <w14:schemeClr w14:val="tx1"/>
                        </w14:solidFill>
                      </w14:textFill>
                    </w:rPr>
                  </w:pPr>
                  <w:r>
                    <w:rPr>
                      <w:rFonts w:hint="eastAsia" w:cs="Times New Roman"/>
                      <w:color w:val="000000" w:themeColor="text1"/>
                      <w:szCs w:val="21"/>
                      <w14:textFill>
                        <w14:solidFill>
                          <w14:schemeClr w14:val="tx1"/>
                        </w14:solidFill>
                      </w14:textFill>
                    </w:rPr>
                    <w:t>沉淀池沉渣定期清掏并晾晒干化后，</w:t>
                  </w:r>
                  <w:r>
                    <w:rPr>
                      <w:rFonts w:hint="eastAsia" w:cs="Times New Roman"/>
                      <w:szCs w:val="21"/>
                    </w:rPr>
                    <w:t>就近拉运至一般工业固废填埋场</w:t>
                  </w:r>
                  <w:r>
                    <w:rPr>
                      <w:rFonts w:hint="eastAsia" w:cs="Times New Roman"/>
                      <w:color w:val="000000" w:themeColor="text1"/>
                      <w:szCs w:val="21"/>
                      <w14:textFill>
                        <w14:solidFill>
                          <w14:schemeClr w14:val="tx1"/>
                        </w14:solidFill>
                      </w14:textFill>
                    </w:rPr>
                    <w:t>；布袋除尘器收集的粉尘经集中收集后，</w:t>
                  </w:r>
                  <w:r>
                    <w:rPr>
                      <w:rFonts w:hint="eastAsia" w:cs="Times New Roman"/>
                      <w:szCs w:val="21"/>
                    </w:rPr>
                    <w:t>就近拉运至一般工业固废填埋场</w:t>
                  </w:r>
                  <w:r>
                    <w:rPr>
                      <w:rFonts w:hint="eastAsia" w:cs="Times New Roman"/>
                      <w:color w:val="000000" w:themeColor="text1"/>
                      <w:szCs w:val="21"/>
                      <w14:textFill>
                        <w14:solidFill>
                          <w14:schemeClr w14:val="tx1"/>
                        </w14:solidFill>
                      </w14:textFill>
                    </w:rPr>
                    <w:t>；废布袋经收集后定期交由厂家回收；轻质杂质集中收集后，</w:t>
                  </w:r>
                  <w:r>
                    <w:rPr>
                      <w:rFonts w:hint="eastAsia" w:cs="Times New Roman"/>
                      <w:szCs w:val="21"/>
                    </w:rPr>
                    <w:t>就近拉运至一般工业固废填埋场</w:t>
                  </w:r>
                </w:p>
              </w:tc>
              <w:tc>
                <w:tcPr>
                  <w:tcW w:w="746" w:type="pct"/>
                  <w:tcBorders>
                    <w:tl2br w:val="nil"/>
                    <w:tr2bl w:val="nil"/>
                  </w:tcBorders>
                  <w:vAlign w:val="center"/>
                </w:tcPr>
                <w:p w14:paraId="22750292">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1.0</w:t>
                  </w:r>
                </w:p>
              </w:tc>
            </w:tr>
            <w:tr w14:paraId="2BCC6D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0942B5A2">
                  <w:pPr>
                    <w:pStyle w:val="32"/>
                    <w:rPr>
                      <w:color w:val="000000" w:themeColor="text1"/>
                      <w:szCs w:val="21"/>
                      <w14:textFill>
                        <w14:solidFill>
                          <w14:schemeClr w14:val="tx1"/>
                        </w14:solidFill>
                      </w14:textFill>
                    </w:rPr>
                  </w:pPr>
                </w:p>
              </w:tc>
              <w:tc>
                <w:tcPr>
                  <w:tcW w:w="995" w:type="pct"/>
                  <w:vMerge w:val="continue"/>
                  <w:tcBorders>
                    <w:tl2br w:val="nil"/>
                    <w:tr2bl w:val="nil"/>
                  </w:tcBorders>
                  <w:vAlign w:val="center"/>
                </w:tcPr>
                <w:p w14:paraId="5F3ECA9C">
                  <w:pPr>
                    <w:pStyle w:val="32"/>
                    <w:rPr>
                      <w:rFonts w:ascii="宋体" w:hAnsi="宋体" w:cs="宋体"/>
                      <w:szCs w:val="21"/>
                    </w:rPr>
                  </w:pPr>
                </w:p>
              </w:tc>
              <w:tc>
                <w:tcPr>
                  <w:tcW w:w="2869" w:type="pct"/>
                  <w:tcBorders>
                    <w:tl2br w:val="nil"/>
                    <w:tr2bl w:val="nil"/>
                  </w:tcBorders>
                  <w:vAlign w:val="center"/>
                </w:tcPr>
                <w:p w14:paraId="06EFBCCF">
                  <w:pPr>
                    <w:pStyle w:val="32"/>
                    <w:rPr>
                      <w:color w:val="000000" w:themeColor="text1"/>
                      <w:szCs w:val="21"/>
                      <w14:textFill>
                        <w14:solidFill>
                          <w14:schemeClr w14:val="tx1"/>
                        </w14:solidFill>
                      </w14:textFill>
                    </w:rPr>
                  </w:pPr>
                  <w:r>
                    <w:rPr>
                      <w:rFonts w:hint="eastAsia" w:cs="Times New Roman"/>
                      <w:color w:val="000000"/>
                    </w:rPr>
                    <w:t>生活垃圾集中收集至垃圾箱后由环卫部门统一清运</w:t>
                  </w:r>
                </w:p>
              </w:tc>
              <w:tc>
                <w:tcPr>
                  <w:tcW w:w="746" w:type="pct"/>
                  <w:tcBorders>
                    <w:tl2br w:val="nil"/>
                    <w:tr2bl w:val="nil"/>
                  </w:tcBorders>
                  <w:vAlign w:val="center"/>
                </w:tcPr>
                <w:p w14:paraId="362B0786">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0.5</w:t>
                  </w:r>
                </w:p>
              </w:tc>
            </w:tr>
            <w:tr w14:paraId="78CB7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390" w:type="pct"/>
                  <w:vMerge w:val="continue"/>
                  <w:tcBorders>
                    <w:tl2br w:val="nil"/>
                    <w:tr2bl w:val="nil"/>
                  </w:tcBorders>
                  <w:vAlign w:val="center"/>
                </w:tcPr>
                <w:p w14:paraId="5C95A98D">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749662AE">
                  <w:pPr>
                    <w:pStyle w:val="32"/>
                    <w:rPr>
                      <w:color w:val="000000" w:themeColor="text1"/>
                      <w:szCs w:val="21"/>
                      <w14:textFill>
                        <w14:solidFill>
                          <w14:schemeClr w14:val="tx1"/>
                        </w14:solidFill>
                      </w14:textFill>
                    </w:rPr>
                  </w:pPr>
                  <w:r>
                    <w:rPr>
                      <w:rFonts w:hint="eastAsia" w:cs="Times New Roman"/>
                      <w:color w:val="000000"/>
                      <w:szCs w:val="21"/>
                    </w:rPr>
                    <w:t>环境风险措施</w:t>
                  </w:r>
                </w:p>
              </w:tc>
              <w:tc>
                <w:tcPr>
                  <w:tcW w:w="2869" w:type="pct"/>
                  <w:tcBorders>
                    <w:tl2br w:val="nil"/>
                    <w:tr2bl w:val="nil"/>
                  </w:tcBorders>
                  <w:vAlign w:val="center"/>
                </w:tcPr>
                <w:p w14:paraId="4854B2F5">
                  <w:pPr>
                    <w:pStyle w:val="32"/>
                    <w:rPr>
                      <w:rFonts w:cs="Times New Roman"/>
                      <w:color w:val="000000"/>
                    </w:rPr>
                  </w:pPr>
                  <w:r>
                    <w:rPr>
                      <w:rFonts w:cs="Times New Roman"/>
                      <w:color w:val="000000"/>
                      <w:szCs w:val="21"/>
                    </w:rPr>
                    <w:t>制定详细的应急预案，组建事故应急救援组织体系，风险防范中所提及的各类防范措施均设置到位</w:t>
                  </w:r>
                </w:p>
              </w:tc>
              <w:tc>
                <w:tcPr>
                  <w:tcW w:w="746" w:type="pct"/>
                  <w:tcBorders>
                    <w:tl2br w:val="nil"/>
                    <w:tr2bl w:val="nil"/>
                  </w:tcBorders>
                  <w:vAlign w:val="center"/>
                </w:tcPr>
                <w:p w14:paraId="746243AE">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4A54E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30030791">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7F4619D1">
                  <w:pPr>
                    <w:pStyle w:val="32"/>
                    <w:rPr>
                      <w:rFonts w:cs="Times New Roman"/>
                      <w:color w:val="000000"/>
                      <w:szCs w:val="21"/>
                    </w:rPr>
                  </w:pPr>
                  <w:r>
                    <w:rPr>
                      <w:rFonts w:hint="eastAsia" w:cs="Times New Roman"/>
                      <w:color w:val="000000"/>
                      <w:szCs w:val="21"/>
                    </w:rPr>
                    <w:t>环境管理</w:t>
                  </w:r>
                </w:p>
              </w:tc>
              <w:tc>
                <w:tcPr>
                  <w:tcW w:w="2869" w:type="pct"/>
                  <w:tcBorders>
                    <w:tl2br w:val="nil"/>
                    <w:tr2bl w:val="nil"/>
                  </w:tcBorders>
                  <w:vAlign w:val="center"/>
                </w:tcPr>
                <w:p w14:paraId="3F596674">
                  <w:pPr>
                    <w:pStyle w:val="32"/>
                    <w:rPr>
                      <w:rFonts w:cs="Times New Roman"/>
                      <w:color w:val="000000"/>
                      <w:szCs w:val="21"/>
                    </w:rPr>
                  </w:pPr>
                  <w:r>
                    <w:rPr>
                      <w:rFonts w:hint="eastAsia" w:cs="Times New Roman"/>
                      <w:color w:val="000000"/>
                      <w:szCs w:val="21"/>
                    </w:rPr>
                    <w:t>加强环境管理，定期对设备进行维护，设标识牌，建立危险废物转运台账，环保设施运行台账等</w:t>
                  </w:r>
                </w:p>
              </w:tc>
              <w:tc>
                <w:tcPr>
                  <w:tcW w:w="746" w:type="pct"/>
                  <w:tcBorders>
                    <w:tl2br w:val="nil"/>
                    <w:tr2bl w:val="nil"/>
                  </w:tcBorders>
                  <w:vAlign w:val="center"/>
                </w:tcPr>
                <w:p w14:paraId="63BC4FF9">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4F353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368F0934">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2860D5BA">
                  <w:pPr>
                    <w:pStyle w:val="32"/>
                    <w:rPr>
                      <w:rFonts w:cs="Times New Roman"/>
                      <w:color w:val="000000"/>
                      <w:szCs w:val="21"/>
                    </w:rPr>
                  </w:pPr>
                  <w:r>
                    <w:rPr>
                      <w:rFonts w:hint="eastAsia" w:cs="Times New Roman"/>
                      <w:color w:val="000000"/>
                      <w:szCs w:val="21"/>
                    </w:rPr>
                    <w:t>环境监测</w:t>
                  </w:r>
                </w:p>
              </w:tc>
              <w:tc>
                <w:tcPr>
                  <w:tcW w:w="2869" w:type="pct"/>
                  <w:tcBorders>
                    <w:tl2br w:val="nil"/>
                    <w:tr2bl w:val="nil"/>
                  </w:tcBorders>
                  <w:vAlign w:val="center"/>
                </w:tcPr>
                <w:p w14:paraId="25F3FF23">
                  <w:pPr>
                    <w:pStyle w:val="32"/>
                    <w:rPr>
                      <w:rFonts w:cs="Times New Roman"/>
                      <w:color w:val="000000"/>
                      <w:szCs w:val="21"/>
                    </w:rPr>
                  </w:pPr>
                  <w:r>
                    <w:rPr>
                      <w:rFonts w:hint="eastAsia" w:cs="Times New Roman"/>
                      <w:color w:val="000000"/>
                      <w:szCs w:val="21"/>
                    </w:rPr>
                    <w:t>定期进行监测</w:t>
                  </w:r>
                </w:p>
              </w:tc>
              <w:tc>
                <w:tcPr>
                  <w:tcW w:w="746" w:type="pct"/>
                  <w:tcBorders>
                    <w:tl2br w:val="nil"/>
                    <w:tr2bl w:val="nil"/>
                  </w:tcBorders>
                  <w:vAlign w:val="center"/>
                </w:tcPr>
                <w:p w14:paraId="1C8FAEE5">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w:t>
                  </w:r>
                  <w:r>
                    <w:rPr>
                      <w:color w:val="000000" w:themeColor="text1"/>
                      <w:szCs w:val="21"/>
                      <w14:textFill>
                        <w14:solidFill>
                          <w14:schemeClr w14:val="tx1"/>
                        </w14:solidFill>
                      </w14:textFill>
                    </w:rPr>
                    <w:t>.0</w:t>
                  </w:r>
                </w:p>
              </w:tc>
            </w:tr>
            <w:tr w14:paraId="1652DF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0" w:type="pct"/>
                  <w:vMerge w:val="continue"/>
                  <w:tcBorders>
                    <w:tl2br w:val="nil"/>
                    <w:tr2bl w:val="nil"/>
                  </w:tcBorders>
                  <w:vAlign w:val="center"/>
                </w:tcPr>
                <w:p w14:paraId="489CBDD8">
                  <w:pPr>
                    <w:pStyle w:val="32"/>
                    <w:rPr>
                      <w:color w:val="000000" w:themeColor="text1"/>
                      <w:szCs w:val="21"/>
                      <w14:textFill>
                        <w14:solidFill>
                          <w14:schemeClr w14:val="tx1"/>
                        </w14:solidFill>
                      </w14:textFill>
                    </w:rPr>
                  </w:pPr>
                </w:p>
              </w:tc>
              <w:tc>
                <w:tcPr>
                  <w:tcW w:w="995" w:type="pct"/>
                  <w:tcBorders>
                    <w:tl2br w:val="nil"/>
                    <w:tr2bl w:val="nil"/>
                  </w:tcBorders>
                  <w:vAlign w:val="center"/>
                </w:tcPr>
                <w:p w14:paraId="402BE31B">
                  <w:pPr>
                    <w:pStyle w:val="32"/>
                    <w:rPr>
                      <w:rFonts w:cs="Times New Roman"/>
                      <w:color w:val="000000"/>
                      <w:szCs w:val="21"/>
                    </w:rPr>
                  </w:pPr>
                  <w:r>
                    <w:rPr>
                      <w:rFonts w:hint="eastAsia" w:cs="Times New Roman"/>
                      <w:color w:val="000000"/>
                      <w:szCs w:val="21"/>
                    </w:rPr>
                    <w:t>其他</w:t>
                  </w:r>
                </w:p>
              </w:tc>
              <w:tc>
                <w:tcPr>
                  <w:tcW w:w="2869" w:type="pct"/>
                  <w:tcBorders>
                    <w:tl2br w:val="nil"/>
                    <w:tr2bl w:val="nil"/>
                  </w:tcBorders>
                  <w:vAlign w:val="center"/>
                </w:tcPr>
                <w:p w14:paraId="6EB46244">
                  <w:pPr>
                    <w:pStyle w:val="32"/>
                    <w:rPr>
                      <w:rFonts w:cs="Times New Roman"/>
                      <w:color w:val="000000"/>
                      <w:szCs w:val="21"/>
                    </w:rPr>
                  </w:pPr>
                  <w:r>
                    <w:rPr>
                      <w:rFonts w:hint="eastAsia" w:cs="Times New Roman"/>
                      <w:color w:val="000000"/>
                      <w:szCs w:val="21"/>
                    </w:rPr>
                    <w:t>厂区绿化、</w:t>
                  </w:r>
                  <w:r>
                    <w:rPr>
                      <w:rFonts w:hint="eastAsia" w:cs="Times New Roman"/>
                      <w:szCs w:val="21"/>
                    </w:rPr>
                    <w:t>相关科研费用等</w:t>
                  </w:r>
                </w:p>
              </w:tc>
              <w:tc>
                <w:tcPr>
                  <w:tcW w:w="746" w:type="pct"/>
                  <w:tcBorders>
                    <w:tl2br w:val="nil"/>
                    <w:tr2bl w:val="nil"/>
                  </w:tcBorders>
                  <w:vAlign w:val="center"/>
                </w:tcPr>
                <w:p w14:paraId="192AB448">
                  <w:pPr>
                    <w:pStyle w:val="32"/>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color w:val="000000" w:themeColor="text1"/>
                      <w:szCs w:val="21"/>
                      <w14:textFill>
                        <w14:solidFill>
                          <w14:schemeClr w14:val="tx1"/>
                        </w14:solidFill>
                      </w14:textFill>
                    </w:rPr>
                    <w:t>.0</w:t>
                  </w:r>
                </w:p>
              </w:tc>
            </w:tr>
            <w:tr w14:paraId="26758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254" w:type="pct"/>
                  <w:gridSpan w:val="3"/>
                  <w:tcBorders>
                    <w:tl2br w:val="nil"/>
                    <w:tr2bl w:val="nil"/>
                  </w:tcBorders>
                  <w:vAlign w:val="center"/>
                </w:tcPr>
                <w:p w14:paraId="044519ED">
                  <w:pPr>
                    <w:pStyle w:val="32"/>
                    <w:rPr>
                      <w:rFonts w:ascii="宋体" w:cs="宋体" w:hAnsiTheme="minorHAnsi"/>
                      <w:color w:val="000000" w:themeColor="text1"/>
                      <w:kern w:val="0"/>
                      <w:szCs w:val="21"/>
                      <w14:textFill>
                        <w14:solidFill>
                          <w14:schemeClr w14:val="tx1"/>
                        </w14:solidFill>
                      </w14:textFill>
                    </w:rPr>
                  </w:pPr>
                  <w:r>
                    <w:rPr>
                      <w:rFonts w:hint="eastAsia" w:ascii="宋体" w:cs="宋体" w:hAnsiTheme="minorHAnsi"/>
                      <w:color w:val="000000" w:themeColor="text1"/>
                      <w:kern w:val="0"/>
                      <w:szCs w:val="21"/>
                      <w14:textFill>
                        <w14:solidFill>
                          <w14:schemeClr w14:val="tx1"/>
                        </w14:solidFill>
                      </w14:textFill>
                    </w:rPr>
                    <w:t>合计</w:t>
                  </w:r>
                </w:p>
              </w:tc>
              <w:tc>
                <w:tcPr>
                  <w:tcW w:w="746" w:type="pct"/>
                  <w:tcBorders>
                    <w:tl2br w:val="nil"/>
                    <w:tr2bl w:val="nil"/>
                  </w:tcBorders>
                  <w:vAlign w:val="center"/>
                </w:tcPr>
                <w:p w14:paraId="6A003EC9">
                  <w:pPr>
                    <w:pStyle w:val="32"/>
                    <w:rPr>
                      <w:color w:val="000000" w:themeColor="text1"/>
                      <w:szCs w:val="21"/>
                      <w14:textFill>
                        <w14:solidFill>
                          <w14:schemeClr w14:val="tx1"/>
                        </w14:solidFill>
                      </w14:textFill>
                    </w:rPr>
                  </w:pPr>
                  <w:r>
                    <w:rPr>
                      <w:color w:val="000000" w:themeColor="text1"/>
                      <w:szCs w:val="21"/>
                      <w14:textFill>
                        <w14:solidFill>
                          <w14:schemeClr w14:val="tx1"/>
                        </w14:solidFill>
                      </w14:textFill>
                    </w:rPr>
                    <w:t>29</w:t>
                  </w:r>
                </w:p>
              </w:tc>
            </w:tr>
          </w:tbl>
          <w:p w14:paraId="06AA176A">
            <w:pPr>
              <w:ind w:firstLine="0" w:firstLineChars="0"/>
            </w:pPr>
          </w:p>
        </w:tc>
      </w:tr>
    </w:tbl>
    <w:p w14:paraId="29A72BD1">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14:paraId="0D48B650">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五、</w:t>
      </w:r>
      <w:bookmarkStart w:id="24" w:name="_Hlk54167917"/>
      <w:r>
        <w:rPr>
          <w:rFonts w:hint="eastAsia"/>
          <w:snapToGrid w:val="0"/>
          <w:color w:val="000000" w:themeColor="text1"/>
          <w14:textFill>
            <w14:solidFill>
              <w14:schemeClr w14:val="tx1"/>
            </w14:solidFill>
          </w14:textFill>
        </w:rPr>
        <w:t>环境保护措施监督检查清单</w:t>
      </w:r>
      <w:bookmarkEnd w:id="24"/>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33"/>
        <w:gridCol w:w="1164"/>
        <w:gridCol w:w="1746"/>
        <w:gridCol w:w="2184"/>
        <w:gridCol w:w="2459"/>
      </w:tblGrid>
      <w:tr w14:paraId="21C3E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933" w:type="pct"/>
            <w:tcBorders>
              <w:tl2br w:val="single" w:color="auto" w:sz="12" w:space="0"/>
            </w:tcBorders>
          </w:tcPr>
          <w:p w14:paraId="3986D62F">
            <w:pPr>
              <w:adjustRightInd w:val="0"/>
              <w:snapToGrid w:val="0"/>
              <w:spacing w:line="240" w:lineRule="auto"/>
              <w:ind w:firstLine="632" w:firstLineChars="30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内容</w:t>
            </w:r>
          </w:p>
          <w:p w14:paraId="04D3889E">
            <w:pPr>
              <w:adjustRightInd w:val="0"/>
              <w:snapToGrid w:val="0"/>
              <w:spacing w:line="240" w:lineRule="auto"/>
              <w:ind w:firstLine="0" w:firstLineChars="0"/>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要素</w:t>
            </w:r>
          </w:p>
        </w:tc>
        <w:tc>
          <w:tcPr>
            <w:tcW w:w="627" w:type="pct"/>
            <w:vAlign w:val="center"/>
          </w:tcPr>
          <w:p w14:paraId="422CCA13">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排放口</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编号、名称</w:t>
            </w:r>
            <w:r>
              <w:rPr>
                <w:rFonts w:hint="eastAsia" w:cs="Times New Roman"/>
                <w:b/>
                <w:bCs/>
                <w:color w:val="000000" w:themeColor="text1"/>
                <w:sz w:val="21"/>
                <w:szCs w:val="21"/>
                <w14:textFill>
                  <w14:solidFill>
                    <w14:schemeClr w14:val="tx1"/>
                  </w14:solidFill>
                </w14:textFill>
              </w:rPr>
              <w:t>）</w:t>
            </w:r>
            <w:r>
              <w:rPr>
                <w:rFonts w:cs="Times New Roman"/>
                <w:b/>
                <w:bCs/>
                <w:color w:val="000000" w:themeColor="text1"/>
                <w:sz w:val="21"/>
                <w:szCs w:val="21"/>
                <w14:textFill>
                  <w14:solidFill>
                    <w14:schemeClr w14:val="tx1"/>
                  </w14:solidFill>
                </w14:textFill>
              </w:rPr>
              <w:t>/污染源</w:t>
            </w:r>
          </w:p>
        </w:tc>
        <w:tc>
          <w:tcPr>
            <w:tcW w:w="940" w:type="pct"/>
            <w:vAlign w:val="center"/>
          </w:tcPr>
          <w:p w14:paraId="4B5108FA">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污染物项目</w:t>
            </w:r>
          </w:p>
        </w:tc>
        <w:tc>
          <w:tcPr>
            <w:tcW w:w="1176" w:type="pct"/>
            <w:vAlign w:val="center"/>
          </w:tcPr>
          <w:p w14:paraId="7ED242FF">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环境保护措施</w:t>
            </w:r>
          </w:p>
        </w:tc>
        <w:tc>
          <w:tcPr>
            <w:tcW w:w="1324" w:type="pct"/>
            <w:vAlign w:val="center"/>
          </w:tcPr>
          <w:p w14:paraId="63612B38">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执行标准</w:t>
            </w:r>
          </w:p>
        </w:tc>
      </w:tr>
      <w:tr w14:paraId="5F302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restart"/>
            <w:vAlign w:val="center"/>
          </w:tcPr>
          <w:p w14:paraId="72FA9AE1">
            <w:pPr>
              <w:adjustRightInd w:val="0"/>
              <w:snapToGrid w:val="0"/>
              <w:spacing w:line="240" w:lineRule="auto"/>
              <w:ind w:firstLine="422"/>
              <w:jc w:val="center"/>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大气环境</w:t>
            </w:r>
          </w:p>
        </w:tc>
        <w:tc>
          <w:tcPr>
            <w:tcW w:w="627" w:type="pct"/>
            <w:vAlign w:val="center"/>
          </w:tcPr>
          <w:p w14:paraId="1314A898">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有组织废气D</w:t>
            </w:r>
            <w:r>
              <w:rPr>
                <w:color w:val="000000"/>
                <w:sz w:val="21"/>
                <w:szCs w:val="21"/>
              </w:rPr>
              <w:t>A001</w:t>
            </w:r>
          </w:p>
        </w:tc>
        <w:tc>
          <w:tcPr>
            <w:tcW w:w="940" w:type="pct"/>
            <w:vAlign w:val="center"/>
          </w:tcPr>
          <w:p w14:paraId="1A9496A1">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颗粒物</w:t>
            </w:r>
          </w:p>
        </w:tc>
        <w:tc>
          <w:tcPr>
            <w:tcW w:w="1176" w:type="pct"/>
            <w:vAlign w:val="center"/>
          </w:tcPr>
          <w:p w14:paraId="516355EF">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项目生产线全部在全封闭车间内，上料、破碎粉尘经集气罩+布袋除尘器处理后，由15m高排气筒排放</w:t>
            </w:r>
          </w:p>
        </w:tc>
        <w:tc>
          <w:tcPr>
            <w:tcW w:w="1324" w:type="pct"/>
            <w:vAlign w:val="center"/>
          </w:tcPr>
          <w:p w14:paraId="6AE49B8C">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有组织颗粒物执行《大气污染物综合排放标准》（GB16297-1996）中表2的排放限值（最高允许浓度为</w:t>
            </w:r>
            <w:r>
              <w:rPr>
                <w:rFonts w:cs="Times New Roman"/>
                <w:color w:val="000000" w:themeColor="text1"/>
                <w:sz w:val="21"/>
                <w:szCs w:val="21"/>
                <w14:textFill>
                  <w14:solidFill>
                    <w14:schemeClr w14:val="tx1"/>
                  </w14:solidFill>
                </w14:textFill>
              </w:rPr>
              <w:t>120</w:t>
            </w:r>
            <w:r>
              <w:rPr>
                <w:rFonts w:hint="eastAsia" w:cs="Times New Roman"/>
                <w:color w:val="000000" w:themeColor="text1"/>
                <w:sz w:val="21"/>
                <w:szCs w:val="21"/>
                <w14:textFill>
                  <w14:solidFill>
                    <w14:schemeClr w14:val="tx1"/>
                  </w14:solidFill>
                </w14:textFill>
              </w:rPr>
              <w:t>mg/m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w:t>
            </w:r>
          </w:p>
        </w:tc>
      </w:tr>
      <w:tr w14:paraId="6E90D1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continue"/>
            <w:vAlign w:val="center"/>
          </w:tcPr>
          <w:p w14:paraId="56886852">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7" w:type="pct"/>
            <w:vMerge w:val="restart"/>
            <w:vAlign w:val="center"/>
          </w:tcPr>
          <w:p w14:paraId="4A16F0A6">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无组织废气</w:t>
            </w:r>
          </w:p>
        </w:tc>
        <w:tc>
          <w:tcPr>
            <w:tcW w:w="940" w:type="pct"/>
            <w:vAlign w:val="center"/>
          </w:tcPr>
          <w:p w14:paraId="6D1AE87E">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颗粒物</w:t>
            </w:r>
          </w:p>
        </w:tc>
        <w:tc>
          <w:tcPr>
            <w:tcW w:w="1176" w:type="pct"/>
            <w:vAlign w:val="center"/>
          </w:tcPr>
          <w:p w14:paraId="3C5621F5">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产车间全封闭，物料皮带采用封闭的方式进行物料运输，破碎工序采用湿法破碎工艺，防止粉尘逸散。原料堆场采用篷布全覆盖，并定期洒水抑尘；产品采用吨袋封装后堆放于成品堆场，有效防止粉尘逸散；运输扬尘采取路面硬化、道路洒水降尘、加强对车辆的管理等措施</w:t>
            </w:r>
          </w:p>
        </w:tc>
        <w:tc>
          <w:tcPr>
            <w:tcW w:w="1324" w:type="pct"/>
            <w:vAlign w:val="center"/>
          </w:tcPr>
          <w:p w14:paraId="4F619B54">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无组织颗粒物执行《大气污染物综合排放标准》（GB16297-1996）表2中的无组织排放监控点浓度限值要求（1.0mg/m</w:t>
            </w:r>
            <w:r>
              <w:rPr>
                <w:rFonts w:hint="eastAsia" w:cs="Times New Roman"/>
                <w:color w:val="000000" w:themeColor="text1"/>
                <w:sz w:val="21"/>
                <w:szCs w:val="21"/>
                <w:vertAlign w:val="super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w:t>
            </w:r>
          </w:p>
        </w:tc>
      </w:tr>
      <w:tr w14:paraId="495CE5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933" w:type="pct"/>
            <w:vMerge w:val="continue"/>
            <w:vAlign w:val="center"/>
          </w:tcPr>
          <w:p w14:paraId="44CFD7C9">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7" w:type="pct"/>
            <w:vMerge w:val="continue"/>
            <w:vAlign w:val="center"/>
          </w:tcPr>
          <w:p w14:paraId="74962564">
            <w:pPr>
              <w:adjustRightInd w:val="0"/>
              <w:snapToGrid w:val="0"/>
              <w:spacing w:line="240" w:lineRule="auto"/>
              <w:ind w:firstLine="0" w:firstLineChars="0"/>
              <w:jc w:val="center"/>
              <w:textAlignment w:val="auto"/>
              <w:rPr>
                <w:color w:val="000000"/>
                <w:sz w:val="21"/>
                <w:szCs w:val="21"/>
              </w:rPr>
            </w:pPr>
          </w:p>
        </w:tc>
        <w:tc>
          <w:tcPr>
            <w:tcW w:w="940" w:type="pct"/>
            <w:vAlign w:val="center"/>
          </w:tcPr>
          <w:p w14:paraId="3F255255">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臭气浓度</w:t>
            </w:r>
          </w:p>
        </w:tc>
        <w:tc>
          <w:tcPr>
            <w:tcW w:w="1176" w:type="pct"/>
            <w:vAlign w:val="center"/>
          </w:tcPr>
          <w:p w14:paraId="15D45B07">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加强设备维护及管理</w:t>
            </w:r>
          </w:p>
        </w:tc>
        <w:tc>
          <w:tcPr>
            <w:tcW w:w="1324" w:type="pct"/>
            <w:vAlign w:val="center"/>
          </w:tcPr>
          <w:p w14:paraId="0EB4CE59">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sz w:val="21"/>
                <w:szCs w:val="24"/>
              </w:rPr>
              <w:t>《恶臭污染物排放标准》（GB14554-93）表1恶臭污染物厂界标准值新扩改建项目二级标准（2</w:t>
            </w:r>
            <w:r>
              <w:rPr>
                <w:rFonts w:cs="Times New Roman"/>
                <w:color w:val="000000"/>
                <w:sz w:val="21"/>
                <w:szCs w:val="24"/>
              </w:rPr>
              <w:t>0</w:t>
            </w:r>
            <w:r>
              <w:rPr>
                <w:rFonts w:hint="eastAsia" w:cs="Times New Roman"/>
                <w:sz w:val="21"/>
                <w:szCs w:val="21"/>
              </w:rPr>
              <w:t>无量纲）</w:t>
            </w:r>
          </w:p>
        </w:tc>
      </w:tr>
      <w:tr w14:paraId="069AA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6" w:hRule="atLeast"/>
          <w:jc w:val="center"/>
        </w:trPr>
        <w:tc>
          <w:tcPr>
            <w:tcW w:w="933" w:type="pct"/>
            <w:vMerge w:val="restart"/>
            <w:vAlign w:val="center"/>
          </w:tcPr>
          <w:p w14:paraId="0BE30FCA">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地表水环境</w:t>
            </w:r>
          </w:p>
        </w:tc>
        <w:tc>
          <w:tcPr>
            <w:tcW w:w="627" w:type="pct"/>
            <w:vAlign w:val="center"/>
          </w:tcPr>
          <w:p w14:paraId="20E15CE0">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olor w:val="000000"/>
                <w:sz w:val="21"/>
                <w:szCs w:val="21"/>
              </w:rPr>
              <w:t>生活污水</w:t>
            </w:r>
          </w:p>
        </w:tc>
        <w:tc>
          <w:tcPr>
            <w:tcW w:w="940" w:type="pct"/>
            <w:vAlign w:val="center"/>
          </w:tcPr>
          <w:p w14:paraId="00B4C277">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pH、COD、BOD</w:t>
            </w:r>
            <w:r>
              <w:rPr>
                <w:rFonts w:hint="eastAsia" w:cs="Times New Roman"/>
                <w:color w:val="000000" w:themeColor="text1"/>
                <w:sz w:val="21"/>
                <w:szCs w:val="21"/>
                <w:vertAlign w:val="subscript"/>
                <w14:textFill>
                  <w14:solidFill>
                    <w14:schemeClr w14:val="tx1"/>
                  </w14:solidFill>
                </w14:textFill>
              </w:rPr>
              <w:t>5</w:t>
            </w:r>
            <w:r>
              <w:rPr>
                <w:rFonts w:hint="eastAsia" w:cs="Times New Roman"/>
                <w:color w:val="000000" w:themeColor="text1"/>
                <w:sz w:val="21"/>
                <w:szCs w:val="21"/>
                <w14:textFill>
                  <w14:solidFill>
                    <w14:schemeClr w14:val="tx1"/>
                  </w14:solidFill>
                </w14:textFill>
              </w:rPr>
              <w:t>、NH</w:t>
            </w:r>
            <w:r>
              <w:rPr>
                <w:rFonts w:hint="eastAsia" w:cs="Times New Roman"/>
                <w:color w:val="000000" w:themeColor="text1"/>
                <w:sz w:val="21"/>
                <w:szCs w:val="21"/>
                <w:vertAlign w:val="subscript"/>
                <w14:textFill>
                  <w14:solidFill>
                    <w14:schemeClr w14:val="tx1"/>
                  </w14:solidFill>
                </w14:textFill>
              </w:rPr>
              <w:t>3</w:t>
            </w:r>
            <w:r>
              <w:rPr>
                <w:rFonts w:hint="eastAsia" w:cs="Times New Roman"/>
                <w:color w:val="000000" w:themeColor="text1"/>
                <w:sz w:val="21"/>
                <w:szCs w:val="21"/>
                <w14:textFill>
                  <w14:solidFill>
                    <w14:schemeClr w14:val="tx1"/>
                  </w14:solidFill>
                </w14:textFill>
              </w:rPr>
              <w:t>-N、SS</w:t>
            </w:r>
          </w:p>
        </w:tc>
        <w:tc>
          <w:tcPr>
            <w:tcW w:w="1176" w:type="pct"/>
            <w:vAlign w:val="center"/>
          </w:tcPr>
          <w:p w14:paraId="3194EE7A">
            <w:pPr>
              <w:spacing w:line="240" w:lineRule="auto"/>
              <w:ind w:firstLine="0" w:firstLineChars="0"/>
              <w:contextualSpacing/>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生活污水进入厂区化粪池进行预处理后，定期由吸污车抽运至库尔勒市南市区污水处理厂处理</w:t>
            </w:r>
          </w:p>
        </w:tc>
        <w:tc>
          <w:tcPr>
            <w:tcW w:w="1324" w:type="pct"/>
            <w:vAlign w:val="center"/>
          </w:tcPr>
          <w:p w14:paraId="398D8E58">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r w14:paraId="756D7C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933" w:type="pct"/>
            <w:vMerge w:val="continue"/>
            <w:vAlign w:val="center"/>
          </w:tcPr>
          <w:p w14:paraId="769F5692">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p>
        </w:tc>
        <w:tc>
          <w:tcPr>
            <w:tcW w:w="627" w:type="pct"/>
            <w:vAlign w:val="center"/>
          </w:tcPr>
          <w:p w14:paraId="59C91FFD">
            <w:pPr>
              <w:adjustRightInd w:val="0"/>
              <w:snapToGrid w:val="0"/>
              <w:spacing w:line="240" w:lineRule="auto"/>
              <w:ind w:firstLine="0" w:firstLineChars="0"/>
              <w:jc w:val="center"/>
              <w:textAlignment w:val="auto"/>
              <w:rPr>
                <w:color w:val="000000"/>
                <w:sz w:val="21"/>
                <w:szCs w:val="21"/>
              </w:rPr>
            </w:pPr>
            <w:r>
              <w:rPr>
                <w:rFonts w:hint="eastAsia"/>
                <w:color w:val="000000"/>
                <w:sz w:val="21"/>
                <w:szCs w:val="21"/>
              </w:rPr>
              <w:t>清洗废水</w:t>
            </w:r>
          </w:p>
        </w:tc>
        <w:tc>
          <w:tcPr>
            <w:tcW w:w="940" w:type="pct"/>
            <w:vAlign w:val="center"/>
          </w:tcPr>
          <w:p w14:paraId="13DD1DFB">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SS</w:t>
            </w:r>
          </w:p>
        </w:tc>
        <w:tc>
          <w:tcPr>
            <w:tcW w:w="1176" w:type="pct"/>
            <w:vAlign w:val="center"/>
          </w:tcPr>
          <w:p w14:paraId="24D3DD55">
            <w:pPr>
              <w:spacing w:line="240" w:lineRule="auto"/>
              <w:ind w:firstLine="0" w:firstLineChars="0"/>
              <w:contextualSpacing/>
              <w:jc w:val="center"/>
              <w:rPr>
                <w:rFonts w:cs="Times New Roman"/>
                <w:color w:val="000000"/>
                <w:sz w:val="21"/>
              </w:rPr>
            </w:pPr>
            <w:r>
              <w:rPr>
                <w:rFonts w:hint="eastAsia" w:cs="Times New Roman"/>
                <w:color w:val="000000" w:themeColor="text1"/>
                <w:sz w:val="21"/>
                <w:szCs w:val="21"/>
                <w14:textFill>
                  <w14:solidFill>
                    <w14:schemeClr w14:val="tx1"/>
                  </w14:solidFill>
                </w14:textFill>
              </w:rPr>
              <w:t>生产废水经沉淀处理后全部循环利用，不外排</w:t>
            </w:r>
          </w:p>
        </w:tc>
        <w:tc>
          <w:tcPr>
            <w:tcW w:w="1324" w:type="pct"/>
            <w:vAlign w:val="center"/>
          </w:tcPr>
          <w:p w14:paraId="6EDED3BA">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sz w:val="21"/>
              </w:rPr>
              <w:t>不外排</w:t>
            </w:r>
          </w:p>
        </w:tc>
      </w:tr>
      <w:tr w14:paraId="3AE39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4" w:hRule="atLeast"/>
          <w:jc w:val="center"/>
        </w:trPr>
        <w:tc>
          <w:tcPr>
            <w:tcW w:w="933" w:type="pct"/>
            <w:vAlign w:val="center"/>
          </w:tcPr>
          <w:p w14:paraId="0442DDFE">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声环境</w:t>
            </w:r>
          </w:p>
        </w:tc>
        <w:tc>
          <w:tcPr>
            <w:tcW w:w="627" w:type="pct"/>
            <w:vAlign w:val="center"/>
          </w:tcPr>
          <w:p w14:paraId="144AF992">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w:t>
            </w:r>
          </w:p>
        </w:tc>
        <w:tc>
          <w:tcPr>
            <w:tcW w:w="940" w:type="pct"/>
            <w:vAlign w:val="center"/>
          </w:tcPr>
          <w:p w14:paraId="1B551488">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噪声</w:t>
            </w:r>
          </w:p>
        </w:tc>
        <w:tc>
          <w:tcPr>
            <w:tcW w:w="1176" w:type="pct"/>
            <w:vAlign w:val="center"/>
          </w:tcPr>
          <w:p w14:paraId="2A016B9E">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设备噪声主要采用隔音、减振、合理布局、绿化等降噪措施</w:t>
            </w:r>
          </w:p>
        </w:tc>
        <w:tc>
          <w:tcPr>
            <w:tcW w:w="1324" w:type="pct"/>
            <w:vAlign w:val="center"/>
          </w:tcPr>
          <w:p w14:paraId="138A4772">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《工业企业厂界环境噪声排放标准》（</w:t>
            </w:r>
            <w:r>
              <w:rPr>
                <w:rFonts w:cs="Times New Roman"/>
                <w:color w:val="000000" w:themeColor="text1"/>
                <w:sz w:val="21"/>
                <w:szCs w:val="21"/>
                <w14:textFill>
                  <w14:solidFill>
                    <w14:schemeClr w14:val="tx1"/>
                  </w14:solidFill>
                </w14:textFill>
              </w:rPr>
              <w:t>GB12348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2008</w:t>
            </w:r>
            <w:r>
              <w:rPr>
                <w:rFonts w:hint="eastAsia" w:cs="Times New Roman"/>
                <w:color w:val="000000" w:themeColor="text1"/>
                <w:sz w:val="21"/>
                <w:szCs w:val="21"/>
                <w14:textFill>
                  <w14:solidFill>
                    <w14:schemeClr w14:val="tx1"/>
                  </w14:solidFill>
                </w14:textFill>
              </w:rPr>
              <w:t>）</w:t>
            </w:r>
            <w:r>
              <w:rPr>
                <w:rFonts w:cs="Times New Roman"/>
                <w:color w:val="000000" w:themeColor="text1"/>
                <w:sz w:val="21"/>
                <w:szCs w:val="21"/>
                <w14:textFill>
                  <w14:solidFill>
                    <w14:schemeClr w14:val="tx1"/>
                  </w14:solidFill>
                </w14:textFill>
              </w:rPr>
              <w:t>2</w:t>
            </w:r>
            <w:r>
              <w:rPr>
                <w:rFonts w:hint="eastAsia" w:cs="Times New Roman"/>
                <w:color w:val="000000" w:themeColor="text1"/>
                <w:sz w:val="21"/>
                <w:szCs w:val="21"/>
                <w14:textFill>
                  <w14:solidFill>
                    <w14:schemeClr w14:val="tx1"/>
                  </w14:solidFill>
                </w14:textFill>
              </w:rPr>
              <w:t>类标准</w:t>
            </w:r>
          </w:p>
        </w:tc>
      </w:tr>
      <w:tr w14:paraId="0B2CC4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14:paraId="4870DAB5">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电磁辐射</w:t>
            </w:r>
          </w:p>
        </w:tc>
        <w:tc>
          <w:tcPr>
            <w:tcW w:w="627" w:type="pct"/>
            <w:vAlign w:val="center"/>
          </w:tcPr>
          <w:p w14:paraId="2C831F75">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940" w:type="pct"/>
            <w:vAlign w:val="center"/>
          </w:tcPr>
          <w:p w14:paraId="3D5A8CD8">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176" w:type="pct"/>
            <w:vAlign w:val="center"/>
          </w:tcPr>
          <w:p w14:paraId="55D9FCEE">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c>
          <w:tcPr>
            <w:tcW w:w="1324" w:type="pct"/>
            <w:vAlign w:val="center"/>
          </w:tcPr>
          <w:p w14:paraId="26C914B9">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w:t>
            </w:r>
          </w:p>
        </w:tc>
      </w:tr>
      <w:tr w14:paraId="1F3B3B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3" w:type="pct"/>
            <w:vAlign w:val="center"/>
          </w:tcPr>
          <w:p w14:paraId="4F6899E1">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固体废物</w:t>
            </w:r>
          </w:p>
        </w:tc>
        <w:tc>
          <w:tcPr>
            <w:tcW w:w="4067" w:type="pct"/>
            <w:gridSpan w:val="4"/>
            <w:vAlign w:val="center"/>
          </w:tcPr>
          <w:p w14:paraId="7AE43110">
            <w:pPr>
              <w:pStyle w:val="68"/>
              <w:spacing w:line="240" w:lineRule="auto"/>
              <w:ind w:firstLine="0" w:firstLineChars="0"/>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沉淀池沉渣定期清掏并晾晒干化后，就近拉运至一般工业固废填埋场；布袋除尘器收集的粉尘经集中收集后，就近拉运至一般工业固废填埋场；废布袋经收集后定期交由厂家回收；轻质杂质集中收集后，就近拉运至一般工业固废填埋场</w:t>
            </w:r>
            <w:r>
              <w:rPr>
                <w:rFonts w:hint="eastAsia"/>
                <w:color w:val="000000"/>
                <w:sz w:val="21"/>
                <w:szCs w:val="21"/>
              </w:rPr>
              <w:t>。</w:t>
            </w:r>
            <w:r>
              <w:rPr>
                <w:rFonts w:hint="eastAsia"/>
                <w:color w:val="000000" w:themeColor="text1"/>
                <w:sz w:val="21"/>
                <w:szCs w:val="21"/>
                <w14:textFill>
                  <w14:solidFill>
                    <w14:schemeClr w14:val="tx1"/>
                  </w14:solidFill>
                </w14:textFill>
              </w:rPr>
              <w:t>危险废物集中收集后，分区存放于危险废物贮存点，定期交由有危险废物处理资质的单位回收处理</w:t>
            </w:r>
          </w:p>
        </w:tc>
      </w:tr>
      <w:tr w14:paraId="391FF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1" w:hRule="atLeast"/>
          <w:jc w:val="center"/>
        </w:trPr>
        <w:tc>
          <w:tcPr>
            <w:tcW w:w="933" w:type="pct"/>
            <w:vAlign w:val="center"/>
          </w:tcPr>
          <w:p w14:paraId="3E6003EC">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土壤及地下水污染防治措施</w:t>
            </w:r>
          </w:p>
        </w:tc>
        <w:tc>
          <w:tcPr>
            <w:tcW w:w="4067" w:type="pct"/>
            <w:gridSpan w:val="4"/>
            <w:vAlign w:val="center"/>
          </w:tcPr>
          <w:p w14:paraId="048338A0">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sz w:val="21"/>
                <w:szCs w:val="21"/>
              </w:rPr>
              <w:t>采取地面防渗等措施，可以有效保证污染物不会流失进入土壤、地下水环境，防止污染物污染土壤、地下水</w:t>
            </w:r>
          </w:p>
        </w:tc>
      </w:tr>
      <w:tr w14:paraId="71EE1A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 w:hRule="atLeast"/>
          <w:jc w:val="center"/>
        </w:trPr>
        <w:tc>
          <w:tcPr>
            <w:tcW w:w="933" w:type="pct"/>
            <w:vAlign w:val="center"/>
          </w:tcPr>
          <w:p w14:paraId="1A059355">
            <w:pPr>
              <w:adjustRightInd w:val="0"/>
              <w:snapToGrid w:val="0"/>
              <w:spacing w:line="240" w:lineRule="auto"/>
              <w:ind w:firstLine="0" w:firstLineChars="0"/>
              <w:jc w:val="center"/>
              <w:textAlignment w:val="auto"/>
              <w:rPr>
                <w:rFonts w:cs="Times New Roman"/>
                <w:b/>
                <w:bCs/>
                <w:color w:val="000000" w:themeColor="text1"/>
                <w:sz w:val="21"/>
                <w:szCs w:val="21"/>
                <w14:textFill>
                  <w14:solidFill>
                    <w14:schemeClr w14:val="tx1"/>
                  </w14:solidFill>
                </w14:textFill>
              </w:rPr>
            </w:pPr>
            <w:r>
              <w:rPr>
                <w:rFonts w:cs="Times New Roman"/>
                <w:b/>
                <w:bCs/>
                <w:color w:val="000000" w:themeColor="text1"/>
                <w:sz w:val="21"/>
                <w:szCs w:val="21"/>
                <w14:textFill>
                  <w14:solidFill>
                    <w14:schemeClr w14:val="tx1"/>
                  </w14:solidFill>
                </w14:textFill>
              </w:rPr>
              <w:t>生态保护措施</w:t>
            </w:r>
          </w:p>
        </w:tc>
        <w:tc>
          <w:tcPr>
            <w:tcW w:w="4067" w:type="pct"/>
            <w:gridSpan w:val="4"/>
            <w:vAlign w:val="center"/>
          </w:tcPr>
          <w:p w14:paraId="62F1D10F">
            <w:pPr>
              <w:adjustRightInd w:val="0"/>
              <w:snapToGrid w:val="0"/>
              <w:spacing w:line="240" w:lineRule="auto"/>
              <w:ind w:firstLine="0" w:firstLineChars="0"/>
              <w:jc w:val="center"/>
              <w:textAlignment w:val="auto"/>
              <w:rPr>
                <w:rFonts w:cs="Times New Roman"/>
                <w:color w:val="000000" w:themeColor="text1"/>
                <w:sz w:val="21"/>
                <w:szCs w:val="21"/>
                <w14:textFill>
                  <w14:solidFill>
                    <w14:schemeClr w14:val="tx1"/>
                  </w14:solidFill>
                </w14:textFill>
              </w:rPr>
            </w:pPr>
            <w:r>
              <w:rPr>
                <w:rFonts w:cs="Times New Roman"/>
                <w:sz w:val="21"/>
                <w:szCs w:val="21"/>
              </w:rPr>
              <w:t>厂区绿化</w:t>
            </w:r>
          </w:p>
        </w:tc>
      </w:tr>
      <w:tr w14:paraId="38F99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4" w:hRule="atLeast"/>
          <w:jc w:val="center"/>
        </w:trPr>
        <w:tc>
          <w:tcPr>
            <w:tcW w:w="933" w:type="pct"/>
            <w:vAlign w:val="center"/>
          </w:tcPr>
          <w:p w14:paraId="567F1382">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环境风险</w:t>
            </w:r>
          </w:p>
          <w:p w14:paraId="641C376B">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防范措施</w:t>
            </w:r>
          </w:p>
        </w:tc>
        <w:tc>
          <w:tcPr>
            <w:tcW w:w="4067" w:type="pct"/>
            <w:gridSpan w:val="4"/>
            <w:vAlign w:val="center"/>
          </w:tcPr>
          <w:p w14:paraId="2986F1DE">
            <w:pPr>
              <w:adjustRightInd w:val="0"/>
              <w:snapToGrid w:val="0"/>
              <w:spacing w:line="240" w:lineRule="auto"/>
              <w:ind w:firstLine="0" w:firstLineChars="0"/>
              <w:textAlignment w:val="auto"/>
              <w:rPr>
                <w:rFonts w:cs="Times New Roman"/>
                <w:color w:val="000000" w:themeColor="text1"/>
                <w:sz w:val="21"/>
                <w:szCs w:val="21"/>
                <w14:textFill>
                  <w14:solidFill>
                    <w14:schemeClr w14:val="tx1"/>
                  </w14:solidFill>
                </w14:textFill>
              </w:rPr>
            </w:pPr>
            <w:r>
              <w:rPr>
                <w:rFonts w:hint="eastAsia" w:cs="Times New Roman"/>
                <w:color w:val="000000" w:themeColor="text1"/>
                <w:sz w:val="21"/>
                <w:szCs w:val="21"/>
                <w14:textFill>
                  <w14:solidFill>
                    <w14:schemeClr w14:val="tx1"/>
                  </w14:solidFill>
                </w14:textFill>
              </w:rPr>
              <w:t>项目通过加强运行管理、健全风险防控体系、设置泄漏报警装置等措施，并落实本评价提出的各项风险防范对策后，可最大限度降低事故发生概率。配合有效的环境风险应急预案，事故影响可以得到及时控制，环境风险可控</w:t>
            </w:r>
          </w:p>
        </w:tc>
      </w:tr>
      <w:tr w14:paraId="67B2E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 w:hRule="atLeast"/>
          <w:jc w:val="center"/>
        </w:trPr>
        <w:tc>
          <w:tcPr>
            <w:tcW w:w="933" w:type="pct"/>
            <w:vAlign w:val="center"/>
          </w:tcPr>
          <w:p w14:paraId="5B2F435C">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其他环境</w:t>
            </w:r>
          </w:p>
          <w:p w14:paraId="3F3806B3">
            <w:pPr>
              <w:adjustRightInd w:val="0"/>
              <w:snapToGrid w:val="0"/>
              <w:spacing w:line="240" w:lineRule="auto"/>
              <w:ind w:firstLine="0" w:firstLineChars="0"/>
              <w:jc w:val="center"/>
              <w:textAlignment w:val="auto"/>
              <w:rPr>
                <w:rFonts w:cs="Times New Roman"/>
                <w:b/>
                <w:bCs/>
                <w:color w:val="000000" w:themeColor="text1"/>
                <w:spacing w:val="-8"/>
                <w:sz w:val="21"/>
                <w:szCs w:val="21"/>
                <w14:textFill>
                  <w14:solidFill>
                    <w14:schemeClr w14:val="tx1"/>
                  </w14:solidFill>
                </w14:textFill>
              </w:rPr>
            </w:pPr>
            <w:r>
              <w:rPr>
                <w:rFonts w:cs="Times New Roman"/>
                <w:b/>
                <w:bCs/>
                <w:color w:val="000000" w:themeColor="text1"/>
                <w:spacing w:val="-8"/>
                <w:sz w:val="21"/>
                <w:szCs w:val="21"/>
                <w14:textFill>
                  <w14:solidFill>
                    <w14:schemeClr w14:val="tx1"/>
                  </w14:solidFill>
                </w14:textFill>
              </w:rPr>
              <w:t>管理要求</w:t>
            </w:r>
          </w:p>
        </w:tc>
        <w:tc>
          <w:tcPr>
            <w:tcW w:w="4067" w:type="pct"/>
            <w:gridSpan w:val="4"/>
            <w:vAlign w:val="center"/>
          </w:tcPr>
          <w:p w14:paraId="6365D88B">
            <w:pPr>
              <w:adjustRightInd w:val="0"/>
              <w:snapToGrid w:val="0"/>
              <w:spacing w:line="240" w:lineRule="auto"/>
              <w:ind w:firstLine="0" w:firstLineChars="0"/>
              <w:textAlignment w:val="auto"/>
              <w:rPr>
                <w:rFonts w:cs="Times New Roman"/>
                <w:sz w:val="21"/>
                <w:szCs w:val="21"/>
              </w:rPr>
            </w:pPr>
            <w:r>
              <w:rPr>
                <w:rFonts w:cs="Times New Roman"/>
                <w:sz w:val="21"/>
                <w:szCs w:val="21"/>
              </w:rPr>
              <w:t>一、</w:t>
            </w:r>
            <w:r>
              <w:rPr>
                <w:rFonts w:hint="eastAsia" w:cs="Times New Roman"/>
                <w:sz w:val="21"/>
                <w:szCs w:val="21"/>
              </w:rPr>
              <w:t>环境管理机构和职责</w:t>
            </w:r>
          </w:p>
          <w:p w14:paraId="55312C54">
            <w:pPr>
              <w:adjustRightInd w:val="0"/>
              <w:snapToGrid w:val="0"/>
              <w:spacing w:line="240" w:lineRule="auto"/>
              <w:ind w:firstLine="420"/>
              <w:textAlignment w:val="auto"/>
              <w:rPr>
                <w:rFonts w:cs="Times New Roman"/>
                <w:sz w:val="21"/>
                <w:szCs w:val="21"/>
              </w:rPr>
            </w:pPr>
            <w:r>
              <w:rPr>
                <w:rFonts w:cs="Times New Roman"/>
                <w:sz w:val="21"/>
                <w:szCs w:val="21"/>
              </w:rPr>
              <w:t>根据国家有关环境保护法规的要求和本项目生产的实际需要，建议该企业配备专职环保管理人员。环保管理人员应由熟悉企业排污状况、具备一定清洁生产知识、责任心强和组织协调能力强的人员担任，以利于监督管理，负责全厂的环境保护管理工作，发现问题能及时解决并向上级环保主管部门报告</w:t>
            </w:r>
            <w:r>
              <w:rPr>
                <w:rFonts w:hint="eastAsia" w:cs="Times New Roman"/>
                <w:sz w:val="21"/>
                <w:szCs w:val="21"/>
              </w:rPr>
              <w:t>。</w:t>
            </w:r>
          </w:p>
          <w:p w14:paraId="5A7E7891">
            <w:pPr>
              <w:adjustRightInd w:val="0"/>
              <w:snapToGrid w:val="0"/>
              <w:spacing w:line="240" w:lineRule="auto"/>
              <w:ind w:firstLine="0" w:firstLineChars="0"/>
              <w:textAlignment w:val="auto"/>
              <w:rPr>
                <w:rFonts w:cs="Times New Roman"/>
                <w:sz w:val="21"/>
                <w:szCs w:val="21"/>
              </w:rPr>
            </w:pPr>
            <w:r>
              <w:rPr>
                <w:rFonts w:hint="eastAsia" w:cs="Times New Roman"/>
                <w:sz w:val="21"/>
                <w:szCs w:val="21"/>
              </w:rPr>
              <w:t>二、环境管理内容</w:t>
            </w:r>
          </w:p>
          <w:p w14:paraId="40E43BA7">
            <w:pPr>
              <w:adjustRightInd w:val="0"/>
              <w:snapToGrid w:val="0"/>
              <w:spacing w:line="240" w:lineRule="auto"/>
              <w:ind w:firstLine="420"/>
              <w:jc w:val="left"/>
              <w:textAlignment w:val="auto"/>
              <w:rPr>
                <w:rFonts w:cs="Times New Roman"/>
                <w:sz w:val="21"/>
                <w:szCs w:val="21"/>
              </w:rPr>
            </w:pPr>
            <w:r>
              <w:rPr>
                <w:rFonts w:cs="Times New Roman"/>
                <w:sz w:val="21"/>
                <w:szCs w:val="21"/>
              </w:rPr>
              <w:t>（1）</w:t>
            </w:r>
            <w:r>
              <w:rPr>
                <w:rFonts w:hint="eastAsia" w:cs="Times New Roman"/>
                <w:sz w:val="21"/>
                <w:szCs w:val="21"/>
              </w:rPr>
              <w:t>设置</w:t>
            </w:r>
            <w:r>
              <w:rPr>
                <w:rFonts w:cs="Times New Roman"/>
                <w:sz w:val="21"/>
                <w:szCs w:val="21"/>
              </w:rPr>
              <w:t>环境保护职责管理条例</w:t>
            </w:r>
            <w:r>
              <w:rPr>
                <w:rFonts w:hint="eastAsia" w:cs="Times New Roman"/>
                <w:sz w:val="21"/>
                <w:szCs w:val="21"/>
              </w:rPr>
              <w:t>、</w:t>
            </w:r>
            <w:r>
              <w:rPr>
                <w:rFonts w:cs="Times New Roman"/>
                <w:sz w:val="21"/>
                <w:szCs w:val="21"/>
              </w:rPr>
              <w:t>废气排放管理制度</w:t>
            </w:r>
            <w:r>
              <w:rPr>
                <w:rFonts w:hint="eastAsia" w:cs="Times New Roman"/>
                <w:sz w:val="21"/>
                <w:szCs w:val="21"/>
              </w:rPr>
              <w:t>、</w:t>
            </w:r>
            <w:r>
              <w:rPr>
                <w:rFonts w:cs="Times New Roman"/>
                <w:sz w:val="21"/>
                <w:szCs w:val="21"/>
              </w:rPr>
              <w:t>固废的管理与处置制度</w:t>
            </w:r>
            <w:r>
              <w:rPr>
                <w:rFonts w:hint="eastAsia" w:cs="Times New Roman"/>
                <w:sz w:val="21"/>
                <w:szCs w:val="21"/>
              </w:rPr>
              <w:t>等环境管理制度；</w:t>
            </w:r>
          </w:p>
          <w:p w14:paraId="0ED13B81">
            <w:pPr>
              <w:adjustRightInd w:val="0"/>
              <w:snapToGrid w:val="0"/>
              <w:spacing w:line="240" w:lineRule="auto"/>
              <w:ind w:firstLine="420"/>
              <w:textAlignment w:val="auto"/>
              <w:rPr>
                <w:rFonts w:cs="Times New Roman"/>
                <w:sz w:val="21"/>
                <w:szCs w:val="21"/>
              </w:rPr>
            </w:pPr>
            <w:r>
              <w:rPr>
                <w:rFonts w:cs="Times New Roman"/>
                <w:sz w:val="21"/>
                <w:szCs w:val="21"/>
              </w:rPr>
              <w:t>（2）</w:t>
            </w:r>
            <w:r>
              <w:rPr>
                <w:rFonts w:hint="eastAsia" w:cs="Times New Roman"/>
                <w:sz w:val="21"/>
                <w:szCs w:val="21"/>
              </w:rPr>
              <w:t>督促和协助企业建立健全环境管理体系和管理人员；</w:t>
            </w:r>
          </w:p>
          <w:p w14:paraId="0BE4826F">
            <w:pPr>
              <w:adjustRightInd w:val="0"/>
              <w:snapToGrid w:val="0"/>
              <w:spacing w:line="240" w:lineRule="auto"/>
              <w:ind w:firstLine="420"/>
              <w:textAlignment w:val="auto"/>
              <w:rPr>
                <w:rFonts w:cs="Times New Roman"/>
                <w:sz w:val="21"/>
                <w:szCs w:val="21"/>
              </w:rPr>
            </w:pPr>
            <w:r>
              <w:rPr>
                <w:rFonts w:cs="Times New Roman"/>
                <w:sz w:val="21"/>
                <w:szCs w:val="21"/>
              </w:rPr>
              <w:t>（3）</w:t>
            </w:r>
            <w:r>
              <w:rPr>
                <w:rFonts w:hint="eastAsia" w:cs="Times New Roman"/>
                <w:sz w:val="21"/>
                <w:szCs w:val="21"/>
              </w:rPr>
              <w:t>宣传国家、自治区、自治州有关环境保护方面的法律法规和政策；</w:t>
            </w:r>
          </w:p>
          <w:p w14:paraId="586C8323">
            <w:pPr>
              <w:adjustRightInd w:val="0"/>
              <w:snapToGrid w:val="0"/>
              <w:spacing w:line="240" w:lineRule="auto"/>
              <w:ind w:firstLine="420"/>
              <w:textAlignment w:val="auto"/>
              <w:rPr>
                <w:rFonts w:cs="Times New Roman"/>
                <w:sz w:val="21"/>
                <w:szCs w:val="21"/>
              </w:rPr>
            </w:pPr>
            <w:r>
              <w:rPr>
                <w:rFonts w:hint="eastAsia" w:cs="Times New Roman"/>
                <w:sz w:val="21"/>
                <w:szCs w:val="21"/>
              </w:rPr>
              <w:t>（4）实施“三同时”验收和污染物达标排放的监督管理；</w:t>
            </w:r>
          </w:p>
          <w:p w14:paraId="55EFB300">
            <w:pPr>
              <w:adjustRightInd w:val="0"/>
              <w:snapToGrid w:val="0"/>
              <w:spacing w:line="240" w:lineRule="auto"/>
              <w:ind w:firstLine="420"/>
              <w:textAlignment w:val="auto"/>
              <w:rPr>
                <w:rFonts w:cs="Times New Roman"/>
                <w:sz w:val="21"/>
                <w:szCs w:val="21"/>
              </w:rPr>
            </w:pPr>
            <w:r>
              <w:rPr>
                <w:rFonts w:hint="eastAsia" w:cs="Times New Roman"/>
                <w:sz w:val="21"/>
                <w:szCs w:val="21"/>
              </w:rPr>
              <w:t>（5）检查环保设施的运行状况和是否达标排放。</w:t>
            </w:r>
          </w:p>
        </w:tc>
      </w:tr>
    </w:tbl>
    <w:p w14:paraId="553A4056">
      <w:pPr>
        <w:pStyle w:val="2"/>
        <w:rPr>
          <w:snapToGrid w:val="0"/>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14:paraId="36C302B4">
      <w:pPr>
        <w:pStyle w:val="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六、结论</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0"/>
      </w:tblGrid>
      <w:tr w14:paraId="47ED3A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9060" w:type="dxa"/>
          </w:tcPr>
          <w:p w14:paraId="724B7699">
            <w:pPr>
              <w:ind w:firstLine="480"/>
              <w:rPr>
                <w:color w:val="000000" w:themeColor="text1"/>
                <w14:textFill>
                  <w14:solidFill>
                    <w14:schemeClr w14:val="tx1"/>
                  </w14:solidFill>
                </w14:textFill>
              </w:rPr>
            </w:pPr>
            <w:bookmarkStart w:id="25" w:name="_Hlk97246050"/>
            <w:r>
              <w:rPr>
                <w:rFonts w:hint="eastAsia"/>
                <w:color w:val="000000" w:themeColor="text1"/>
                <w14:textFill>
                  <w14:solidFill>
                    <w14:schemeClr w14:val="tx1"/>
                  </w14:solidFill>
                </w14:textFill>
              </w:rPr>
              <w:t>综上所述，本项目符合国家产业政策及相关规划要求，工程选址可行，平面布置基本合理。在项目认真落实本报告提出的各项污染防治措施前提下，各项污染物能够实现达标排放，项目运营对周边地表水、环境空气、声环境等影响较小。因此，从环境角度分析，本项目环境影响可行。</w:t>
            </w:r>
          </w:p>
          <w:bookmarkEnd w:id="25"/>
          <w:p w14:paraId="5411C929">
            <w:pPr>
              <w:ind w:firstLine="0" w:firstLineChars="0"/>
              <w:rPr>
                <w:color w:val="000000" w:themeColor="text1"/>
                <w14:textFill>
                  <w14:solidFill>
                    <w14:schemeClr w14:val="tx1"/>
                  </w14:solidFill>
                </w14:textFill>
              </w:rPr>
            </w:pPr>
          </w:p>
          <w:p w14:paraId="495F1438">
            <w:pPr>
              <w:ind w:firstLine="0" w:firstLineChars="0"/>
              <w:rPr>
                <w:color w:val="000000" w:themeColor="text1"/>
                <w14:textFill>
                  <w14:solidFill>
                    <w14:schemeClr w14:val="tx1"/>
                  </w14:solidFill>
                </w14:textFill>
              </w:rPr>
            </w:pPr>
          </w:p>
          <w:p w14:paraId="5F977884">
            <w:pPr>
              <w:ind w:firstLine="0" w:firstLineChars="0"/>
              <w:rPr>
                <w:color w:val="000000" w:themeColor="text1"/>
                <w14:textFill>
                  <w14:solidFill>
                    <w14:schemeClr w14:val="tx1"/>
                  </w14:solidFill>
                </w14:textFill>
              </w:rPr>
            </w:pPr>
          </w:p>
          <w:p w14:paraId="50F7476E">
            <w:pPr>
              <w:ind w:firstLine="0" w:firstLineChars="0"/>
              <w:rPr>
                <w:color w:val="000000" w:themeColor="text1"/>
                <w14:textFill>
                  <w14:solidFill>
                    <w14:schemeClr w14:val="tx1"/>
                  </w14:solidFill>
                </w14:textFill>
              </w:rPr>
            </w:pPr>
          </w:p>
          <w:p w14:paraId="397C1AE2">
            <w:pPr>
              <w:ind w:firstLine="0" w:firstLineChars="0"/>
              <w:rPr>
                <w:color w:val="000000" w:themeColor="text1"/>
                <w14:textFill>
                  <w14:solidFill>
                    <w14:schemeClr w14:val="tx1"/>
                  </w14:solidFill>
                </w14:textFill>
              </w:rPr>
            </w:pPr>
          </w:p>
          <w:p w14:paraId="6920145C">
            <w:pPr>
              <w:ind w:firstLine="0" w:firstLineChars="0"/>
              <w:rPr>
                <w:color w:val="000000" w:themeColor="text1"/>
                <w14:textFill>
                  <w14:solidFill>
                    <w14:schemeClr w14:val="tx1"/>
                  </w14:solidFill>
                </w14:textFill>
              </w:rPr>
            </w:pPr>
          </w:p>
          <w:p w14:paraId="0EB9F979">
            <w:pPr>
              <w:ind w:firstLine="0" w:firstLineChars="0"/>
              <w:rPr>
                <w:color w:val="000000" w:themeColor="text1"/>
                <w14:textFill>
                  <w14:solidFill>
                    <w14:schemeClr w14:val="tx1"/>
                  </w14:solidFill>
                </w14:textFill>
              </w:rPr>
            </w:pPr>
          </w:p>
          <w:p w14:paraId="0FA44797">
            <w:pPr>
              <w:ind w:firstLine="0" w:firstLineChars="0"/>
              <w:rPr>
                <w:color w:val="000000" w:themeColor="text1"/>
                <w14:textFill>
                  <w14:solidFill>
                    <w14:schemeClr w14:val="tx1"/>
                  </w14:solidFill>
                </w14:textFill>
              </w:rPr>
            </w:pPr>
          </w:p>
          <w:p w14:paraId="2C5B1AE9">
            <w:pPr>
              <w:ind w:firstLine="0" w:firstLineChars="0"/>
              <w:rPr>
                <w:color w:val="000000" w:themeColor="text1"/>
                <w14:textFill>
                  <w14:solidFill>
                    <w14:schemeClr w14:val="tx1"/>
                  </w14:solidFill>
                </w14:textFill>
              </w:rPr>
            </w:pPr>
          </w:p>
          <w:p w14:paraId="3E24392E">
            <w:pPr>
              <w:ind w:firstLine="0" w:firstLineChars="0"/>
              <w:rPr>
                <w:color w:val="000000" w:themeColor="text1"/>
                <w14:textFill>
                  <w14:solidFill>
                    <w14:schemeClr w14:val="tx1"/>
                  </w14:solidFill>
                </w14:textFill>
              </w:rPr>
            </w:pPr>
          </w:p>
          <w:p w14:paraId="0EB28011">
            <w:pPr>
              <w:ind w:firstLine="0" w:firstLineChars="0"/>
              <w:rPr>
                <w:color w:val="000000" w:themeColor="text1"/>
                <w14:textFill>
                  <w14:solidFill>
                    <w14:schemeClr w14:val="tx1"/>
                  </w14:solidFill>
                </w14:textFill>
              </w:rPr>
            </w:pPr>
          </w:p>
          <w:p w14:paraId="70E7C44B">
            <w:pPr>
              <w:ind w:firstLine="0" w:firstLineChars="0"/>
              <w:rPr>
                <w:color w:val="000000" w:themeColor="text1"/>
                <w14:textFill>
                  <w14:solidFill>
                    <w14:schemeClr w14:val="tx1"/>
                  </w14:solidFill>
                </w14:textFill>
              </w:rPr>
            </w:pPr>
          </w:p>
          <w:p w14:paraId="06627353">
            <w:pPr>
              <w:ind w:firstLine="0" w:firstLineChars="0"/>
              <w:rPr>
                <w:color w:val="000000" w:themeColor="text1"/>
                <w14:textFill>
                  <w14:solidFill>
                    <w14:schemeClr w14:val="tx1"/>
                  </w14:solidFill>
                </w14:textFill>
              </w:rPr>
            </w:pPr>
          </w:p>
          <w:p w14:paraId="09EEF738">
            <w:pPr>
              <w:ind w:firstLine="0" w:firstLineChars="0"/>
              <w:rPr>
                <w:color w:val="000000" w:themeColor="text1"/>
                <w14:textFill>
                  <w14:solidFill>
                    <w14:schemeClr w14:val="tx1"/>
                  </w14:solidFill>
                </w14:textFill>
              </w:rPr>
            </w:pPr>
          </w:p>
          <w:p w14:paraId="2F8EDE6F">
            <w:pPr>
              <w:ind w:firstLine="0" w:firstLineChars="0"/>
              <w:rPr>
                <w:color w:val="000000" w:themeColor="text1"/>
                <w14:textFill>
                  <w14:solidFill>
                    <w14:schemeClr w14:val="tx1"/>
                  </w14:solidFill>
                </w14:textFill>
              </w:rPr>
            </w:pPr>
          </w:p>
          <w:p w14:paraId="16F81FEB">
            <w:pPr>
              <w:ind w:firstLine="0" w:firstLineChars="0"/>
              <w:rPr>
                <w:color w:val="000000" w:themeColor="text1"/>
                <w14:textFill>
                  <w14:solidFill>
                    <w14:schemeClr w14:val="tx1"/>
                  </w14:solidFill>
                </w14:textFill>
              </w:rPr>
            </w:pPr>
          </w:p>
        </w:tc>
      </w:tr>
    </w:tbl>
    <w:p w14:paraId="72F5F921">
      <w:pPr>
        <w:ind w:firstLine="0" w:firstLineChars="0"/>
        <w:rPr>
          <w:color w:val="000000" w:themeColor="text1"/>
          <w14:textFill>
            <w14:solidFill>
              <w14:schemeClr w14:val="tx1"/>
            </w14:solidFill>
          </w14:textFill>
        </w:rPr>
        <w:sectPr>
          <w:pgSz w:w="11906" w:h="16838"/>
          <w:pgMar w:top="1418" w:right="1418" w:bottom="1418" w:left="1418" w:header="851" w:footer="992" w:gutter="0"/>
          <w:cols w:space="425" w:num="1"/>
          <w:docGrid w:type="lines" w:linePitch="326" w:charSpace="0"/>
        </w:sectPr>
      </w:pPr>
    </w:p>
    <w:p w14:paraId="61635056">
      <w:pPr>
        <w:ind w:firstLine="0" w:firstLineChars="0"/>
        <w:rPr>
          <w:b/>
          <w:bCs/>
          <w:snapToGrid w:val="0"/>
          <w:color w:val="000000" w:themeColor="text1"/>
          <w14:textFill>
            <w14:solidFill>
              <w14:schemeClr w14:val="tx1"/>
            </w14:solidFill>
          </w14:textFill>
        </w:rPr>
      </w:pPr>
      <w:r>
        <w:rPr>
          <w:rFonts w:hint="eastAsia"/>
          <w:b/>
          <w:bCs/>
          <w:snapToGrid w:val="0"/>
          <w:color w:val="000000" w:themeColor="text1"/>
          <w14:textFill>
            <w14:solidFill>
              <w14:schemeClr w14:val="tx1"/>
            </w14:solidFill>
          </w14:textFill>
        </w:rPr>
        <w:t>附表</w:t>
      </w:r>
    </w:p>
    <w:p w14:paraId="3A0DDC11">
      <w:pPr>
        <w:pStyle w:val="2"/>
        <w:jc w:val="center"/>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建设项目污染物排放量汇总表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32"/>
        <w:gridCol w:w="2022"/>
        <w:gridCol w:w="1246"/>
        <w:gridCol w:w="1386"/>
        <w:gridCol w:w="1667"/>
        <w:gridCol w:w="1532"/>
        <w:gridCol w:w="1670"/>
        <w:gridCol w:w="1670"/>
        <w:gridCol w:w="1333"/>
      </w:tblGrid>
      <w:tr w14:paraId="326C1E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45" w:type="pct"/>
            <w:tcBorders>
              <w:tl2br w:val="single" w:color="auto" w:sz="12" w:space="0"/>
            </w:tcBorders>
            <w:tcMar>
              <w:left w:w="28" w:type="dxa"/>
              <w:right w:w="28" w:type="dxa"/>
            </w:tcMar>
            <w:vAlign w:val="center"/>
          </w:tcPr>
          <w:p w14:paraId="40C05670">
            <w:pPr>
              <w:pStyle w:val="32"/>
              <w:rPr>
                <w:rFonts w:cs="Times New Roman"/>
                <w:snapToGrid w:val="0"/>
                <w:color w:val="000000" w:themeColor="text1"/>
                <w14:textFill>
                  <w14:solidFill>
                    <w14:schemeClr w14:val="tx1"/>
                  </w14:solidFill>
                </w14:textFill>
              </w:rPr>
            </w:pPr>
            <w:bookmarkStart w:id="26" w:name="_Hlk72769786"/>
            <w:r>
              <w:rPr>
                <w:rFonts w:cs="Times New Roman"/>
                <w:snapToGrid w:val="0"/>
                <w:color w:val="000000" w:themeColor="text1"/>
                <w14:textFill>
                  <w14:solidFill>
                    <w14:schemeClr w14:val="tx1"/>
                  </w14:solidFill>
                </w14:textFill>
              </w:rPr>
              <w:t>项目</w:t>
            </w:r>
          </w:p>
          <w:p w14:paraId="2DC0CD7F">
            <w:pPr>
              <w:pStyle w:val="32"/>
              <w:ind w:firstLine="210" w:firstLineChars="100"/>
              <w:rPr>
                <w:rFonts w:cs="Times New Roman"/>
                <w:snapToGrid w:val="0"/>
                <w:color w:val="000000" w:themeColor="text1"/>
                <w14:textFill>
                  <w14:solidFill>
                    <w14:schemeClr w14:val="tx1"/>
                  </w14:solidFill>
                </w14:textFill>
              </w:rPr>
            </w:pPr>
          </w:p>
          <w:p w14:paraId="58984D90">
            <w:pPr>
              <w:pStyle w:val="32"/>
              <w:ind w:firstLine="210" w:firstLineChars="100"/>
              <w:rPr>
                <w:rFonts w:cs="Times New Roman"/>
                <w:snapToGrid w:val="0"/>
                <w:color w:val="000000" w:themeColor="text1"/>
                <w14:textFill>
                  <w14:solidFill>
                    <w14:schemeClr w14:val="tx1"/>
                  </w14:solidFill>
                </w14:textFill>
              </w:rPr>
            </w:pPr>
          </w:p>
          <w:p w14:paraId="65E471A4">
            <w:pPr>
              <w:pStyle w:val="32"/>
              <w:ind w:firstLine="210" w:firstLineChars="100"/>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分类</w:t>
            </w:r>
          </w:p>
        </w:tc>
        <w:tc>
          <w:tcPr>
            <w:tcW w:w="719" w:type="pct"/>
            <w:tcMar>
              <w:left w:w="28" w:type="dxa"/>
              <w:right w:w="28" w:type="dxa"/>
            </w:tcMar>
            <w:vAlign w:val="center"/>
          </w:tcPr>
          <w:p w14:paraId="07E882BD">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污染物名称</w:t>
            </w:r>
          </w:p>
        </w:tc>
        <w:tc>
          <w:tcPr>
            <w:tcW w:w="443" w:type="pct"/>
            <w:tcMar>
              <w:left w:w="28" w:type="dxa"/>
              <w:right w:w="28" w:type="dxa"/>
            </w:tcMar>
            <w:vAlign w:val="center"/>
          </w:tcPr>
          <w:p w14:paraId="7DEC3E2F">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14:paraId="6B1A93BF">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1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①</w:t>
            </w:r>
            <w:r>
              <w:rPr>
                <w:rFonts w:cs="Times New Roman"/>
                <w:snapToGrid w:val="0"/>
                <w:color w:val="000000" w:themeColor="text1"/>
                <w14:textFill>
                  <w14:solidFill>
                    <w14:schemeClr w14:val="tx1"/>
                  </w14:solidFill>
                </w14:textFill>
              </w:rPr>
              <w:fldChar w:fldCharType="end"/>
            </w:r>
          </w:p>
        </w:tc>
        <w:tc>
          <w:tcPr>
            <w:tcW w:w="493" w:type="pct"/>
            <w:tcMar>
              <w:left w:w="28" w:type="dxa"/>
              <w:right w:w="28" w:type="dxa"/>
            </w:tcMar>
            <w:vAlign w:val="center"/>
          </w:tcPr>
          <w:p w14:paraId="75A2FE32">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现有工程</w:t>
            </w:r>
          </w:p>
          <w:p w14:paraId="08FEAF17">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许可排放量</w:t>
            </w:r>
          </w:p>
          <w:p w14:paraId="2D8FC0A0">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2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snapToGrid w:val="0"/>
                <w:color w:val="000000" w:themeColor="text1"/>
                <w14:textFill>
                  <w14:solidFill>
                    <w14:schemeClr w14:val="tx1"/>
                  </w14:solidFill>
                </w14:textFill>
              </w:rPr>
              <w:t>②</w:t>
            </w:r>
            <w:r>
              <w:rPr>
                <w:rFonts w:cs="Times New Roman"/>
                <w:snapToGrid w:val="0"/>
                <w:color w:val="000000" w:themeColor="text1"/>
                <w14:textFill>
                  <w14:solidFill>
                    <w14:schemeClr w14:val="tx1"/>
                  </w14:solidFill>
                </w14:textFill>
              </w:rPr>
              <w:fldChar w:fldCharType="end"/>
            </w:r>
          </w:p>
        </w:tc>
        <w:tc>
          <w:tcPr>
            <w:tcW w:w="593" w:type="pct"/>
            <w:tcMar>
              <w:left w:w="28" w:type="dxa"/>
              <w:right w:w="28" w:type="dxa"/>
            </w:tcMar>
            <w:vAlign w:val="center"/>
          </w:tcPr>
          <w:p w14:paraId="7EDD8799">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在建工程</w:t>
            </w:r>
          </w:p>
          <w:p w14:paraId="13A7F1BE">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3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③</w:t>
            </w:r>
            <w:r>
              <w:rPr>
                <w:rFonts w:cs="Times New Roman"/>
                <w:snapToGrid w:val="0"/>
                <w:color w:val="000000" w:themeColor="text1"/>
                <w14:textFill>
                  <w14:solidFill>
                    <w14:schemeClr w14:val="tx1"/>
                  </w14:solidFill>
                </w14:textFill>
              </w:rPr>
              <w:fldChar w:fldCharType="end"/>
            </w:r>
          </w:p>
        </w:tc>
        <w:tc>
          <w:tcPr>
            <w:tcW w:w="545" w:type="pct"/>
            <w:tcMar>
              <w:left w:w="28" w:type="dxa"/>
              <w:right w:w="28" w:type="dxa"/>
            </w:tcMar>
            <w:vAlign w:val="center"/>
          </w:tcPr>
          <w:p w14:paraId="2CF1D4ED">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本项目</w:t>
            </w:r>
          </w:p>
          <w:p w14:paraId="548245D6">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排放量（固体废物产生量）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4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④</w:t>
            </w:r>
            <w:r>
              <w:rPr>
                <w:rFonts w:cs="Times New Roman"/>
                <w:snapToGrid w:val="0"/>
                <w:color w:val="000000" w:themeColor="text1"/>
                <w14:textFill>
                  <w14:solidFill>
                    <w14:schemeClr w14:val="tx1"/>
                  </w14:solidFill>
                </w14:textFill>
              </w:rPr>
              <w:fldChar w:fldCharType="end"/>
            </w:r>
          </w:p>
        </w:tc>
        <w:tc>
          <w:tcPr>
            <w:tcW w:w="594" w:type="pct"/>
            <w:tcMar>
              <w:left w:w="28" w:type="dxa"/>
              <w:right w:w="28" w:type="dxa"/>
            </w:tcMar>
            <w:vAlign w:val="center"/>
          </w:tcPr>
          <w:p w14:paraId="24BE165C">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以新带老削减量</w:t>
            </w:r>
          </w:p>
          <w:p w14:paraId="2B6C8550">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（新建项目不填）</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5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⑤</w:t>
            </w:r>
            <w:r>
              <w:rPr>
                <w:rFonts w:cs="Times New Roman"/>
                <w:snapToGrid w:val="0"/>
                <w:color w:val="000000" w:themeColor="text1"/>
                <w:spacing w:val="-16"/>
                <w14:textFill>
                  <w14:solidFill>
                    <w14:schemeClr w14:val="tx1"/>
                  </w14:solidFill>
                </w14:textFill>
              </w:rPr>
              <w:fldChar w:fldCharType="end"/>
            </w:r>
          </w:p>
        </w:tc>
        <w:tc>
          <w:tcPr>
            <w:tcW w:w="594" w:type="pct"/>
            <w:tcMar>
              <w:left w:w="28" w:type="dxa"/>
              <w:right w:w="28" w:type="dxa"/>
            </w:tcMar>
            <w:vAlign w:val="center"/>
          </w:tcPr>
          <w:p w14:paraId="7D43293F">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本项目建成后</w:t>
            </w:r>
          </w:p>
          <w:p w14:paraId="14925844">
            <w:pPr>
              <w:pStyle w:val="32"/>
              <w:rPr>
                <w:rFonts w:cs="Times New Roman"/>
                <w:snapToGrid w:val="0"/>
                <w:color w:val="000000" w:themeColor="text1"/>
                <w:spacing w:val="-16"/>
                <w14:textFill>
                  <w14:solidFill>
                    <w14:schemeClr w14:val="tx1"/>
                  </w14:solidFill>
                </w14:textFill>
              </w:rPr>
            </w:pPr>
            <w:r>
              <w:rPr>
                <w:rFonts w:cs="Times New Roman"/>
                <w:snapToGrid w:val="0"/>
                <w:color w:val="000000" w:themeColor="text1"/>
                <w:spacing w:val="-16"/>
                <w14:textFill>
                  <w14:solidFill>
                    <w14:schemeClr w14:val="tx1"/>
                  </w14:solidFill>
                </w14:textFill>
              </w:rPr>
              <w:t>全厂排放量（固体废物产生量）</w:t>
            </w:r>
            <w:r>
              <w:rPr>
                <w:rFonts w:cs="Times New Roman"/>
                <w:snapToGrid w:val="0"/>
                <w:color w:val="000000" w:themeColor="text1"/>
                <w:spacing w:val="-16"/>
                <w14:textFill>
                  <w14:solidFill>
                    <w14:schemeClr w14:val="tx1"/>
                  </w14:solidFill>
                </w14:textFill>
              </w:rPr>
              <w:fldChar w:fldCharType="begin"/>
            </w:r>
            <w:r>
              <w:rPr>
                <w:rFonts w:cs="Times New Roman"/>
                <w:snapToGrid w:val="0"/>
                <w:color w:val="000000" w:themeColor="text1"/>
                <w:spacing w:val="-16"/>
                <w14:textFill>
                  <w14:solidFill>
                    <w14:schemeClr w14:val="tx1"/>
                  </w14:solidFill>
                </w14:textFill>
              </w:rPr>
              <w:instrText xml:space="preserve"> = 6 \* GB3 \* MERGEFORMAT </w:instrText>
            </w:r>
            <w:r>
              <w:rPr>
                <w:rFonts w:cs="Times New Roman"/>
                <w:snapToGrid w:val="0"/>
                <w:color w:val="000000" w:themeColor="text1"/>
                <w:spacing w:val="-16"/>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⑥</w:t>
            </w:r>
            <w:r>
              <w:rPr>
                <w:rFonts w:cs="Times New Roman"/>
                <w:snapToGrid w:val="0"/>
                <w:color w:val="000000" w:themeColor="text1"/>
                <w:spacing w:val="-16"/>
                <w14:textFill>
                  <w14:solidFill>
                    <w14:schemeClr w14:val="tx1"/>
                  </w14:solidFill>
                </w14:textFill>
              </w:rPr>
              <w:fldChar w:fldCharType="end"/>
            </w:r>
          </w:p>
        </w:tc>
        <w:tc>
          <w:tcPr>
            <w:tcW w:w="474" w:type="pct"/>
            <w:tcMar>
              <w:left w:w="28" w:type="dxa"/>
              <w:right w:w="28" w:type="dxa"/>
            </w:tcMar>
            <w:vAlign w:val="center"/>
          </w:tcPr>
          <w:p w14:paraId="4D50DE47">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变化量</w:t>
            </w:r>
            <w:r>
              <w:rPr>
                <w:rFonts w:cs="Times New Roman"/>
                <w:snapToGrid w:val="0"/>
                <w:color w:val="000000" w:themeColor="text1"/>
                <w14:textFill>
                  <w14:solidFill>
                    <w14:schemeClr w14:val="tx1"/>
                  </w14:solidFill>
                </w14:textFill>
              </w:rPr>
              <w:fldChar w:fldCharType="begin"/>
            </w:r>
            <w:r>
              <w:rPr>
                <w:rFonts w:cs="Times New Roman"/>
                <w:snapToGrid w:val="0"/>
                <w:color w:val="000000" w:themeColor="text1"/>
                <w14:textFill>
                  <w14:solidFill>
                    <w14:schemeClr w14:val="tx1"/>
                  </w14:solidFill>
                </w14:textFill>
              </w:rPr>
              <w:instrText xml:space="preserve"> = 7 \* GB3 \* MERGEFORMAT </w:instrText>
            </w:r>
            <w:r>
              <w:rPr>
                <w:rFonts w:cs="Times New Roman"/>
                <w:snapToGrid w:val="0"/>
                <w:color w:val="000000" w:themeColor="text1"/>
                <w14:textFill>
                  <w14:solidFill>
                    <w14:schemeClr w14:val="tx1"/>
                  </w14:solidFill>
                </w14:textFill>
              </w:rPr>
              <w:fldChar w:fldCharType="separate"/>
            </w:r>
            <w:r>
              <w:rPr>
                <w:rFonts w:hint="eastAsia" w:ascii="宋体" w:hAnsi="宋体" w:cs="宋体"/>
                <w:color w:val="000000" w:themeColor="text1"/>
                <w14:textFill>
                  <w14:solidFill>
                    <w14:schemeClr w14:val="tx1"/>
                  </w14:solidFill>
                </w14:textFill>
              </w:rPr>
              <w:t>⑦</w:t>
            </w:r>
            <w:r>
              <w:rPr>
                <w:rFonts w:cs="Times New Roman"/>
                <w:snapToGrid w:val="0"/>
                <w:color w:val="000000" w:themeColor="text1"/>
                <w14:textFill>
                  <w14:solidFill>
                    <w14:schemeClr w14:val="tx1"/>
                  </w14:solidFill>
                </w14:textFill>
              </w:rPr>
              <w:fldChar w:fldCharType="end"/>
            </w:r>
          </w:p>
        </w:tc>
      </w:tr>
      <w:tr w14:paraId="4DFF94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14:paraId="78E4F7ED">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废气</w:t>
            </w:r>
          </w:p>
        </w:tc>
        <w:tc>
          <w:tcPr>
            <w:tcW w:w="719" w:type="pct"/>
            <w:vAlign w:val="center"/>
          </w:tcPr>
          <w:p w14:paraId="03083E2E">
            <w:pPr>
              <w:pStyle w:val="32"/>
              <w:rPr>
                <w:rFonts w:cs="Times New Roman"/>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有组织颗粒物</w:t>
            </w:r>
          </w:p>
        </w:tc>
        <w:tc>
          <w:tcPr>
            <w:tcW w:w="443" w:type="pct"/>
            <w:vAlign w:val="center"/>
          </w:tcPr>
          <w:p w14:paraId="6E462095">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135CE4F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6DC90423">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53B0B131">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0.045t/a</w:t>
            </w:r>
          </w:p>
        </w:tc>
        <w:tc>
          <w:tcPr>
            <w:tcW w:w="594" w:type="pct"/>
            <w:vAlign w:val="center"/>
          </w:tcPr>
          <w:p w14:paraId="3C8A9605">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tcPr>
          <w:p w14:paraId="2BAA02E7">
            <w:pPr>
              <w:pStyle w:val="32"/>
              <w:rPr>
                <w:rFonts w:cs="Times New Roman"/>
                <w:snapToGrid w:val="0"/>
                <w:color w:val="000000" w:themeColor="text1"/>
                <w14:textFill>
                  <w14:solidFill>
                    <w14:schemeClr w14:val="tx1"/>
                  </w14:solidFill>
                </w14:textFill>
              </w:rPr>
            </w:pPr>
            <w:r>
              <w:rPr>
                <w:rFonts w:cs="Times New Roman"/>
                <w:szCs w:val="21"/>
              </w:rPr>
              <w:t>0.045t/a</w:t>
            </w:r>
          </w:p>
        </w:tc>
        <w:tc>
          <w:tcPr>
            <w:tcW w:w="474" w:type="pct"/>
          </w:tcPr>
          <w:p w14:paraId="343E1D87">
            <w:pPr>
              <w:pStyle w:val="32"/>
              <w:rPr>
                <w:rFonts w:cs="Times New Roman"/>
                <w:snapToGrid w:val="0"/>
                <w:color w:val="000000" w:themeColor="text1"/>
                <w14:textFill>
                  <w14:solidFill>
                    <w14:schemeClr w14:val="tx1"/>
                  </w14:solidFill>
                </w14:textFill>
              </w:rPr>
            </w:pPr>
            <w:r>
              <w:rPr>
                <w:rFonts w:hint="eastAsia" w:cs="Times New Roman"/>
                <w:szCs w:val="21"/>
              </w:rPr>
              <w:t>+</w:t>
            </w:r>
            <w:r>
              <w:rPr>
                <w:rFonts w:cs="Times New Roman"/>
                <w:szCs w:val="21"/>
              </w:rPr>
              <w:t>0.045t/a</w:t>
            </w:r>
          </w:p>
        </w:tc>
      </w:tr>
      <w:tr w14:paraId="40DAA7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60E029B7">
            <w:pPr>
              <w:pStyle w:val="32"/>
              <w:rPr>
                <w:rFonts w:cs="Times New Roman"/>
                <w:snapToGrid w:val="0"/>
                <w:color w:val="000000" w:themeColor="text1"/>
                <w14:textFill>
                  <w14:solidFill>
                    <w14:schemeClr w14:val="tx1"/>
                  </w14:solidFill>
                </w14:textFill>
              </w:rPr>
            </w:pPr>
          </w:p>
        </w:tc>
        <w:tc>
          <w:tcPr>
            <w:tcW w:w="719" w:type="pct"/>
            <w:vAlign w:val="center"/>
          </w:tcPr>
          <w:p w14:paraId="12AD2DA5">
            <w:pPr>
              <w:pStyle w:val="3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无组织颗粒物</w:t>
            </w:r>
          </w:p>
        </w:tc>
        <w:tc>
          <w:tcPr>
            <w:tcW w:w="443" w:type="pct"/>
            <w:vAlign w:val="center"/>
          </w:tcPr>
          <w:p w14:paraId="18BCD67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1F7BECDF">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703ADA7C">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CDCBF16">
            <w:pPr>
              <w:adjustRightInd w:val="0"/>
              <w:snapToGrid w:val="0"/>
              <w:spacing w:line="240" w:lineRule="auto"/>
              <w:ind w:firstLine="0" w:firstLineChars="0"/>
              <w:jc w:val="center"/>
              <w:textAlignment w:val="auto"/>
              <w:rPr>
                <w:rFonts w:cs="Times New Roman"/>
                <w:sz w:val="21"/>
                <w:szCs w:val="21"/>
              </w:rPr>
            </w:pPr>
            <w:r>
              <w:rPr>
                <w:rFonts w:cs="Times New Roman"/>
                <w:sz w:val="21"/>
                <w:szCs w:val="21"/>
              </w:rPr>
              <w:t>2.864t/a</w:t>
            </w:r>
          </w:p>
        </w:tc>
        <w:tc>
          <w:tcPr>
            <w:tcW w:w="594" w:type="pct"/>
            <w:vAlign w:val="center"/>
          </w:tcPr>
          <w:p w14:paraId="5B9B622B">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tcPr>
          <w:p w14:paraId="7311E7C8">
            <w:pPr>
              <w:pStyle w:val="32"/>
              <w:rPr>
                <w:rFonts w:cs="Times New Roman"/>
                <w:szCs w:val="21"/>
              </w:rPr>
            </w:pPr>
            <w:r>
              <w:rPr>
                <w:rFonts w:cs="Times New Roman"/>
                <w:szCs w:val="21"/>
              </w:rPr>
              <w:t>2.864t/a</w:t>
            </w:r>
          </w:p>
        </w:tc>
        <w:tc>
          <w:tcPr>
            <w:tcW w:w="474" w:type="pct"/>
          </w:tcPr>
          <w:p w14:paraId="10F5CD88">
            <w:pPr>
              <w:pStyle w:val="32"/>
              <w:rPr>
                <w:rFonts w:cs="Times New Roman"/>
                <w:szCs w:val="21"/>
              </w:rPr>
            </w:pPr>
            <w:r>
              <w:rPr>
                <w:rFonts w:hint="eastAsia" w:cs="Times New Roman"/>
                <w:szCs w:val="21"/>
              </w:rPr>
              <w:t>+</w:t>
            </w:r>
            <w:r>
              <w:rPr>
                <w:rFonts w:cs="Times New Roman"/>
                <w:szCs w:val="21"/>
              </w:rPr>
              <w:t>2.864t/a</w:t>
            </w:r>
          </w:p>
        </w:tc>
      </w:tr>
      <w:tr w14:paraId="6F1A06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1F4D7D10">
            <w:pPr>
              <w:pStyle w:val="32"/>
              <w:rPr>
                <w:rFonts w:cs="Times New Roman"/>
                <w:snapToGrid w:val="0"/>
                <w:color w:val="000000" w:themeColor="text1"/>
                <w14:textFill>
                  <w14:solidFill>
                    <w14:schemeClr w14:val="tx1"/>
                  </w14:solidFill>
                </w14:textFill>
              </w:rPr>
            </w:pPr>
          </w:p>
        </w:tc>
        <w:tc>
          <w:tcPr>
            <w:tcW w:w="719" w:type="pct"/>
            <w:vAlign w:val="center"/>
          </w:tcPr>
          <w:p w14:paraId="7AC39C5C">
            <w:pPr>
              <w:pStyle w:val="32"/>
              <w:rPr>
                <w:snapToGrid w:val="0"/>
                <w:color w:val="000000" w:themeColor="text1"/>
                <w14:textFill>
                  <w14:solidFill>
                    <w14:schemeClr w14:val="tx1"/>
                  </w14:solidFill>
                </w14:textFill>
              </w:rPr>
            </w:pPr>
            <w:r>
              <w:rPr>
                <w:rFonts w:hint="eastAsia"/>
                <w:snapToGrid w:val="0"/>
                <w:color w:val="000000" w:themeColor="text1"/>
                <w14:textFill>
                  <w14:solidFill>
                    <w14:schemeClr w14:val="tx1"/>
                  </w14:solidFill>
                </w14:textFill>
              </w:rPr>
              <w:t>臭气浓度</w:t>
            </w:r>
          </w:p>
        </w:tc>
        <w:tc>
          <w:tcPr>
            <w:tcW w:w="443" w:type="pct"/>
            <w:vAlign w:val="center"/>
          </w:tcPr>
          <w:p w14:paraId="3D52758D">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1F746D1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50895D59">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40CF0B4E">
            <w:pPr>
              <w:adjustRightInd w:val="0"/>
              <w:snapToGrid w:val="0"/>
              <w:spacing w:line="240" w:lineRule="auto"/>
              <w:ind w:firstLine="0" w:firstLineChars="0"/>
              <w:jc w:val="center"/>
              <w:textAlignment w:val="auto"/>
              <w:rPr>
                <w:rFonts w:cs="Times New Roman"/>
                <w:sz w:val="21"/>
                <w:szCs w:val="21"/>
              </w:rPr>
            </w:pPr>
            <w:r>
              <w:rPr>
                <w:rFonts w:hint="eastAsia" w:cs="Times New Roman"/>
                <w:sz w:val="21"/>
                <w:szCs w:val="21"/>
              </w:rPr>
              <w:t>1</w:t>
            </w:r>
            <w:r>
              <w:rPr>
                <w:rFonts w:cs="Times New Roman"/>
                <w:sz w:val="21"/>
                <w:szCs w:val="21"/>
              </w:rPr>
              <w:t>2</w:t>
            </w:r>
            <w:r>
              <w:rPr>
                <w:rFonts w:hint="eastAsia" w:cs="Times New Roman"/>
                <w:sz w:val="21"/>
                <w:szCs w:val="21"/>
              </w:rPr>
              <w:t>无量纲</w:t>
            </w:r>
          </w:p>
        </w:tc>
        <w:tc>
          <w:tcPr>
            <w:tcW w:w="594" w:type="pct"/>
            <w:vAlign w:val="center"/>
          </w:tcPr>
          <w:p w14:paraId="61F17F5C">
            <w:pPr>
              <w:pStyle w:val="32"/>
              <w:rPr>
                <w:rFonts w:cs="Times New Roman"/>
                <w:color w:val="000000" w:themeColor="text1"/>
                <w:kern w:val="0"/>
                <w:szCs w:val="21"/>
                <w14:textFill>
                  <w14:solidFill>
                    <w14:schemeClr w14:val="tx1"/>
                  </w14:solidFill>
                </w14:textFill>
              </w:rPr>
            </w:pPr>
            <w:r>
              <w:rPr>
                <w:rFonts w:hint="eastAsia" w:cs="Times New Roman"/>
                <w:color w:val="000000" w:themeColor="text1"/>
                <w:kern w:val="0"/>
                <w:szCs w:val="21"/>
                <w14:textFill>
                  <w14:solidFill>
                    <w14:schemeClr w14:val="tx1"/>
                  </w14:solidFill>
                </w14:textFill>
              </w:rPr>
              <w:t>0</w:t>
            </w:r>
          </w:p>
        </w:tc>
        <w:tc>
          <w:tcPr>
            <w:tcW w:w="594" w:type="pct"/>
          </w:tcPr>
          <w:p w14:paraId="08AFC5F7">
            <w:pPr>
              <w:pStyle w:val="32"/>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c>
          <w:tcPr>
            <w:tcW w:w="474" w:type="pct"/>
          </w:tcPr>
          <w:p w14:paraId="5A4A4A87">
            <w:pPr>
              <w:pStyle w:val="32"/>
              <w:rPr>
                <w:rFonts w:cs="Times New Roman"/>
                <w:szCs w:val="21"/>
              </w:rPr>
            </w:pPr>
            <w:r>
              <w:rPr>
                <w:rFonts w:hint="eastAsia" w:cs="Times New Roman"/>
                <w:szCs w:val="21"/>
              </w:rPr>
              <w:t>+1</w:t>
            </w:r>
            <w:r>
              <w:rPr>
                <w:rFonts w:cs="Times New Roman"/>
                <w:szCs w:val="21"/>
              </w:rPr>
              <w:t>2</w:t>
            </w:r>
            <w:r>
              <w:rPr>
                <w:rFonts w:hint="eastAsia" w:cs="Times New Roman"/>
                <w:szCs w:val="21"/>
              </w:rPr>
              <w:t>无量纲</w:t>
            </w:r>
          </w:p>
        </w:tc>
      </w:tr>
      <w:tr w14:paraId="000AC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14:paraId="54883219">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废水</w:t>
            </w:r>
          </w:p>
        </w:tc>
        <w:tc>
          <w:tcPr>
            <w:tcW w:w="719" w:type="pct"/>
            <w:vAlign w:val="center"/>
          </w:tcPr>
          <w:p w14:paraId="07F6C2ED">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生活废水量</w:t>
            </w:r>
          </w:p>
        </w:tc>
        <w:tc>
          <w:tcPr>
            <w:tcW w:w="443" w:type="pct"/>
            <w:vAlign w:val="center"/>
          </w:tcPr>
          <w:p w14:paraId="20A0A969">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4E8FD42C">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7ECB6A35">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5CB6655E">
            <w:pPr>
              <w:pStyle w:val="32"/>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14:paraId="5C5BB990">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45EAB12A">
            <w:pPr>
              <w:pStyle w:val="32"/>
              <w:rPr>
                <w:rFonts w:cs="Times New Roman"/>
                <w:szCs w:val="21"/>
              </w:rPr>
            </w:pP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14:paraId="579B68A8">
            <w:pPr>
              <w:pStyle w:val="32"/>
              <w:rPr>
                <w:rFonts w:cs="Times New Roman"/>
                <w:snapToGrid w:val="0"/>
                <w:color w:val="000000" w:themeColor="text1"/>
                <w14:textFill>
                  <w14:solidFill>
                    <w14:schemeClr w14:val="tx1"/>
                  </w14:solidFill>
                </w14:textFill>
              </w:rPr>
            </w:pPr>
            <w:r>
              <w:rPr>
                <w:rFonts w:hint="eastAsia" w:cs="Times New Roman"/>
                <w:szCs w:val="21"/>
              </w:rPr>
              <w:t>+</w:t>
            </w:r>
            <w:r>
              <w:rPr>
                <w:color w:val="000000" w:themeColor="text1"/>
                <w:szCs w:val="21"/>
                <w14:textFill>
                  <w14:solidFill>
                    <w14:schemeClr w14:val="tx1"/>
                  </w14:solidFill>
                </w14:textFill>
              </w:rPr>
              <w:t>46.08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14:paraId="5D086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391C7948">
            <w:pPr>
              <w:pStyle w:val="32"/>
              <w:rPr>
                <w:rFonts w:cs="Times New Roman"/>
                <w:snapToGrid w:val="0"/>
                <w:color w:val="000000" w:themeColor="text1"/>
                <w14:textFill>
                  <w14:solidFill>
                    <w14:schemeClr w14:val="tx1"/>
                  </w14:solidFill>
                </w14:textFill>
              </w:rPr>
            </w:pPr>
          </w:p>
        </w:tc>
        <w:tc>
          <w:tcPr>
            <w:tcW w:w="719" w:type="pct"/>
            <w:vAlign w:val="center"/>
          </w:tcPr>
          <w:p w14:paraId="1465848B">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COD</w:t>
            </w:r>
          </w:p>
        </w:tc>
        <w:tc>
          <w:tcPr>
            <w:tcW w:w="443" w:type="pct"/>
            <w:vAlign w:val="center"/>
          </w:tcPr>
          <w:p w14:paraId="159A9141">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65C32C66">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0B8B3154">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75F0290C">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14:paraId="1963A0C8">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1E1BD008">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14:paraId="2C087F4D">
            <w:pPr>
              <w:pStyle w:val="32"/>
              <w:rPr>
                <w:rFonts w:cs="Times New Roman"/>
                <w:snapToGrid w:val="0"/>
                <w:color w:val="000000" w:themeColor="text1"/>
                <w14:textFill>
                  <w14:solidFill>
                    <w14:schemeClr w14:val="tx1"/>
                  </w14:solidFill>
                </w14:textFill>
              </w:rPr>
            </w:pPr>
            <w:r>
              <w:rPr>
                <w:rFonts w:hint="eastAsia" w:cs="Times New Roman"/>
                <w:szCs w:val="21"/>
              </w:rPr>
              <w:t>+</w:t>
            </w:r>
            <w:r>
              <w:rPr>
                <w:color w:val="000000" w:themeColor="text1"/>
                <w:szCs w:val="21"/>
                <w14:textFill>
                  <w14:solidFill>
                    <w14:schemeClr w14:val="tx1"/>
                  </w14:solidFill>
                </w14:textFill>
              </w:rPr>
              <w:t>0.017</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14:paraId="4FDBDE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27B912CF">
            <w:pPr>
              <w:pStyle w:val="32"/>
              <w:rPr>
                <w:rFonts w:cs="Times New Roman"/>
                <w:snapToGrid w:val="0"/>
                <w:color w:val="000000" w:themeColor="text1"/>
                <w14:textFill>
                  <w14:solidFill>
                    <w14:schemeClr w14:val="tx1"/>
                  </w14:solidFill>
                </w14:textFill>
              </w:rPr>
            </w:pPr>
          </w:p>
        </w:tc>
        <w:tc>
          <w:tcPr>
            <w:tcW w:w="719" w:type="pct"/>
            <w:vAlign w:val="center"/>
          </w:tcPr>
          <w:p w14:paraId="021363A6">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BOD</w:t>
            </w:r>
            <w:r>
              <w:rPr>
                <w:rFonts w:cs="Times New Roman"/>
                <w:color w:val="000000" w:themeColor="text1"/>
                <w:szCs w:val="21"/>
                <w:vertAlign w:val="subscript"/>
                <w14:textFill>
                  <w14:solidFill>
                    <w14:schemeClr w14:val="tx1"/>
                  </w14:solidFill>
                </w14:textFill>
              </w:rPr>
              <w:t>5</w:t>
            </w:r>
          </w:p>
        </w:tc>
        <w:tc>
          <w:tcPr>
            <w:tcW w:w="443" w:type="pct"/>
            <w:vAlign w:val="center"/>
          </w:tcPr>
          <w:p w14:paraId="3CE27F9E">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58469F99">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2865A133">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5DE5FB97">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14:paraId="5AF1B66E">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5F08D5B">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14:paraId="786B850B">
            <w:pPr>
              <w:pStyle w:val="32"/>
              <w:rPr>
                <w:rFonts w:cs="Times New Roman"/>
                <w:snapToGrid w:val="0"/>
                <w:color w:val="000000" w:themeColor="text1"/>
                <w14:textFill>
                  <w14:solidFill>
                    <w14:schemeClr w14:val="tx1"/>
                  </w14:solidFill>
                </w14:textFill>
              </w:rPr>
            </w:pPr>
            <w:r>
              <w:rPr>
                <w:rFonts w:hint="eastAsia" w:cs="Times New Roman"/>
                <w:szCs w:val="21"/>
              </w:rPr>
              <w:t>+</w:t>
            </w: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14:paraId="434E4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40F57BE6">
            <w:pPr>
              <w:pStyle w:val="32"/>
              <w:rPr>
                <w:rFonts w:cs="Times New Roman"/>
                <w:snapToGrid w:val="0"/>
                <w:color w:val="000000" w:themeColor="text1"/>
                <w14:textFill>
                  <w14:solidFill>
                    <w14:schemeClr w14:val="tx1"/>
                  </w14:solidFill>
                </w14:textFill>
              </w:rPr>
            </w:pPr>
          </w:p>
        </w:tc>
        <w:tc>
          <w:tcPr>
            <w:tcW w:w="719" w:type="pct"/>
            <w:vAlign w:val="center"/>
          </w:tcPr>
          <w:p w14:paraId="249EF4A2">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SS</w:t>
            </w:r>
          </w:p>
        </w:tc>
        <w:tc>
          <w:tcPr>
            <w:tcW w:w="443" w:type="pct"/>
            <w:vAlign w:val="center"/>
          </w:tcPr>
          <w:p w14:paraId="011BA8AC">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1D227C58">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4F08F5BD">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25C83ABA">
            <w:pPr>
              <w:pStyle w:val="32"/>
              <w:rPr>
                <w:rFonts w:cs="Times New Roman"/>
                <w:color w:val="000000" w:themeColor="text1"/>
                <w:kern w:val="0"/>
                <w:szCs w:val="2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14:paraId="0D81B250">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43A25824">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14:paraId="461C35F1">
            <w:pPr>
              <w:pStyle w:val="32"/>
              <w:rPr>
                <w:rFonts w:cs="Times New Roman"/>
                <w:snapToGrid w:val="0"/>
                <w:color w:val="000000" w:themeColor="text1"/>
                <w14:textFill>
                  <w14:solidFill>
                    <w14:schemeClr w14:val="tx1"/>
                  </w14:solidFill>
                </w14:textFill>
              </w:rPr>
            </w:pPr>
            <w:r>
              <w:rPr>
                <w:rFonts w:hint="eastAsia" w:cs="Times New Roman"/>
                <w:szCs w:val="21"/>
              </w:rPr>
              <w:t>+</w:t>
            </w:r>
            <w:r>
              <w:rPr>
                <w:color w:val="000000" w:themeColor="text1"/>
                <w:szCs w:val="21"/>
                <w14:textFill>
                  <w14:solidFill>
                    <w14:schemeClr w14:val="tx1"/>
                  </w14:solidFill>
                </w14:textFill>
              </w:rPr>
              <w:t>0.008</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14:paraId="13A57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2D48C9CF">
            <w:pPr>
              <w:pStyle w:val="32"/>
              <w:rPr>
                <w:rFonts w:cs="Times New Roman"/>
                <w:snapToGrid w:val="0"/>
                <w:color w:val="000000" w:themeColor="text1"/>
                <w14:textFill>
                  <w14:solidFill>
                    <w14:schemeClr w14:val="tx1"/>
                  </w14:solidFill>
                </w14:textFill>
              </w:rPr>
            </w:pPr>
          </w:p>
        </w:tc>
        <w:tc>
          <w:tcPr>
            <w:tcW w:w="719" w:type="pct"/>
            <w:vAlign w:val="center"/>
          </w:tcPr>
          <w:p w14:paraId="5C72D38D">
            <w:pPr>
              <w:pStyle w:val="32"/>
              <w:rPr>
                <w:rFonts w:cs="Times New Roman"/>
                <w:snapToGrid w:val="0"/>
                <w:color w:val="000000" w:themeColor="text1"/>
                <w14:textFill>
                  <w14:solidFill>
                    <w14:schemeClr w14:val="tx1"/>
                  </w14:solidFill>
                </w14:textFill>
              </w:rPr>
            </w:pPr>
            <w:r>
              <w:rPr>
                <w:rFonts w:cs="Times New Roman"/>
                <w:color w:val="000000" w:themeColor="text1"/>
                <w:szCs w:val="21"/>
                <w14:textFill>
                  <w14:solidFill>
                    <w14:schemeClr w14:val="tx1"/>
                  </w14:solidFill>
                </w14:textFill>
              </w:rPr>
              <w:t>NH</w:t>
            </w:r>
            <w:r>
              <w:rPr>
                <w:rFonts w:cs="Times New Roman"/>
                <w:color w:val="000000" w:themeColor="text1"/>
                <w:szCs w:val="21"/>
                <w:vertAlign w:val="subscript"/>
                <w14:textFill>
                  <w14:solidFill>
                    <w14:schemeClr w14:val="tx1"/>
                  </w14:solidFill>
                </w14:textFill>
              </w:rPr>
              <w:t>3</w:t>
            </w:r>
            <w:r>
              <w:rPr>
                <w:rFonts w:cs="Times New Roman"/>
                <w:color w:val="000000" w:themeColor="text1"/>
                <w:szCs w:val="21"/>
                <w14:textFill>
                  <w14:solidFill>
                    <w14:schemeClr w14:val="tx1"/>
                  </w14:solidFill>
                </w14:textFill>
              </w:rPr>
              <w:t>-N</w:t>
            </w:r>
          </w:p>
        </w:tc>
        <w:tc>
          <w:tcPr>
            <w:tcW w:w="443" w:type="pct"/>
            <w:vAlign w:val="center"/>
          </w:tcPr>
          <w:p w14:paraId="3C2AC1C2">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4F57FAC7">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7D3C932F">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7E76BB0">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594" w:type="pct"/>
            <w:vAlign w:val="center"/>
          </w:tcPr>
          <w:p w14:paraId="241AEAEC">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37B32B1D">
            <w:pPr>
              <w:pStyle w:val="32"/>
              <w:rPr>
                <w:rFonts w:cs="Times New Roman"/>
                <w:snapToGrid w:val="0"/>
                <w:color w:val="000000" w:themeColor="text1"/>
                <w14:textFill>
                  <w14:solidFill>
                    <w14:schemeClr w14:val="tx1"/>
                  </w14:solidFill>
                </w14:textFill>
              </w:rPr>
            </w:pP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c>
          <w:tcPr>
            <w:tcW w:w="474" w:type="pct"/>
            <w:vAlign w:val="center"/>
          </w:tcPr>
          <w:p w14:paraId="6F89C708">
            <w:pPr>
              <w:pStyle w:val="32"/>
              <w:rPr>
                <w:rFonts w:cs="Times New Roman"/>
                <w:snapToGrid w:val="0"/>
                <w:color w:val="000000" w:themeColor="text1"/>
                <w14:textFill>
                  <w14:solidFill>
                    <w14:schemeClr w14:val="tx1"/>
                  </w14:solidFill>
                </w14:textFill>
              </w:rPr>
            </w:pPr>
            <w:r>
              <w:rPr>
                <w:rFonts w:hint="eastAsia" w:cs="Times New Roman"/>
                <w:szCs w:val="21"/>
              </w:rPr>
              <w:t>+</w:t>
            </w:r>
            <w:r>
              <w:rPr>
                <w:color w:val="000000" w:themeColor="text1"/>
                <w:szCs w:val="21"/>
                <w14:textFill>
                  <w14:solidFill>
                    <w14:schemeClr w14:val="tx1"/>
                  </w14:solidFill>
                </w14:textFill>
              </w:rPr>
              <w:t>0.001</w:t>
            </w:r>
            <w:r>
              <w:rPr>
                <w:rFonts w:hint="eastAsia"/>
                <w:color w:val="000000" w:themeColor="text1"/>
                <w:szCs w:val="21"/>
                <w14:textFill>
                  <w14:solidFill>
                    <w14:schemeClr w14:val="tx1"/>
                  </w14:solidFill>
                </w14:textFill>
              </w:rPr>
              <w:t>m</w:t>
            </w:r>
            <w:r>
              <w:rPr>
                <w:rFonts w:hint="eastAsia"/>
                <w:color w:val="000000" w:themeColor="text1"/>
                <w:szCs w:val="21"/>
                <w:vertAlign w:val="superscript"/>
                <w14:textFill>
                  <w14:solidFill>
                    <w14:schemeClr w14:val="tx1"/>
                  </w14:solidFill>
                </w14:textFill>
              </w:rPr>
              <w:t>3</w:t>
            </w:r>
            <w:r>
              <w:rPr>
                <w:color w:val="000000" w:themeColor="text1"/>
                <w:szCs w:val="21"/>
                <w14:textFill>
                  <w14:solidFill>
                    <w14:schemeClr w14:val="tx1"/>
                  </w14:solidFill>
                </w14:textFill>
              </w:rPr>
              <w:t>/a</w:t>
            </w:r>
          </w:p>
        </w:tc>
      </w:tr>
      <w:tr w14:paraId="53BFB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14:paraId="4D48BC56">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一般工业</w:t>
            </w:r>
          </w:p>
          <w:p w14:paraId="7A6E167D">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固体废物</w:t>
            </w:r>
          </w:p>
        </w:tc>
        <w:tc>
          <w:tcPr>
            <w:tcW w:w="719" w:type="pct"/>
            <w:vAlign w:val="center"/>
          </w:tcPr>
          <w:p w14:paraId="6C61C526">
            <w:pPr>
              <w:pStyle w:val="32"/>
              <w:rPr>
                <w:rFonts w:cs="Times New Roman"/>
                <w:snapToGrid w:val="0"/>
                <w:color w:val="000000" w:themeColor="text1"/>
                <w14:textFill>
                  <w14:solidFill>
                    <w14:schemeClr w14:val="tx1"/>
                  </w14:solidFill>
                </w14:textFill>
              </w:rPr>
            </w:pPr>
            <w:r>
              <w:rPr>
                <w:rFonts w:hint="eastAsia" w:cs="Times New Roman"/>
                <w:color w:val="000000" w:themeColor="text1"/>
                <w:szCs w:val="21"/>
                <w14:textFill>
                  <w14:solidFill>
                    <w14:schemeClr w14:val="tx1"/>
                  </w14:solidFill>
                </w14:textFill>
              </w:rPr>
              <w:t>轻质杂质</w:t>
            </w:r>
          </w:p>
        </w:tc>
        <w:tc>
          <w:tcPr>
            <w:tcW w:w="443" w:type="pct"/>
            <w:vAlign w:val="center"/>
          </w:tcPr>
          <w:p w14:paraId="7DD539DD">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7819C53F">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0FB10CBB">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16422BBE">
            <w:pPr>
              <w:pStyle w:val="32"/>
              <w:rPr>
                <w:szCs w:val="21"/>
              </w:rPr>
            </w:pPr>
            <w:r>
              <w:rPr>
                <w:szCs w:val="21"/>
              </w:rPr>
              <w:t>100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0394C848">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7DD424BB">
            <w:pPr>
              <w:pStyle w:val="32"/>
              <w:rPr>
                <w:szCs w:val="21"/>
              </w:rPr>
            </w:pPr>
            <w:r>
              <w:rPr>
                <w:szCs w:val="21"/>
              </w:rPr>
              <w:t>100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4E920B13">
            <w:pPr>
              <w:pStyle w:val="32"/>
              <w:rPr>
                <w:rFonts w:cs="Times New Roman"/>
                <w:snapToGrid w:val="0"/>
                <w:color w:val="000000" w:themeColor="text1"/>
                <w14:textFill>
                  <w14:solidFill>
                    <w14:schemeClr w14:val="tx1"/>
                  </w14:solidFill>
                </w14:textFill>
              </w:rPr>
            </w:pPr>
            <w:r>
              <w:rPr>
                <w:rFonts w:hint="eastAsia" w:cs="Times New Roman"/>
                <w:szCs w:val="21"/>
              </w:rPr>
              <w:t>+</w:t>
            </w:r>
            <w:r>
              <w:rPr>
                <w:szCs w:val="21"/>
              </w:rPr>
              <w:t>100</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22374C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7DB08512">
            <w:pPr>
              <w:pStyle w:val="32"/>
              <w:rPr>
                <w:rFonts w:cs="Times New Roman"/>
                <w:snapToGrid w:val="0"/>
                <w:color w:val="000000" w:themeColor="text1"/>
                <w14:textFill>
                  <w14:solidFill>
                    <w14:schemeClr w14:val="tx1"/>
                  </w14:solidFill>
                </w14:textFill>
              </w:rPr>
            </w:pPr>
          </w:p>
        </w:tc>
        <w:tc>
          <w:tcPr>
            <w:tcW w:w="719" w:type="pct"/>
            <w:vAlign w:val="center"/>
          </w:tcPr>
          <w:p w14:paraId="77EDF14E">
            <w:pPr>
              <w:pStyle w:val="32"/>
              <w:rPr>
                <w:rFonts w:cs="Times New Roman"/>
                <w:snapToGrid w:val="0"/>
                <w:color w:val="000000" w:themeColor="text1"/>
                <w14:textFill>
                  <w14:solidFill>
                    <w14:schemeClr w14:val="tx1"/>
                  </w14:solidFill>
                </w14:textFill>
              </w:rPr>
            </w:pPr>
            <w:r>
              <w:rPr>
                <w:rFonts w:cs="Times New Roman"/>
                <w:szCs w:val="21"/>
              </w:rPr>
              <w:t>沉淀池</w:t>
            </w:r>
            <w:r>
              <w:rPr>
                <w:rFonts w:hint="eastAsia" w:cs="Times New Roman"/>
                <w:szCs w:val="21"/>
              </w:rPr>
              <w:t>沉渣</w:t>
            </w:r>
          </w:p>
        </w:tc>
        <w:tc>
          <w:tcPr>
            <w:tcW w:w="443" w:type="pct"/>
            <w:vAlign w:val="center"/>
          </w:tcPr>
          <w:p w14:paraId="7E4F4195">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4193E1E5">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614DF64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06ED7403">
            <w:pPr>
              <w:pStyle w:val="32"/>
              <w:rPr>
                <w:szCs w:val="21"/>
              </w:rPr>
            </w:pPr>
            <w:r>
              <w:rPr>
                <w:szCs w:val="21"/>
              </w:rPr>
              <w:t>42</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5E883A61">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2B348A49">
            <w:pPr>
              <w:pStyle w:val="32"/>
              <w:rPr>
                <w:szCs w:val="21"/>
              </w:rPr>
            </w:pPr>
            <w:r>
              <w:rPr>
                <w:szCs w:val="21"/>
              </w:rPr>
              <w:t>42</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19A9CD57">
            <w:pPr>
              <w:pStyle w:val="32"/>
              <w:rPr>
                <w:rFonts w:cs="Times New Roman"/>
                <w:snapToGrid w:val="0"/>
                <w:color w:val="000000" w:themeColor="text1"/>
                <w14:textFill>
                  <w14:solidFill>
                    <w14:schemeClr w14:val="tx1"/>
                  </w14:solidFill>
                </w14:textFill>
              </w:rPr>
            </w:pPr>
            <w:r>
              <w:rPr>
                <w:rFonts w:hint="eastAsia" w:cs="Times New Roman"/>
                <w:szCs w:val="21"/>
              </w:rPr>
              <w:t>+</w:t>
            </w:r>
            <w:r>
              <w:rPr>
                <w:szCs w:val="21"/>
              </w:rPr>
              <w:t>42</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252D55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4C87CEBC">
            <w:pPr>
              <w:pStyle w:val="32"/>
              <w:rPr>
                <w:rFonts w:cs="Times New Roman"/>
                <w:snapToGrid w:val="0"/>
                <w:color w:val="000000" w:themeColor="text1"/>
                <w14:textFill>
                  <w14:solidFill>
                    <w14:schemeClr w14:val="tx1"/>
                  </w14:solidFill>
                </w14:textFill>
              </w:rPr>
            </w:pPr>
          </w:p>
        </w:tc>
        <w:tc>
          <w:tcPr>
            <w:tcW w:w="719" w:type="pct"/>
            <w:vAlign w:val="center"/>
          </w:tcPr>
          <w:p w14:paraId="1112D2EC">
            <w:pPr>
              <w:pStyle w:val="32"/>
              <w:rPr>
                <w:rFonts w:cs="Times New Roman"/>
                <w:szCs w:val="21"/>
              </w:rPr>
            </w:pPr>
            <w:r>
              <w:rPr>
                <w:rFonts w:hint="eastAsia" w:cs="Times New Roman"/>
                <w:szCs w:val="21"/>
              </w:rPr>
              <w:t>废布袋</w:t>
            </w:r>
          </w:p>
        </w:tc>
        <w:tc>
          <w:tcPr>
            <w:tcW w:w="443" w:type="pct"/>
            <w:vAlign w:val="center"/>
          </w:tcPr>
          <w:p w14:paraId="1A326C4C">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1B715ACE">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66B55757">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55E4A1E2">
            <w:pPr>
              <w:pStyle w:val="32"/>
              <w:rPr>
                <w:szCs w:val="21"/>
              </w:rPr>
            </w:pPr>
            <w:r>
              <w:rPr>
                <w:rFonts w:hint="eastAsia"/>
                <w:szCs w:val="21"/>
              </w:rPr>
              <w:t>0</w:t>
            </w:r>
            <w:r>
              <w:rPr>
                <w:szCs w:val="21"/>
              </w:rPr>
              <w:t>.4</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3F234FEA">
            <w:pPr>
              <w:pStyle w:val="32"/>
              <w:rPr>
                <w:rFonts w:cs="Times New Roman"/>
                <w:color w:val="000000" w:themeColor="text1"/>
                <w:kern w:val="0"/>
                <w:szCs w:val="21"/>
                <w14:textFill>
                  <w14:solidFill>
                    <w14:schemeClr w14:val="tx1"/>
                  </w14:solidFill>
                </w14:textFill>
              </w:rPr>
            </w:pPr>
          </w:p>
        </w:tc>
        <w:tc>
          <w:tcPr>
            <w:tcW w:w="594" w:type="pct"/>
            <w:vAlign w:val="center"/>
          </w:tcPr>
          <w:p w14:paraId="48BDA4AA">
            <w:pPr>
              <w:pStyle w:val="32"/>
              <w:rPr>
                <w:szCs w:val="21"/>
              </w:rPr>
            </w:pPr>
            <w:r>
              <w:rPr>
                <w:rFonts w:hint="eastAsia"/>
                <w:szCs w:val="21"/>
              </w:rPr>
              <w:t>0</w:t>
            </w:r>
            <w:r>
              <w:rPr>
                <w:szCs w:val="21"/>
              </w:rPr>
              <w:t>.4</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2E62F3BD">
            <w:pPr>
              <w:pStyle w:val="32"/>
              <w:rPr>
                <w:rFonts w:cs="Times New Roman"/>
                <w:szCs w:val="21"/>
              </w:rPr>
            </w:pPr>
            <w:r>
              <w:rPr>
                <w:rFonts w:hint="eastAsia"/>
                <w:szCs w:val="21"/>
              </w:rPr>
              <w:t>+0</w:t>
            </w:r>
            <w:r>
              <w:rPr>
                <w:szCs w:val="21"/>
              </w:rPr>
              <w:t>.4</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4EAFE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0D5B76C1">
            <w:pPr>
              <w:pStyle w:val="32"/>
              <w:rPr>
                <w:rFonts w:cs="Times New Roman"/>
                <w:snapToGrid w:val="0"/>
                <w:color w:val="000000" w:themeColor="text1"/>
                <w14:textFill>
                  <w14:solidFill>
                    <w14:schemeClr w14:val="tx1"/>
                  </w14:solidFill>
                </w14:textFill>
              </w:rPr>
            </w:pPr>
          </w:p>
        </w:tc>
        <w:tc>
          <w:tcPr>
            <w:tcW w:w="719" w:type="pct"/>
            <w:vAlign w:val="center"/>
          </w:tcPr>
          <w:p w14:paraId="08E79246">
            <w:pPr>
              <w:pStyle w:val="32"/>
              <w:rPr>
                <w:rFonts w:cs="Times New Roman"/>
                <w:szCs w:val="21"/>
              </w:rPr>
            </w:pPr>
            <w:r>
              <w:rPr>
                <w:rFonts w:hint="eastAsia"/>
              </w:rPr>
              <w:t>布袋集尘</w:t>
            </w:r>
          </w:p>
        </w:tc>
        <w:tc>
          <w:tcPr>
            <w:tcW w:w="443" w:type="pct"/>
            <w:vAlign w:val="center"/>
          </w:tcPr>
          <w:p w14:paraId="36E337D6">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45E1CD41">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028C1F8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54A1C9D1">
            <w:pPr>
              <w:pStyle w:val="32"/>
              <w:rPr>
                <w:szCs w:val="21"/>
              </w:rPr>
            </w:pPr>
            <w:r>
              <w:rPr>
                <w:rFonts w:hint="eastAsia"/>
                <w:szCs w:val="21"/>
              </w:rPr>
              <w:t>1</w:t>
            </w:r>
            <w:r>
              <w:rPr>
                <w:szCs w:val="21"/>
              </w:rPr>
              <w:t>.0089</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5DC83FFA">
            <w:pPr>
              <w:pStyle w:val="32"/>
              <w:rPr>
                <w:rFonts w:cs="Times New Roman"/>
                <w:color w:val="000000" w:themeColor="text1"/>
                <w:kern w:val="0"/>
                <w:szCs w:val="21"/>
                <w14:textFill>
                  <w14:solidFill>
                    <w14:schemeClr w14:val="tx1"/>
                  </w14:solidFill>
                </w14:textFill>
              </w:rPr>
            </w:pPr>
          </w:p>
        </w:tc>
        <w:tc>
          <w:tcPr>
            <w:tcW w:w="594" w:type="pct"/>
            <w:vAlign w:val="center"/>
          </w:tcPr>
          <w:p w14:paraId="664B3D9F">
            <w:pPr>
              <w:pStyle w:val="32"/>
              <w:rPr>
                <w:szCs w:val="21"/>
              </w:rPr>
            </w:pPr>
            <w:r>
              <w:rPr>
                <w:rFonts w:hint="eastAsia"/>
                <w:szCs w:val="21"/>
              </w:rPr>
              <w:t>1</w:t>
            </w:r>
            <w:r>
              <w:rPr>
                <w:szCs w:val="21"/>
              </w:rPr>
              <w:t>.0089</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6F87FADD">
            <w:pPr>
              <w:pStyle w:val="32"/>
              <w:rPr>
                <w:rFonts w:cs="Times New Roman"/>
                <w:szCs w:val="21"/>
              </w:rPr>
            </w:pPr>
            <w:r>
              <w:rPr>
                <w:rFonts w:hint="eastAsia"/>
                <w:szCs w:val="21"/>
              </w:rPr>
              <w:t>+1</w:t>
            </w:r>
            <w:r>
              <w:rPr>
                <w:szCs w:val="21"/>
              </w:rPr>
              <w:t>.0089</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72BC7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Align w:val="center"/>
          </w:tcPr>
          <w:p w14:paraId="3E83CE60">
            <w:pPr>
              <w:pStyle w:val="32"/>
              <w:rPr>
                <w:rFonts w:cs="Times New Roman"/>
                <w:snapToGrid w:val="0"/>
                <w:color w:val="000000" w:themeColor="text1"/>
                <w14:textFill>
                  <w14:solidFill>
                    <w14:schemeClr w14:val="tx1"/>
                  </w14:solidFill>
                </w14:textFill>
              </w:rPr>
            </w:pPr>
            <w:r>
              <w:rPr>
                <w:rFonts w:hint="eastAsia" w:cs="Times New Roman"/>
                <w:snapToGrid w:val="0"/>
                <w:color w:val="000000" w:themeColor="text1"/>
                <w14:textFill>
                  <w14:solidFill>
                    <w14:schemeClr w14:val="tx1"/>
                  </w14:solidFill>
                </w14:textFill>
              </w:rPr>
              <w:t>生活垃圾</w:t>
            </w:r>
          </w:p>
        </w:tc>
        <w:tc>
          <w:tcPr>
            <w:tcW w:w="719" w:type="pct"/>
            <w:vAlign w:val="center"/>
          </w:tcPr>
          <w:p w14:paraId="61910573">
            <w:pPr>
              <w:pStyle w:val="32"/>
              <w:rPr>
                <w:rFonts w:cs="Times New Roman"/>
                <w:snapToGrid w:val="0"/>
                <w:color w:val="000000" w:themeColor="text1"/>
                <w14:textFill>
                  <w14:solidFill>
                    <w14:schemeClr w14:val="tx1"/>
                  </w14:solidFill>
                </w14:textFill>
              </w:rPr>
            </w:pPr>
            <w:r>
              <w:t>生活垃圾</w:t>
            </w:r>
          </w:p>
        </w:tc>
        <w:tc>
          <w:tcPr>
            <w:tcW w:w="443" w:type="pct"/>
            <w:vAlign w:val="center"/>
          </w:tcPr>
          <w:p w14:paraId="138AFF0C">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566722E9">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4DB31D49">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6B774EC9">
            <w:pPr>
              <w:pStyle w:val="32"/>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5B1669FB">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05ECB0DB">
            <w:pPr>
              <w:pStyle w:val="32"/>
              <w:rPr>
                <w:rFonts w:cs="Times New Roman"/>
                <w:snapToGrid w:val="0"/>
                <w:color w:val="000000" w:themeColor="text1"/>
                <w14:textFill>
                  <w14:solidFill>
                    <w14:schemeClr w14:val="tx1"/>
                  </w14:solidFill>
                </w14:textFill>
              </w:rPr>
            </w:pP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64497FE6">
            <w:pPr>
              <w:pStyle w:val="32"/>
              <w:rPr>
                <w:rFonts w:cs="Times New Roman"/>
                <w:snapToGrid w:val="0"/>
                <w:color w:val="000000" w:themeColor="text1"/>
                <w14:textFill>
                  <w14:solidFill>
                    <w14:schemeClr w14:val="tx1"/>
                  </w14:solidFill>
                </w14:textFill>
              </w:rPr>
            </w:pPr>
            <w:r>
              <w:rPr>
                <w:rFonts w:hint="eastAsia" w:cs="Times New Roman"/>
                <w:szCs w:val="21"/>
              </w:rPr>
              <w:t>+</w:t>
            </w:r>
            <w:r>
              <w:rPr>
                <w:rFonts w:cs="Times New Roman"/>
                <w:color w:val="000000" w:themeColor="text1"/>
                <w14:textFill>
                  <w14:solidFill>
                    <w14:schemeClr w14:val="tx1"/>
                  </w14:solidFill>
                </w14:textFill>
              </w:rPr>
              <w:t>0.36</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111C7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restart"/>
            <w:vAlign w:val="center"/>
          </w:tcPr>
          <w:p w14:paraId="43821016">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危险废物</w:t>
            </w:r>
          </w:p>
        </w:tc>
        <w:tc>
          <w:tcPr>
            <w:tcW w:w="719" w:type="pct"/>
            <w:vAlign w:val="center"/>
          </w:tcPr>
          <w:p w14:paraId="6FAFFA53">
            <w:pPr>
              <w:pStyle w:val="32"/>
              <w:rPr>
                <w:rFonts w:cs="Times New Roman"/>
                <w:snapToGrid w:val="0"/>
                <w:color w:val="000000" w:themeColor="text1"/>
                <w14:textFill>
                  <w14:solidFill>
                    <w14:schemeClr w14:val="tx1"/>
                  </w14:solidFill>
                </w14:textFill>
              </w:rPr>
            </w:pPr>
            <w:r>
              <w:rPr>
                <w:rFonts w:hint="eastAsia"/>
              </w:rPr>
              <w:t>废机油</w:t>
            </w:r>
          </w:p>
        </w:tc>
        <w:tc>
          <w:tcPr>
            <w:tcW w:w="443" w:type="pct"/>
            <w:vAlign w:val="center"/>
          </w:tcPr>
          <w:p w14:paraId="4D23364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5AE6A3B3">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5D22FCAB">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22440284">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262145FD">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6586D20D">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00352015">
            <w:pPr>
              <w:pStyle w:val="32"/>
              <w:rPr>
                <w:rFonts w:cs="Times New Roman"/>
                <w:snapToGrid w:val="0"/>
                <w:color w:val="000000" w:themeColor="text1"/>
                <w14:textFill>
                  <w14:solidFill>
                    <w14:schemeClr w14:val="tx1"/>
                  </w14:solidFill>
                </w14:textFill>
              </w:rPr>
            </w:pPr>
            <w:r>
              <w:rPr>
                <w:rFonts w:hint="eastAsia" w:cs="Times New Roman"/>
                <w:szCs w:val="21"/>
              </w:rPr>
              <w:t>+</w:t>
            </w:r>
            <w:r>
              <w:rPr>
                <w:rFonts w:cs="Times New Roman"/>
                <w:snapToGrid w:val="0"/>
                <w:color w:val="000000" w:themeColor="text1"/>
                <w14:textFill>
                  <w14:solidFill>
                    <w14:schemeClr w14:val="tx1"/>
                  </w14:solidFill>
                </w14:textFill>
              </w:rPr>
              <w:t>0.1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7411D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0B8A1C0E">
            <w:pPr>
              <w:pStyle w:val="32"/>
              <w:rPr>
                <w:rFonts w:cs="Times New Roman"/>
                <w:snapToGrid w:val="0"/>
                <w:color w:val="000000" w:themeColor="text1"/>
                <w14:textFill>
                  <w14:solidFill>
                    <w14:schemeClr w14:val="tx1"/>
                  </w14:solidFill>
                </w14:textFill>
              </w:rPr>
            </w:pPr>
          </w:p>
        </w:tc>
        <w:tc>
          <w:tcPr>
            <w:tcW w:w="719" w:type="pct"/>
            <w:vAlign w:val="center"/>
          </w:tcPr>
          <w:p w14:paraId="4C630488">
            <w:pPr>
              <w:pStyle w:val="32"/>
            </w:pPr>
            <w:r>
              <w:rPr>
                <w:rFonts w:hint="eastAsia"/>
              </w:rPr>
              <w:t>沾有废机油的废抹布和废手套</w:t>
            </w:r>
          </w:p>
        </w:tc>
        <w:tc>
          <w:tcPr>
            <w:tcW w:w="443" w:type="pct"/>
            <w:vAlign w:val="center"/>
          </w:tcPr>
          <w:p w14:paraId="0DB1B154">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74EC99FC">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33DC5AC6">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27932C15">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540EE66A">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5AAA409B">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507D5AD1">
            <w:pPr>
              <w:pStyle w:val="32"/>
              <w:rPr>
                <w:rFonts w:cs="Times New Roman"/>
                <w:snapToGrid w:val="0"/>
                <w:color w:val="000000" w:themeColor="text1"/>
                <w14:textFill>
                  <w14:solidFill>
                    <w14:schemeClr w14:val="tx1"/>
                  </w14:solidFill>
                </w14:textFill>
              </w:rPr>
            </w:pPr>
            <w:r>
              <w:rPr>
                <w:rFonts w:hint="eastAsia" w:cs="Times New Roman"/>
                <w:szCs w:val="21"/>
              </w:rPr>
              <w:t>+</w:t>
            </w: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tr w14:paraId="7317D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 w:hRule="atLeast"/>
        </w:trPr>
        <w:tc>
          <w:tcPr>
            <w:tcW w:w="545" w:type="pct"/>
            <w:vMerge w:val="continue"/>
            <w:vAlign w:val="center"/>
          </w:tcPr>
          <w:p w14:paraId="6C307CFA">
            <w:pPr>
              <w:pStyle w:val="32"/>
              <w:rPr>
                <w:rFonts w:cs="Times New Roman"/>
                <w:snapToGrid w:val="0"/>
                <w:color w:val="000000" w:themeColor="text1"/>
                <w14:textFill>
                  <w14:solidFill>
                    <w14:schemeClr w14:val="tx1"/>
                  </w14:solidFill>
                </w14:textFill>
              </w:rPr>
            </w:pPr>
          </w:p>
        </w:tc>
        <w:tc>
          <w:tcPr>
            <w:tcW w:w="719" w:type="pct"/>
            <w:vAlign w:val="center"/>
          </w:tcPr>
          <w:p w14:paraId="1B37728A">
            <w:pPr>
              <w:pStyle w:val="32"/>
            </w:pPr>
            <w:r>
              <w:rPr>
                <w:rFonts w:hint="eastAsia"/>
              </w:rPr>
              <w:t>废机油桶</w:t>
            </w:r>
          </w:p>
        </w:tc>
        <w:tc>
          <w:tcPr>
            <w:tcW w:w="443" w:type="pct"/>
            <w:vAlign w:val="center"/>
          </w:tcPr>
          <w:p w14:paraId="3931EB61">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493" w:type="pct"/>
            <w:vAlign w:val="center"/>
          </w:tcPr>
          <w:p w14:paraId="4B1FBA82">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3" w:type="pct"/>
            <w:vAlign w:val="center"/>
          </w:tcPr>
          <w:p w14:paraId="1B42F800">
            <w:pPr>
              <w:pStyle w:val="32"/>
              <w:rPr>
                <w:rFonts w:cs="Times New Roman"/>
                <w:color w:val="000000" w:themeColor="text1"/>
                <w:kern w:val="0"/>
                <w:szCs w:val="2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45" w:type="pct"/>
            <w:vAlign w:val="center"/>
          </w:tcPr>
          <w:p w14:paraId="7330EB9E">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594" w:type="pct"/>
            <w:vAlign w:val="center"/>
          </w:tcPr>
          <w:p w14:paraId="36CC0183">
            <w:pPr>
              <w:pStyle w:val="32"/>
              <w:rPr>
                <w:rFonts w:cs="Times New Roman"/>
                <w:snapToGrid w:val="0"/>
                <w:color w:val="000000" w:themeColor="text1"/>
                <w14:textFill>
                  <w14:solidFill>
                    <w14:schemeClr w14:val="tx1"/>
                  </w14:solidFill>
                </w14:textFill>
              </w:rPr>
            </w:pPr>
            <w:r>
              <w:rPr>
                <w:rFonts w:cs="Times New Roman"/>
                <w:color w:val="000000" w:themeColor="text1"/>
                <w:kern w:val="0"/>
                <w:szCs w:val="21"/>
                <w14:textFill>
                  <w14:solidFill>
                    <w14:schemeClr w14:val="tx1"/>
                  </w14:solidFill>
                </w14:textFill>
              </w:rPr>
              <w:t>0</w:t>
            </w:r>
          </w:p>
        </w:tc>
        <w:tc>
          <w:tcPr>
            <w:tcW w:w="594" w:type="pct"/>
            <w:vAlign w:val="center"/>
          </w:tcPr>
          <w:p w14:paraId="4B62D4D5">
            <w:pPr>
              <w:pStyle w:val="32"/>
              <w:rPr>
                <w:rFonts w:cs="Times New Roman"/>
                <w:snapToGrid w:val="0"/>
                <w:color w:val="000000" w:themeColor="text1"/>
                <w14:textFill>
                  <w14:solidFill>
                    <w14:schemeClr w14:val="tx1"/>
                  </w14:solidFill>
                </w14:textFill>
              </w:rPr>
            </w:pP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c>
          <w:tcPr>
            <w:tcW w:w="474" w:type="pct"/>
            <w:vAlign w:val="center"/>
          </w:tcPr>
          <w:p w14:paraId="298BCBD8">
            <w:pPr>
              <w:pStyle w:val="32"/>
              <w:rPr>
                <w:rFonts w:cs="Times New Roman"/>
                <w:snapToGrid w:val="0"/>
                <w:color w:val="000000" w:themeColor="text1"/>
                <w14:textFill>
                  <w14:solidFill>
                    <w14:schemeClr w14:val="tx1"/>
                  </w14:solidFill>
                </w14:textFill>
              </w:rPr>
            </w:pPr>
            <w:r>
              <w:rPr>
                <w:rFonts w:hint="eastAsia" w:cs="Times New Roman"/>
                <w:szCs w:val="21"/>
              </w:rPr>
              <w:t>+</w:t>
            </w:r>
            <w:r>
              <w:rPr>
                <w:rFonts w:cs="Times New Roman"/>
                <w:snapToGrid w:val="0"/>
                <w:color w:val="000000" w:themeColor="text1"/>
                <w14:textFill>
                  <w14:solidFill>
                    <w14:schemeClr w14:val="tx1"/>
                  </w14:solidFill>
                </w14:textFill>
              </w:rPr>
              <w:t>0.</w:t>
            </w:r>
            <w:r>
              <w:rPr>
                <w:rFonts w:hint="eastAsia" w:cs="Times New Roman"/>
                <w:snapToGrid w:val="0"/>
                <w:color w:val="000000" w:themeColor="text1"/>
                <w14:textFill>
                  <w14:solidFill>
                    <w14:schemeClr w14:val="tx1"/>
                  </w14:solidFill>
                </w14:textFill>
              </w:rPr>
              <w:t>0</w:t>
            </w:r>
            <w:r>
              <w:rPr>
                <w:rFonts w:cs="Times New Roman"/>
                <w:snapToGrid w:val="0"/>
                <w:color w:val="000000" w:themeColor="text1"/>
                <w14:textFill>
                  <w14:solidFill>
                    <w14:schemeClr w14:val="tx1"/>
                  </w14:solidFill>
                </w14:textFill>
              </w:rPr>
              <w:t>1</w:t>
            </w:r>
            <w:r>
              <w:rPr>
                <w:rFonts w:hint="eastAsia" w:cs="Times New Roman"/>
                <w:color w:val="000000" w:themeColor="text1"/>
                <w:kern w:val="0"/>
                <w:szCs w:val="21"/>
                <w14:textFill>
                  <w14:solidFill>
                    <w14:schemeClr w14:val="tx1"/>
                  </w14:solidFill>
                </w14:textFill>
              </w:rPr>
              <w:t>t</w:t>
            </w:r>
            <w:r>
              <w:rPr>
                <w:rFonts w:cs="Times New Roman"/>
                <w:color w:val="000000" w:themeColor="text1"/>
                <w:kern w:val="0"/>
                <w:szCs w:val="21"/>
                <w14:textFill>
                  <w14:solidFill>
                    <w14:schemeClr w14:val="tx1"/>
                  </w14:solidFill>
                </w14:textFill>
              </w:rPr>
              <w:t>/a</w:t>
            </w:r>
          </w:p>
        </w:tc>
      </w:tr>
      <w:bookmarkEnd w:id="26"/>
    </w:tbl>
    <w:p w14:paraId="748C5C03">
      <w:pPr>
        <w:ind w:firstLine="0" w:firstLineChars="0"/>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3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③</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4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④</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5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⑤</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7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⑦</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6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⑥</w:t>
      </w:r>
      <w:r>
        <w:rPr>
          <w:rFonts w:hint="eastAsia"/>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fldChar w:fldCharType="begin"/>
      </w:r>
      <w:r>
        <w:rPr>
          <w:rFonts w:hint="eastAsia"/>
          <w:color w:val="000000" w:themeColor="text1"/>
          <w14:textFill>
            <w14:solidFill>
              <w14:schemeClr w14:val="tx1"/>
            </w14:solidFill>
          </w14:textFill>
        </w:rPr>
        <w:instrText xml:space="preserve"> = 1 \* GB3 \* MERGEFORMAT </w:instrText>
      </w:r>
      <w:r>
        <w:rPr>
          <w:rFonts w:hint="eastAsia"/>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①</w:t>
      </w:r>
      <w:r>
        <w:rPr>
          <w:rFonts w:hint="eastAsia"/>
          <w:color w:val="000000" w:themeColor="text1"/>
          <w14:textFill>
            <w14:solidFill>
              <w14:schemeClr w14:val="tx1"/>
            </w14:solidFill>
          </w14:textFill>
        </w:rPr>
        <w:fldChar w:fldCharType="end"/>
      </w:r>
    </w:p>
    <w:p w14:paraId="47B2E0CA">
      <w:pPr>
        <w:ind w:firstLine="0" w:firstLineChars="0"/>
        <w:sectPr>
          <w:pgSz w:w="16838" w:h="11906" w:orient="landscape"/>
          <w:pgMar w:top="1418" w:right="1418" w:bottom="1418" w:left="1418" w:header="851" w:footer="992" w:gutter="0"/>
          <w:cols w:space="425" w:num="1"/>
          <w:docGrid w:type="lines" w:linePitch="326" w:charSpace="0"/>
        </w:sectPr>
      </w:pPr>
    </w:p>
    <w:p w14:paraId="34668F68">
      <w:pPr>
        <w:spacing w:line="240" w:lineRule="auto"/>
        <w:ind w:firstLine="0" w:firstLineChars="0"/>
        <w:rPr>
          <w:color w:val="000000" w:themeColor="text1"/>
          <w14:textFill>
            <w14:solidFill>
              <w14:schemeClr w14:val="tx1"/>
            </w14:solidFill>
          </w14:textFill>
        </w:rPr>
      </w:pPr>
    </w:p>
    <w:sectPr>
      <w:pgSz w:w="11906" w:h="16838"/>
      <w:pgMar w:top="1418" w:right="1418" w:bottom="1418" w:left="141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SourceHanSansCN-Regular">
    <w:altName w:val="Sitka Text"/>
    <w:panose1 w:val="020B0500000000000000"/>
    <w:charset w:val="00"/>
    <w:family w:val="roman"/>
    <w:pitch w:val="default"/>
    <w:sig w:usb0="00000000" w:usb1="00000000" w:usb2="00000000" w:usb3="00000000" w:csb0="00000000" w:csb1="00000000"/>
  </w:font>
  <w:font w:name="Sitka Text">
    <w:panose1 w:val="00000000000000000000"/>
    <w:charset w:val="00"/>
    <w:family w:val="auto"/>
    <w:pitch w:val="default"/>
    <w:sig w:usb0="A00002EF" w:usb1="4000204B"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6250202"/>
    </w:sdtPr>
    <w:sdtContent>
      <w:p w14:paraId="166D97FE">
        <w:pPr>
          <w:pStyle w:val="14"/>
          <w:ind w:firstLine="360"/>
          <w:jc w:val="center"/>
        </w:pPr>
        <w:r>
          <w:fldChar w:fldCharType="begin"/>
        </w:r>
        <w:r>
          <w:instrText xml:space="preserve">PAGE   \* MERGEFORMAT</w:instrText>
        </w:r>
        <w:r>
          <w:fldChar w:fldCharType="separate"/>
        </w:r>
        <w:r>
          <w:rPr>
            <w:lang w:val="zh-CN"/>
          </w:rPr>
          <w:t>2</w:t>
        </w:r>
        <w:r>
          <w:fldChar w:fldCharType="end"/>
        </w:r>
      </w:p>
    </w:sdtContent>
  </w:sdt>
  <w:p w14:paraId="056CBB27">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1157">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0024C">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3189A">
    <w:pPr>
      <w:pStyle w:val="1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C4C9E">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B630">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813EA1"/>
    <w:multiLevelType w:val="singleLevel"/>
    <w:tmpl w:val="C9813EA1"/>
    <w:lvl w:ilvl="0" w:tentative="0">
      <w:start w:val="1"/>
      <w:numFmt w:val="decimal"/>
      <w:suff w:val="nothing"/>
      <w:lvlText w:val="（%1）"/>
      <w:lvlJc w:val="left"/>
    </w:lvl>
  </w:abstractNum>
  <w:abstractNum w:abstractNumId="1">
    <w:nsid w:val="556EF34F"/>
    <w:multiLevelType w:val="singleLevel"/>
    <w:tmpl w:val="556EF34F"/>
    <w:lvl w:ilvl="0" w:tentative="0">
      <w:start w:val="4"/>
      <w:numFmt w:val="chineseCounting"/>
      <w:suff w:val="nothing"/>
      <w:lvlText w:val="%1、"/>
      <w:lvlJc w:val="left"/>
      <w:rPr>
        <w:rFonts w:hint="eastAsia"/>
      </w:rPr>
    </w:lvl>
  </w:abstractNum>
  <w:abstractNum w:abstractNumId="2">
    <w:nsid w:val="68D08242"/>
    <w:multiLevelType w:val="singleLevel"/>
    <w:tmpl w:val="68D08242"/>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20"/>
  <w:drawingGridVerticalSpacing w:val="163"/>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mZGQ1YjY3YWE4ZjQxNzM3Mjc0MGM1ZTljYWMwNWUifQ=="/>
  </w:docVars>
  <w:rsids>
    <w:rsidRoot w:val="00E42F12"/>
    <w:rsid w:val="00000011"/>
    <w:rsid w:val="00002286"/>
    <w:rsid w:val="00003779"/>
    <w:rsid w:val="00004030"/>
    <w:rsid w:val="00004535"/>
    <w:rsid w:val="00005265"/>
    <w:rsid w:val="000056D4"/>
    <w:rsid w:val="00005DF0"/>
    <w:rsid w:val="00012585"/>
    <w:rsid w:val="00012DBF"/>
    <w:rsid w:val="000130B4"/>
    <w:rsid w:val="00014DD3"/>
    <w:rsid w:val="0001586B"/>
    <w:rsid w:val="000160E7"/>
    <w:rsid w:val="00016FF3"/>
    <w:rsid w:val="0002170E"/>
    <w:rsid w:val="00021755"/>
    <w:rsid w:val="00021FDB"/>
    <w:rsid w:val="00021FE2"/>
    <w:rsid w:val="000237FF"/>
    <w:rsid w:val="000248C0"/>
    <w:rsid w:val="000266FA"/>
    <w:rsid w:val="00027FF1"/>
    <w:rsid w:val="0003177B"/>
    <w:rsid w:val="00031848"/>
    <w:rsid w:val="00032722"/>
    <w:rsid w:val="000327C5"/>
    <w:rsid w:val="0003302B"/>
    <w:rsid w:val="000349C5"/>
    <w:rsid w:val="0003576B"/>
    <w:rsid w:val="00035924"/>
    <w:rsid w:val="00035D20"/>
    <w:rsid w:val="000364B9"/>
    <w:rsid w:val="00037528"/>
    <w:rsid w:val="00037CF2"/>
    <w:rsid w:val="00037FCA"/>
    <w:rsid w:val="000411C0"/>
    <w:rsid w:val="00041C54"/>
    <w:rsid w:val="0004324B"/>
    <w:rsid w:val="0004387D"/>
    <w:rsid w:val="00045D54"/>
    <w:rsid w:val="0004645A"/>
    <w:rsid w:val="00050209"/>
    <w:rsid w:val="00050507"/>
    <w:rsid w:val="000519C2"/>
    <w:rsid w:val="00051EF7"/>
    <w:rsid w:val="00052874"/>
    <w:rsid w:val="00052F50"/>
    <w:rsid w:val="00054033"/>
    <w:rsid w:val="0005404D"/>
    <w:rsid w:val="00054D84"/>
    <w:rsid w:val="00054F8E"/>
    <w:rsid w:val="00056938"/>
    <w:rsid w:val="00056A8A"/>
    <w:rsid w:val="00056C0A"/>
    <w:rsid w:val="000600E5"/>
    <w:rsid w:val="000609E8"/>
    <w:rsid w:val="00061F0E"/>
    <w:rsid w:val="00062122"/>
    <w:rsid w:val="00062845"/>
    <w:rsid w:val="000628AF"/>
    <w:rsid w:val="00062AB8"/>
    <w:rsid w:val="0006526E"/>
    <w:rsid w:val="000669FA"/>
    <w:rsid w:val="00070A73"/>
    <w:rsid w:val="00071688"/>
    <w:rsid w:val="00072560"/>
    <w:rsid w:val="00072D16"/>
    <w:rsid w:val="00073C72"/>
    <w:rsid w:val="00074946"/>
    <w:rsid w:val="00076335"/>
    <w:rsid w:val="000775A2"/>
    <w:rsid w:val="00077F08"/>
    <w:rsid w:val="0008065F"/>
    <w:rsid w:val="00081096"/>
    <w:rsid w:val="0008256C"/>
    <w:rsid w:val="00083888"/>
    <w:rsid w:val="00083AB0"/>
    <w:rsid w:val="00084A61"/>
    <w:rsid w:val="000859AF"/>
    <w:rsid w:val="00086278"/>
    <w:rsid w:val="00086C65"/>
    <w:rsid w:val="000872AF"/>
    <w:rsid w:val="0008776E"/>
    <w:rsid w:val="00087854"/>
    <w:rsid w:val="00087BF4"/>
    <w:rsid w:val="00090692"/>
    <w:rsid w:val="0009420A"/>
    <w:rsid w:val="00095045"/>
    <w:rsid w:val="000961C8"/>
    <w:rsid w:val="000962F1"/>
    <w:rsid w:val="000968DC"/>
    <w:rsid w:val="00097169"/>
    <w:rsid w:val="00097CE9"/>
    <w:rsid w:val="000A09CF"/>
    <w:rsid w:val="000A0DA6"/>
    <w:rsid w:val="000A16C0"/>
    <w:rsid w:val="000A356F"/>
    <w:rsid w:val="000A4135"/>
    <w:rsid w:val="000A717C"/>
    <w:rsid w:val="000B32BF"/>
    <w:rsid w:val="000B39CF"/>
    <w:rsid w:val="000B3CE8"/>
    <w:rsid w:val="000B4692"/>
    <w:rsid w:val="000B500D"/>
    <w:rsid w:val="000B5935"/>
    <w:rsid w:val="000B5B00"/>
    <w:rsid w:val="000C45A6"/>
    <w:rsid w:val="000C55C8"/>
    <w:rsid w:val="000C594F"/>
    <w:rsid w:val="000C607C"/>
    <w:rsid w:val="000C687E"/>
    <w:rsid w:val="000C697A"/>
    <w:rsid w:val="000D077A"/>
    <w:rsid w:val="000D09BC"/>
    <w:rsid w:val="000D14D9"/>
    <w:rsid w:val="000D3641"/>
    <w:rsid w:val="000D3E20"/>
    <w:rsid w:val="000D40CA"/>
    <w:rsid w:val="000D4E26"/>
    <w:rsid w:val="000D5774"/>
    <w:rsid w:val="000D5B2E"/>
    <w:rsid w:val="000D5D7A"/>
    <w:rsid w:val="000E0387"/>
    <w:rsid w:val="000E0C43"/>
    <w:rsid w:val="000E0D2C"/>
    <w:rsid w:val="000E0DBE"/>
    <w:rsid w:val="000E14AE"/>
    <w:rsid w:val="000E2AFB"/>
    <w:rsid w:val="000E3658"/>
    <w:rsid w:val="000E3DFE"/>
    <w:rsid w:val="000E4502"/>
    <w:rsid w:val="000E616F"/>
    <w:rsid w:val="000E689F"/>
    <w:rsid w:val="000E74D3"/>
    <w:rsid w:val="000E788A"/>
    <w:rsid w:val="000E7D66"/>
    <w:rsid w:val="000F0A6D"/>
    <w:rsid w:val="000F0E36"/>
    <w:rsid w:val="000F25D1"/>
    <w:rsid w:val="000F2784"/>
    <w:rsid w:val="000F5746"/>
    <w:rsid w:val="000F6582"/>
    <w:rsid w:val="0010013A"/>
    <w:rsid w:val="00100AA3"/>
    <w:rsid w:val="00100EE9"/>
    <w:rsid w:val="00101AE9"/>
    <w:rsid w:val="001027B0"/>
    <w:rsid w:val="00102FA5"/>
    <w:rsid w:val="00103BA8"/>
    <w:rsid w:val="001045D7"/>
    <w:rsid w:val="00106964"/>
    <w:rsid w:val="00106A93"/>
    <w:rsid w:val="00106CB6"/>
    <w:rsid w:val="00107019"/>
    <w:rsid w:val="0010703E"/>
    <w:rsid w:val="00107539"/>
    <w:rsid w:val="00110163"/>
    <w:rsid w:val="00111ACF"/>
    <w:rsid w:val="00112D08"/>
    <w:rsid w:val="00113737"/>
    <w:rsid w:val="00113A4E"/>
    <w:rsid w:val="00115FF4"/>
    <w:rsid w:val="00122519"/>
    <w:rsid w:val="00122B9C"/>
    <w:rsid w:val="00122C01"/>
    <w:rsid w:val="00124469"/>
    <w:rsid w:val="00124C3A"/>
    <w:rsid w:val="00125187"/>
    <w:rsid w:val="00126CA7"/>
    <w:rsid w:val="001272F9"/>
    <w:rsid w:val="00127DC9"/>
    <w:rsid w:val="00127E9B"/>
    <w:rsid w:val="0013118C"/>
    <w:rsid w:val="0013179F"/>
    <w:rsid w:val="0013262A"/>
    <w:rsid w:val="00133D69"/>
    <w:rsid w:val="0013450C"/>
    <w:rsid w:val="00134FB0"/>
    <w:rsid w:val="00135B37"/>
    <w:rsid w:val="00137693"/>
    <w:rsid w:val="001400F0"/>
    <w:rsid w:val="00140B06"/>
    <w:rsid w:val="00140BE3"/>
    <w:rsid w:val="00140ED3"/>
    <w:rsid w:val="00141580"/>
    <w:rsid w:val="00141C32"/>
    <w:rsid w:val="00142086"/>
    <w:rsid w:val="00144F14"/>
    <w:rsid w:val="00147436"/>
    <w:rsid w:val="00147671"/>
    <w:rsid w:val="00150368"/>
    <w:rsid w:val="001514EF"/>
    <w:rsid w:val="001525E9"/>
    <w:rsid w:val="00153C2C"/>
    <w:rsid w:val="00154EB9"/>
    <w:rsid w:val="00155A85"/>
    <w:rsid w:val="001563F4"/>
    <w:rsid w:val="00156A4B"/>
    <w:rsid w:val="00157B41"/>
    <w:rsid w:val="0016185C"/>
    <w:rsid w:val="00161F0E"/>
    <w:rsid w:val="00163D32"/>
    <w:rsid w:val="0016564D"/>
    <w:rsid w:val="00170127"/>
    <w:rsid w:val="00170CCF"/>
    <w:rsid w:val="0017156B"/>
    <w:rsid w:val="00172C3C"/>
    <w:rsid w:val="00174269"/>
    <w:rsid w:val="00174836"/>
    <w:rsid w:val="0017584A"/>
    <w:rsid w:val="001771FE"/>
    <w:rsid w:val="001800DE"/>
    <w:rsid w:val="001809DF"/>
    <w:rsid w:val="00181FEA"/>
    <w:rsid w:val="00184153"/>
    <w:rsid w:val="00184209"/>
    <w:rsid w:val="001867BD"/>
    <w:rsid w:val="001876D4"/>
    <w:rsid w:val="00191A72"/>
    <w:rsid w:val="00191AFA"/>
    <w:rsid w:val="00196C42"/>
    <w:rsid w:val="00196D29"/>
    <w:rsid w:val="00197517"/>
    <w:rsid w:val="0019788F"/>
    <w:rsid w:val="00197AF6"/>
    <w:rsid w:val="00197C10"/>
    <w:rsid w:val="001A028D"/>
    <w:rsid w:val="001A0652"/>
    <w:rsid w:val="001A1228"/>
    <w:rsid w:val="001A332C"/>
    <w:rsid w:val="001A3676"/>
    <w:rsid w:val="001A517C"/>
    <w:rsid w:val="001A5C10"/>
    <w:rsid w:val="001B0F5A"/>
    <w:rsid w:val="001B241E"/>
    <w:rsid w:val="001B3C53"/>
    <w:rsid w:val="001B49C0"/>
    <w:rsid w:val="001B545E"/>
    <w:rsid w:val="001C00EA"/>
    <w:rsid w:val="001C046A"/>
    <w:rsid w:val="001C25AB"/>
    <w:rsid w:val="001C26D5"/>
    <w:rsid w:val="001C2947"/>
    <w:rsid w:val="001C3F0F"/>
    <w:rsid w:val="001C4709"/>
    <w:rsid w:val="001C47D6"/>
    <w:rsid w:val="001C55A7"/>
    <w:rsid w:val="001C6CF0"/>
    <w:rsid w:val="001C78C0"/>
    <w:rsid w:val="001D1B30"/>
    <w:rsid w:val="001D21ED"/>
    <w:rsid w:val="001D2AB6"/>
    <w:rsid w:val="001D4639"/>
    <w:rsid w:val="001D6591"/>
    <w:rsid w:val="001D76AC"/>
    <w:rsid w:val="001E3F5A"/>
    <w:rsid w:val="001E3F90"/>
    <w:rsid w:val="001E57B0"/>
    <w:rsid w:val="001E63E1"/>
    <w:rsid w:val="001F03BE"/>
    <w:rsid w:val="001F053B"/>
    <w:rsid w:val="001F126F"/>
    <w:rsid w:val="001F15E0"/>
    <w:rsid w:val="001F242B"/>
    <w:rsid w:val="001F4530"/>
    <w:rsid w:val="001F513F"/>
    <w:rsid w:val="001F54DE"/>
    <w:rsid w:val="001F6630"/>
    <w:rsid w:val="001F7068"/>
    <w:rsid w:val="001F770F"/>
    <w:rsid w:val="001F7BD9"/>
    <w:rsid w:val="00200E7E"/>
    <w:rsid w:val="0020327D"/>
    <w:rsid w:val="00205049"/>
    <w:rsid w:val="00206E27"/>
    <w:rsid w:val="00207628"/>
    <w:rsid w:val="0021151F"/>
    <w:rsid w:val="00213442"/>
    <w:rsid w:val="002175B4"/>
    <w:rsid w:val="002177DE"/>
    <w:rsid w:val="0022108A"/>
    <w:rsid w:val="002217B7"/>
    <w:rsid w:val="00223ECF"/>
    <w:rsid w:val="00224EAE"/>
    <w:rsid w:val="00230B7A"/>
    <w:rsid w:val="002325F0"/>
    <w:rsid w:val="00232EE3"/>
    <w:rsid w:val="002330A8"/>
    <w:rsid w:val="00234038"/>
    <w:rsid w:val="00234985"/>
    <w:rsid w:val="00234FC5"/>
    <w:rsid w:val="00237524"/>
    <w:rsid w:val="00237638"/>
    <w:rsid w:val="00241253"/>
    <w:rsid w:val="0024130D"/>
    <w:rsid w:val="00242508"/>
    <w:rsid w:val="00242910"/>
    <w:rsid w:val="00242920"/>
    <w:rsid w:val="00243DD6"/>
    <w:rsid w:val="002449F5"/>
    <w:rsid w:val="00244A84"/>
    <w:rsid w:val="00245F3E"/>
    <w:rsid w:val="00246AC3"/>
    <w:rsid w:val="00247E0F"/>
    <w:rsid w:val="0025197C"/>
    <w:rsid w:val="00251B45"/>
    <w:rsid w:val="00252AB7"/>
    <w:rsid w:val="00253661"/>
    <w:rsid w:val="00254B65"/>
    <w:rsid w:val="00257B2D"/>
    <w:rsid w:val="0026086D"/>
    <w:rsid w:val="00261150"/>
    <w:rsid w:val="00261534"/>
    <w:rsid w:val="00261734"/>
    <w:rsid w:val="00261C8C"/>
    <w:rsid w:val="002628E7"/>
    <w:rsid w:val="00263C52"/>
    <w:rsid w:val="00263F77"/>
    <w:rsid w:val="002659C3"/>
    <w:rsid w:val="00266035"/>
    <w:rsid w:val="00267641"/>
    <w:rsid w:val="0026772D"/>
    <w:rsid w:val="00267D80"/>
    <w:rsid w:val="0027145F"/>
    <w:rsid w:val="002715AA"/>
    <w:rsid w:val="00273C80"/>
    <w:rsid w:val="00275464"/>
    <w:rsid w:val="00276984"/>
    <w:rsid w:val="00276B05"/>
    <w:rsid w:val="00277038"/>
    <w:rsid w:val="0028374E"/>
    <w:rsid w:val="00283E24"/>
    <w:rsid w:val="002840BF"/>
    <w:rsid w:val="002842F2"/>
    <w:rsid w:val="00284EEE"/>
    <w:rsid w:val="00285337"/>
    <w:rsid w:val="00286CD5"/>
    <w:rsid w:val="00287664"/>
    <w:rsid w:val="00287B11"/>
    <w:rsid w:val="002902FE"/>
    <w:rsid w:val="00292153"/>
    <w:rsid w:val="00292281"/>
    <w:rsid w:val="00292B69"/>
    <w:rsid w:val="00294330"/>
    <w:rsid w:val="00294993"/>
    <w:rsid w:val="00297212"/>
    <w:rsid w:val="002A042A"/>
    <w:rsid w:val="002A1838"/>
    <w:rsid w:val="002A1885"/>
    <w:rsid w:val="002A4249"/>
    <w:rsid w:val="002A42A3"/>
    <w:rsid w:val="002A52C3"/>
    <w:rsid w:val="002A5A64"/>
    <w:rsid w:val="002A758B"/>
    <w:rsid w:val="002A7BAE"/>
    <w:rsid w:val="002B0225"/>
    <w:rsid w:val="002B041C"/>
    <w:rsid w:val="002B0F2F"/>
    <w:rsid w:val="002B1AE5"/>
    <w:rsid w:val="002B1E75"/>
    <w:rsid w:val="002B2757"/>
    <w:rsid w:val="002B31DA"/>
    <w:rsid w:val="002B41A3"/>
    <w:rsid w:val="002B5377"/>
    <w:rsid w:val="002B6E2E"/>
    <w:rsid w:val="002B7823"/>
    <w:rsid w:val="002C1890"/>
    <w:rsid w:val="002C2E9B"/>
    <w:rsid w:val="002C30C8"/>
    <w:rsid w:val="002C32F0"/>
    <w:rsid w:val="002C3436"/>
    <w:rsid w:val="002C35D5"/>
    <w:rsid w:val="002C548A"/>
    <w:rsid w:val="002C7D80"/>
    <w:rsid w:val="002D05FE"/>
    <w:rsid w:val="002D09FB"/>
    <w:rsid w:val="002D1235"/>
    <w:rsid w:val="002D1557"/>
    <w:rsid w:val="002D2597"/>
    <w:rsid w:val="002D3227"/>
    <w:rsid w:val="002D38B5"/>
    <w:rsid w:val="002E0507"/>
    <w:rsid w:val="002E1991"/>
    <w:rsid w:val="002E2739"/>
    <w:rsid w:val="002E3523"/>
    <w:rsid w:val="002E409F"/>
    <w:rsid w:val="002E51B8"/>
    <w:rsid w:val="002E6022"/>
    <w:rsid w:val="002E669B"/>
    <w:rsid w:val="002E7B00"/>
    <w:rsid w:val="002F0424"/>
    <w:rsid w:val="002F10B3"/>
    <w:rsid w:val="002F1114"/>
    <w:rsid w:val="002F14A8"/>
    <w:rsid w:val="002F1E02"/>
    <w:rsid w:val="002F31A2"/>
    <w:rsid w:val="002F32CD"/>
    <w:rsid w:val="002F4570"/>
    <w:rsid w:val="002F49AA"/>
    <w:rsid w:val="002F6A79"/>
    <w:rsid w:val="002F72C6"/>
    <w:rsid w:val="00300168"/>
    <w:rsid w:val="00301427"/>
    <w:rsid w:val="003019BD"/>
    <w:rsid w:val="00301FC9"/>
    <w:rsid w:val="00302915"/>
    <w:rsid w:val="00303DCB"/>
    <w:rsid w:val="00304DB3"/>
    <w:rsid w:val="00304F9B"/>
    <w:rsid w:val="00306014"/>
    <w:rsid w:val="00306824"/>
    <w:rsid w:val="00306A16"/>
    <w:rsid w:val="00306C59"/>
    <w:rsid w:val="0030792D"/>
    <w:rsid w:val="0031039E"/>
    <w:rsid w:val="003124FA"/>
    <w:rsid w:val="00312A18"/>
    <w:rsid w:val="003159D1"/>
    <w:rsid w:val="00316575"/>
    <w:rsid w:val="0031727D"/>
    <w:rsid w:val="00326989"/>
    <w:rsid w:val="0033018D"/>
    <w:rsid w:val="0033153A"/>
    <w:rsid w:val="00332FCE"/>
    <w:rsid w:val="00334500"/>
    <w:rsid w:val="00340105"/>
    <w:rsid w:val="0034137C"/>
    <w:rsid w:val="00342850"/>
    <w:rsid w:val="00342D2F"/>
    <w:rsid w:val="00345831"/>
    <w:rsid w:val="00345A60"/>
    <w:rsid w:val="00346C47"/>
    <w:rsid w:val="00346F2B"/>
    <w:rsid w:val="0034758F"/>
    <w:rsid w:val="00347B82"/>
    <w:rsid w:val="00350B49"/>
    <w:rsid w:val="00351453"/>
    <w:rsid w:val="003521CE"/>
    <w:rsid w:val="0035236E"/>
    <w:rsid w:val="00352B51"/>
    <w:rsid w:val="0035300F"/>
    <w:rsid w:val="003534CC"/>
    <w:rsid w:val="003539B6"/>
    <w:rsid w:val="00354043"/>
    <w:rsid w:val="00354E73"/>
    <w:rsid w:val="00355E2F"/>
    <w:rsid w:val="00357764"/>
    <w:rsid w:val="003607D7"/>
    <w:rsid w:val="003612CC"/>
    <w:rsid w:val="0036141E"/>
    <w:rsid w:val="0036312C"/>
    <w:rsid w:val="0036646B"/>
    <w:rsid w:val="0037030F"/>
    <w:rsid w:val="00370547"/>
    <w:rsid w:val="00371C60"/>
    <w:rsid w:val="00371DA7"/>
    <w:rsid w:val="00371DC8"/>
    <w:rsid w:val="003722E7"/>
    <w:rsid w:val="00373473"/>
    <w:rsid w:val="00373857"/>
    <w:rsid w:val="00374131"/>
    <w:rsid w:val="0037455C"/>
    <w:rsid w:val="00374A3D"/>
    <w:rsid w:val="00375FED"/>
    <w:rsid w:val="0037631C"/>
    <w:rsid w:val="003766A2"/>
    <w:rsid w:val="0037695B"/>
    <w:rsid w:val="0038069E"/>
    <w:rsid w:val="00380F3C"/>
    <w:rsid w:val="00381127"/>
    <w:rsid w:val="003832E5"/>
    <w:rsid w:val="00383BAD"/>
    <w:rsid w:val="003852FF"/>
    <w:rsid w:val="00385E88"/>
    <w:rsid w:val="00386DBD"/>
    <w:rsid w:val="00387B52"/>
    <w:rsid w:val="003923AB"/>
    <w:rsid w:val="003930D9"/>
    <w:rsid w:val="0039373C"/>
    <w:rsid w:val="00397094"/>
    <w:rsid w:val="00397572"/>
    <w:rsid w:val="003A0F81"/>
    <w:rsid w:val="003A1468"/>
    <w:rsid w:val="003A41F8"/>
    <w:rsid w:val="003A46AA"/>
    <w:rsid w:val="003A4D1F"/>
    <w:rsid w:val="003A4E7D"/>
    <w:rsid w:val="003A6206"/>
    <w:rsid w:val="003A66A7"/>
    <w:rsid w:val="003A6B81"/>
    <w:rsid w:val="003A7B58"/>
    <w:rsid w:val="003B0000"/>
    <w:rsid w:val="003B24C0"/>
    <w:rsid w:val="003B2583"/>
    <w:rsid w:val="003B271F"/>
    <w:rsid w:val="003B27D1"/>
    <w:rsid w:val="003B3EC3"/>
    <w:rsid w:val="003B3F0B"/>
    <w:rsid w:val="003B4A96"/>
    <w:rsid w:val="003B6C75"/>
    <w:rsid w:val="003C27FE"/>
    <w:rsid w:val="003C3143"/>
    <w:rsid w:val="003C50D3"/>
    <w:rsid w:val="003C6629"/>
    <w:rsid w:val="003D04AB"/>
    <w:rsid w:val="003D0797"/>
    <w:rsid w:val="003D0E71"/>
    <w:rsid w:val="003D1F12"/>
    <w:rsid w:val="003D3881"/>
    <w:rsid w:val="003D5A40"/>
    <w:rsid w:val="003D622A"/>
    <w:rsid w:val="003D62D8"/>
    <w:rsid w:val="003D69B7"/>
    <w:rsid w:val="003D6AB1"/>
    <w:rsid w:val="003D76C4"/>
    <w:rsid w:val="003E0882"/>
    <w:rsid w:val="003E0EF6"/>
    <w:rsid w:val="003E14F4"/>
    <w:rsid w:val="003E166C"/>
    <w:rsid w:val="003E1903"/>
    <w:rsid w:val="003E22EA"/>
    <w:rsid w:val="003E37E1"/>
    <w:rsid w:val="003E401B"/>
    <w:rsid w:val="003F009C"/>
    <w:rsid w:val="003F517C"/>
    <w:rsid w:val="003F5D06"/>
    <w:rsid w:val="003F5D89"/>
    <w:rsid w:val="003F6C63"/>
    <w:rsid w:val="003F7AAA"/>
    <w:rsid w:val="003F7CB4"/>
    <w:rsid w:val="00400F25"/>
    <w:rsid w:val="00402C40"/>
    <w:rsid w:val="00405893"/>
    <w:rsid w:val="004058C1"/>
    <w:rsid w:val="004058F1"/>
    <w:rsid w:val="00406D7C"/>
    <w:rsid w:val="004070D6"/>
    <w:rsid w:val="00410700"/>
    <w:rsid w:val="00411712"/>
    <w:rsid w:val="004118E7"/>
    <w:rsid w:val="00412928"/>
    <w:rsid w:val="0041320B"/>
    <w:rsid w:val="00414274"/>
    <w:rsid w:val="0041522F"/>
    <w:rsid w:val="00416768"/>
    <w:rsid w:val="00416C98"/>
    <w:rsid w:val="0042083B"/>
    <w:rsid w:val="00422BA5"/>
    <w:rsid w:val="00426CAC"/>
    <w:rsid w:val="004312A4"/>
    <w:rsid w:val="004331BA"/>
    <w:rsid w:val="0043495C"/>
    <w:rsid w:val="004401C9"/>
    <w:rsid w:val="004405B2"/>
    <w:rsid w:val="00440BCD"/>
    <w:rsid w:val="00441CEC"/>
    <w:rsid w:val="00441D59"/>
    <w:rsid w:val="00441DA4"/>
    <w:rsid w:val="00442351"/>
    <w:rsid w:val="00445225"/>
    <w:rsid w:val="004453B8"/>
    <w:rsid w:val="00446F06"/>
    <w:rsid w:val="0044715A"/>
    <w:rsid w:val="004479AA"/>
    <w:rsid w:val="00451CA4"/>
    <w:rsid w:val="00451E96"/>
    <w:rsid w:val="00452228"/>
    <w:rsid w:val="0045351B"/>
    <w:rsid w:val="00454D13"/>
    <w:rsid w:val="00462FF4"/>
    <w:rsid w:val="004636BC"/>
    <w:rsid w:val="00464F5E"/>
    <w:rsid w:val="00465EC6"/>
    <w:rsid w:val="004676A2"/>
    <w:rsid w:val="00467E5C"/>
    <w:rsid w:val="00470FB2"/>
    <w:rsid w:val="00471443"/>
    <w:rsid w:val="00471DFD"/>
    <w:rsid w:val="00471E42"/>
    <w:rsid w:val="00473BF6"/>
    <w:rsid w:val="0047455E"/>
    <w:rsid w:val="00474B98"/>
    <w:rsid w:val="00475086"/>
    <w:rsid w:val="00475945"/>
    <w:rsid w:val="004767D7"/>
    <w:rsid w:val="00476D6E"/>
    <w:rsid w:val="00477FFB"/>
    <w:rsid w:val="004816DF"/>
    <w:rsid w:val="0048229B"/>
    <w:rsid w:val="004823AE"/>
    <w:rsid w:val="004840F0"/>
    <w:rsid w:val="0048461C"/>
    <w:rsid w:val="00485F15"/>
    <w:rsid w:val="0048668A"/>
    <w:rsid w:val="00486C05"/>
    <w:rsid w:val="004871D4"/>
    <w:rsid w:val="00490127"/>
    <w:rsid w:val="0049021A"/>
    <w:rsid w:val="00490BC9"/>
    <w:rsid w:val="004910A5"/>
    <w:rsid w:val="0049159B"/>
    <w:rsid w:val="0049199F"/>
    <w:rsid w:val="004924EB"/>
    <w:rsid w:val="004935E3"/>
    <w:rsid w:val="00493A59"/>
    <w:rsid w:val="00494019"/>
    <w:rsid w:val="0049417A"/>
    <w:rsid w:val="00495766"/>
    <w:rsid w:val="00495BAE"/>
    <w:rsid w:val="00496636"/>
    <w:rsid w:val="004A09A3"/>
    <w:rsid w:val="004A1554"/>
    <w:rsid w:val="004A1713"/>
    <w:rsid w:val="004A18B7"/>
    <w:rsid w:val="004A2251"/>
    <w:rsid w:val="004A22D3"/>
    <w:rsid w:val="004A2635"/>
    <w:rsid w:val="004A2A5B"/>
    <w:rsid w:val="004A3E41"/>
    <w:rsid w:val="004A55C6"/>
    <w:rsid w:val="004A5AB3"/>
    <w:rsid w:val="004A7FA0"/>
    <w:rsid w:val="004B1422"/>
    <w:rsid w:val="004B1FAB"/>
    <w:rsid w:val="004B268A"/>
    <w:rsid w:val="004B46C2"/>
    <w:rsid w:val="004B4869"/>
    <w:rsid w:val="004B5290"/>
    <w:rsid w:val="004B5DD7"/>
    <w:rsid w:val="004B600A"/>
    <w:rsid w:val="004B71E0"/>
    <w:rsid w:val="004B750A"/>
    <w:rsid w:val="004C15F7"/>
    <w:rsid w:val="004C2F72"/>
    <w:rsid w:val="004C3CAA"/>
    <w:rsid w:val="004C54C7"/>
    <w:rsid w:val="004D32B9"/>
    <w:rsid w:val="004D37E1"/>
    <w:rsid w:val="004D4A63"/>
    <w:rsid w:val="004D77AC"/>
    <w:rsid w:val="004D7AAB"/>
    <w:rsid w:val="004D7CD6"/>
    <w:rsid w:val="004D7D95"/>
    <w:rsid w:val="004E0168"/>
    <w:rsid w:val="004E03A2"/>
    <w:rsid w:val="004E0BAC"/>
    <w:rsid w:val="004E0E80"/>
    <w:rsid w:val="004E2E79"/>
    <w:rsid w:val="004E3CA4"/>
    <w:rsid w:val="004E48DF"/>
    <w:rsid w:val="004E5951"/>
    <w:rsid w:val="004E5EF6"/>
    <w:rsid w:val="004F05F6"/>
    <w:rsid w:val="004F096C"/>
    <w:rsid w:val="004F144C"/>
    <w:rsid w:val="004F1625"/>
    <w:rsid w:val="004F19A4"/>
    <w:rsid w:val="004F2564"/>
    <w:rsid w:val="004F2FB8"/>
    <w:rsid w:val="004F38A7"/>
    <w:rsid w:val="004F4664"/>
    <w:rsid w:val="004F67C6"/>
    <w:rsid w:val="004F6F98"/>
    <w:rsid w:val="005024DE"/>
    <w:rsid w:val="00503156"/>
    <w:rsid w:val="005031B1"/>
    <w:rsid w:val="0050444C"/>
    <w:rsid w:val="00504516"/>
    <w:rsid w:val="00504648"/>
    <w:rsid w:val="00505A34"/>
    <w:rsid w:val="0050730B"/>
    <w:rsid w:val="005113B6"/>
    <w:rsid w:val="00511726"/>
    <w:rsid w:val="00511977"/>
    <w:rsid w:val="0051224A"/>
    <w:rsid w:val="00512696"/>
    <w:rsid w:val="00513D0D"/>
    <w:rsid w:val="005147D1"/>
    <w:rsid w:val="00515082"/>
    <w:rsid w:val="00516F90"/>
    <w:rsid w:val="00517564"/>
    <w:rsid w:val="00517CD4"/>
    <w:rsid w:val="00517FAF"/>
    <w:rsid w:val="0052046B"/>
    <w:rsid w:val="00520884"/>
    <w:rsid w:val="005222D4"/>
    <w:rsid w:val="005233D9"/>
    <w:rsid w:val="00523A0F"/>
    <w:rsid w:val="00523DBD"/>
    <w:rsid w:val="00524009"/>
    <w:rsid w:val="00525A07"/>
    <w:rsid w:val="00525C90"/>
    <w:rsid w:val="00530065"/>
    <w:rsid w:val="00530983"/>
    <w:rsid w:val="00530D48"/>
    <w:rsid w:val="00531B3F"/>
    <w:rsid w:val="0053457C"/>
    <w:rsid w:val="00535E21"/>
    <w:rsid w:val="00536C50"/>
    <w:rsid w:val="00536F56"/>
    <w:rsid w:val="00536FB9"/>
    <w:rsid w:val="0053778C"/>
    <w:rsid w:val="00541E52"/>
    <w:rsid w:val="00543D97"/>
    <w:rsid w:val="00544539"/>
    <w:rsid w:val="005457F1"/>
    <w:rsid w:val="0054723A"/>
    <w:rsid w:val="00547A5E"/>
    <w:rsid w:val="00547B64"/>
    <w:rsid w:val="0055066E"/>
    <w:rsid w:val="00550851"/>
    <w:rsid w:val="00550A05"/>
    <w:rsid w:val="00550C62"/>
    <w:rsid w:val="005513EB"/>
    <w:rsid w:val="005526DB"/>
    <w:rsid w:val="0055534B"/>
    <w:rsid w:val="00556D9D"/>
    <w:rsid w:val="005603F4"/>
    <w:rsid w:val="00560543"/>
    <w:rsid w:val="00561D94"/>
    <w:rsid w:val="005629A2"/>
    <w:rsid w:val="00564125"/>
    <w:rsid w:val="00565EC7"/>
    <w:rsid w:val="0057035A"/>
    <w:rsid w:val="005705B7"/>
    <w:rsid w:val="00570A4F"/>
    <w:rsid w:val="00570B3F"/>
    <w:rsid w:val="00573212"/>
    <w:rsid w:val="00573333"/>
    <w:rsid w:val="00573866"/>
    <w:rsid w:val="005739BB"/>
    <w:rsid w:val="00580629"/>
    <w:rsid w:val="005815BE"/>
    <w:rsid w:val="0058257F"/>
    <w:rsid w:val="0058296B"/>
    <w:rsid w:val="0058361A"/>
    <w:rsid w:val="005866C1"/>
    <w:rsid w:val="00586ABD"/>
    <w:rsid w:val="005870DC"/>
    <w:rsid w:val="005871CE"/>
    <w:rsid w:val="00590233"/>
    <w:rsid w:val="0059077C"/>
    <w:rsid w:val="005911F2"/>
    <w:rsid w:val="00594932"/>
    <w:rsid w:val="00594B37"/>
    <w:rsid w:val="00595F95"/>
    <w:rsid w:val="00597984"/>
    <w:rsid w:val="005A029F"/>
    <w:rsid w:val="005A0AE4"/>
    <w:rsid w:val="005A1029"/>
    <w:rsid w:val="005A1A27"/>
    <w:rsid w:val="005A2E86"/>
    <w:rsid w:val="005A4AB8"/>
    <w:rsid w:val="005A584A"/>
    <w:rsid w:val="005A588D"/>
    <w:rsid w:val="005A5B31"/>
    <w:rsid w:val="005A6AFD"/>
    <w:rsid w:val="005A6E84"/>
    <w:rsid w:val="005A78C7"/>
    <w:rsid w:val="005B0A0E"/>
    <w:rsid w:val="005B0A36"/>
    <w:rsid w:val="005B1123"/>
    <w:rsid w:val="005B1625"/>
    <w:rsid w:val="005B1658"/>
    <w:rsid w:val="005B3063"/>
    <w:rsid w:val="005B3818"/>
    <w:rsid w:val="005B4AAF"/>
    <w:rsid w:val="005B4F15"/>
    <w:rsid w:val="005B5EC9"/>
    <w:rsid w:val="005B6B40"/>
    <w:rsid w:val="005B7140"/>
    <w:rsid w:val="005B7F7D"/>
    <w:rsid w:val="005C0884"/>
    <w:rsid w:val="005C11E8"/>
    <w:rsid w:val="005C1CAE"/>
    <w:rsid w:val="005C3DC1"/>
    <w:rsid w:val="005C4622"/>
    <w:rsid w:val="005C5033"/>
    <w:rsid w:val="005C560B"/>
    <w:rsid w:val="005C6018"/>
    <w:rsid w:val="005C6564"/>
    <w:rsid w:val="005C6AC4"/>
    <w:rsid w:val="005D4B52"/>
    <w:rsid w:val="005D6E9F"/>
    <w:rsid w:val="005D6EB3"/>
    <w:rsid w:val="005E0500"/>
    <w:rsid w:val="005E1BB2"/>
    <w:rsid w:val="005E2335"/>
    <w:rsid w:val="005E270C"/>
    <w:rsid w:val="005E3115"/>
    <w:rsid w:val="005E38FF"/>
    <w:rsid w:val="005E41AD"/>
    <w:rsid w:val="005E4E49"/>
    <w:rsid w:val="005E51B2"/>
    <w:rsid w:val="005E5B92"/>
    <w:rsid w:val="005F0EB7"/>
    <w:rsid w:val="005F3B62"/>
    <w:rsid w:val="005F6AAC"/>
    <w:rsid w:val="005F7203"/>
    <w:rsid w:val="005F748D"/>
    <w:rsid w:val="00600893"/>
    <w:rsid w:val="00600D09"/>
    <w:rsid w:val="00601DD1"/>
    <w:rsid w:val="00602632"/>
    <w:rsid w:val="006038BD"/>
    <w:rsid w:val="006047A3"/>
    <w:rsid w:val="00604FB6"/>
    <w:rsid w:val="00606443"/>
    <w:rsid w:val="006074B2"/>
    <w:rsid w:val="00611D7F"/>
    <w:rsid w:val="00613B39"/>
    <w:rsid w:val="00614E25"/>
    <w:rsid w:val="0061766A"/>
    <w:rsid w:val="00617885"/>
    <w:rsid w:val="006231CB"/>
    <w:rsid w:val="0062383B"/>
    <w:rsid w:val="00623F38"/>
    <w:rsid w:val="006240CC"/>
    <w:rsid w:val="00625D65"/>
    <w:rsid w:val="006274B2"/>
    <w:rsid w:val="00631FD5"/>
    <w:rsid w:val="00632266"/>
    <w:rsid w:val="00634765"/>
    <w:rsid w:val="00635CCB"/>
    <w:rsid w:val="006378D9"/>
    <w:rsid w:val="00637F7C"/>
    <w:rsid w:val="00640025"/>
    <w:rsid w:val="00640350"/>
    <w:rsid w:val="006411CD"/>
    <w:rsid w:val="00641599"/>
    <w:rsid w:val="00641DA4"/>
    <w:rsid w:val="00642E19"/>
    <w:rsid w:val="00643238"/>
    <w:rsid w:val="006436E6"/>
    <w:rsid w:val="00643805"/>
    <w:rsid w:val="0064423E"/>
    <w:rsid w:val="0064532C"/>
    <w:rsid w:val="006457D2"/>
    <w:rsid w:val="006458ED"/>
    <w:rsid w:val="006464A4"/>
    <w:rsid w:val="00647DBF"/>
    <w:rsid w:val="00647F0F"/>
    <w:rsid w:val="00652F16"/>
    <w:rsid w:val="0065502C"/>
    <w:rsid w:val="0065521B"/>
    <w:rsid w:val="00655841"/>
    <w:rsid w:val="00656195"/>
    <w:rsid w:val="00656196"/>
    <w:rsid w:val="00656A6B"/>
    <w:rsid w:val="006571AD"/>
    <w:rsid w:val="0065761B"/>
    <w:rsid w:val="0065783B"/>
    <w:rsid w:val="00661598"/>
    <w:rsid w:val="00662618"/>
    <w:rsid w:val="00663B4B"/>
    <w:rsid w:val="00663DF6"/>
    <w:rsid w:val="0066575E"/>
    <w:rsid w:val="006665FD"/>
    <w:rsid w:val="00666907"/>
    <w:rsid w:val="00670021"/>
    <w:rsid w:val="006722BC"/>
    <w:rsid w:val="00672541"/>
    <w:rsid w:val="0067311C"/>
    <w:rsid w:val="00674102"/>
    <w:rsid w:val="006743E3"/>
    <w:rsid w:val="00674D05"/>
    <w:rsid w:val="00676828"/>
    <w:rsid w:val="00676BF1"/>
    <w:rsid w:val="006772BD"/>
    <w:rsid w:val="00677932"/>
    <w:rsid w:val="00680023"/>
    <w:rsid w:val="00680B8B"/>
    <w:rsid w:val="00681A78"/>
    <w:rsid w:val="00682226"/>
    <w:rsid w:val="006825B7"/>
    <w:rsid w:val="00684BE9"/>
    <w:rsid w:val="00685551"/>
    <w:rsid w:val="00686472"/>
    <w:rsid w:val="00690A72"/>
    <w:rsid w:val="0069161E"/>
    <w:rsid w:val="00694B48"/>
    <w:rsid w:val="00695397"/>
    <w:rsid w:val="006A011B"/>
    <w:rsid w:val="006A1660"/>
    <w:rsid w:val="006A1CA2"/>
    <w:rsid w:val="006A2351"/>
    <w:rsid w:val="006A246E"/>
    <w:rsid w:val="006A2606"/>
    <w:rsid w:val="006A3923"/>
    <w:rsid w:val="006A7329"/>
    <w:rsid w:val="006B08A5"/>
    <w:rsid w:val="006B3590"/>
    <w:rsid w:val="006B4B11"/>
    <w:rsid w:val="006B4F7C"/>
    <w:rsid w:val="006B5AA6"/>
    <w:rsid w:val="006B642C"/>
    <w:rsid w:val="006C4F1B"/>
    <w:rsid w:val="006C4F77"/>
    <w:rsid w:val="006C5989"/>
    <w:rsid w:val="006C6BB8"/>
    <w:rsid w:val="006C72E3"/>
    <w:rsid w:val="006D037D"/>
    <w:rsid w:val="006D0D12"/>
    <w:rsid w:val="006D2214"/>
    <w:rsid w:val="006D2E72"/>
    <w:rsid w:val="006D3AE5"/>
    <w:rsid w:val="006D4DE8"/>
    <w:rsid w:val="006E1764"/>
    <w:rsid w:val="006E1BD4"/>
    <w:rsid w:val="006E27EF"/>
    <w:rsid w:val="006E2B7C"/>
    <w:rsid w:val="006E414F"/>
    <w:rsid w:val="006E531C"/>
    <w:rsid w:val="006E688E"/>
    <w:rsid w:val="006E6BF7"/>
    <w:rsid w:val="006F0A8C"/>
    <w:rsid w:val="006F0F02"/>
    <w:rsid w:val="006F193C"/>
    <w:rsid w:val="006F2613"/>
    <w:rsid w:val="006F4346"/>
    <w:rsid w:val="006F50FA"/>
    <w:rsid w:val="006F7C72"/>
    <w:rsid w:val="00700C5F"/>
    <w:rsid w:val="007024E4"/>
    <w:rsid w:val="00703A30"/>
    <w:rsid w:val="007047F9"/>
    <w:rsid w:val="007071C6"/>
    <w:rsid w:val="0071250D"/>
    <w:rsid w:val="00714C7E"/>
    <w:rsid w:val="00715243"/>
    <w:rsid w:val="0071575B"/>
    <w:rsid w:val="00717468"/>
    <w:rsid w:val="00720478"/>
    <w:rsid w:val="007229EB"/>
    <w:rsid w:val="0072337A"/>
    <w:rsid w:val="00723E19"/>
    <w:rsid w:val="00723F5E"/>
    <w:rsid w:val="00724480"/>
    <w:rsid w:val="00725CA6"/>
    <w:rsid w:val="0072664C"/>
    <w:rsid w:val="00726961"/>
    <w:rsid w:val="00726CDE"/>
    <w:rsid w:val="00727360"/>
    <w:rsid w:val="00730483"/>
    <w:rsid w:val="007304BB"/>
    <w:rsid w:val="00730C13"/>
    <w:rsid w:val="00731203"/>
    <w:rsid w:val="0073124E"/>
    <w:rsid w:val="00731892"/>
    <w:rsid w:val="00731F89"/>
    <w:rsid w:val="00732D96"/>
    <w:rsid w:val="007339A5"/>
    <w:rsid w:val="00733DDA"/>
    <w:rsid w:val="007349F3"/>
    <w:rsid w:val="00734D01"/>
    <w:rsid w:val="00735422"/>
    <w:rsid w:val="00735804"/>
    <w:rsid w:val="00735860"/>
    <w:rsid w:val="0073707D"/>
    <w:rsid w:val="00737E39"/>
    <w:rsid w:val="00737FFA"/>
    <w:rsid w:val="00740E89"/>
    <w:rsid w:val="00740FF4"/>
    <w:rsid w:val="00741601"/>
    <w:rsid w:val="00742E19"/>
    <w:rsid w:val="007435A8"/>
    <w:rsid w:val="00743B0D"/>
    <w:rsid w:val="00744E76"/>
    <w:rsid w:val="00744F2A"/>
    <w:rsid w:val="007458AA"/>
    <w:rsid w:val="00747643"/>
    <w:rsid w:val="00750F64"/>
    <w:rsid w:val="00751EBD"/>
    <w:rsid w:val="00752214"/>
    <w:rsid w:val="0075223F"/>
    <w:rsid w:val="00752975"/>
    <w:rsid w:val="00753CE9"/>
    <w:rsid w:val="007545C8"/>
    <w:rsid w:val="0075487A"/>
    <w:rsid w:val="00754EE4"/>
    <w:rsid w:val="00755750"/>
    <w:rsid w:val="007568B5"/>
    <w:rsid w:val="00756C72"/>
    <w:rsid w:val="00760554"/>
    <w:rsid w:val="00760F3E"/>
    <w:rsid w:val="00761F12"/>
    <w:rsid w:val="0076206E"/>
    <w:rsid w:val="00763FF1"/>
    <w:rsid w:val="00764099"/>
    <w:rsid w:val="00764E8A"/>
    <w:rsid w:val="00764F69"/>
    <w:rsid w:val="00765CD0"/>
    <w:rsid w:val="00766170"/>
    <w:rsid w:val="0076683F"/>
    <w:rsid w:val="00766A90"/>
    <w:rsid w:val="00767C1F"/>
    <w:rsid w:val="007704F1"/>
    <w:rsid w:val="0077133C"/>
    <w:rsid w:val="00771B7B"/>
    <w:rsid w:val="00774A0B"/>
    <w:rsid w:val="007755D7"/>
    <w:rsid w:val="00775C2D"/>
    <w:rsid w:val="00776818"/>
    <w:rsid w:val="007779AE"/>
    <w:rsid w:val="007806CA"/>
    <w:rsid w:val="00780A71"/>
    <w:rsid w:val="00783ACD"/>
    <w:rsid w:val="0078405D"/>
    <w:rsid w:val="00786407"/>
    <w:rsid w:val="00786ED8"/>
    <w:rsid w:val="00787E55"/>
    <w:rsid w:val="007901A6"/>
    <w:rsid w:val="00790CCE"/>
    <w:rsid w:val="00792DE2"/>
    <w:rsid w:val="00793E20"/>
    <w:rsid w:val="00794255"/>
    <w:rsid w:val="00795434"/>
    <w:rsid w:val="007959A4"/>
    <w:rsid w:val="00795F32"/>
    <w:rsid w:val="007965BB"/>
    <w:rsid w:val="007969F1"/>
    <w:rsid w:val="007975AA"/>
    <w:rsid w:val="007A0BD3"/>
    <w:rsid w:val="007A1BD3"/>
    <w:rsid w:val="007A2AEC"/>
    <w:rsid w:val="007A3434"/>
    <w:rsid w:val="007A36D3"/>
    <w:rsid w:val="007A3CAF"/>
    <w:rsid w:val="007A45D6"/>
    <w:rsid w:val="007A685C"/>
    <w:rsid w:val="007A6A8F"/>
    <w:rsid w:val="007A7576"/>
    <w:rsid w:val="007B0516"/>
    <w:rsid w:val="007B0749"/>
    <w:rsid w:val="007B0C17"/>
    <w:rsid w:val="007B1C83"/>
    <w:rsid w:val="007B4AE4"/>
    <w:rsid w:val="007B4C0D"/>
    <w:rsid w:val="007B7D9C"/>
    <w:rsid w:val="007C180C"/>
    <w:rsid w:val="007C2382"/>
    <w:rsid w:val="007C3BE8"/>
    <w:rsid w:val="007C4D8D"/>
    <w:rsid w:val="007C6063"/>
    <w:rsid w:val="007D02DA"/>
    <w:rsid w:val="007D0B48"/>
    <w:rsid w:val="007D1417"/>
    <w:rsid w:val="007D1744"/>
    <w:rsid w:val="007D255A"/>
    <w:rsid w:val="007D25C3"/>
    <w:rsid w:val="007D39BC"/>
    <w:rsid w:val="007D526B"/>
    <w:rsid w:val="007D5E5A"/>
    <w:rsid w:val="007E0384"/>
    <w:rsid w:val="007E170A"/>
    <w:rsid w:val="007E1DDD"/>
    <w:rsid w:val="007E22F9"/>
    <w:rsid w:val="007E333B"/>
    <w:rsid w:val="007E39F8"/>
    <w:rsid w:val="007E4A63"/>
    <w:rsid w:val="007E66B4"/>
    <w:rsid w:val="007E76A0"/>
    <w:rsid w:val="007E7FD5"/>
    <w:rsid w:val="007F004D"/>
    <w:rsid w:val="007F0104"/>
    <w:rsid w:val="007F01D6"/>
    <w:rsid w:val="007F1894"/>
    <w:rsid w:val="007F2A7B"/>
    <w:rsid w:val="007F3D3D"/>
    <w:rsid w:val="007F41B5"/>
    <w:rsid w:val="007F4C8D"/>
    <w:rsid w:val="007F58E6"/>
    <w:rsid w:val="007F7D6A"/>
    <w:rsid w:val="0080019E"/>
    <w:rsid w:val="00801029"/>
    <w:rsid w:val="00802B53"/>
    <w:rsid w:val="0080374E"/>
    <w:rsid w:val="0080636B"/>
    <w:rsid w:val="008066AE"/>
    <w:rsid w:val="0080677C"/>
    <w:rsid w:val="00806A2F"/>
    <w:rsid w:val="0081059E"/>
    <w:rsid w:val="00810713"/>
    <w:rsid w:val="00810933"/>
    <w:rsid w:val="00810D97"/>
    <w:rsid w:val="00810F73"/>
    <w:rsid w:val="0081535B"/>
    <w:rsid w:val="00815582"/>
    <w:rsid w:val="00815EB0"/>
    <w:rsid w:val="00815F4F"/>
    <w:rsid w:val="00816A88"/>
    <w:rsid w:val="00820C51"/>
    <w:rsid w:val="00822E93"/>
    <w:rsid w:val="0082341B"/>
    <w:rsid w:val="00823BE5"/>
    <w:rsid w:val="0082470E"/>
    <w:rsid w:val="00825BFE"/>
    <w:rsid w:val="0082768C"/>
    <w:rsid w:val="008303A0"/>
    <w:rsid w:val="00830B71"/>
    <w:rsid w:val="00834045"/>
    <w:rsid w:val="00834C99"/>
    <w:rsid w:val="00836330"/>
    <w:rsid w:val="00836CF0"/>
    <w:rsid w:val="00836F73"/>
    <w:rsid w:val="0083764E"/>
    <w:rsid w:val="00842D24"/>
    <w:rsid w:val="008432D0"/>
    <w:rsid w:val="0084428A"/>
    <w:rsid w:val="00845787"/>
    <w:rsid w:val="00845C44"/>
    <w:rsid w:val="008471BD"/>
    <w:rsid w:val="0084782A"/>
    <w:rsid w:val="00850940"/>
    <w:rsid w:val="00850C7B"/>
    <w:rsid w:val="008513CC"/>
    <w:rsid w:val="008514A3"/>
    <w:rsid w:val="00852D7E"/>
    <w:rsid w:val="00853AFF"/>
    <w:rsid w:val="008565E3"/>
    <w:rsid w:val="00856B4E"/>
    <w:rsid w:val="00857E44"/>
    <w:rsid w:val="0086077D"/>
    <w:rsid w:val="008607CE"/>
    <w:rsid w:val="0086249A"/>
    <w:rsid w:val="008627E4"/>
    <w:rsid w:val="00864FC5"/>
    <w:rsid w:val="00865415"/>
    <w:rsid w:val="00866710"/>
    <w:rsid w:val="0087030D"/>
    <w:rsid w:val="00870B19"/>
    <w:rsid w:val="0087675D"/>
    <w:rsid w:val="00877837"/>
    <w:rsid w:val="00880C56"/>
    <w:rsid w:val="008826F1"/>
    <w:rsid w:val="008834CC"/>
    <w:rsid w:val="00883C8E"/>
    <w:rsid w:val="00884497"/>
    <w:rsid w:val="008854F8"/>
    <w:rsid w:val="00886F2A"/>
    <w:rsid w:val="00891D24"/>
    <w:rsid w:val="00892596"/>
    <w:rsid w:val="00893A6E"/>
    <w:rsid w:val="0089417E"/>
    <w:rsid w:val="00894D2A"/>
    <w:rsid w:val="008966E8"/>
    <w:rsid w:val="00897A96"/>
    <w:rsid w:val="008A0DBE"/>
    <w:rsid w:val="008A2967"/>
    <w:rsid w:val="008A30DB"/>
    <w:rsid w:val="008A3C45"/>
    <w:rsid w:val="008A4CEE"/>
    <w:rsid w:val="008A5569"/>
    <w:rsid w:val="008A5D14"/>
    <w:rsid w:val="008A6CDC"/>
    <w:rsid w:val="008A7F3B"/>
    <w:rsid w:val="008B0BEB"/>
    <w:rsid w:val="008B105E"/>
    <w:rsid w:val="008B3EC9"/>
    <w:rsid w:val="008B40D9"/>
    <w:rsid w:val="008B4141"/>
    <w:rsid w:val="008B4A93"/>
    <w:rsid w:val="008C313E"/>
    <w:rsid w:val="008C3692"/>
    <w:rsid w:val="008C702D"/>
    <w:rsid w:val="008C706F"/>
    <w:rsid w:val="008C77C8"/>
    <w:rsid w:val="008D0517"/>
    <w:rsid w:val="008D241D"/>
    <w:rsid w:val="008D27F0"/>
    <w:rsid w:val="008D42DA"/>
    <w:rsid w:val="008D4330"/>
    <w:rsid w:val="008D7741"/>
    <w:rsid w:val="008D7B2A"/>
    <w:rsid w:val="008D7BAA"/>
    <w:rsid w:val="008E0EB6"/>
    <w:rsid w:val="008E1DF0"/>
    <w:rsid w:val="008E30B1"/>
    <w:rsid w:val="008E4592"/>
    <w:rsid w:val="008E4FB9"/>
    <w:rsid w:val="008E601C"/>
    <w:rsid w:val="008F0F84"/>
    <w:rsid w:val="008F10AF"/>
    <w:rsid w:val="008F3305"/>
    <w:rsid w:val="008F38EB"/>
    <w:rsid w:val="008F468C"/>
    <w:rsid w:val="008F5370"/>
    <w:rsid w:val="008F6533"/>
    <w:rsid w:val="00901016"/>
    <w:rsid w:val="00901CB0"/>
    <w:rsid w:val="00901D02"/>
    <w:rsid w:val="00902070"/>
    <w:rsid w:val="00902464"/>
    <w:rsid w:val="009027CD"/>
    <w:rsid w:val="00902F2E"/>
    <w:rsid w:val="00904206"/>
    <w:rsid w:val="00904AB7"/>
    <w:rsid w:val="00906DFB"/>
    <w:rsid w:val="00910194"/>
    <w:rsid w:val="00913814"/>
    <w:rsid w:val="0091407A"/>
    <w:rsid w:val="00914650"/>
    <w:rsid w:val="00915BF6"/>
    <w:rsid w:val="00915C5C"/>
    <w:rsid w:val="00916E15"/>
    <w:rsid w:val="00917800"/>
    <w:rsid w:val="009229E8"/>
    <w:rsid w:val="009258ED"/>
    <w:rsid w:val="009300DD"/>
    <w:rsid w:val="0093140F"/>
    <w:rsid w:val="00932326"/>
    <w:rsid w:val="00932374"/>
    <w:rsid w:val="009344DC"/>
    <w:rsid w:val="00935D00"/>
    <w:rsid w:val="00936A63"/>
    <w:rsid w:val="009417B4"/>
    <w:rsid w:val="00941D6B"/>
    <w:rsid w:val="00943421"/>
    <w:rsid w:val="00943BBF"/>
    <w:rsid w:val="00945D35"/>
    <w:rsid w:val="00946936"/>
    <w:rsid w:val="00946D16"/>
    <w:rsid w:val="00950C1A"/>
    <w:rsid w:val="00955114"/>
    <w:rsid w:val="00956E31"/>
    <w:rsid w:val="00957AD0"/>
    <w:rsid w:val="00960B23"/>
    <w:rsid w:val="00961B09"/>
    <w:rsid w:val="00962645"/>
    <w:rsid w:val="00963EAF"/>
    <w:rsid w:val="00964A91"/>
    <w:rsid w:val="00964E60"/>
    <w:rsid w:val="009651BC"/>
    <w:rsid w:val="0096607D"/>
    <w:rsid w:val="00967418"/>
    <w:rsid w:val="0097058B"/>
    <w:rsid w:val="00971411"/>
    <w:rsid w:val="0097161A"/>
    <w:rsid w:val="00972173"/>
    <w:rsid w:val="00972594"/>
    <w:rsid w:val="00972B70"/>
    <w:rsid w:val="009730DB"/>
    <w:rsid w:val="00975CA9"/>
    <w:rsid w:val="009765B9"/>
    <w:rsid w:val="00977E88"/>
    <w:rsid w:val="00980794"/>
    <w:rsid w:val="009808C1"/>
    <w:rsid w:val="00981188"/>
    <w:rsid w:val="009843C4"/>
    <w:rsid w:val="00986434"/>
    <w:rsid w:val="00986565"/>
    <w:rsid w:val="00986764"/>
    <w:rsid w:val="00987695"/>
    <w:rsid w:val="00987DDE"/>
    <w:rsid w:val="00987EC7"/>
    <w:rsid w:val="00990142"/>
    <w:rsid w:val="00990DEF"/>
    <w:rsid w:val="00990F64"/>
    <w:rsid w:val="00991B4F"/>
    <w:rsid w:val="00992714"/>
    <w:rsid w:val="00992BDE"/>
    <w:rsid w:val="00992EC1"/>
    <w:rsid w:val="009932DB"/>
    <w:rsid w:val="00995498"/>
    <w:rsid w:val="00995C15"/>
    <w:rsid w:val="00996A25"/>
    <w:rsid w:val="0099790B"/>
    <w:rsid w:val="009A103B"/>
    <w:rsid w:val="009A20C6"/>
    <w:rsid w:val="009A2436"/>
    <w:rsid w:val="009A3EA6"/>
    <w:rsid w:val="009A5D22"/>
    <w:rsid w:val="009A5FA0"/>
    <w:rsid w:val="009A7CD2"/>
    <w:rsid w:val="009B0579"/>
    <w:rsid w:val="009B11BF"/>
    <w:rsid w:val="009B3D01"/>
    <w:rsid w:val="009B3F88"/>
    <w:rsid w:val="009B3FFF"/>
    <w:rsid w:val="009B76DC"/>
    <w:rsid w:val="009B7F15"/>
    <w:rsid w:val="009C1975"/>
    <w:rsid w:val="009C1B32"/>
    <w:rsid w:val="009C1D77"/>
    <w:rsid w:val="009C225A"/>
    <w:rsid w:val="009C2C89"/>
    <w:rsid w:val="009C350E"/>
    <w:rsid w:val="009C38E5"/>
    <w:rsid w:val="009C437D"/>
    <w:rsid w:val="009C5065"/>
    <w:rsid w:val="009C6DB9"/>
    <w:rsid w:val="009D0281"/>
    <w:rsid w:val="009D02C5"/>
    <w:rsid w:val="009D0605"/>
    <w:rsid w:val="009D1E90"/>
    <w:rsid w:val="009D2B0D"/>
    <w:rsid w:val="009D41BC"/>
    <w:rsid w:val="009D64AB"/>
    <w:rsid w:val="009E0EFB"/>
    <w:rsid w:val="009E1E98"/>
    <w:rsid w:val="009E32A3"/>
    <w:rsid w:val="009E6B61"/>
    <w:rsid w:val="009F0181"/>
    <w:rsid w:val="009F0ED3"/>
    <w:rsid w:val="009F1C0C"/>
    <w:rsid w:val="009F213D"/>
    <w:rsid w:val="009F6797"/>
    <w:rsid w:val="009F7DDB"/>
    <w:rsid w:val="00A0140E"/>
    <w:rsid w:val="00A03872"/>
    <w:rsid w:val="00A0495A"/>
    <w:rsid w:val="00A075C0"/>
    <w:rsid w:val="00A10E99"/>
    <w:rsid w:val="00A12A61"/>
    <w:rsid w:val="00A2069B"/>
    <w:rsid w:val="00A23986"/>
    <w:rsid w:val="00A239B2"/>
    <w:rsid w:val="00A23F46"/>
    <w:rsid w:val="00A25763"/>
    <w:rsid w:val="00A3166B"/>
    <w:rsid w:val="00A31FA1"/>
    <w:rsid w:val="00A32541"/>
    <w:rsid w:val="00A35FB7"/>
    <w:rsid w:val="00A36AE0"/>
    <w:rsid w:val="00A37B92"/>
    <w:rsid w:val="00A40BE5"/>
    <w:rsid w:val="00A40C62"/>
    <w:rsid w:val="00A43096"/>
    <w:rsid w:val="00A4338A"/>
    <w:rsid w:val="00A43432"/>
    <w:rsid w:val="00A44161"/>
    <w:rsid w:val="00A44926"/>
    <w:rsid w:val="00A45CB5"/>
    <w:rsid w:val="00A462E8"/>
    <w:rsid w:val="00A470A1"/>
    <w:rsid w:val="00A47233"/>
    <w:rsid w:val="00A47732"/>
    <w:rsid w:val="00A50F05"/>
    <w:rsid w:val="00A53116"/>
    <w:rsid w:val="00A5370C"/>
    <w:rsid w:val="00A618E7"/>
    <w:rsid w:val="00A61F2C"/>
    <w:rsid w:val="00A62669"/>
    <w:rsid w:val="00A62BBE"/>
    <w:rsid w:val="00A62E87"/>
    <w:rsid w:val="00A630A9"/>
    <w:rsid w:val="00A6425B"/>
    <w:rsid w:val="00A64C71"/>
    <w:rsid w:val="00A65234"/>
    <w:rsid w:val="00A65C0F"/>
    <w:rsid w:val="00A67BBE"/>
    <w:rsid w:val="00A711BC"/>
    <w:rsid w:val="00A721B6"/>
    <w:rsid w:val="00A727EC"/>
    <w:rsid w:val="00A7528F"/>
    <w:rsid w:val="00A753A2"/>
    <w:rsid w:val="00A7583D"/>
    <w:rsid w:val="00A75A46"/>
    <w:rsid w:val="00A76BF7"/>
    <w:rsid w:val="00A76F7F"/>
    <w:rsid w:val="00A77028"/>
    <w:rsid w:val="00A771CC"/>
    <w:rsid w:val="00A779B7"/>
    <w:rsid w:val="00A82086"/>
    <w:rsid w:val="00A835B7"/>
    <w:rsid w:val="00A83B4E"/>
    <w:rsid w:val="00A84949"/>
    <w:rsid w:val="00A84E38"/>
    <w:rsid w:val="00A851AD"/>
    <w:rsid w:val="00A851E3"/>
    <w:rsid w:val="00A85A03"/>
    <w:rsid w:val="00A85C79"/>
    <w:rsid w:val="00A86CF2"/>
    <w:rsid w:val="00A86EA1"/>
    <w:rsid w:val="00A87D6D"/>
    <w:rsid w:val="00A90097"/>
    <w:rsid w:val="00A9030B"/>
    <w:rsid w:val="00A91076"/>
    <w:rsid w:val="00A921AE"/>
    <w:rsid w:val="00A92F18"/>
    <w:rsid w:val="00A9487D"/>
    <w:rsid w:val="00A94911"/>
    <w:rsid w:val="00A95506"/>
    <w:rsid w:val="00A97143"/>
    <w:rsid w:val="00AA0FA7"/>
    <w:rsid w:val="00AA1E0C"/>
    <w:rsid w:val="00AA200B"/>
    <w:rsid w:val="00AA2683"/>
    <w:rsid w:val="00AA27F2"/>
    <w:rsid w:val="00AA2B88"/>
    <w:rsid w:val="00AA4C01"/>
    <w:rsid w:val="00AA7718"/>
    <w:rsid w:val="00AA779E"/>
    <w:rsid w:val="00AA7C92"/>
    <w:rsid w:val="00AB0940"/>
    <w:rsid w:val="00AB098D"/>
    <w:rsid w:val="00AB0C33"/>
    <w:rsid w:val="00AB2BC8"/>
    <w:rsid w:val="00AB491F"/>
    <w:rsid w:val="00AB5033"/>
    <w:rsid w:val="00AB6EEA"/>
    <w:rsid w:val="00AB7307"/>
    <w:rsid w:val="00AC114E"/>
    <w:rsid w:val="00AC1240"/>
    <w:rsid w:val="00AC1688"/>
    <w:rsid w:val="00AC2ADB"/>
    <w:rsid w:val="00AC5216"/>
    <w:rsid w:val="00AC5267"/>
    <w:rsid w:val="00AC5DC8"/>
    <w:rsid w:val="00AC64BD"/>
    <w:rsid w:val="00AD1272"/>
    <w:rsid w:val="00AD2CD1"/>
    <w:rsid w:val="00AD316A"/>
    <w:rsid w:val="00AD36AE"/>
    <w:rsid w:val="00AD381E"/>
    <w:rsid w:val="00AD3D85"/>
    <w:rsid w:val="00AD495A"/>
    <w:rsid w:val="00AD73DB"/>
    <w:rsid w:val="00AE12E6"/>
    <w:rsid w:val="00AE24F1"/>
    <w:rsid w:val="00AE38F3"/>
    <w:rsid w:val="00AE7B2C"/>
    <w:rsid w:val="00AE7B86"/>
    <w:rsid w:val="00AF090D"/>
    <w:rsid w:val="00AF0A27"/>
    <w:rsid w:val="00AF1459"/>
    <w:rsid w:val="00AF27E1"/>
    <w:rsid w:val="00AF35B8"/>
    <w:rsid w:val="00AF3627"/>
    <w:rsid w:val="00AF3EB5"/>
    <w:rsid w:val="00AF44E2"/>
    <w:rsid w:val="00AF610D"/>
    <w:rsid w:val="00AF626D"/>
    <w:rsid w:val="00AF79F0"/>
    <w:rsid w:val="00AF7D96"/>
    <w:rsid w:val="00B0030B"/>
    <w:rsid w:val="00B00564"/>
    <w:rsid w:val="00B01003"/>
    <w:rsid w:val="00B01D1F"/>
    <w:rsid w:val="00B02CC2"/>
    <w:rsid w:val="00B04B7D"/>
    <w:rsid w:val="00B06EA4"/>
    <w:rsid w:val="00B07CD1"/>
    <w:rsid w:val="00B10167"/>
    <w:rsid w:val="00B10BC5"/>
    <w:rsid w:val="00B11953"/>
    <w:rsid w:val="00B12712"/>
    <w:rsid w:val="00B1342D"/>
    <w:rsid w:val="00B15D35"/>
    <w:rsid w:val="00B16C2D"/>
    <w:rsid w:val="00B2027B"/>
    <w:rsid w:val="00B216EE"/>
    <w:rsid w:val="00B22EA3"/>
    <w:rsid w:val="00B2317D"/>
    <w:rsid w:val="00B23E17"/>
    <w:rsid w:val="00B24810"/>
    <w:rsid w:val="00B249B8"/>
    <w:rsid w:val="00B25961"/>
    <w:rsid w:val="00B261D5"/>
    <w:rsid w:val="00B2654C"/>
    <w:rsid w:val="00B26F2D"/>
    <w:rsid w:val="00B32547"/>
    <w:rsid w:val="00B35F3C"/>
    <w:rsid w:val="00B404DC"/>
    <w:rsid w:val="00B407B1"/>
    <w:rsid w:val="00B40B7A"/>
    <w:rsid w:val="00B41467"/>
    <w:rsid w:val="00B43692"/>
    <w:rsid w:val="00B44EC8"/>
    <w:rsid w:val="00B45721"/>
    <w:rsid w:val="00B45900"/>
    <w:rsid w:val="00B46032"/>
    <w:rsid w:val="00B46302"/>
    <w:rsid w:val="00B468EB"/>
    <w:rsid w:val="00B47965"/>
    <w:rsid w:val="00B51CA6"/>
    <w:rsid w:val="00B53536"/>
    <w:rsid w:val="00B54B26"/>
    <w:rsid w:val="00B55886"/>
    <w:rsid w:val="00B55B03"/>
    <w:rsid w:val="00B5688C"/>
    <w:rsid w:val="00B605C3"/>
    <w:rsid w:val="00B60941"/>
    <w:rsid w:val="00B61219"/>
    <w:rsid w:val="00B614C1"/>
    <w:rsid w:val="00B6240D"/>
    <w:rsid w:val="00B65E9D"/>
    <w:rsid w:val="00B66F99"/>
    <w:rsid w:val="00B70CD3"/>
    <w:rsid w:val="00B70FA1"/>
    <w:rsid w:val="00B7215B"/>
    <w:rsid w:val="00B72426"/>
    <w:rsid w:val="00B72720"/>
    <w:rsid w:val="00B72D68"/>
    <w:rsid w:val="00B734EA"/>
    <w:rsid w:val="00B74AB5"/>
    <w:rsid w:val="00B75C2B"/>
    <w:rsid w:val="00B7609C"/>
    <w:rsid w:val="00B767C7"/>
    <w:rsid w:val="00B76AC9"/>
    <w:rsid w:val="00B80100"/>
    <w:rsid w:val="00B82FEA"/>
    <w:rsid w:val="00B849F2"/>
    <w:rsid w:val="00B85302"/>
    <w:rsid w:val="00B90D81"/>
    <w:rsid w:val="00B91CBE"/>
    <w:rsid w:val="00B93B7E"/>
    <w:rsid w:val="00B95247"/>
    <w:rsid w:val="00B958A6"/>
    <w:rsid w:val="00BA051A"/>
    <w:rsid w:val="00BA06E5"/>
    <w:rsid w:val="00BA0908"/>
    <w:rsid w:val="00BA1BF7"/>
    <w:rsid w:val="00BA3D41"/>
    <w:rsid w:val="00BA484A"/>
    <w:rsid w:val="00BA5755"/>
    <w:rsid w:val="00BA582A"/>
    <w:rsid w:val="00BA5AFB"/>
    <w:rsid w:val="00BA730B"/>
    <w:rsid w:val="00BB0891"/>
    <w:rsid w:val="00BB1802"/>
    <w:rsid w:val="00BB298C"/>
    <w:rsid w:val="00BB2BB2"/>
    <w:rsid w:val="00BB2FBF"/>
    <w:rsid w:val="00BB3D8B"/>
    <w:rsid w:val="00BB6899"/>
    <w:rsid w:val="00BB75E0"/>
    <w:rsid w:val="00BB7ACD"/>
    <w:rsid w:val="00BC05DC"/>
    <w:rsid w:val="00BC0D8E"/>
    <w:rsid w:val="00BC49E7"/>
    <w:rsid w:val="00BC5577"/>
    <w:rsid w:val="00BD3241"/>
    <w:rsid w:val="00BD6B8D"/>
    <w:rsid w:val="00BD708B"/>
    <w:rsid w:val="00BD7994"/>
    <w:rsid w:val="00BE0253"/>
    <w:rsid w:val="00BE0BC3"/>
    <w:rsid w:val="00BE106B"/>
    <w:rsid w:val="00BE20B0"/>
    <w:rsid w:val="00BE2535"/>
    <w:rsid w:val="00BE3C74"/>
    <w:rsid w:val="00BE3E1E"/>
    <w:rsid w:val="00BE454E"/>
    <w:rsid w:val="00BE500F"/>
    <w:rsid w:val="00BE7CCF"/>
    <w:rsid w:val="00BF05A3"/>
    <w:rsid w:val="00BF0A7F"/>
    <w:rsid w:val="00BF125D"/>
    <w:rsid w:val="00BF2E8B"/>
    <w:rsid w:val="00BF3E3C"/>
    <w:rsid w:val="00BF40A5"/>
    <w:rsid w:val="00BF4150"/>
    <w:rsid w:val="00BF5F2E"/>
    <w:rsid w:val="00BF68A2"/>
    <w:rsid w:val="00C01097"/>
    <w:rsid w:val="00C0203E"/>
    <w:rsid w:val="00C026E8"/>
    <w:rsid w:val="00C03222"/>
    <w:rsid w:val="00C04126"/>
    <w:rsid w:val="00C06AF4"/>
    <w:rsid w:val="00C10011"/>
    <w:rsid w:val="00C105C5"/>
    <w:rsid w:val="00C10E48"/>
    <w:rsid w:val="00C11682"/>
    <w:rsid w:val="00C122A7"/>
    <w:rsid w:val="00C12585"/>
    <w:rsid w:val="00C12AC6"/>
    <w:rsid w:val="00C14191"/>
    <w:rsid w:val="00C15E34"/>
    <w:rsid w:val="00C16E09"/>
    <w:rsid w:val="00C2055B"/>
    <w:rsid w:val="00C22092"/>
    <w:rsid w:val="00C22D40"/>
    <w:rsid w:val="00C22F65"/>
    <w:rsid w:val="00C2362E"/>
    <w:rsid w:val="00C23EC6"/>
    <w:rsid w:val="00C248F9"/>
    <w:rsid w:val="00C24B01"/>
    <w:rsid w:val="00C25272"/>
    <w:rsid w:val="00C261FD"/>
    <w:rsid w:val="00C26A7F"/>
    <w:rsid w:val="00C26AFE"/>
    <w:rsid w:val="00C26B6D"/>
    <w:rsid w:val="00C30FC7"/>
    <w:rsid w:val="00C32140"/>
    <w:rsid w:val="00C32E04"/>
    <w:rsid w:val="00C33699"/>
    <w:rsid w:val="00C36A95"/>
    <w:rsid w:val="00C36BCA"/>
    <w:rsid w:val="00C40462"/>
    <w:rsid w:val="00C41181"/>
    <w:rsid w:val="00C4133A"/>
    <w:rsid w:val="00C420E3"/>
    <w:rsid w:val="00C42E8E"/>
    <w:rsid w:val="00C433BC"/>
    <w:rsid w:val="00C44C90"/>
    <w:rsid w:val="00C4509B"/>
    <w:rsid w:val="00C4592A"/>
    <w:rsid w:val="00C504C7"/>
    <w:rsid w:val="00C52674"/>
    <w:rsid w:val="00C5270D"/>
    <w:rsid w:val="00C53C31"/>
    <w:rsid w:val="00C550EC"/>
    <w:rsid w:val="00C55219"/>
    <w:rsid w:val="00C577D1"/>
    <w:rsid w:val="00C57DC5"/>
    <w:rsid w:val="00C610E6"/>
    <w:rsid w:val="00C616C8"/>
    <w:rsid w:val="00C61823"/>
    <w:rsid w:val="00C61865"/>
    <w:rsid w:val="00C61DD3"/>
    <w:rsid w:val="00C62741"/>
    <w:rsid w:val="00C63B81"/>
    <w:rsid w:val="00C63BAF"/>
    <w:rsid w:val="00C64542"/>
    <w:rsid w:val="00C67DCB"/>
    <w:rsid w:val="00C71269"/>
    <w:rsid w:val="00C721EF"/>
    <w:rsid w:val="00C72D24"/>
    <w:rsid w:val="00C73C5D"/>
    <w:rsid w:val="00C73DA6"/>
    <w:rsid w:val="00C74EBE"/>
    <w:rsid w:val="00C75169"/>
    <w:rsid w:val="00C807EA"/>
    <w:rsid w:val="00C82357"/>
    <w:rsid w:val="00C83018"/>
    <w:rsid w:val="00C855DD"/>
    <w:rsid w:val="00C8691B"/>
    <w:rsid w:val="00C90BF3"/>
    <w:rsid w:val="00C90FF9"/>
    <w:rsid w:val="00C9202C"/>
    <w:rsid w:val="00C92EFD"/>
    <w:rsid w:val="00C93DF9"/>
    <w:rsid w:val="00C94818"/>
    <w:rsid w:val="00C94AE4"/>
    <w:rsid w:val="00C976DE"/>
    <w:rsid w:val="00CA1D51"/>
    <w:rsid w:val="00CA3547"/>
    <w:rsid w:val="00CA4458"/>
    <w:rsid w:val="00CA5596"/>
    <w:rsid w:val="00CA5B4B"/>
    <w:rsid w:val="00CA62F6"/>
    <w:rsid w:val="00CA6A5F"/>
    <w:rsid w:val="00CB0057"/>
    <w:rsid w:val="00CB16DB"/>
    <w:rsid w:val="00CB20AD"/>
    <w:rsid w:val="00CB2233"/>
    <w:rsid w:val="00CB3406"/>
    <w:rsid w:val="00CB3A07"/>
    <w:rsid w:val="00CB49BA"/>
    <w:rsid w:val="00CB5D0F"/>
    <w:rsid w:val="00CB7488"/>
    <w:rsid w:val="00CB79AA"/>
    <w:rsid w:val="00CC1E44"/>
    <w:rsid w:val="00CC329D"/>
    <w:rsid w:val="00CC3A31"/>
    <w:rsid w:val="00CC4935"/>
    <w:rsid w:val="00CC49AF"/>
    <w:rsid w:val="00CC5180"/>
    <w:rsid w:val="00CC57C8"/>
    <w:rsid w:val="00CD11E5"/>
    <w:rsid w:val="00CD13A6"/>
    <w:rsid w:val="00CD416C"/>
    <w:rsid w:val="00CD594F"/>
    <w:rsid w:val="00CD5954"/>
    <w:rsid w:val="00CD6C40"/>
    <w:rsid w:val="00CD6ECA"/>
    <w:rsid w:val="00CD7AC0"/>
    <w:rsid w:val="00CE0E9F"/>
    <w:rsid w:val="00CE1019"/>
    <w:rsid w:val="00CE24DA"/>
    <w:rsid w:val="00CE36F5"/>
    <w:rsid w:val="00CE3CA3"/>
    <w:rsid w:val="00CE551E"/>
    <w:rsid w:val="00CE5EC2"/>
    <w:rsid w:val="00CE7CBA"/>
    <w:rsid w:val="00CF0A15"/>
    <w:rsid w:val="00CF0FEE"/>
    <w:rsid w:val="00CF14B0"/>
    <w:rsid w:val="00CF16FB"/>
    <w:rsid w:val="00CF2A98"/>
    <w:rsid w:val="00CF2AFC"/>
    <w:rsid w:val="00CF32C8"/>
    <w:rsid w:val="00CF427F"/>
    <w:rsid w:val="00CF6D00"/>
    <w:rsid w:val="00CF7178"/>
    <w:rsid w:val="00CF758C"/>
    <w:rsid w:val="00CF763A"/>
    <w:rsid w:val="00CF795C"/>
    <w:rsid w:val="00CF7FE4"/>
    <w:rsid w:val="00D00456"/>
    <w:rsid w:val="00D008D0"/>
    <w:rsid w:val="00D0108A"/>
    <w:rsid w:val="00D01664"/>
    <w:rsid w:val="00D02AB6"/>
    <w:rsid w:val="00D02D46"/>
    <w:rsid w:val="00D077CC"/>
    <w:rsid w:val="00D100C7"/>
    <w:rsid w:val="00D12883"/>
    <w:rsid w:val="00D14C67"/>
    <w:rsid w:val="00D158ED"/>
    <w:rsid w:val="00D15D61"/>
    <w:rsid w:val="00D1704B"/>
    <w:rsid w:val="00D171D4"/>
    <w:rsid w:val="00D17654"/>
    <w:rsid w:val="00D17C13"/>
    <w:rsid w:val="00D2000F"/>
    <w:rsid w:val="00D20E0C"/>
    <w:rsid w:val="00D25B5A"/>
    <w:rsid w:val="00D2709D"/>
    <w:rsid w:val="00D30089"/>
    <w:rsid w:val="00D30611"/>
    <w:rsid w:val="00D30812"/>
    <w:rsid w:val="00D31370"/>
    <w:rsid w:val="00D31768"/>
    <w:rsid w:val="00D33486"/>
    <w:rsid w:val="00D33701"/>
    <w:rsid w:val="00D33A0E"/>
    <w:rsid w:val="00D35783"/>
    <w:rsid w:val="00D36AF1"/>
    <w:rsid w:val="00D374D1"/>
    <w:rsid w:val="00D37854"/>
    <w:rsid w:val="00D42B97"/>
    <w:rsid w:val="00D4433B"/>
    <w:rsid w:val="00D5338A"/>
    <w:rsid w:val="00D5428B"/>
    <w:rsid w:val="00D561D7"/>
    <w:rsid w:val="00D56987"/>
    <w:rsid w:val="00D57060"/>
    <w:rsid w:val="00D639F0"/>
    <w:rsid w:val="00D640DE"/>
    <w:rsid w:val="00D64174"/>
    <w:rsid w:val="00D6464B"/>
    <w:rsid w:val="00D64CD3"/>
    <w:rsid w:val="00D65B37"/>
    <w:rsid w:val="00D6646D"/>
    <w:rsid w:val="00D71105"/>
    <w:rsid w:val="00D71EF6"/>
    <w:rsid w:val="00D7240C"/>
    <w:rsid w:val="00D72761"/>
    <w:rsid w:val="00D733E0"/>
    <w:rsid w:val="00D74C2C"/>
    <w:rsid w:val="00D74CE0"/>
    <w:rsid w:val="00D750A0"/>
    <w:rsid w:val="00D752D3"/>
    <w:rsid w:val="00D755AC"/>
    <w:rsid w:val="00D76D9E"/>
    <w:rsid w:val="00D7753B"/>
    <w:rsid w:val="00D77FE2"/>
    <w:rsid w:val="00D81C56"/>
    <w:rsid w:val="00D828C8"/>
    <w:rsid w:val="00D83737"/>
    <w:rsid w:val="00D838F6"/>
    <w:rsid w:val="00D8486D"/>
    <w:rsid w:val="00D85BAB"/>
    <w:rsid w:val="00D86AF5"/>
    <w:rsid w:val="00D871DF"/>
    <w:rsid w:val="00D90F74"/>
    <w:rsid w:val="00D9109B"/>
    <w:rsid w:val="00D910C0"/>
    <w:rsid w:val="00D91696"/>
    <w:rsid w:val="00D9202D"/>
    <w:rsid w:val="00D945B1"/>
    <w:rsid w:val="00D95828"/>
    <w:rsid w:val="00D95CF2"/>
    <w:rsid w:val="00D96177"/>
    <w:rsid w:val="00D97515"/>
    <w:rsid w:val="00D978D4"/>
    <w:rsid w:val="00D97A81"/>
    <w:rsid w:val="00DA0034"/>
    <w:rsid w:val="00DA011B"/>
    <w:rsid w:val="00DA0B6F"/>
    <w:rsid w:val="00DA1C4D"/>
    <w:rsid w:val="00DA2464"/>
    <w:rsid w:val="00DA24D4"/>
    <w:rsid w:val="00DA2B8B"/>
    <w:rsid w:val="00DA2FF5"/>
    <w:rsid w:val="00DA300F"/>
    <w:rsid w:val="00DA45B1"/>
    <w:rsid w:val="00DA57E2"/>
    <w:rsid w:val="00DA61ED"/>
    <w:rsid w:val="00DB0D9A"/>
    <w:rsid w:val="00DB0DD1"/>
    <w:rsid w:val="00DB1E67"/>
    <w:rsid w:val="00DB1F6D"/>
    <w:rsid w:val="00DB2952"/>
    <w:rsid w:val="00DB2FC2"/>
    <w:rsid w:val="00DB31E8"/>
    <w:rsid w:val="00DB39EB"/>
    <w:rsid w:val="00DB3A0C"/>
    <w:rsid w:val="00DB426C"/>
    <w:rsid w:val="00DB5009"/>
    <w:rsid w:val="00DB5224"/>
    <w:rsid w:val="00DB6A92"/>
    <w:rsid w:val="00DB7682"/>
    <w:rsid w:val="00DC071B"/>
    <w:rsid w:val="00DC0F3F"/>
    <w:rsid w:val="00DC1546"/>
    <w:rsid w:val="00DC1604"/>
    <w:rsid w:val="00DC1E5A"/>
    <w:rsid w:val="00DC1EBC"/>
    <w:rsid w:val="00DC2821"/>
    <w:rsid w:val="00DC31E1"/>
    <w:rsid w:val="00DC3622"/>
    <w:rsid w:val="00DC4F87"/>
    <w:rsid w:val="00DC5318"/>
    <w:rsid w:val="00DC6BC7"/>
    <w:rsid w:val="00DD101E"/>
    <w:rsid w:val="00DD2C95"/>
    <w:rsid w:val="00DD2D29"/>
    <w:rsid w:val="00DD3AD5"/>
    <w:rsid w:val="00DD4544"/>
    <w:rsid w:val="00DD46DA"/>
    <w:rsid w:val="00DD6850"/>
    <w:rsid w:val="00DD71A1"/>
    <w:rsid w:val="00DD72FA"/>
    <w:rsid w:val="00DD79F5"/>
    <w:rsid w:val="00DE33DD"/>
    <w:rsid w:val="00DE3959"/>
    <w:rsid w:val="00DE3EC8"/>
    <w:rsid w:val="00DE5A13"/>
    <w:rsid w:val="00DE7C83"/>
    <w:rsid w:val="00DF103D"/>
    <w:rsid w:val="00DF37EB"/>
    <w:rsid w:val="00DF3C38"/>
    <w:rsid w:val="00DF4831"/>
    <w:rsid w:val="00E00D8E"/>
    <w:rsid w:val="00E021F0"/>
    <w:rsid w:val="00E0438F"/>
    <w:rsid w:val="00E04476"/>
    <w:rsid w:val="00E04AE6"/>
    <w:rsid w:val="00E06F1A"/>
    <w:rsid w:val="00E07250"/>
    <w:rsid w:val="00E12D88"/>
    <w:rsid w:val="00E133D9"/>
    <w:rsid w:val="00E13E5A"/>
    <w:rsid w:val="00E15AF2"/>
    <w:rsid w:val="00E164A0"/>
    <w:rsid w:val="00E16731"/>
    <w:rsid w:val="00E16922"/>
    <w:rsid w:val="00E16954"/>
    <w:rsid w:val="00E219B8"/>
    <w:rsid w:val="00E21F87"/>
    <w:rsid w:val="00E2235F"/>
    <w:rsid w:val="00E23873"/>
    <w:rsid w:val="00E23F0E"/>
    <w:rsid w:val="00E24D3E"/>
    <w:rsid w:val="00E26030"/>
    <w:rsid w:val="00E2670B"/>
    <w:rsid w:val="00E26BB2"/>
    <w:rsid w:val="00E26C40"/>
    <w:rsid w:val="00E3063F"/>
    <w:rsid w:val="00E30B7D"/>
    <w:rsid w:val="00E313DF"/>
    <w:rsid w:val="00E345B7"/>
    <w:rsid w:val="00E35BEF"/>
    <w:rsid w:val="00E35EC4"/>
    <w:rsid w:val="00E400C3"/>
    <w:rsid w:val="00E404C2"/>
    <w:rsid w:val="00E4274B"/>
    <w:rsid w:val="00E42E8F"/>
    <w:rsid w:val="00E42F12"/>
    <w:rsid w:val="00E431E0"/>
    <w:rsid w:val="00E4324C"/>
    <w:rsid w:val="00E4341C"/>
    <w:rsid w:val="00E45648"/>
    <w:rsid w:val="00E45CA0"/>
    <w:rsid w:val="00E45E5B"/>
    <w:rsid w:val="00E477FA"/>
    <w:rsid w:val="00E524A1"/>
    <w:rsid w:val="00E52625"/>
    <w:rsid w:val="00E52794"/>
    <w:rsid w:val="00E52955"/>
    <w:rsid w:val="00E53001"/>
    <w:rsid w:val="00E5598E"/>
    <w:rsid w:val="00E568E5"/>
    <w:rsid w:val="00E5691A"/>
    <w:rsid w:val="00E56F17"/>
    <w:rsid w:val="00E57B9E"/>
    <w:rsid w:val="00E6054B"/>
    <w:rsid w:val="00E60854"/>
    <w:rsid w:val="00E619D1"/>
    <w:rsid w:val="00E61F06"/>
    <w:rsid w:val="00E62E3C"/>
    <w:rsid w:val="00E630B1"/>
    <w:rsid w:val="00E6352E"/>
    <w:rsid w:val="00E65183"/>
    <w:rsid w:val="00E67C8B"/>
    <w:rsid w:val="00E67FCA"/>
    <w:rsid w:val="00E701DC"/>
    <w:rsid w:val="00E7046C"/>
    <w:rsid w:val="00E70EA2"/>
    <w:rsid w:val="00E70EE0"/>
    <w:rsid w:val="00E72716"/>
    <w:rsid w:val="00E72BF3"/>
    <w:rsid w:val="00E7324D"/>
    <w:rsid w:val="00E737D2"/>
    <w:rsid w:val="00E75414"/>
    <w:rsid w:val="00E761BD"/>
    <w:rsid w:val="00E77E88"/>
    <w:rsid w:val="00E810F1"/>
    <w:rsid w:val="00E814C3"/>
    <w:rsid w:val="00E82E2C"/>
    <w:rsid w:val="00E83612"/>
    <w:rsid w:val="00E84BE0"/>
    <w:rsid w:val="00E85661"/>
    <w:rsid w:val="00E85E5A"/>
    <w:rsid w:val="00E860F6"/>
    <w:rsid w:val="00E86722"/>
    <w:rsid w:val="00E869A6"/>
    <w:rsid w:val="00E87228"/>
    <w:rsid w:val="00E87A01"/>
    <w:rsid w:val="00E905EE"/>
    <w:rsid w:val="00E92D4F"/>
    <w:rsid w:val="00E96829"/>
    <w:rsid w:val="00E97795"/>
    <w:rsid w:val="00E9784B"/>
    <w:rsid w:val="00EA1774"/>
    <w:rsid w:val="00EA1C39"/>
    <w:rsid w:val="00EA28BA"/>
    <w:rsid w:val="00EA2DF9"/>
    <w:rsid w:val="00EA5391"/>
    <w:rsid w:val="00EA5A40"/>
    <w:rsid w:val="00EA5C0A"/>
    <w:rsid w:val="00EB3D56"/>
    <w:rsid w:val="00EB6BB3"/>
    <w:rsid w:val="00EC07F7"/>
    <w:rsid w:val="00EC0AC1"/>
    <w:rsid w:val="00EC136C"/>
    <w:rsid w:val="00EC1E61"/>
    <w:rsid w:val="00EC26BF"/>
    <w:rsid w:val="00EC3A04"/>
    <w:rsid w:val="00EC3B2C"/>
    <w:rsid w:val="00EC66D2"/>
    <w:rsid w:val="00EC67E9"/>
    <w:rsid w:val="00EC70BE"/>
    <w:rsid w:val="00ED0A3E"/>
    <w:rsid w:val="00ED3559"/>
    <w:rsid w:val="00ED3835"/>
    <w:rsid w:val="00ED3D36"/>
    <w:rsid w:val="00ED58CB"/>
    <w:rsid w:val="00ED5F19"/>
    <w:rsid w:val="00ED64C3"/>
    <w:rsid w:val="00ED6D83"/>
    <w:rsid w:val="00ED711A"/>
    <w:rsid w:val="00ED7514"/>
    <w:rsid w:val="00EE0509"/>
    <w:rsid w:val="00EE06C7"/>
    <w:rsid w:val="00EE1170"/>
    <w:rsid w:val="00EE148E"/>
    <w:rsid w:val="00EE1C1D"/>
    <w:rsid w:val="00EE203A"/>
    <w:rsid w:val="00EE4907"/>
    <w:rsid w:val="00EE56A8"/>
    <w:rsid w:val="00EF09C9"/>
    <w:rsid w:val="00EF09D3"/>
    <w:rsid w:val="00EF0A05"/>
    <w:rsid w:val="00EF112E"/>
    <w:rsid w:val="00EF3F7F"/>
    <w:rsid w:val="00EF44C8"/>
    <w:rsid w:val="00EF4522"/>
    <w:rsid w:val="00EF4599"/>
    <w:rsid w:val="00EF51FA"/>
    <w:rsid w:val="00EF615C"/>
    <w:rsid w:val="00EF6EE4"/>
    <w:rsid w:val="00EF7B96"/>
    <w:rsid w:val="00EF7BFC"/>
    <w:rsid w:val="00F005D6"/>
    <w:rsid w:val="00F0069B"/>
    <w:rsid w:val="00F00BAB"/>
    <w:rsid w:val="00F016A0"/>
    <w:rsid w:val="00F01939"/>
    <w:rsid w:val="00F032FA"/>
    <w:rsid w:val="00F0453F"/>
    <w:rsid w:val="00F04BF6"/>
    <w:rsid w:val="00F059E2"/>
    <w:rsid w:val="00F06560"/>
    <w:rsid w:val="00F111F7"/>
    <w:rsid w:val="00F11AEB"/>
    <w:rsid w:val="00F135D3"/>
    <w:rsid w:val="00F13D9C"/>
    <w:rsid w:val="00F14871"/>
    <w:rsid w:val="00F14996"/>
    <w:rsid w:val="00F15269"/>
    <w:rsid w:val="00F15B45"/>
    <w:rsid w:val="00F17019"/>
    <w:rsid w:val="00F21A66"/>
    <w:rsid w:val="00F237BF"/>
    <w:rsid w:val="00F23AB7"/>
    <w:rsid w:val="00F262CA"/>
    <w:rsid w:val="00F269AB"/>
    <w:rsid w:val="00F27877"/>
    <w:rsid w:val="00F3048F"/>
    <w:rsid w:val="00F3064E"/>
    <w:rsid w:val="00F30C06"/>
    <w:rsid w:val="00F31BE8"/>
    <w:rsid w:val="00F36B4E"/>
    <w:rsid w:val="00F40775"/>
    <w:rsid w:val="00F417A3"/>
    <w:rsid w:val="00F43DB9"/>
    <w:rsid w:val="00F47C10"/>
    <w:rsid w:val="00F504E9"/>
    <w:rsid w:val="00F51C36"/>
    <w:rsid w:val="00F51EF3"/>
    <w:rsid w:val="00F51F01"/>
    <w:rsid w:val="00F52227"/>
    <w:rsid w:val="00F52600"/>
    <w:rsid w:val="00F5261A"/>
    <w:rsid w:val="00F53833"/>
    <w:rsid w:val="00F53D47"/>
    <w:rsid w:val="00F546F2"/>
    <w:rsid w:val="00F549BD"/>
    <w:rsid w:val="00F553E3"/>
    <w:rsid w:val="00F556AA"/>
    <w:rsid w:val="00F55AFA"/>
    <w:rsid w:val="00F560F7"/>
    <w:rsid w:val="00F63753"/>
    <w:rsid w:val="00F63A5F"/>
    <w:rsid w:val="00F670E9"/>
    <w:rsid w:val="00F71021"/>
    <w:rsid w:val="00F73AC2"/>
    <w:rsid w:val="00F73E2E"/>
    <w:rsid w:val="00F74AF9"/>
    <w:rsid w:val="00F74CEB"/>
    <w:rsid w:val="00F75D7D"/>
    <w:rsid w:val="00F7603B"/>
    <w:rsid w:val="00F7622C"/>
    <w:rsid w:val="00F801CD"/>
    <w:rsid w:val="00F803FA"/>
    <w:rsid w:val="00F81F42"/>
    <w:rsid w:val="00F8338F"/>
    <w:rsid w:val="00F834A5"/>
    <w:rsid w:val="00F844EA"/>
    <w:rsid w:val="00F84BF4"/>
    <w:rsid w:val="00F84EE1"/>
    <w:rsid w:val="00F850DE"/>
    <w:rsid w:val="00F9013B"/>
    <w:rsid w:val="00F90FE1"/>
    <w:rsid w:val="00F91627"/>
    <w:rsid w:val="00F93E31"/>
    <w:rsid w:val="00F94B50"/>
    <w:rsid w:val="00F96D3B"/>
    <w:rsid w:val="00F975B2"/>
    <w:rsid w:val="00F9772E"/>
    <w:rsid w:val="00F97FFC"/>
    <w:rsid w:val="00FA18E6"/>
    <w:rsid w:val="00FA1E22"/>
    <w:rsid w:val="00FA1EA0"/>
    <w:rsid w:val="00FA2337"/>
    <w:rsid w:val="00FA3583"/>
    <w:rsid w:val="00FA3637"/>
    <w:rsid w:val="00FA5610"/>
    <w:rsid w:val="00FA6CDD"/>
    <w:rsid w:val="00FA6F3F"/>
    <w:rsid w:val="00FB14E8"/>
    <w:rsid w:val="00FB20FF"/>
    <w:rsid w:val="00FB2B49"/>
    <w:rsid w:val="00FB2FB6"/>
    <w:rsid w:val="00FB33FE"/>
    <w:rsid w:val="00FB3411"/>
    <w:rsid w:val="00FB35FD"/>
    <w:rsid w:val="00FB6708"/>
    <w:rsid w:val="00FB7AF6"/>
    <w:rsid w:val="00FB7D78"/>
    <w:rsid w:val="00FC567F"/>
    <w:rsid w:val="00FC5D6D"/>
    <w:rsid w:val="00FD0B2D"/>
    <w:rsid w:val="00FD0BF8"/>
    <w:rsid w:val="00FD125B"/>
    <w:rsid w:val="00FD41CF"/>
    <w:rsid w:val="00FD60E6"/>
    <w:rsid w:val="00FD641E"/>
    <w:rsid w:val="00FD6CE6"/>
    <w:rsid w:val="00FD7103"/>
    <w:rsid w:val="00FE01CA"/>
    <w:rsid w:val="00FE0AE5"/>
    <w:rsid w:val="00FE13BC"/>
    <w:rsid w:val="00FE13C5"/>
    <w:rsid w:val="00FE155E"/>
    <w:rsid w:val="00FE171A"/>
    <w:rsid w:val="00FE1C2E"/>
    <w:rsid w:val="00FE214A"/>
    <w:rsid w:val="00FE43E3"/>
    <w:rsid w:val="00FE4C60"/>
    <w:rsid w:val="00FE795E"/>
    <w:rsid w:val="00FF02A4"/>
    <w:rsid w:val="00FF088C"/>
    <w:rsid w:val="00FF121D"/>
    <w:rsid w:val="00FF1689"/>
    <w:rsid w:val="00FF1D09"/>
    <w:rsid w:val="00FF2B0C"/>
    <w:rsid w:val="00FF400B"/>
    <w:rsid w:val="00FF4520"/>
    <w:rsid w:val="00FF48EE"/>
    <w:rsid w:val="00FF4C65"/>
    <w:rsid w:val="00FF5091"/>
    <w:rsid w:val="00FF53F0"/>
    <w:rsid w:val="00FF6422"/>
    <w:rsid w:val="01C127E1"/>
    <w:rsid w:val="01F2753D"/>
    <w:rsid w:val="02F72F62"/>
    <w:rsid w:val="032A0C00"/>
    <w:rsid w:val="03E847A6"/>
    <w:rsid w:val="04073A28"/>
    <w:rsid w:val="0446138B"/>
    <w:rsid w:val="04C97752"/>
    <w:rsid w:val="05175CB0"/>
    <w:rsid w:val="05B830D4"/>
    <w:rsid w:val="0788465B"/>
    <w:rsid w:val="086F1377"/>
    <w:rsid w:val="097645D3"/>
    <w:rsid w:val="09AC48EF"/>
    <w:rsid w:val="09CD44CE"/>
    <w:rsid w:val="0A20245E"/>
    <w:rsid w:val="0A40100F"/>
    <w:rsid w:val="0A4F320E"/>
    <w:rsid w:val="0A817046"/>
    <w:rsid w:val="0A8E3AF2"/>
    <w:rsid w:val="0AD14F4A"/>
    <w:rsid w:val="0ADE26CB"/>
    <w:rsid w:val="0B161399"/>
    <w:rsid w:val="0B3E48F6"/>
    <w:rsid w:val="0C032502"/>
    <w:rsid w:val="0CAC0156"/>
    <w:rsid w:val="0E26206B"/>
    <w:rsid w:val="10316128"/>
    <w:rsid w:val="107E39A7"/>
    <w:rsid w:val="108205DF"/>
    <w:rsid w:val="11D95BD1"/>
    <w:rsid w:val="122907E8"/>
    <w:rsid w:val="12B80632"/>
    <w:rsid w:val="12C23BEA"/>
    <w:rsid w:val="134358DA"/>
    <w:rsid w:val="13DD188A"/>
    <w:rsid w:val="13E03A64"/>
    <w:rsid w:val="151F47F0"/>
    <w:rsid w:val="1583211E"/>
    <w:rsid w:val="15D171CD"/>
    <w:rsid w:val="16144628"/>
    <w:rsid w:val="16446531"/>
    <w:rsid w:val="16532632"/>
    <w:rsid w:val="16583A87"/>
    <w:rsid w:val="16730DB6"/>
    <w:rsid w:val="175005C5"/>
    <w:rsid w:val="17CD1C16"/>
    <w:rsid w:val="18D246ED"/>
    <w:rsid w:val="195C6635"/>
    <w:rsid w:val="1974012E"/>
    <w:rsid w:val="198C38D3"/>
    <w:rsid w:val="19DB488C"/>
    <w:rsid w:val="1AF000F5"/>
    <w:rsid w:val="1BCA6B98"/>
    <w:rsid w:val="1BDE669C"/>
    <w:rsid w:val="1C6568C1"/>
    <w:rsid w:val="1D474C36"/>
    <w:rsid w:val="1DDF0828"/>
    <w:rsid w:val="1DE33F41"/>
    <w:rsid w:val="1E6729E0"/>
    <w:rsid w:val="1E6A4663"/>
    <w:rsid w:val="1E780D27"/>
    <w:rsid w:val="1E844324"/>
    <w:rsid w:val="1EC260BF"/>
    <w:rsid w:val="1F024892"/>
    <w:rsid w:val="1F4E188E"/>
    <w:rsid w:val="1F9F21F4"/>
    <w:rsid w:val="20BB2F90"/>
    <w:rsid w:val="21246D4B"/>
    <w:rsid w:val="2138748F"/>
    <w:rsid w:val="21511635"/>
    <w:rsid w:val="223B6FB4"/>
    <w:rsid w:val="226C6BFB"/>
    <w:rsid w:val="22AA14D2"/>
    <w:rsid w:val="249D12EE"/>
    <w:rsid w:val="24B93C4E"/>
    <w:rsid w:val="257F4BA7"/>
    <w:rsid w:val="270E3DDA"/>
    <w:rsid w:val="278A18D2"/>
    <w:rsid w:val="27C070C8"/>
    <w:rsid w:val="291458F7"/>
    <w:rsid w:val="2B4C581C"/>
    <w:rsid w:val="2BA03472"/>
    <w:rsid w:val="2BA230D5"/>
    <w:rsid w:val="2C31056E"/>
    <w:rsid w:val="2E4567ED"/>
    <w:rsid w:val="2F695895"/>
    <w:rsid w:val="32CE2FBA"/>
    <w:rsid w:val="3321610D"/>
    <w:rsid w:val="34285A1D"/>
    <w:rsid w:val="35021C06"/>
    <w:rsid w:val="356D6ABA"/>
    <w:rsid w:val="357240D1"/>
    <w:rsid w:val="35BD2D58"/>
    <w:rsid w:val="3852678F"/>
    <w:rsid w:val="38544E94"/>
    <w:rsid w:val="39CE47E2"/>
    <w:rsid w:val="39FA7ED0"/>
    <w:rsid w:val="3AD508FF"/>
    <w:rsid w:val="3AF8522A"/>
    <w:rsid w:val="3B665FE4"/>
    <w:rsid w:val="3BAC0116"/>
    <w:rsid w:val="3D4311FF"/>
    <w:rsid w:val="3E0F3DFA"/>
    <w:rsid w:val="3F514D57"/>
    <w:rsid w:val="406C6823"/>
    <w:rsid w:val="412C6F00"/>
    <w:rsid w:val="413A31F9"/>
    <w:rsid w:val="413E0889"/>
    <w:rsid w:val="415A335D"/>
    <w:rsid w:val="41C924BE"/>
    <w:rsid w:val="4392593E"/>
    <w:rsid w:val="439A35C1"/>
    <w:rsid w:val="43D16466"/>
    <w:rsid w:val="440A64FC"/>
    <w:rsid w:val="443338EB"/>
    <w:rsid w:val="44572BAD"/>
    <w:rsid w:val="45F621B4"/>
    <w:rsid w:val="47150D60"/>
    <w:rsid w:val="48A63035"/>
    <w:rsid w:val="48B268BC"/>
    <w:rsid w:val="49913EE5"/>
    <w:rsid w:val="49C80690"/>
    <w:rsid w:val="4A070E34"/>
    <w:rsid w:val="4A6873F9"/>
    <w:rsid w:val="4DD97DFE"/>
    <w:rsid w:val="4E796039"/>
    <w:rsid w:val="500E7377"/>
    <w:rsid w:val="506D3493"/>
    <w:rsid w:val="506D7517"/>
    <w:rsid w:val="53B35B89"/>
    <w:rsid w:val="53F464D0"/>
    <w:rsid w:val="549D0A75"/>
    <w:rsid w:val="56D4209E"/>
    <w:rsid w:val="57541431"/>
    <w:rsid w:val="578660ED"/>
    <w:rsid w:val="585148E1"/>
    <w:rsid w:val="585965FA"/>
    <w:rsid w:val="599124C8"/>
    <w:rsid w:val="59D625D1"/>
    <w:rsid w:val="5AD85ED5"/>
    <w:rsid w:val="5B164E85"/>
    <w:rsid w:val="5CD06305"/>
    <w:rsid w:val="5D7A3273"/>
    <w:rsid w:val="5E6E102A"/>
    <w:rsid w:val="5F6652E9"/>
    <w:rsid w:val="5F8C403F"/>
    <w:rsid w:val="608B62B2"/>
    <w:rsid w:val="61B612BE"/>
    <w:rsid w:val="63DA0EDD"/>
    <w:rsid w:val="651A3F0B"/>
    <w:rsid w:val="655774EE"/>
    <w:rsid w:val="65B42D41"/>
    <w:rsid w:val="6653074D"/>
    <w:rsid w:val="67627252"/>
    <w:rsid w:val="6AB04778"/>
    <w:rsid w:val="6B330E59"/>
    <w:rsid w:val="6B655563"/>
    <w:rsid w:val="6CB4125F"/>
    <w:rsid w:val="6CBC7404"/>
    <w:rsid w:val="6DA5360D"/>
    <w:rsid w:val="6EF13C87"/>
    <w:rsid w:val="70137AA4"/>
    <w:rsid w:val="706856BC"/>
    <w:rsid w:val="707E3A8B"/>
    <w:rsid w:val="71A072F4"/>
    <w:rsid w:val="71D05D75"/>
    <w:rsid w:val="71F17B50"/>
    <w:rsid w:val="721942C2"/>
    <w:rsid w:val="722F0678"/>
    <w:rsid w:val="723D3431"/>
    <w:rsid w:val="72763DC3"/>
    <w:rsid w:val="7334639B"/>
    <w:rsid w:val="73942446"/>
    <w:rsid w:val="73B13A3B"/>
    <w:rsid w:val="7491082A"/>
    <w:rsid w:val="749F55EB"/>
    <w:rsid w:val="75E50365"/>
    <w:rsid w:val="75E86628"/>
    <w:rsid w:val="771234A5"/>
    <w:rsid w:val="77626189"/>
    <w:rsid w:val="781B78E5"/>
    <w:rsid w:val="792C76C0"/>
    <w:rsid w:val="79CE2867"/>
    <w:rsid w:val="79DA711C"/>
    <w:rsid w:val="7A6A04A0"/>
    <w:rsid w:val="7A9B3D65"/>
    <w:rsid w:val="7B082483"/>
    <w:rsid w:val="7BE9206A"/>
    <w:rsid w:val="7D2D3A06"/>
    <w:rsid w:val="7E372025"/>
    <w:rsid w:val="7F815F12"/>
    <w:rsid w:val="7FA42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textAlignment w:val="center"/>
    </w:pPr>
    <w:rPr>
      <w:rFonts w:ascii="Times New Roman" w:hAnsi="Times New Roman" w:eastAsia="宋体" w:cstheme="minorBidi"/>
      <w:kern w:val="2"/>
      <w:sz w:val="24"/>
      <w:szCs w:val="22"/>
      <w:lang w:val="en-US" w:eastAsia="zh-CN" w:bidi="ar-SA"/>
    </w:rPr>
  </w:style>
  <w:style w:type="paragraph" w:styleId="2">
    <w:name w:val="heading 1"/>
    <w:basedOn w:val="1"/>
    <w:next w:val="1"/>
    <w:link w:val="33"/>
    <w:qFormat/>
    <w:uiPriority w:val="9"/>
    <w:pPr>
      <w:keepNext/>
      <w:keepLines/>
      <w:spacing w:before="240" w:after="120" w:line="240" w:lineRule="auto"/>
      <w:ind w:firstLine="0" w:firstLineChars="0"/>
      <w:jc w:val="left"/>
      <w:outlineLvl w:val="0"/>
    </w:pPr>
    <w:rPr>
      <w:b/>
      <w:bCs/>
      <w:kern w:val="44"/>
      <w:sz w:val="28"/>
      <w:szCs w:val="44"/>
    </w:rPr>
  </w:style>
  <w:style w:type="paragraph" w:styleId="3">
    <w:name w:val="heading 2"/>
    <w:basedOn w:val="1"/>
    <w:next w:val="1"/>
    <w:link w:val="34"/>
    <w:unhideWhenUsed/>
    <w:qFormat/>
    <w:uiPriority w:val="9"/>
    <w:pPr>
      <w:keepNext/>
      <w:keepLines/>
      <w:spacing w:before="120" w:after="60" w:line="240" w:lineRule="auto"/>
      <w:ind w:firstLine="0" w:firstLineChars="0"/>
      <w:outlineLvl w:val="1"/>
    </w:pPr>
    <w:rPr>
      <w:rFonts w:cstheme="majorBidi"/>
      <w:b/>
      <w:bCs/>
      <w:szCs w:val="32"/>
    </w:rPr>
  </w:style>
  <w:style w:type="paragraph" w:styleId="4">
    <w:name w:val="heading 3"/>
    <w:basedOn w:val="1"/>
    <w:next w:val="1"/>
    <w:link w:val="38"/>
    <w:unhideWhenUsed/>
    <w:qFormat/>
    <w:uiPriority w:val="9"/>
    <w:pPr>
      <w:keepNext/>
      <w:keepLines/>
      <w:spacing w:before="120" w:after="60" w:line="240" w:lineRule="auto"/>
      <w:ind w:firstLine="0" w:firstLineChars="0"/>
      <w:outlineLvl w:val="2"/>
    </w:pPr>
    <w:rPr>
      <w:b/>
      <w:bCs/>
      <w:szCs w:val="32"/>
    </w:rPr>
  </w:style>
  <w:style w:type="paragraph" w:styleId="5">
    <w:name w:val="heading 4"/>
    <w:basedOn w:val="1"/>
    <w:next w:val="1"/>
    <w:link w:val="39"/>
    <w:unhideWhenUsed/>
    <w:qFormat/>
    <w:uiPriority w:val="9"/>
    <w:pPr>
      <w:keepNext/>
      <w:keepLines/>
      <w:spacing w:before="120" w:after="60" w:line="240" w:lineRule="auto"/>
      <w:ind w:firstLine="0" w:firstLineChars="0"/>
      <w:outlineLvl w:val="3"/>
    </w:pPr>
    <w:rPr>
      <w:rFonts w:cstheme="majorBidi"/>
      <w:b/>
      <w:bCs/>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84"/>
    <w:autoRedefine/>
    <w:qFormat/>
    <w:uiPriority w:val="0"/>
    <w:pPr>
      <w:adjustRightInd w:val="0"/>
      <w:snapToGrid w:val="0"/>
      <w:ind w:firstLine="420"/>
      <w:textAlignment w:val="auto"/>
    </w:pPr>
    <w:rPr>
      <w:rFonts w:ascii="宋体" w:hAnsi="宋体" w:cs="Times New Roman"/>
      <w:sz w:val="28"/>
      <w:szCs w:val="20"/>
    </w:rPr>
  </w:style>
  <w:style w:type="paragraph" w:styleId="7">
    <w:name w:val="annotation text"/>
    <w:basedOn w:val="1"/>
    <w:link w:val="46"/>
    <w:unhideWhenUsed/>
    <w:qFormat/>
    <w:uiPriority w:val="0"/>
    <w:pPr>
      <w:jc w:val="left"/>
      <w:textAlignment w:val="auto"/>
    </w:pPr>
  </w:style>
  <w:style w:type="paragraph" w:styleId="8">
    <w:name w:val="Body Text"/>
    <w:basedOn w:val="1"/>
    <w:next w:val="1"/>
    <w:qFormat/>
    <w:uiPriority w:val="1"/>
    <w:rPr>
      <w:szCs w:val="24"/>
    </w:rPr>
  </w:style>
  <w:style w:type="paragraph" w:styleId="9">
    <w:name w:val="Body Text Indent"/>
    <w:basedOn w:val="1"/>
    <w:next w:val="10"/>
    <w:semiHidden/>
    <w:unhideWhenUsed/>
    <w:qFormat/>
    <w:uiPriority w:val="99"/>
    <w:pPr>
      <w:spacing w:after="120"/>
      <w:ind w:left="420" w:leftChars="200"/>
    </w:pPr>
  </w:style>
  <w:style w:type="paragraph" w:customStyle="1" w:styleId="10">
    <w:name w:val="样式 正文文本缩进 + 行距: 1.5 倍行距"/>
    <w:basedOn w:val="9"/>
    <w:qFormat/>
    <w:uiPriority w:val="0"/>
    <w:pPr>
      <w:ind w:firstLine="560"/>
    </w:pPr>
    <w:rPr>
      <w:rFonts w:cs="宋体"/>
      <w:sz w:val="28"/>
    </w:rPr>
  </w:style>
  <w:style w:type="paragraph" w:styleId="11">
    <w:name w:val="List 2"/>
    <w:basedOn w:val="1"/>
    <w:semiHidden/>
    <w:unhideWhenUsed/>
    <w:qFormat/>
    <w:uiPriority w:val="99"/>
    <w:pPr>
      <w:ind w:left="100" w:leftChars="200" w:hanging="200" w:hangingChars="200"/>
      <w:contextualSpacing/>
      <w:textAlignment w:val="auto"/>
    </w:pPr>
    <w:rPr>
      <w:rFonts w:cs="Times New Roman"/>
    </w:rPr>
  </w:style>
  <w:style w:type="paragraph" w:styleId="12">
    <w:name w:val="Date"/>
    <w:basedOn w:val="1"/>
    <w:next w:val="1"/>
    <w:link w:val="66"/>
    <w:semiHidden/>
    <w:unhideWhenUsed/>
    <w:qFormat/>
    <w:uiPriority w:val="99"/>
    <w:pPr>
      <w:ind w:left="100" w:leftChars="2500"/>
    </w:pPr>
  </w:style>
  <w:style w:type="paragraph" w:styleId="13">
    <w:name w:val="Balloon Text"/>
    <w:basedOn w:val="1"/>
    <w:link w:val="42"/>
    <w:semiHidden/>
    <w:unhideWhenUsed/>
    <w:qFormat/>
    <w:uiPriority w:val="99"/>
    <w:pPr>
      <w:spacing w:line="240" w:lineRule="auto"/>
    </w:pPr>
    <w:rPr>
      <w:sz w:val="18"/>
      <w:szCs w:val="18"/>
    </w:rPr>
  </w:style>
  <w:style w:type="paragraph" w:styleId="14">
    <w:name w:val="footer"/>
    <w:basedOn w:val="1"/>
    <w:link w:val="41"/>
    <w:unhideWhenUsed/>
    <w:qFormat/>
    <w:uiPriority w:val="0"/>
    <w:pPr>
      <w:tabs>
        <w:tab w:val="center" w:pos="4153"/>
        <w:tab w:val="right" w:pos="8306"/>
      </w:tabs>
      <w:snapToGrid w:val="0"/>
      <w:spacing w:line="240" w:lineRule="auto"/>
      <w:jc w:val="left"/>
    </w:pPr>
    <w:rPr>
      <w:sz w:val="18"/>
      <w:szCs w:val="18"/>
    </w:rPr>
  </w:style>
  <w:style w:type="paragraph" w:styleId="15">
    <w:name w:val="header"/>
    <w:basedOn w:val="1"/>
    <w:link w:val="4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Subtitle"/>
    <w:basedOn w:val="1"/>
    <w:next w:val="1"/>
    <w:link w:val="36"/>
    <w:qFormat/>
    <w:uiPriority w:val="11"/>
    <w:pPr>
      <w:spacing w:before="120" w:after="60" w:line="240" w:lineRule="auto"/>
      <w:ind w:firstLine="0" w:firstLineChars="0"/>
      <w:outlineLvl w:val="3"/>
    </w:pPr>
    <w:rPr>
      <w:b/>
      <w:bCs/>
      <w:kern w:val="28"/>
      <w:szCs w:val="32"/>
    </w:rPr>
  </w:style>
  <w:style w:type="paragraph" w:styleId="17">
    <w:name w:val="List"/>
    <w:basedOn w:val="1"/>
    <w:semiHidden/>
    <w:unhideWhenUsed/>
    <w:qFormat/>
    <w:uiPriority w:val="99"/>
    <w:pPr>
      <w:ind w:left="200" w:hanging="200" w:hangingChars="200"/>
      <w:contextualSpacing/>
    </w:pPr>
  </w:style>
  <w:style w:type="paragraph" w:styleId="18">
    <w:name w:val="Body Text Indent 3"/>
    <w:basedOn w:val="1"/>
    <w:link w:val="55"/>
    <w:semiHidden/>
    <w:unhideWhenUsed/>
    <w:qFormat/>
    <w:uiPriority w:val="99"/>
    <w:pPr>
      <w:ind w:left="359" w:leftChars="171" w:firstLine="420"/>
      <w:textAlignment w:val="auto"/>
    </w:pPr>
    <w:rPr>
      <w:rFonts w:cs="Times New Roman"/>
      <w:sz w:val="21"/>
      <w:szCs w:val="24"/>
    </w:rPr>
  </w:style>
  <w:style w:type="paragraph" w:styleId="19">
    <w:name w:val="Normal (Web)"/>
    <w:basedOn w:val="1"/>
    <w:semiHidden/>
    <w:unhideWhenUsed/>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paragraph" w:styleId="20">
    <w:name w:val="Title"/>
    <w:basedOn w:val="1"/>
    <w:next w:val="1"/>
    <w:link w:val="35"/>
    <w:qFormat/>
    <w:uiPriority w:val="10"/>
    <w:pPr>
      <w:spacing w:before="120" w:after="60" w:line="240" w:lineRule="auto"/>
      <w:ind w:firstLine="0" w:firstLineChars="0"/>
      <w:outlineLvl w:val="2"/>
    </w:pPr>
    <w:rPr>
      <w:rFonts w:cstheme="majorBidi"/>
      <w:b/>
      <w:bCs/>
      <w:szCs w:val="32"/>
    </w:rPr>
  </w:style>
  <w:style w:type="paragraph" w:styleId="21">
    <w:name w:val="annotation subject"/>
    <w:basedOn w:val="7"/>
    <w:next w:val="7"/>
    <w:link w:val="50"/>
    <w:unhideWhenUsed/>
    <w:qFormat/>
    <w:uiPriority w:val="99"/>
    <w:pPr>
      <w:textAlignment w:val="center"/>
    </w:pPr>
    <w:rPr>
      <w:b/>
      <w:bCs/>
    </w:rPr>
  </w:style>
  <w:style w:type="paragraph" w:styleId="22">
    <w:name w:val="Body Text First Indent"/>
    <w:basedOn w:val="8"/>
    <w:next w:val="1"/>
    <w:qFormat/>
    <w:uiPriority w:val="0"/>
    <w:pPr>
      <w:ind w:firstLine="420" w:firstLineChars="100"/>
    </w:pPr>
  </w:style>
  <w:style w:type="paragraph" w:styleId="23">
    <w:name w:val="Body Text First Indent 2"/>
    <w:basedOn w:val="9"/>
    <w:next w:val="1"/>
    <w:unhideWhenUsed/>
    <w:qFormat/>
    <w:uiPriority w:val="99"/>
    <w:pPr>
      <w:ind w:left="0" w:leftChars="0" w:firstLine="48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rPr>
  </w:style>
  <w:style w:type="character" w:styleId="28">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HTML Code"/>
    <w:basedOn w:val="26"/>
    <w:semiHidden/>
    <w:unhideWhenUsed/>
    <w:qFormat/>
    <w:uiPriority w:val="99"/>
    <w:rPr>
      <w:rFonts w:ascii="Courier New" w:hAnsi="Courier New"/>
      <w:sz w:val="20"/>
    </w:rPr>
  </w:style>
  <w:style w:type="character" w:styleId="31">
    <w:name w:val="annotation reference"/>
    <w:basedOn w:val="26"/>
    <w:semiHidden/>
    <w:unhideWhenUsed/>
    <w:qFormat/>
    <w:uiPriority w:val="99"/>
    <w:rPr>
      <w:sz w:val="21"/>
      <w:szCs w:val="21"/>
    </w:rPr>
  </w:style>
  <w:style w:type="paragraph" w:styleId="32">
    <w:name w:val="No Spacing"/>
    <w:basedOn w:val="17"/>
    <w:next w:val="1"/>
    <w:link w:val="49"/>
    <w:qFormat/>
    <w:uiPriority w:val="1"/>
    <w:pPr>
      <w:spacing w:line="240" w:lineRule="auto"/>
      <w:ind w:left="0" w:firstLine="0" w:firstLineChars="0"/>
      <w:jc w:val="center"/>
    </w:pPr>
    <w:rPr>
      <w:sz w:val="21"/>
    </w:rPr>
  </w:style>
  <w:style w:type="character" w:customStyle="1" w:styleId="33">
    <w:name w:val="标题 1 字符"/>
    <w:basedOn w:val="26"/>
    <w:link w:val="2"/>
    <w:qFormat/>
    <w:uiPriority w:val="9"/>
    <w:rPr>
      <w:rFonts w:ascii="Times New Roman" w:hAnsi="Times New Roman" w:eastAsia="宋体"/>
      <w:b/>
      <w:bCs/>
      <w:kern w:val="44"/>
      <w:sz w:val="28"/>
      <w:szCs w:val="44"/>
    </w:rPr>
  </w:style>
  <w:style w:type="character" w:customStyle="1" w:styleId="34">
    <w:name w:val="标题 2 字符"/>
    <w:basedOn w:val="26"/>
    <w:link w:val="3"/>
    <w:qFormat/>
    <w:uiPriority w:val="9"/>
    <w:rPr>
      <w:rFonts w:ascii="Times New Roman" w:hAnsi="Times New Roman" w:eastAsia="宋体" w:cstheme="majorBidi"/>
      <w:b/>
      <w:bCs/>
      <w:sz w:val="24"/>
      <w:szCs w:val="32"/>
    </w:rPr>
  </w:style>
  <w:style w:type="character" w:customStyle="1" w:styleId="35">
    <w:name w:val="标题 字符"/>
    <w:basedOn w:val="26"/>
    <w:link w:val="20"/>
    <w:qFormat/>
    <w:uiPriority w:val="10"/>
    <w:rPr>
      <w:rFonts w:ascii="Times New Roman" w:hAnsi="Times New Roman" w:eastAsia="宋体" w:cstheme="majorBidi"/>
      <w:b/>
      <w:bCs/>
      <w:sz w:val="24"/>
      <w:szCs w:val="32"/>
    </w:rPr>
  </w:style>
  <w:style w:type="character" w:customStyle="1" w:styleId="36">
    <w:name w:val="副标题 字符"/>
    <w:basedOn w:val="26"/>
    <w:link w:val="16"/>
    <w:qFormat/>
    <w:uiPriority w:val="11"/>
    <w:rPr>
      <w:rFonts w:ascii="Times New Roman" w:hAnsi="Times New Roman" w:eastAsia="宋体"/>
      <w:b/>
      <w:bCs/>
      <w:kern w:val="28"/>
      <w:sz w:val="24"/>
      <w:szCs w:val="32"/>
    </w:rPr>
  </w:style>
  <w:style w:type="paragraph" w:customStyle="1" w:styleId="37">
    <w:name w:val="表题"/>
    <w:basedOn w:val="1"/>
    <w:next w:val="1"/>
    <w:qFormat/>
    <w:uiPriority w:val="0"/>
    <w:pPr>
      <w:spacing w:before="50" w:beforeLines="50" w:line="240" w:lineRule="auto"/>
      <w:ind w:firstLine="0" w:firstLineChars="0"/>
      <w:jc w:val="center"/>
    </w:pPr>
    <w:rPr>
      <w:b/>
      <w:sz w:val="21"/>
    </w:rPr>
  </w:style>
  <w:style w:type="character" w:customStyle="1" w:styleId="38">
    <w:name w:val="标题 3 字符"/>
    <w:basedOn w:val="26"/>
    <w:link w:val="4"/>
    <w:qFormat/>
    <w:uiPriority w:val="9"/>
    <w:rPr>
      <w:rFonts w:ascii="Times New Roman" w:hAnsi="Times New Roman" w:eastAsia="宋体"/>
      <w:b/>
      <w:bCs/>
      <w:sz w:val="24"/>
      <w:szCs w:val="32"/>
    </w:rPr>
  </w:style>
  <w:style w:type="character" w:customStyle="1" w:styleId="39">
    <w:name w:val="标题 4 字符"/>
    <w:basedOn w:val="26"/>
    <w:link w:val="5"/>
    <w:qFormat/>
    <w:uiPriority w:val="9"/>
    <w:rPr>
      <w:rFonts w:ascii="Times New Roman" w:hAnsi="Times New Roman" w:eastAsia="宋体" w:cstheme="majorBidi"/>
      <w:b/>
      <w:bCs/>
      <w:sz w:val="24"/>
      <w:szCs w:val="28"/>
    </w:rPr>
  </w:style>
  <w:style w:type="character" w:customStyle="1" w:styleId="40">
    <w:name w:val="页眉 字符"/>
    <w:basedOn w:val="26"/>
    <w:link w:val="15"/>
    <w:qFormat/>
    <w:uiPriority w:val="99"/>
    <w:rPr>
      <w:rFonts w:ascii="Times New Roman" w:hAnsi="Times New Roman" w:eastAsia="宋体"/>
      <w:sz w:val="18"/>
      <w:szCs w:val="18"/>
    </w:rPr>
  </w:style>
  <w:style w:type="character" w:customStyle="1" w:styleId="41">
    <w:name w:val="页脚 字符"/>
    <w:basedOn w:val="26"/>
    <w:link w:val="14"/>
    <w:qFormat/>
    <w:uiPriority w:val="99"/>
    <w:rPr>
      <w:rFonts w:ascii="Times New Roman" w:hAnsi="Times New Roman" w:eastAsia="宋体"/>
      <w:sz w:val="18"/>
      <w:szCs w:val="18"/>
    </w:rPr>
  </w:style>
  <w:style w:type="character" w:customStyle="1" w:styleId="42">
    <w:name w:val="批注框文本 字符"/>
    <w:basedOn w:val="26"/>
    <w:link w:val="13"/>
    <w:semiHidden/>
    <w:qFormat/>
    <w:uiPriority w:val="99"/>
    <w:rPr>
      <w:rFonts w:ascii="Times New Roman" w:hAnsi="Times New Roman" w:eastAsia="宋体"/>
      <w:sz w:val="18"/>
      <w:szCs w:val="18"/>
    </w:rPr>
  </w:style>
  <w:style w:type="character" w:customStyle="1" w:styleId="43">
    <w:name w:val="表格文字2 Char"/>
    <w:link w:val="44"/>
    <w:qFormat/>
    <w:uiPriority w:val="0"/>
    <w:rPr>
      <w:rFonts w:ascii="宋体" w:hAnsi="宋体" w:eastAsia="宋体" w:cs="宋体"/>
      <w:bCs/>
      <w:spacing w:val="5"/>
      <w:kern w:val="0"/>
      <w:szCs w:val="21"/>
    </w:rPr>
  </w:style>
  <w:style w:type="paragraph" w:customStyle="1" w:styleId="44">
    <w:name w:val="表格文字2"/>
    <w:basedOn w:val="1"/>
    <w:link w:val="43"/>
    <w:qFormat/>
    <w:uiPriority w:val="0"/>
    <w:pPr>
      <w:tabs>
        <w:tab w:val="left" w:pos="277"/>
        <w:tab w:val="left" w:pos="600"/>
        <w:tab w:val="left" w:pos="780"/>
        <w:tab w:val="left" w:pos="2517"/>
      </w:tabs>
      <w:adjustRightInd w:val="0"/>
      <w:spacing w:before="60" w:line="240" w:lineRule="auto"/>
      <w:ind w:firstLine="0" w:firstLineChars="0"/>
      <w:jc w:val="center"/>
      <w:textAlignment w:val="auto"/>
    </w:pPr>
    <w:rPr>
      <w:rFonts w:ascii="宋体" w:hAnsi="宋体" w:cs="宋体"/>
      <w:bCs/>
      <w:spacing w:val="5"/>
      <w:kern w:val="0"/>
      <w:sz w:val="21"/>
      <w:szCs w:val="21"/>
    </w:rPr>
  </w:style>
  <w:style w:type="character" w:customStyle="1" w:styleId="45">
    <w:name w:val="showhidemsg"/>
    <w:basedOn w:val="26"/>
    <w:qFormat/>
    <w:uiPriority w:val="0"/>
  </w:style>
  <w:style w:type="character" w:customStyle="1" w:styleId="46">
    <w:name w:val="批注文字 字符"/>
    <w:basedOn w:val="26"/>
    <w:link w:val="7"/>
    <w:qFormat/>
    <w:uiPriority w:val="0"/>
    <w:rPr>
      <w:rFonts w:ascii="Times New Roman" w:hAnsi="Times New Roman" w:eastAsia="宋体"/>
      <w:sz w:val="24"/>
    </w:rPr>
  </w:style>
  <w:style w:type="character" w:customStyle="1" w:styleId="47">
    <w:name w:val="未处理的提及1"/>
    <w:basedOn w:val="26"/>
    <w:semiHidden/>
    <w:unhideWhenUsed/>
    <w:qFormat/>
    <w:uiPriority w:val="99"/>
    <w:rPr>
      <w:color w:val="605E5C"/>
      <w:shd w:val="clear" w:color="auto" w:fill="E1DFDD"/>
    </w:rPr>
  </w:style>
  <w:style w:type="paragraph" w:customStyle="1" w:styleId="48">
    <w:name w:val="无间隔1"/>
    <w:basedOn w:val="17"/>
    <w:next w:val="1"/>
    <w:qFormat/>
    <w:uiPriority w:val="1"/>
    <w:pPr>
      <w:spacing w:line="240" w:lineRule="auto"/>
      <w:ind w:left="0" w:firstLine="0" w:firstLineChars="0"/>
      <w:jc w:val="center"/>
      <w:textAlignment w:val="auto"/>
    </w:pPr>
    <w:rPr>
      <w:sz w:val="21"/>
    </w:rPr>
  </w:style>
  <w:style w:type="character" w:customStyle="1" w:styleId="49">
    <w:name w:val="无间隔 字符"/>
    <w:basedOn w:val="26"/>
    <w:link w:val="32"/>
    <w:qFormat/>
    <w:uiPriority w:val="1"/>
    <w:rPr>
      <w:rFonts w:ascii="Times New Roman" w:hAnsi="Times New Roman" w:eastAsia="宋体"/>
    </w:rPr>
  </w:style>
  <w:style w:type="character" w:customStyle="1" w:styleId="50">
    <w:name w:val="批注主题 字符"/>
    <w:basedOn w:val="46"/>
    <w:link w:val="21"/>
    <w:qFormat/>
    <w:uiPriority w:val="99"/>
    <w:rPr>
      <w:rFonts w:ascii="Times New Roman" w:hAnsi="Times New Roman" w:eastAsia="宋体"/>
      <w:b/>
      <w:bCs/>
      <w:sz w:val="24"/>
    </w:rPr>
  </w:style>
  <w:style w:type="paragraph" w:customStyle="1" w:styleId="51">
    <w:name w:val="修订1"/>
    <w:hidden/>
    <w:semiHidden/>
    <w:qFormat/>
    <w:uiPriority w:val="99"/>
    <w:rPr>
      <w:rFonts w:ascii="Times New Roman" w:hAnsi="Times New Roman" w:eastAsia="宋体" w:cstheme="minorBidi"/>
      <w:kern w:val="2"/>
      <w:sz w:val="24"/>
      <w:szCs w:val="22"/>
      <w:lang w:val="en-US" w:eastAsia="zh-CN" w:bidi="ar-SA"/>
    </w:rPr>
  </w:style>
  <w:style w:type="paragraph" w:customStyle="1" w:styleId="52">
    <w:name w:val="msonormal"/>
    <w:basedOn w:val="1"/>
    <w:qFormat/>
    <w:uiPriority w:val="99"/>
    <w:pPr>
      <w:widowControl/>
      <w:spacing w:before="100" w:beforeAutospacing="1" w:after="100" w:afterAutospacing="1" w:line="240" w:lineRule="auto"/>
      <w:ind w:firstLine="0" w:firstLineChars="0"/>
      <w:jc w:val="left"/>
      <w:textAlignment w:val="auto"/>
    </w:pPr>
    <w:rPr>
      <w:rFonts w:ascii="宋体" w:hAnsi="宋体" w:cs="宋体"/>
      <w:kern w:val="0"/>
      <w:szCs w:val="24"/>
    </w:rPr>
  </w:style>
  <w:style w:type="character" w:customStyle="1" w:styleId="53">
    <w:name w:val="标题 字符1"/>
    <w:basedOn w:val="26"/>
    <w:qFormat/>
    <w:uiPriority w:val="10"/>
    <w:rPr>
      <w:rFonts w:asciiTheme="majorHAnsi" w:hAnsiTheme="majorHAnsi" w:eastAsiaTheme="majorEastAsia" w:cstheme="majorBidi"/>
      <w:b/>
      <w:bCs/>
      <w:sz w:val="32"/>
      <w:szCs w:val="32"/>
    </w:rPr>
  </w:style>
  <w:style w:type="character" w:customStyle="1" w:styleId="54">
    <w:name w:val="副标题 字符1"/>
    <w:basedOn w:val="26"/>
    <w:qFormat/>
    <w:uiPriority w:val="11"/>
    <w:rPr>
      <w:b/>
      <w:bCs/>
      <w:kern w:val="28"/>
      <w:sz w:val="32"/>
      <w:szCs w:val="32"/>
    </w:rPr>
  </w:style>
  <w:style w:type="character" w:customStyle="1" w:styleId="55">
    <w:name w:val="正文文本缩进 3 字符"/>
    <w:basedOn w:val="26"/>
    <w:link w:val="18"/>
    <w:semiHidden/>
    <w:qFormat/>
    <w:uiPriority w:val="99"/>
    <w:rPr>
      <w:rFonts w:ascii="Times New Roman" w:hAnsi="Times New Roman" w:eastAsia="宋体" w:cs="Times New Roman"/>
      <w:szCs w:val="24"/>
    </w:rPr>
  </w:style>
  <w:style w:type="paragraph" w:styleId="56">
    <w:name w:val="List Paragraph"/>
    <w:basedOn w:val="1"/>
    <w:qFormat/>
    <w:uiPriority w:val="34"/>
    <w:pPr>
      <w:ind w:firstLine="420"/>
      <w:textAlignment w:val="auto"/>
    </w:pPr>
    <w:rPr>
      <w:rFonts w:cs="Times New Roman"/>
    </w:rPr>
  </w:style>
  <w:style w:type="paragraph" w:customStyle="1" w:styleId="57">
    <w:name w:val="表格字体"/>
    <w:basedOn w:val="1"/>
    <w:qFormat/>
    <w:uiPriority w:val="99"/>
    <w:pPr>
      <w:adjustRightInd w:val="0"/>
      <w:spacing w:line="240" w:lineRule="auto"/>
      <w:ind w:firstLine="0" w:firstLineChars="0"/>
      <w:jc w:val="center"/>
      <w:textAlignment w:val="auto"/>
    </w:pPr>
    <w:rPr>
      <w:rFonts w:cs="Times New Roman"/>
      <w:sz w:val="21"/>
      <w:szCs w:val="21"/>
    </w:rPr>
  </w:style>
  <w:style w:type="character" w:customStyle="1" w:styleId="58">
    <w:name w:val="表内 字符"/>
    <w:link w:val="59"/>
    <w:qFormat/>
    <w:uiPriority w:val="0"/>
    <w:rPr>
      <w:bCs/>
      <w:color w:val="000000"/>
      <w:szCs w:val="21"/>
    </w:rPr>
  </w:style>
  <w:style w:type="paragraph" w:customStyle="1" w:styleId="59">
    <w:name w:val="表内"/>
    <w:basedOn w:val="11"/>
    <w:link w:val="58"/>
    <w:qFormat/>
    <w:uiPriority w:val="0"/>
    <w:pPr>
      <w:widowControl/>
      <w:spacing w:line="240" w:lineRule="auto"/>
      <w:ind w:left="0" w:leftChars="0" w:firstLine="0" w:firstLineChars="0"/>
      <w:jc w:val="center"/>
    </w:pPr>
    <w:rPr>
      <w:rFonts w:asciiTheme="minorHAnsi" w:hAnsiTheme="minorHAnsi" w:eastAsiaTheme="minorEastAsia" w:cstheme="minorBidi"/>
      <w:bCs/>
      <w:color w:val="000000"/>
      <w:sz w:val="21"/>
      <w:szCs w:val="21"/>
    </w:rPr>
  </w:style>
  <w:style w:type="paragraph" w:customStyle="1" w:styleId="60">
    <w:name w:val="Char Char Char Char Char Char Char Char Char"/>
    <w:basedOn w:val="1"/>
    <w:qFormat/>
    <w:uiPriority w:val="99"/>
    <w:pPr>
      <w:spacing w:line="240" w:lineRule="auto"/>
      <w:ind w:firstLine="0" w:firstLineChars="0"/>
      <w:textAlignment w:val="auto"/>
    </w:pPr>
    <w:rPr>
      <w:rFonts w:cs="Times New Roman"/>
      <w:sz w:val="21"/>
      <w:szCs w:val="24"/>
    </w:rPr>
  </w:style>
  <w:style w:type="character" w:styleId="61">
    <w:name w:val="Placeholder Text"/>
    <w:basedOn w:val="26"/>
    <w:semiHidden/>
    <w:qFormat/>
    <w:uiPriority w:val="99"/>
    <w:rPr>
      <w:color w:val="808080"/>
    </w:rPr>
  </w:style>
  <w:style w:type="character" w:customStyle="1" w:styleId="62">
    <w:name w:val="未处理的提及11"/>
    <w:basedOn w:val="26"/>
    <w:semiHidden/>
    <w:qFormat/>
    <w:uiPriority w:val="99"/>
    <w:rPr>
      <w:color w:val="605E5C"/>
      <w:shd w:val="clear" w:color="auto" w:fill="E1DFDD"/>
    </w:rPr>
  </w:style>
  <w:style w:type="character" w:customStyle="1" w:styleId="63">
    <w:name w:val="标题 1 Char Char Char"/>
    <w:qFormat/>
    <w:uiPriority w:val="0"/>
    <w:rPr>
      <w:rFonts w:hint="eastAsia" w:ascii="宋体" w:hAnsi="宋体" w:eastAsia="宋体"/>
      <w:bCs/>
      <w:sz w:val="28"/>
    </w:rPr>
  </w:style>
  <w:style w:type="character" w:customStyle="1" w:styleId="64">
    <w:name w:val="表格文字 Char Char"/>
    <w:qFormat/>
    <w:uiPriority w:val="0"/>
    <w:rPr>
      <w:szCs w:val="21"/>
    </w:rPr>
  </w:style>
  <w:style w:type="table" w:customStyle="1" w:styleId="65">
    <w:name w:val="网格型1"/>
    <w:basedOn w:val="2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
    <w:name w:val="日期 字符"/>
    <w:basedOn w:val="26"/>
    <w:link w:val="12"/>
    <w:semiHidden/>
    <w:qFormat/>
    <w:uiPriority w:val="99"/>
    <w:rPr>
      <w:rFonts w:ascii="Times New Roman" w:hAnsi="Times New Roman" w:eastAsia="宋体"/>
      <w:sz w:val="24"/>
    </w:rPr>
  </w:style>
  <w:style w:type="table" w:customStyle="1" w:styleId="67">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
    <w:name w:val="文本"/>
    <w:link w:val="74"/>
    <w:qFormat/>
    <w:uiPriority w:val="0"/>
    <w:pPr>
      <w:adjustRightInd w:val="0"/>
      <w:snapToGrid w:val="0"/>
      <w:spacing w:line="480" w:lineRule="exact"/>
      <w:ind w:firstLine="200" w:firstLineChars="200"/>
      <w:jc w:val="both"/>
    </w:pPr>
    <w:rPr>
      <w:rFonts w:ascii="宋体" w:hAnsi="Calibri" w:eastAsia="宋体" w:cs="Times New Roman"/>
      <w:spacing w:val="5"/>
      <w:sz w:val="25"/>
      <w:szCs w:val="22"/>
      <w:lang w:val="en-US" w:eastAsia="zh-CN" w:bidi="ar-SA"/>
    </w:rPr>
  </w:style>
  <w:style w:type="paragraph" w:customStyle="1" w:styleId="69">
    <w:name w:val="表内居中"/>
    <w:qFormat/>
    <w:uiPriority w:val="0"/>
    <w:pPr>
      <w:tabs>
        <w:tab w:val="right" w:leader="middleDot" w:pos="7938"/>
      </w:tabs>
      <w:adjustRightInd w:val="0"/>
      <w:snapToGrid w:val="0"/>
      <w:jc w:val="center"/>
    </w:pPr>
    <w:rPr>
      <w:rFonts w:ascii="宋体" w:hAnsi="宋体" w:eastAsia="宋体" w:cs="Times New Roman"/>
      <w:sz w:val="21"/>
      <w:lang w:val="en-US" w:eastAsia="zh-CN" w:bidi="ar-SA"/>
    </w:rPr>
  </w:style>
  <w:style w:type="paragraph" w:customStyle="1" w:styleId="70">
    <w:name w:val="表名称"/>
    <w:link w:val="72"/>
    <w:autoRedefine/>
    <w:qFormat/>
    <w:uiPriority w:val="0"/>
    <w:pPr>
      <w:adjustRightInd w:val="0"/>
      <w:snapToGrid w:val="0"/>
      <w:ind w:firstLine="480"/>
      <w:jc w:val="center"/>
    </w:pPr>
    <w:rPr>
      <w:rFonts w:ascii="Times New Roman" w:hAnsi="Times New Roman" w:eastAsia="宋体" w:cs="Times New Roman"/>
      <w:b/>
      <w:kern w:val="2"/>
      <w:sz w:val="21"/>
      <w:szCs w:val="21"/>
      <w:lang w:val="en-US" w:eastAsia="zh-CN" w:bidi="ar-SA"/>
    </w:rPr>
  </w:style>
  <w:style w:type="paragraph" w:customStyle="1" w:styleId="71">
    <w:name w:val="表内两端"/>
    <w:link w:val="73"/>
    <w:autoRedefine/>
    <w:qFormat/>
    <w:uiPriority w:val="0"/>
    <w:pPr>
      <w:adjustRightInd w:val="0"/>
      <w:snapToGrid w:val="0"/>
      <w:jc w:val="both"/>
    </w:pPr>
    <w:rPr>
      <w:rFonts w:ascii="宋体" w:hAnsi="Times New Roman" w:eastAsia="宋体" w:cs="Times New Roman"/>
      <w:sz w:val="21"/>
      <w:lang w:val="en-US" w:eastAsia="zh-CN" w:bidi="ar-SA"/>
    </w:rPr>
  </w:style>
  <w:style w:type="character" w:customStyle="1" w:styleId="72">
    <w:name w:val="表名称 Char"/>
    <w:link w:val="70"/>
    <w:autoRedefine/>
    <w:qFormat/>
    <w:uiPriority w:val="0"/>
    <w:rPr>
      <w:b/>
      <w:kern w:val="2"/>
      <w:sz w:val="21"/>
      <w:szCs w:val="21"/>
    </w:rPr>
  </w:style>
  <w:style w:type="character" w:customStyle="1" w:styleId="73">
    <w:name w:val="表内两端 Char"/>
    <w:link w:val="71"/>
    <w:autoRedefine/>
    <w:qFormat/>
    <w:uiPriority w:val="0"/>
    <w:rPr>
      <w:rFonts w:ascii="宋体" w:hAnsi="Times New Roman" w:eastAsia="宋体" w:cs="Times New Roman"/>
      <w:kern w:val="0"/>
      <w:szCs w:val="20"/>
    </w:rPr>
  </w:style>
  <w:style w:type="character" w:customStyle="1" w:styleId="74">
    <w:name w:val="文本 Char"/>
    <w:link w:val="68"/>
    <w:autoRedefine/>
    <w:qFormat/>
    <w:uiPriority w:val="0"/>
    <w:rPr>
      <w:rFonts w:ascii="宋体" w:hAnsi="Calibri" w:eastAsia="宋体" w:cs="Times New Roman"/>
      <w:spacing w:val="5"/>
      <w:kern w:val="0"/>
      <w:sz w:val="25"/>
    </w:rPr>
  </w:style>
  <w:style w:type="character" w:customStyle="1" w:styleId="75">
    <w:name w:val="fontstyle21"/>
    <w:autoRedefine/>
    <w:qFormat/>
    <w:uiPriority w:val="0"/>
    <w:rPr>
      <w:rFonts w:hint="default" w:ascii="Times New Roman" w:hAnsi="Times New Roman" w:cs="Times New Roman"/>
      <w:b/>
      <w:bCs/>
      <w:color w:val="000000"/>
      <w:sz w:val="24"/>
      <w:szCs w:val="24"/>
    </w:rPr>
  </w:style>
  <w:style w:type="paragraph" w:customStyle="1" w:styleId="76">
    <w:name w:val="_Style 5"/>
    <w:basedOn w:val="1"/>
    <w:autoRedefine/>
    <w:qFormat/>
    <w:uiPriority w:val="0"/>
    <w:pPr>
      <w:ind w:firstLine="420"/>
    </w:pPr>
    <w:rPr>
      <w:rFonts w:ascii="Calibri" w:hAnsi="Calibri"/>
    </w:rPr>
  </w:style>
  <w:style w:type="paragraph" w:customStyle="1" w:styleId="77">
    <w:name w:val="lxy表头"/>
    <w:basedOn w:val="1"/>
    <w:autoRedefine/>
    <w:qFormat/>
    <w:uiPriority w:val="0"/>
    <w:pPr>
      <w:autoSpaceDE w:val="0"/>
      <w:autoSpaceDN w:val="0"/>
      <w:adjustRightInd w:val="0"/>
      <w:snapToGrid w:val="0"/>
      <w:jc w:val="center"/>
    </w:pPr>
    <w:rPr>
      <w:rFonts w:ascii="宋体" w:hAnsi="宋体" w:cs="宋体"/>
      <w:b/>
      <w:color w:val="0000FF"/>
      <w:kern w:val="0"/>
    </w:rPr>
  </w:style>
  <w:style w:type="paragraph" w:customStyle="1" w:styleId="78">
    <w:name w:val="表内文字"/>
    <w:qFormat/>
    <w:uiPriority w:val="0"/>
    <w:pPr>
      <w:adjustRightInd w:val="0"/>
      <w:snapToGrid w:val="0"/>
      <w:jc w:val="center"/>
    </w:pPr>
    <w:rPr>
      <w:rFonts w:ascii="宋体" w:hAnsi="宋体" w:eastAsia="宋体" w:cs="Times New Roman"/>
      <w:spacing w:val="-10"/>
      <w:kern w:val="2"/>
      <w:sz w:val="23"/>
      <w:szCs w:val="22"/>
      <w:lang w:val="en-US" w:eastAsia="zh-CN" w:bidi="en-US"/>
    </w:rPr>
  </w:style>
  <w:style w:type="paragraph" w:customStyle="1" w:styleId="79">
    <w:name w:val="图表名称"/>
    <w:basedOn w:val="1"/>
    <w:link w:val="81"/>
    <w:qFormat/>
    <w:uiPriority w:val="0"/>
    <w:pPr>
      <w:tabs>
        <w:tab w:val="left" w:pos="3390"/>
      </w:tabs>
      <w:adjustRightInd w:val="0"/>
      <w:snapToGrid w:val="0"/>
      <w:spacing w:line="240" w:lineRule="auto"/>
      <w:ind w:firstLine="0" w:firstLineChars="0"/>
      <w:jc w:val="center"/>
      <w:textAlignment w:val="auto"/>
    </w:pPr>
    <w:rPr>
      <w:rFonts w:ascii="宋体" w:hAnsi="宋体" w:cs="宋体"/>
      <w:b/>
      <w:szCs w:val="25"/>
      <w:lang w:val="zh-CN" w:bidi="zh-CN"/>
    </w:rPr>
  </w:style>
  <w:style w:type="paragraph" w:customStyle="1" w:styleId="80">
    <w:name w:val="表中文字"/>
    <w:basedOn w:val="1"/>
    <w:qFormat/>
    <w:uiPriority w:val="0"/>
    <w:pPr>
      <w:tabs>
        <w:tab w:val="left" w:pos="2700"/>
      </w:tabs>
      <w:adjustRightInd w:val="0"/>
      <w:snapToGrid w:val="0"/>
      <w:spacing w:line="240" w:lineRule="auto"/>
      <w:ind w:firstLine="0" w:firstLineChars="0"/>
      <w:jc w:val="center"/>
    </w:pPr>
    <w:rPr>
      <w:sz w:val="21"/>
      <w:szCs w:val="21"/>
    </w:rPr>
  </w:style>
  <w:style w:type="character" w:customStyle="1" w:styleId="81">
    <w:name w:val="图表名称 Char"/>
    <w:link w:val="79"/>
    <w:qFormat/>
    <w:uiPriority w:val="0"/>
    <w:rPr>
      <w:rFonts w:ascii="宋体" w:hAnsi="宋体" w:eastAsia="宋体" w:cs="宋体"/>
      <w:b/>
      <w:kern w:val="2"/>
      <w:sz w:val="24"/>
      <w:szCs w:val="25"/>
      <w:lang w:val="zh-CN" w:bidi="zh-CN"/>
    </w:rPr>
  </w:style>
  <w:style w:type="paragraph" w:customStyle="1" w:styleId="82">
    <w:name w:val="主表格"/>
    <w:basedOn w:val="1"/>
    <w:qFormat/>
    <w:uiPriority w:val="0"/>
    <w:pPr>
      <w:spacing w:line="240" w:lineRule="auto"/>
      <w:ind w:firstLine="0" w:firstLineChars="0"/>
      <w:jc w:val="center"/>
    </w:pPr>
  </w:style>
  <w:style w:type="paragraph" w:customStyle="1" w:styleId="83">
    <w:name w:val="【表中文字】"/>
    <w:basedOn w:val="1"/>
    <w:autoRedefine/>
    <w:qFormat/>
    <w:uiPriority w:val="0"/>
    <w:pPr>
      <w:spacing w:line="240" w:lineRule="auto"/>
      <w:ind w:firstLine="0" w:firstLineChars="0"/>
      <w:jc w:val="center"/>
      <w:textAlignment w:val="auto"/>
    </w:pPr>
    <w:rPr>
      <w:rFonts w:cs="Times New Roman"/>
      <w:kern w:val="0"/>
      <w:sz w:val="20"/>
      <w:szCs w:val="20"/>
    </w:rPr>
  </w:style>
  <w:style w:type="character" w:customStyle="1" w:styleId="84">
    <w:name w:val="正文缩进 字符"/>
    <w:link w:val="6"/>
    <w:autoRedefine/>
    <w:qFormat/>
    <w:uiPriority w:val="0"/>
    <w:rPr>
      <w:rFonts w:ascii="宋体" w:hAnsi="宋体"/>
      <w:kern w:val="2"/>
      <w:sz w:val="28"/>
    </w:rPr>
  </w:style>
  <w:style w:type="character" w:customStyle="1" w:styleId="85">
    <w:name w:val="页脚 字符1"/>
    <w:qFormat/>
    <w:uiPriority w:val="0"/>
    <w:rPr>
      <w:rFonts w:ascii="Times New Roman" w:hAnsi="Times New Roman" w:eastAsia="宋体" w:cs="Times New Roman"/>
      <w:sz w:val="18"/>
    </w:rPr>
  </w:style>
  <w:style w:type="paragraph" w:customStyle="1" w:styleId="86">
    <w:name w:val="表头"/>
    <w:basedOn w:val="1"/>
    <w:next w:val="1"/>
    <w:autoRedefine/>
    <w:qFormat/>
    <w:uiPriority w:val="0"/>
    <w:pPr>
      <w:autoSpaceDE w:val="0"/>
      <w:autoSpaceDN w:val="0"/>
      <w:adjustRightInd w:val="0"/>
      <w:spacing w:before="50" w:beforeLines="50" w:line="240" w:lineRule="auto"/>
      <w:ind w:firstLine="0" w:firstLineChars="0"/>
      <w:jc w:val="center"/>
      <w:textAlignment w:val="baseline"/>
    </w:pPr>
    <w:rPr>
      <w:rFonts w:cs="Times New Roman"/>
      <w:b/>
      <w:kern w:val="0"/>
      <w:sz w:val="21"/>
      <w:szCs w:val="20"/>
    </w:rPr>
  </w:style>
  <w:style w:type="paragraph" w:customStyle="1" w:styleId="87">
    <w:name w:val="Table Text"/>
    <w:basedOn w:val="1"/>
    <w:semiHidden/>
    <w:qFormat/>
    <w:uiPriority w:val="0"/>
    <w:pPr>
      <w:textAlignment w:val="auto"/>
    </w:pPr>
    <w:rPr>
      <w:rFonts w:ascii="宋体" w:hAnsi="宋体" w:cs="宋体"/>
      <w:sz w:val="20"/>
      <w:szCs w:val="20"/>
      <w:lang w:eastAsia="en-US"/>
    </w:rPr>
  </w:style>
  <w:style w:type="paragraph" w:customStyle="1" w:styleId="88">
    <w:name w:val="表内容       .."/>
    <w:basedOn w:val="1"/>
    <w:qFormat/>
    <w:uiPriority w:val="0"/>
    <w:pPr>
      <w:adjustRightInd w:val="0"/>
      <w:snapToGrid w:val="0"/>
      <w:spacing w:line="280" w:lineRule="exact"/>
      <w:jc w:val="center"/>
      <w:textAlignment w:val="baseline"/>
    </w:pPr>
    <w:rPr>
      <w:szCs w:val="18"/>
    </w:rPr>
  </w:style>
  <w:style w:type="paragraph" w:customStyle="1" w:styleId="89">
    <w:name w:val="修订2"/>
    <w:hidden/>
    <w:unhideWhenUsed/>
    <w:uiPriority w:val="99"/>
    <w:rPr>
      <w:rFonts w:ascii="Times New Roman" w:hAnsi="Times New Roman" w:eastAsia="宋体" w:cstheme="minorBidi"/>
      <w:kern w:val="2"/>
      <w:sz w:val="24"/>
      <w:szCs w:val="22"/>
      <w:lang w:val="en-US" w:eastAsia="zh-CN" w:bidi="ar-SA"/>
    </w:rPr>
  </w:style>
  <w:style w:type="paragraph" w:customStyle="1" w:styleId="90">
    <w:name w:val="表格文字"/>
    <w:basedOn w:val="1"/>
    <w:autoRedefine/>
    <w:qFormat/>
    <w:uiPriority w:val="0"/>
    <w:pPr>
      <w:spacing w:line="240" w:lineRule="auto"/>
      <w:ind w:firstLine="0" w:firstLineChars="0"/>
      <w:jc w:val="center"/>
      <w:textAlignment w:val="auto"/>
    </w:pPr>
    <w:rPr>
      <w:rFonts w:cs="Times New Roman"/>
      <w:snapToGrid w:val="0"/>
      <w:kern w:val="0"/>
      <w:sz w:val="21"/>
      <w:szCs w:val="24"/>
    </w:rPr>
  </w:style>
  <w:style w:type="paragraph" w:customStyle="1" w:styleId="91">
    <w:name w:val="图表标题"/>
    <w:basedOn w:val="1"/>
    <w:qFormat/>
    <w:uiPriority w:val="0"/>
    <w:pPr>
      <w:spacing w:line="240" w:lineRule="auto"/>
      <w:ind w:firstLine="0" w:firstLineChars="0"/>
      <w:jc w:val="center"/>
      <w:textAlignment w:val="auto"/>
    </w:pPr>
    <w:rPr>
      <w:rFonts w:cstheme="majorBidi"/>
      <w:b/>
      <w:snapToGrid w:val="0"/>
      <w:kern w:val="0"/>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3.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5e3ba3db-3c65-49e9-a60b-7463a9f9bf47</errorID>
      <errorWord>、及</errorWord>
      <group>L1_Other</group>
      <groupName>其他问题</groupName>
      <ability>L2_UserTypo</ability>
      <abilityName>自定义错误</abilityName>
      <candidateList>
        <item>及</item>
      </candidateList>
      <explain>来自自定义错词库。</explain>
      <paraID>11CFAEC0</paraID>
      <start>37</start>
      <end>39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371F5D-9C92-44C6-BC70-2AD070C02023}">
  <ds:schemaRefs/>
</ds:datastoreItem>
</file>

<file path=customXml/itemProps3.xml><?xml version="1.0" encoding="utf-8"?>
<ds:datastoreItem xmlns:ds="http://schemas.openxmlformats.org/officeDocument/2006/customXml" ds:itemID="{13b608e7-4130-4b8a-a400-7c331ab6a65a}">
  <ds:schemaRefs/>
</ds:datastoreItem>
</file>

<file path=docProps/app.xml><?xml version="1.0" encoding="utf-8"?>
<Properties xmlns="http://schemas.openxmlformats.org/officeDocument/2006/extended-properties" xmlns:vt="http://schemas.openxmlformats.org/officeDocument/2006/docPropsVTypes">
  <Template>Normal</Template>
  <Pages>71</Pages>
  <Words>16585</Words>
  <Characters>17082</Characters>
  <Lines>394</Lines>
  <Paragraphs>111</Paragraphs>
  <TotalTime>2733</TotalTime>
  <ScaleCrop>false</ScaleCrop>
  <LinksUpToDate>false</LinksUpToDate>
  <CharactersWithSpaces>17151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2026-01-15T11:11:00Z</dcterms:created>
  <dc:creator>鲍 宏岩</dc:creator>
  <cp:lastModifiedBy>WPS_1562320662</cp:lastModifiedBy>
  <cp:lastPrinted>2026-04-24T06:00:00Z</cp:lastPrinted>
  <dcterms:modified xsi:type="dcterms:W3CDTF">2026-04-30T05:01:21Z</dcterms:modified>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41920F5FD95B4D20A67CAE18231E12DA_13</vt:lpwstr>
  </property>
  <property fmtid="{D5CDD505-2E9C-101B-9397-08002B2CF9AE}" pid="4" name="KSOTemplateDocerSaveRecord">
    <vt:lpwstr>eyJoZGlkIjoiNGRhODgyNjQ5YTE5ZjFmYjE2NDEwOTU4OTE2MjU0N2MiLCJ1c2VySWQiOiI2MDE2NTE5NzkifQ==</vt:lpwstr>
  </property>
</Properties>
</file>