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8CDB70">
      <w:pPr>
        <w:pStyle w:val="29"/>
        <w:shd w:val="clear"/>
        <w:autoSpaceDE w:val="0"/>
        <w:autoSpaceDN w:val="0"/>
        <w:adjustRightInd/>
        <w:snapToGrid/>
        <w:ind w:left="0" w:firstLine="0" w:firstLineChars="0"/>
        <w:rPr>
          <w:rFonts w:ascii="Times New Roman" w:hAnsi="Times New Roman" w:eastAsia="宋体" w:cs="Times New Roman"/>
          <w:highlight w:val="none"/>
        </w:rPr>
      </w:pPr>
    </w:p>
    <w:p w14:paraId="0FCB1116">
      <w:pPr>
        <w:pStyle w:val="29"/>
        <w:shd w:val="clear"/>
        <w:autoSpaceDE w:val="0"/>
        <w:autoSpaceDN w:val="0"/>
        <w:adjustRightInd/>
        <w:snapToGrid/>
        <w:ind w:left="0" w:firstLine="0" w:firstLineChars="0"/>
        <w:rPr>
          <w:rFonts w:ascii="Times New Roman" w:hAnsi="Times New Roman" w:eastAsia="宋体" w:cs="Times New Roman"/>
          <w:highlight w:val="none"/>
        </w:rPr>
      </w:pPr>
      <w:bookmarkStart w:id="0" w:name="_Toc4462"/>
      <w:r>
        <w:rPr>
          <w:rFonts w:ascii="Times New Roman" w:hAnsi="Times New Roman" w:eastAsia="宋体" w:cs="Times New Roman"/>
          <w:highlight w:val="none"/>
        </w:rPr>
        <w:t>建设项目环境影响报告表</w:t>
      </w:r>
      <w:bookmarkEnd w:id="0"/>
    </w:p>
    <w:p w14:paraId="7C5B31B6">
      <w:pPr>
        <w:shd w:val="clear"/>
        <w:autoSpaceDE w:val="0"/>
        <w:autoSpaceDN w:val="0"/>
        <w:adjustRightInd/>
        <w:snapToGrid/>
        <w:spacing w:before="115"/>
        <w:ind w:left="2496" w:right="2514" w:firstLine="0" w:firstLineChars="0"/>
        <w:jc w:val="center"/>
        <w:rPr>
          <w:sz w:val="48"/>
          <w:highlight w:val="none"/>
        </w:rPr>
      </w:pPr>
      <w:r>
        <w:rPr>
          <w:sz w:val="48"/>
          <w:highlight w:val="none"/>
        </w:rPr>
        <w:t>（生态影响类）</w:t>
      </w:r>
    </w:p>
    <w:p w14:paraId="518F0036">
      <w:pPr>
        <w:pStyle w:val="22"/>
        <w:shd w:val="clear"/>
        <w:ind w:firstLine="482"/>
        <w:rPr>
          <w:rFonts w:hint="default" w:ascii="Times New Roman" w:hAnsi="Times New Roman"/>
          <w:highlight w:val="none"/>
        </w:rPr>
      </w:pPr>
    </w:p>
    <w:p w14:paraId="76080370">
      <w:pPr>
        <w:pStyle w:val="11"/>
        <w:numPr>
          <w:ilvl w:val="0"/>
          <w:numId w:val="0"/>
        </w:numPr>
        <w:shd w:val="clear"/>
        <w:ind w:left="480" w:leftChars="200"/>
        <w:rPr>
          <w:sz w:val="57"/>
          <w:highlight w:val="none"/>
        </w:rPr>
      </w:pPr>
    </w:p>
    <w:p w14:paraId="2C78C824">
      <w:pPr>
        <w:shd w:val="clear"/>
        <w:ind w:firstLine="480"/>
        <w:rPr>
          <w:highlight w:val="none"/>
        </w:rPr>
      </w:pPr>
    </w:p>
    <w:p w14:paraId="30A2C8A6">
      <w:pPr>
        <w:shd w:val="clear"/>
        <w:ind w:firstLine="0" w:firstLineChars="0"/>
        <w:rPr>
          <w:b/>
          <w:bCs/>
          <w:sz w:val="32"/>
          <w:szCs w:val="32"/>
          <w:highlight w:val="none"/>
        </w:rPr>
      </w:pPr>
      <w:bookmarkStart w:id="1" w:name="_Toc17161"/>
    </w:p>
    <w:p w14:paraId="6FF84B4A">
      <w:pPr>
        <w:shd w:val="clear"/>
        <w:ind w:firstLine="0" w:firstLineChars="0"/>
        <w:rPr>
          <w:b/>
          <w:bCs/>
          <w:sz w:val="32"/>
          <w:szCs w:val="32"/>
          <w:highlight w:val="none"/>
        </w:rPr>
      </w:pPr>
    </w:p>
    <w:p w14:paraId="236D3E8F">
      <w:pPr>
        <w:shd w:val="clear"/>
        <w:ind w:firstLine="0" w:firstLineChars="0"/>
        <w:rPr>
          <w:b/>
          <w:bCs/>
          <w:sz w:val="32"/>
          <w:szCs w:val="32"/>
          <w:highlight w:val="none"/>
        </w:rPr>
      </w:pPr>
    </w:p>
    <w:p w14:paraId="3105C459">
      <w:pPr>
        <w:shd w:val="clear"/>
        <w:ind w:firstLine="0" w:firstLineChars="0"/>
        <w:rPr>
          <w:b/>
          <w:bCs/>
          <w:sz w:val="32"/>
          <w:szCs w:val="32"/>
          <w:highlight w:val="none"/>
        </w:rPr>
      </w:pPr>
    </w:p>
    <w:p w14:paraId="454A605A">
      <w:pPr>
        <w:shd w:val="clear"/>
        <w:ind w:firstLine="0" w:firstLineChars="0"/>
        <w:rPr>
          <w:b/>
          <w:bCs/>
          <w:sz w:val="32"/>
          <w:szCs w:val="32"/>
          <w:highlight w:val="none"/>
        </w:rPr>
      </w:pPr>
    </w:p>
    <w:p w14:paraId="515F2440">
      <w:pPr>
        <w:shd w:val="clear"/>
        <w:ind w:firstLine="0" w:firstLineChars="0"/>
        <w:rPr>
          <w:b/>
          <w:bCs/>
          <w:sz w:val="32"/>
          <w:szCs w:val="32"/>
          <w:highlight w:val="none"/>
        </w:rPr>
      </w:pPr>
    </w:p>
    <w:p w14:paraId="49FE96FF">
      <w:pPr>
        <w:shd w:val="clear"/>
        <w:ind w:firstLine="0" w:firstLineChars="0"/>
        <w:rPr>
          <w:b/>
          <w:bCs/>
          <w:sz w:val="32"/>
          <w:szCs w:val="32"/>
          <w:highlight w:val="none"/>
        </w:rPr>
      </w:pPr>
    </w:p>
    <w:p w14:paraId="46F3961E">
      <w:pPr>
        <w:shd w:val="clear"/>
        <w:ind w:left="1962" w:leftChars="232" w:hanging="1405" w:hangingChars="500"/>
        <w:rPr>
          <w:b/>
          <w:bCs/>
          <w:sz w:val="28"/>
          <w:szCs w:val="28"/>
          <w:highlight w:val="none"/>
          <w:u w:val="single"/>
        </w:rPr>
      </w:pPr>
      <w:r>
        <w:rPr>
          <w:b/>
          <w:bCs/>
          <w:sz w:val="28"/>
          <w:szCs w:val="28"/>
          <w:highlight w:val="none"/>
        </w:rPr>
        <w:t>项目名称：</w:t>
      </w:r>
      <w:bookmarkEnd w:id="1"/>
      <w:r>
        <w:rPr>
          <w:rFonts w:hint="eastAsia"/>
          <w:b/>
          <w:bCs/>
          <w:sz w:val="28"/>
          <w:szCs w:val="28"/>
          <w:highlight w:val="none"/>
          <w:u w:val="single"/>
          <w:lang w:eastAsia="zh-CN"/>
        </w:rPr>
        <w:t>巴州尉犁安丰福慧60MW/240MWh独立新型储能项目</w:t>
      </w:r>
      <w:r>
        <w:rPr>
          <w:rFonts w:hint="eastAsia"/>
          <w:b/>
          <w:bCs/>
          <w:sz w:val="28"/>
          <w:szCs w:val="28"/>
          <w:highlight w:val="none"/>
          <w:u w:val="single"/>
          <w:lang w:val="en-US" w:eastAsia="zh-CN"/>
        </w:rPr>
        <w:t xml:space="preserve"> </w:t>
      </w:r>
      <w:r>
        <w:rPr>
          <w:rFonts w:hint="eastAsia"/>
          <w:b/>
          <w:bCs/>
          <w:color w:val="FF0000"/>
          <w:sz w:val="28"/>
          <w:szCs w:val="28"/>
          <w:highlight w:val="none"/>
          <w:u w:val="single"/>
          <w:lang w:eastAsia="zh-CN"/>
        </w:rPr>
        <w:t>（输变电工程）</w:t>
      </w:r>
    </w:p>
    <w:p w14:paraId="09D2E2CE">
      <w:pPr>
        <w:shd w:val="clear"/>
        <w:ind w:firstLine="562"/>
        <w:rPr>
          <w:b/>
          <w:bCs/>
          <w:sz w:val="28"/>
          <w:szCs w:val="28"/>
          <w:highlight w:val="none"/>
          <w:u w:val="single"/>
        </w:rPr>
      </w:pPr>
      <w:bookmarkStart w:id="2" w:name="_Toc26276"/>
      <w:r>
        <w:rPr>
          <w:b/>
          <w:bCs/>
          <w:sz w:val="28"/>
          <w:szCs w:val="28"/>
          <w:highlight w:val="none"/>
        </w:rPr>
        <w:t>建设单位（盖章）：</w:t>
      </w:r>
      <w:r>
        <w:rPr>
          <w:b/>
          <w:bCs/>
          <w:sz w:val="28"/>
          <w:szCs w:val="28"/>
          <w:highlight w:val="none"/>
          <w:u w:val="single"/>
        </w:rPr>
        <w:t xml:space="preserve">    </w:t>
      </w:r>
      <w:bookmarkEnd w:id="2"/>
      <w:r>
        <w:rPr>
          <w:b/>
          <w:bCs/>
          <w:sz w:val="28"/>
          <w:szCs w:val="28"/>
          <w:highlight w:val="none"/>
          <w:u w:val="single"/>
        </w:rPr>
        <w:t xml:space="preserve">新疆安丰福慧新能源有限公司        </w:t>
      </w:r>
    </w:p>
    <w:p w14:paraId="7A53AD82">
      <w:pPr>
        <w:shd w:val="clear"/>
        <w:ind w:firstLine="562"/>
        <w:rPr>
          <w:b/>
          <w:bCs/>
          <w:sz w:val="28"/>
          <w:szCs w:val="28"/>
          <w:highlight w:val="none"/>
          <w:u w:val="single"/>
        </w:rPr>
      </w:pPr>
      <w:bookmarkStart w:id="3" w:name="_Toc20262"/>
      <w:r>
        <w:rPr>
          <w:b/>
          <w:bCs/>
          <w:sz w:val="28"/>
          <w:szCs w:val="28"/>
          <w:highlight w:val="none"/>
        </w:rPr>
        <w:t>编制日期：</w:t>
      </w:r>
      <w:r>
        <w:rPr>
          <w:b/>
          <w:bCs/>
          <w:sz w:val="28"/>
          <w:szCs w:val="28"/>
          <w:highlight w:val="none"/>
          <w:u w:val="single"/>
        </w:rPr>
        <w:t xml:space="preserve">                2026年5月</w:t>
      </w:r>
      <w:bookmarkEnd w:id="3"/>
      <w:r>
        <w:rPr>
          <w:b/>
          <w:bCs/>
          <w:sz w:val="28"/>
          <w:szCs w:val="28"/>
          <w:highlight w:val="none"/>
          <w:u w:val="single"/>
        </w:rPr>
        <w:t xml:space="preserve">                   </w:t>
      </w:r>
    </w:p>
    <w:p w14:paraId="773448A9">
      <w:pPr>
        <w:pStyle w:val="32"/>
        <w:shd w:val="clear"/>
        <w:ind w:left="480" w:firstLine="643"/>
        <w:rPr>
          <w:b/>
          <w:bCs/>
          <w:sz w:val="32"/>
          <w:szCs w:val="32"/>
          <w:highlight w:val="none"/>
          <w:u w:val="single"/>
        </w:rPr>
      </w:pPr>
    </w:p>
    <w:p w14:paraId="2BD48617">
      <w:pPr>
        <w:shd w:val="clear"/>
        <w:ind w:firstLine="643"/>
        <w:rPr>
          <w:b/>
          <w:bCs/>
          <w:sz w:val="32"/>
          <w:szCs w:val="32"/>
          <w:highlight w:val="none"/>
          <w:u w:val="single"/>
        </w:rPr>
      </w:pPr>
    </w:p>
    <w:p w14:paraId="1328DC3A">
      <w:pPr>
        <w:shd w:val="clear"/>
        <w:ind w:firstLine="643"/>
        <w:rPr>
          <w:b/>
          <w:bCs/>
          <w:sz w:val="32"/>
          <w:szCs w:val="32"/>
          <w:highlight w:val="none"/>
          <w:u w:val="singl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sdt>
      <w:sdtPr>
        <w:rPr>
          <w:rFonts w:ascii="宋体" w:hAnsi="宋体" w:eastAsia="宋体" w:cs="Times New Roman"/>
          <w:b/>
          <w:bCs/>
          <w:kern w:val="2"/>
          <w:sz w:val="32"/>
          <w:szCs w:val="32"/>
          <w:highlight w:val="none"/>
          <w:lang w:val="en-US" w:eastAsia="zh-CN" w:bidi="ar-SA"/>
        </w:rPr>
        <w:id w:val="147453712"/>
        <w15:color w:val="DBDBDB"/>
        <w:docPartObj>
          <w:docPartGallery w:val="Table of Contents"/>
          <w:docPartUnique/>
        </w:docPartObj>
      </w:sdtPr>
      <w:sdtEndPr>
        <w:rPr>
          <w:rFonts w:ascii="Times New Roman" w:hAnsi="Times New Roman" w:eastAsia="宋体" w:cs="Times New Roman"/>
          <w:b/>
          <w:bCs/>
          <w:snapToGrid w:val="0"/>
          <w:kern w:val="0"/>
          <w:sz w:val="24"/>
          <w:szCs w:val="30"/>
          <w:highlight w:val="none"/>
          <w:lang w:val="en-US" w:eastAsia="zh-CN" w:bidi="ar-SA"/>
        </w:rPr>
      </w:sdtEndPr>
      <w:sdtContent>
        <w:p w14:paraId="6819BB2D">
          <w:pPr>
            <w:keepNext w:val="0"/>
            <w:keepLines w:val="0"/>
            <w:pageBreakBefore w:val="0"/>
            <w:widowControl w:val="0"/>
            <w:shd w:val="clear"/>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rPr>
              <w:b/>
              <w:bCs/>
              <w:sz w:val="32"/>
              <w:szCs w:val="32"/>
              <w:highlight w:val="none"/>
            </w:rPr>
          </w:pPr>
          <w:bookmarkStart w:id="4" w:name="_Toc29948"/>
          <w:r>
            <w:rPr>
              <w:rFonts w:ascii="宋体" w:hAnsi="宋体" w:eastAsia="宋体"/>
              <w:b/>
              <w:bCs/>
              <w:sz w:val="32"/>
              <w:szCs w:val="32"/>
              <w:highlight w:val="none"/>
            </w:rPr>
            <w:t>目录</w:t>
          </w:r>
        </w:p>
        <w:p w14:paraId="2019BE41">
          <w:pPr>
            <w:pStyle w:val="20"/>
            <w:shd w:val="clear"/>
            <w:tabs>
              <w:tab w:val="right" w:leader="dot" w:pos="8844"/>
            </w:tabs>
            <w:rPr>
              <w:highlight w:val="none"/>
            </w:rPr>
          </w:pPr>
          <w:r>
            <w:rPr>
              <w:rFonts w:ascii="Times New Roman" w:hAnsi="Times New Roman"/>
              <w:snapToGrid w:val="0"/>
              <w:sz w:val="30"/>
              <w:szCs w:val="30"/>
              <w:highlight w:val="none"/>
            </w:rPr>
            <w:fldChar w:fldCharType="begin"/>
          </w:r>
          <w:r>
            <w:rPr>
              <w:rFonts w:ascii="Times New Roman" w:hAnsi="Times New Roman"/>
              <w:snapToGrid w:val="0"/>
              <w:sz w:val="30"/>
              <w:szCs w:val="30"/>
              <w:highlight w:val="none"/>
            </w:rPr>
            <w:instrText xml:space="preserve">TOC \o "1-1" \h \u </w:instrText>
          </w:r>
          <w:r>
            <w:rPr>
              <w:rFonts w:ascii="Times New Roman" w:hAnsi="Times New Roman"/>
              <w:snapToGrid w:val="0"/>
              <w:sz w:val="30"/>
              <w:szCs w:val="30"/>
              <w:highlight w:val="none"/>
            </w:rPr>
            <w:fldChar w:fldCharType="separate"/>
          </w:r>
          <w:r>
            <w:rPr>
              <w:rFonts w:ascii="Times New Roman" w:hAnsi="Times New Roman"/>
              <w:snapToGrid w:val="0"/>
              <w:szCs w:val="30"/>
              <w:highlight w:val="none"/>
            </w:rPr>
            <w:fldChar w:fldCharType="begin"/>
          </w:r>
          <w:r>
            <w:rPr>
              <w:rFonts w:ascii="Times New Roman" w:hAnsi="Times New Roman"/>
              <w:snapToGrid w:val="0"/>
              <w:szCs w:val="30"/>
              <w:highlight w:val="none"/>
            </w:rPr>
            <w:instrText xml:space="preserve"> HYPERLINK \l _Toc13319 </w:instrText>
          </w:r>
          <w:r>
            <w:rPr>
              <w:rFonts w:ascii="Times New Roman" w:hAnsi="Times New Roman"/>
              <w:snapToGrid w:val="0"/>
              <w:szCs w:val="30"/>
              <w:highlight w:val="none"/>
            </w:rPr>
            <w:fldChar w:fldCharType="separate"/>
          </w:r>
          <w:r>
            <w:rPr>
              <w:rFonts w:ascii="Times New Roman" w:hAnsi="Times New Roman"/>
              <w:snapToGrid w:val="0"/>
              <w:szCs w:val="30"/>
              <w:highlight w:val="none"/>
            </w:rPr>
            <w:t>一、建设项目基本情况</w:t>
          </w:r>
          <w:r>
            <w:rPr>
              <w:highlight w:val="none"/>
            </w:rPr>
            <w:tab/>
          </w:r>
          <w:r>
            <w:rPr>
              <w:highlight w:val="none"/>
            </w:rPr>
            <w:fldChar w:fldCharType="begin"/>
          </w:r>
          <w:r>
            <w:rPr>
              <w:highlight w:val="none"/>
            </w:rPr>
            <w:instrText xml:space="preserve"> PAGEREF _Toc13319 \h </w:instrText>
          </w:r>
          <w:r>
            <w:rPr>
              <w:highlight w:val="none"/>
            </w:rPr>
            <w:fldChar w:fldCharType="separate"/>
          </w:r>
          <w:r>
            <w:rPr>
              <w:highlight w:val="none"/>
            </w:rPr>
            <w:t>1</w:t>
          </w:r>
          <w:r>
            <w:rPr>
              <w:highlight w:val="none"/>
            </w:rPr>
            <w:fldChar w:fldCharType="end"/>
          </w:r>
          <w:r>
            <w:rPr>
              <w:rFonts w:ascii="Times New Roman" w:hAnsi="Times New Roman"/>
              <w:snapToGrid w:val="0"/>
              <w:szCs w:val="30"/>
              <w:highlight w:val="none"/>
            </w:rPr>
            <w:fldChar w:fldCharType="end"/>
          </w:r>
        </w:p>
        <w:p w14:paraId="28837F0E">
          <w:pPr>
            <w:pStyle w:val="20"/>
            <w:shd w:val="clear"/>
            <w:tabs>
              <w:tab w:val="right" w:leader="dot" w:pos="8844"/>
            </w:tabs>
            <w:rPr>
              <w:highlight w:val="none"/>
            </w:rPr>
          </w:pPr>
          <w:r>
            <w:rPr>
              <w:rFonts w:ascii="Times New Roman" w:hAnsi="Times New Roman"/>
              <w:snapToGrid w:val="0"/>
              <w:szCs w:val="30"/>
              <w:highlight w:val="none"/>
            </w:rPr>
            <w:fldChar w:fldCharType="begin"/>
          </w:r>
          <w:r>
            <w:rPr>
              <w:rFonts w:ascii="Times New Roman" w:hAnsi="Times New Roman"/>
              <w:snapToGrid w:val="0"/>
              <w:szCs w:val="30"/>
              <w:highlight w:val="none"/>
            </w:rPr>
            <w:instrText xml:space="preserve"> HYPERLINK \l _Toc27696 </w:instrText>
          </w:r>
          <w:r>
            <w:rPr>
              <w:rFonts w:ascii="Times New Roman" w:hAnsi="Times New Roman"/>
              <w:snapToGrid w:val="0"/>
              <w:szCs w:val="30"/>
              <w:highlight w:val="none"/>
            </w:rPr>
            <w:fldChar w:fldCharType="separate"/>
          </w:r>
          <w:r>
            <w:rPr>
              <w:rFonts w:ascii="Times New Roman" w:hAnsi="Times New Roman"/>
              <w:snapToGrid w:val="0"/>
              <w:szCs w:val="30"/>
              <w:highlight w:val="none"/>
            </w:rPr>
            <w:t>二、建设内容</w:t>
          </w:r>
          <w:r>
            <w:rPr>
              <w:highlight w:val="none"/>
            </w:rPr>
            <w:tab/>
          </w:r>
          <w:r>
            <w:rPr>
              <w:highlight w:val="none"/>
            </w:rPr>
            <w:fldChar w:fldCharType="begin"/>
          </w:r>
          <w:r>
            <w:rPr>
              <w:highlight w:val="none"/>
            </w:rPr>
            <w:instrText xml:space="preserve"> PAGEREF _Toc27696 \h </w:instrText>
          </w:r>
          <w:r>
            <w:rPr>
              <w:highlight w:val="none"/>
            </w:rPr>
            <w:fldChar w:fldCharType="separate"/>
          </w:r>
          <w:r>
            <w:rPr>
              <w:highlight w:val="none"/>
            </w:rPr>
            <w:t>13</w:t>
          </w:r>
          <w:r>
            <w:rPr>
              <w:highlight w:val="none"/>
            </w:rPr>
            <w:fldChar w:fldCharType="end"/>
          </w:r>
          <w:r>
            <w:rPr>
              <w:rFonts w:ascii="Times New Roman" w:hAnsi="Times New Roman"/>
              <w:snapToGrid w:val="0"/>
              <w:szCs w:val="30"/>
              <w:highlight w:val="none"/>
            </w:rPr>
            <w:fldChar w:fldCharType="end"/>
          </w:r>
        </w:p>
        <w:p w14:paraId="6E11D647">
          <w:pPr>
            <w:pStyle w:val="20"/>
            <w:shd w:val="clear"/>
            <w:tabs>
              <w:tab w:val="right" w:leader="dot" w:pos="8844"/>
            </w:tabs>
            <w:rPr>
              <w:highlight w:val="none"/>
            </w:rPr>
          </w:pPr>
          <w:r>
            <w:rPr>
              <w:rFonts w:ascii="Times New Roman" w:hAnsi="Times New Roman"/>
              <w:snapToGrid w:val="0"/>
              <w:szCs w:val="30"/>
              <w:highlight w:val="none"/>
            </w:rPr>
            <w:fldChar w:fldCharType="begin"/>
          </w:r>
          <w:r>
            <w:rPr>
              <w:rFonts w:ascii="Times New Roman" w:hAnsi="Times New Roman"/>
              <w:snapToGrid w:val="0"/>
              <w:szCs w:val="30"/>
              <w:highlight w:val="none"/>
            </w:rPr>
            <w:instrText xml:space="preserve"> HYPERLINK \l _Toc16125 </w:instrText>
          </w:r>
          <w:r>
            <w:rPr>
              <w:rFonts w:ascii="Times New Roman" w:hAnsi="Times New Roman"/>
              <w:snapToGrid w:val="0"/>
              <w:szCs w:val="30"/>
              <w:highlight w:val="none"/>
            </w:rPr>
            <w:fldChar w:fldCharType="separate"/>
          </w:r>
          <w:r>
            <w:rPr>
              <w:rFonts w:ascii="Times New Roman" w:hAnsi="Times New Roman"/>
              <w:snapToGrid w:val="0"/>
              <w:szCs w:val="30"/>
              <w:highlight w:val="none"/>
            </w:rPr>
            <w:t>三、生态环境现状、保护目标及评价标准</w:t>
          </w:r>
          <w:r>
            <w:rPr>
              <w:highlight w:val="none"/>
            </w:rPr>
            <w:tab/>
          </w:r>
          <w:r>
            <w:rPr>
              <w:highlight w:val="none"/>
            </w:rPr>
            <w:fldChar w:fldCharType="begin"/>
          </w:r>
          <w:r>
            <w:rPr>
              <w:highlight w:val="none"/>
            </w:rPr>
            <w:instrText xml:space="preserve"> PAGEREF _Toc16125 \h </w:instrText>
          </w:r>
          <w:r>
            <w:rPr>
              <w:highlight w:val="none"/>
            </w:rPr>
            <w:fldChar w:fldCharType="separate"/>
          </w:r>
          <w:r>
            <w:rPr>
              <w:highlight w:val="none"/>
            </w:rPr>
            <w:t>24</w:t>
          </w:r>
          <w:r>
            <w:rPr>
              <w:highlight w:val="none"/>
            </w:rPr>
            <w:fldChar w:fldCharType="end"/>
          </w:r>
          <w:r>
            <w:rPr>
              <w:rFonts w:ascii="Times New Roman" w:hAnsi="Times New Roman"/>
              <w:snapToGrid w:val="0"/>
              <w:szCs w:val="30"/>
              <w:highlight w:val="none"/>
            </w:rPr>
            <w:fldChar w:fldCharType="end"/>
          </w:r>
        </w:p>
        <w:p w14:paraId="0F9D5252">
          <w:pPr>
            <w:pStyle w:val="20"/>
            <w:shd w:val="clear"/>
            <w:tabs>
              <w:tab w:val="right" w:leader="dot" w:pos="8844"/>
            </w:tabs>
            <w:rPr>
              <w:highlight w:val="none"/>
            </w:rPr>
          </w:pPr>
          <w:r>
            <w:rPr>
              <w:rFonts w:ascii="Times New Roman" w:hAnsi="Times New Roman"/>
              <w:snapToGrid w:val="0"/>
              <w:szCs w:val="30"/>
              <w:highlight w:val="none"/>
            </w:rPr>
            <w:fldChar w:fldCharType="begin"/>
          </w:r>
          <w:r>
            <w:rPr>
              <w:rFonts w:ascii="Times New Roman" w:hAnsi="Times New Roman"/>
              <w:snapToGrid w:val="0"/>
              <w:szCs w:val="30"/>
              <w:highlight w:val="none"/>
            </w:rPr>
            <w:instrText xml:space="preserve"> HYPERLINK \l _Toc2474 </w:instrText>
          </w:r>
          <w:r>
            <w:rPr>
              <w:rFonts w:ascii="Times New Roman" w:hAnsi="Times New Roman"/>
              <w:snapToGrid w:val="0"/>
              <w:szCs w:val="30"/>
              <w:highlight w:val="none"/>
            </w:rPr>
            <w:fldChar w:fldCharType="separate"/>
          </w:r>
          <w:r>
            <w:rPr>
              <w:rFonts w:ascii="Times New Roman" w:hAnsi="Times New Roman"/>
              <w:snapToGrid w:val="0"/>
              <w:szCs w:val="30"/>
              <w:highlight w:val="none"/>
            </w:rPr>
            <w:t>四、生态环境影响分析</w:t>
          </w:r>
          <w:r>
            <w:rPr>
              <w:highlight w:val="none"/>
            </w:rPr>
            <w:tab/>
          </w:r>
          <w:r>
            <w:rPr>
              <w:highlight w:val="none"/>
            </w:rPr>
            <w:fldChar w:fldCharType="begin"/>
          </w:r>
          <w:r>
            <w:rPr>
              <w:highlight w:val="none"/>
            </w:rPr>
            <w:instrText xml:space="preserve"> PAGEREF _Toc2474 \h </w:instrText>
          </w:r>
          <w:r>
            <w:rPr>
              <w:highlight w:val="none"/>
            </w:rPr>
            <w:fldChar w:fldCharType="separate"/>
          </w:r>
          <w:r>
            <w:rPr>
              <w:highlight w:val="none"/>
            </w:rPr>
            <w:t>38</w:t>
          </w:r>
          <w:r>
            <w:rPr>
              <w:highlight w:val="none"/>
            </w:rPr>
            <w:fldChar w:fldCharType="end"/>
          </w:r>
          <w:r>
            <w:rPr>
              <w:rFonts w:ascii="Times New Roman" w:hAnsi="Times New Roman"/>
              <w:snapToGrid w:val="0"/>
              <w:szCs w:val="30"/>
              <w:highlight w:val="none"/>
            </w:rPr>
            <w:fldChar w:fldCharType="end"/>
          </w:r>
        </w:p>
        <w:p w14:paraId="73512A21">
          <w:pPr>
            <w:pStyle w:val="20"/>
            <w:shd w:val="clear"/>
            <w:tabs>
              <w:tab w:val="right" w:leader="dot" w:pos="8844"/>
            </w:tabs>
            <w:rPr>
              <w:highlight w:val="none"/>
            </w:rPr>
          </w:pPr>
          <w:r>
            <w:rPr>
              <w:rFonts w:ascii="Times New Roman" w:hAnsi="Times New Roman"/>
              <w:snapToGrid w:val="0"/>
              <w:szCs w:val="30"/>
              <w:highlight w:val="none"/>
            </w:rPr>
            <w:fldChar w:fldCharType="begin"/>
          </w:r>
          <w:r>
            <w:rPr>
              <w:rFonts w:ascii="Times New Roman" w:hAnsi="Times New Roman"/>
              <w:snapToGrid w:val="0"/>
              <w:szCs w:val="30"/>
              <w:highlight w:val="none"/>
            </w:rPr>
            <w:instrText xml:space="preserve"> HYPERLINK \l _Toc400 </w:instrText>
          </w:r>
          <w:r>
            <w:rPr>
              <w:rFonts w:ascii="Times New Roman" w:hAnsi="Times New Roman"/>
              <w:snapToGrid w:val="0"/>
              <w:szCs w:val="30"/>
              <w:highlight w:val="none"/>
            </w:rPr>
            <w:fldChar w:fldCharType="separate"/>
          </w:r>
          <w:r>
            <w:rPr>
              <w:rFonts w:ascii="Times New Roman" w:hAnsi="Times New Roman"/>
              <w:snapToGrid w:val="0"/>
              <w:szCs w:val="30"/>
              <w:highlight w:val="none"/>
            </w:rPr>
            <w:t>五、主要生态环境保护措施</w:t>
          </w:r>
          <w:r>
            <w:rPr>
              <w:highlight w:val="none"/>
            </w:rPr>
            <w:tab/>
          </w:r>
          <w:r>
            <w:rPr>
              <w:highlight w:val="none"/>
            </w:rPr>
            <w:fldChar w:fldCharType="begin"/>
          </w:r>
          <w:r>
            <w:rPr>
              <w:highlight w:val="none"/>
            </w:rPr>
            <w:instrText xml:space="preserve"> PAGEREF _Toc400 \h </w:instrText>
          </w:r>
          <w:r>
            <w:rPr>
              <w:highlight w:val="none"/>
            </w:rPr>
            <w:fldChar w:fldCharType="separate"/>
          </w:r>
          <w:r>
            <w:rPr>
              <w:highlight w:val="none"/>
            </w:rPr>
            <w:t>54</w:t>
          </w:r>
          <w:r>
            <w:rPr>
              <w:highlight w:val="none"/>
            </w:rPr>
            <w:fldChar w:fldCharType="end"/>
          </w:r>
          <w:r>
            <w:rPr>
              <w:rFonts w:ascii="Times New Roman" w:hAnsi="Times New Roman"/>
              <w:snapToGrid w:val="0"/>
              <w:szCs w:val="30"/>
              <w:highlight w:val="none"/>
            </w:rPr>
            <w:fldChar w:fldCharType="end"/>
          </w:r>
        </w:p>
        <w:p w14:paraId="633DEDD0">
          <w:pPr>
            <w:pStyle w:val="20"/>
            <w:shd w:val="clear"/>
            <w:tabs>
              <w:tab w:val="right" w:leader="dot" w:pos="8844"/>
            </w:tabs>
            <w:rPr>
              <w:highlight w:val="none"/>
            </w:rPr>
          </w:pPr>
          <w:r>
            <w:rPr>
              <w:rFonts w:ascii="Times New Roman" w:hAnsi="Times New Roman"/>
              <w:snapToGrid w:val="0"/>
              <w:szCs w:val="30"/>
              <w:highlight w:val="none"/>
            </w:rPr>
            <w:fldChar w:fldCharType="begin"/>
          </w:r>
          <w:r>
            <w:rPr>
              <w:rFonts w:ascii="Times New Roman" w:hAnsi="Times New Roman"/>
              <w:snapToGrid w:val="0"/>
              <w:szCs w:val="30"/>
              <w:highlight w:val="none"/>
            </w:rPr>
            <w:instrText xml:space="preserve"> HYPERLINK \l _Toc28298 </w:instrText>
          </w:r>
          <w:r>
            <w:rPr>
              <w:rFonts w:ascii="Times New Roman" w:hAnsi="Times New Roman"/>
              <w:snapToGrid w:val="0"/>
              <w:szCs w:val="30"/>
              <w:highlight w:val="none"/>
            </w:rPr>
            <w:fldChar w:fldCharType="separate"/>
          </w:r>
          <w:r>
            <w:rPr>
              <w:rFonts w:ascii="Times New Roman" w:hAnsi="Times New Roman"/>
              <w:snapToGrid w:val="0"/>
              <w:szCs w:val="30"/>
              <w:highlight w:val="none"/>
            </w:rPr>
            <w:t>六、生态环境保护措施监督检查清单</w:t>
          </w:r>
          <w:r>
            <w:rPr>
              <w:highlight w:val="none"/>
            </w:rPr>
            <w:tab/>
          </w:r>
          <w:r>
            <w:rPr>
              <w:highlight w:val="none"/>
            </w:rPr>
            <w:fldChar w:fldCharType="begin"/>
          </w:r>
          <w:r>
            <w:rPr>
              <w:highlight w:val="none"/>
            </w:rPr>
            <w:instrText xml:space="preserve"> PAGEREF _Toc28298 \h </w:instrText>
          </w:r>
          <w:r>
            <w:rPr>
              <w:highlight w:val="none"/>
            </w:rPr>
            <w:fldChar w:fldCharType="separate"/>
          </w:r>
          <w:r>
            <w:rPr>
              <w:highlight w:val="none"/>
            </w:rPr>
            <w:t>74</w:t>
          </w:r>
          <w:r>
            <w:rPr>
              <w:highlight w:val="none"/>
            </w:rPr>
            <w:fldChar w:fldCharType="end"/>
          </w:r>
          <w:r>
            <w:rPr>
              <w:rFonts w:ascii="Times New Roman" w:hAnsi="Times New Roman"/>
              <w:snapToGrid w:val="0"/>
              <w:szCs w:val="30"/>
              <w:highlight w:val="none"/>
            </w:rPr>
            <w:fldChar w:fldCharType="end"/>
          </w:r>
        </w:p>
        <w:p w14:paraId="54DC48C1">
          <w:pPr>
            <w:pStyle w:val="20"/>
            <w:shd w:val="clear"/>
            <w:tabs>
              <w:tab w:val="right" w:leader="dot" w:pos="8844"/>
            </w:tabs>
            <w:rPr>
              <w:highlight w:val="none"/>
            </w:rPr>
          </w:pPr>
          <w:r>
            <w:rPr>
              <w:rFonts w:ascii="Times New Roman" w:hAnsi="Times New Roman"/>
              <w:snapToGrid w:val="0"/>
              <w:szCs w:val="30"/>
              <w:highlight w:val="none"/>
            </w:rPr>
            <w:fldChar w:fldCharType="begin"/>
          </w:r>
          <w:r>
            <w:rPr>
              <w:rFonts w:ascii="Times New Roman" w:hAnsi="Times New Roman"/>
              <w:snapToGrid w:val="0"/>
              <w:szCs w:val="30"/>
              <w:highlight w:val="none"/>
            </w:rPr>
            <w:instrText xml:space="preserve"> HYPERLINK \l _Toc2337 </w:instrText>
          </w:r>
          <w:r>
            <w:rPr>
              <w:rFonts w:ascii="Times New Roman" w:hAnsi="Times New Roman"/>
              <w:snapToGrid w:val="0"/>
              <w:szCs w:val="30"/>
              <w:highlight w:val="none"/>
            </w:rPr>
            <w:fldChar w:fldCharType="separate"/>
          </w:r>
          <w:r>
            <w:rPr>
              <w:rFonts w:ascii="Times New Roman" w:hAnsi="Times New Roman"/>
              <w:snapToGrid w:val="0"/>
              <w:szCs w:val="30"/>
              <w:highlight w:val="none"/>
            </w:rPr>
            <w:t>七、结论</w:t>
          </w:r>
          <w:r>
            <w:rPr>
              <w:highlight w:val="none"/>
            </w:rPr>
            <w:tab/>
          </w:r>
          <w:r>
            <w:rPr>
              <w:highlight w:val="none"/>
            </w:rPr>
            <w:fldChar w:fldCharType="begin"/>
          </w:r>
          <w:r>
            <w:rPr>
              <w:highlight w:val="none"/>
            </w:rPr>
            <w:instrText xml:space="preserve"> PAGEREF _Toc2337 \h </w:instrText>
          </w:r>
          <w:r>
            <w:rPr>
              <w:highlight w:val="none"/>
            </w:rPr>
            <w:fldChar w:fldCharType="separate"/>
          </w:r>
          <w:r>
            <w:rPr>
              <w:highlight w:val="none"/>
            </w:rPr>
            <w:t>77</w:t>
          </w:r>
          <w:r>
            <w:rPr>
              <w:highlight w:val="none"/>
            </w:rPr>
            <w:fldChar w:fldCharType="end"/>
          </w:r>
          <w:r>
            <w:rPr>
              <w:rFonts w:ascii="Times New Roman" w:hAnsi="Times New Roman"/>
              <w:snapToGrid w:val="0"/>
              <w:szCs w:val="30"/>
              <w:highlight w:val="none"/>
            </w:rPr>
            <w:fldChar w:fldCharType="end"/>
          </w:r>
        </w:p>
        <w:p w14:paraId="70568950">
          <w:pPr>
            <w:pStyle w:val="20"/>
            <w:shd w:val="clear"/>
            <w:tabs>
              <w:tab w:val="right" w:leader="dot" w:pos="8844"/>
            </w:tabs>
            <w:rPr>
              <w:highlight w:val="none"/>
            </w:rPr>
          </w:pPr>
          <w:r>
            <w:rPr>
              <w:rFonts w:ascii="Times New Roman" w:hAnsi="Times New Roman"/>
              <w:snapToGrid w:val="0"/>
              <w:szCs w:val="30"/>
              <w:highlight w:val="none"/>
            </w:rPr>
            <w:fldChar w:fldCharType="begin"/>
          </w:r>
          <w:r>
            <w:rPr>
              <w:rFonts w:ascii="Times New Roman" w:hAnsi="Times New Roman"/>
              <w:snapToGrid w:val="0"/>
              <w:szCs w:val="30"/>
              <w:highlight w:val="none"/>
            </w:rPr>
            <w:instrText xml:space="preserve"> HYPERLINK \l _Toc19020 </w:instrText>
          </w:r>
          <w:r>
            <w:rPr>
              <w:rFonts w:ascii="Times New Roman" w:hAnsi="Times New Roman"/>
              <w:snapToGrid w:val="0"/>
              <w:szCs w:val="30"/>
              <w:highlight w:val="none"/>
            </w:rPr>
            <w:fldChar w:fldCharType="separate"/>
          </w:r>
          <w:r>
            <w:rPr>
              <w:rFonts w:eastAsia="宋体"/>
              <w:highlight w:val="none"/>
            </w:rPr>
            <w:t>附录：电磁环境影响专题评价</w:t>
          </w:r>
          <w:r>
            <w:rPr>
              <w:highlight w:val="none"/>
            </w:rPr>
            <w:tab/>
          </w:r>
          <w:r>
            <w:rPr>
              <w:highlight w:val="none"/>
            </w:rPr>
            <w:fldChar w:fldCharType="begin"/>
          </w:r>
          <w:r>
            <w:rPr>
              <w:highlight w:val="none"/>
            </w:rPr>
            <w:instrText xml:space="preserve"> PAGEREF _Toc19020 \h </w:instrText>
          </w:r>
          <w:r>
            <w:rPr>
              <w:highlight w:val="none"/>
            </w:rPr>
            <w:fldChar w:fldCharType="separate"/>
          </w:r>
          <w:r>
            <w:rPr>
              <w:highlight w:val="none"/>
            </w:rPr>
            <w:t>78</w:t>
          </w:r>
          <w:r>
            <w:rPr>
              <w:highlight w:val="none"/>
            </w:rPr>
            <w:fldChar w:fldCharType="end"/>
          </w:r>
          <w:r>
            <w:rPr>
              <w:rFonts w:ascii="Times New Roman" w:hAnsi="Times New Roman"/>
              <w:snapToGrid w:val="0"/>
              <w:szCs w:val="30"/>
              <w:highlight w:val="none"/>
            </w:rPr>
            <w:fldChar w:fldCharType="end"/>
          </w:r>
        </w:p>
        <w:p w14:paraId="23AAF4F7">
          <w:pPr>
            <w:pStyle w:val="28"/>
            <w:shd w:val="clear"/>
            <w:spacing w:before="0" w:beforeAutospacing="0" w:after="0" w:afterAutospacing="0"/>
            <w:jc w:val="center"/>
            <w:outlineLvl w:val="0"/>
            <w:rPr>
              <w:rFonts w:ascii="Times New Roman" w:hAnsi="Times New Roman" w:eastAsia="宋体" w:cs="Times New Roman"/>
              <w:snapToGrid w:val="0"/>
              <w:kern w:val="0"/>
              <w:sz w:val="24"/>
              <w:szCs w:val="30"/>
              <w:highlight w:val="none"/>
              <w:lang w:val="en-US" w:eastAsia="zh-CN" w:bidi="ar-SA"/>
            </w:rPr>
          </w:pPr>
          <w:r>
            <w:rPr>
              <w:rFonts w:ascii="Times New Roman" w:hAnsi="Times New Roman"/>
              <w:snapToGrid w:val="0"/>
              <w:szCs w:val="30"/>
              <w:highlight w:val="none"/>
            </w:rPr>
            <w:fldChar w:fldCharType="end"/>
          </w:r>
        </w:p>
      </w:sdtContent>
    </w:sdt>
    <w:p w14:paraId="7900CB61">
      <w:pPr>
        <w:pStyle w:val="28"/>
        <w:shd w:val="clear"/>
        <w:spacing w:before="0" w:beforeAutospacing="0" w:after="0" w:afterAutospacing="0"/>
        <w:jc w:val="center"/>
        <w:outlineLvl w:val="0"/>
        <w:rPr>
          <w:rFonts w:ascii="Times New Roman" w:hAnsi="Times New Roman" w:eastAsia="宋体" w:cs="Times New Roman"/>
          <w:snapToGrid w:val="0"/>
          <w:kern w:val="0"/>
          <w:sz w:val="24"/>
          <w:szCs w:val="30"/>
          <w:highlight w:val="none"/>
          <w:lang w:val="en-US" w:eastAsia="zh-CN" w:bidi="ar-SA"/>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1955592">
      <w:pPr>
        <w:pStyle w:val="28"/>
        <w:shd w:val="clear"/>
        <w:spacing w:before="0" w:beforeAutospacing="0" w:after="0" w:afterAutospacing="0"/>
        <w:jc w:val="center"/>
        <w:outlineLvl w:val="0"/>
        <w:rPr>
          <w:rFonts w:ascii="Times New Roman" w:hAnsi="Times New Roman"/>
          <w:snapToGrid w:val="0"/>
          <w:sz w:val="30"/>
          <w:szCs w:val="30"/>
          <w:highlight w:val="none"/>
        </w:rPr>
      </w:pPr>
      <w:bookmarkStart w:id="5" w:name="_Toc19504"/>
      <w:bookmarkStart w:id="6" w:name="_Toc13319"/>
      <w:bookmarkStart w:id="7" w:name="_Toc9201"/>
      <w:r>
        <w:rPr>
          <w:rFonts w:ascii="Times New Roman" w:hAnsi="Times New Roman"/>
          <w:snapToGrid w:val="0"/>
          <w:sz w:val="30"/>
          <w:szCs w:val="30"/>
          <w:highlight w:val="none"/>
        </w:rPr>
        <w:t>一、建设项目基本情况</w:t>
      </w:r>
      <w:bookmarkEnd w:id="4"/>
      <w:bookmarkEnd w:id="5"/>
      <w:bookmarkEnd w:id="6"/>
      <w:bookmarkEnd w:id="7"/>
    </w:p>
    <w:tbl>
      <w:tblPr>
        <w:tblStyle w:val="33"/>
        <w:tblW w:w="0" w:type="auto"/>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34"/>
        <w:gridCol w:w="2227"/>
        <w:gridCol w:w="1710"/>
        <w:gridCol w:w="3787"/>
      </w:tblGrid>
      <w:tr w14:paraId="75622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790073DD">
            <w:pPr>
              <w:shd w:val="clear"/>
              <w:spacing w:line="240" w:lineRule="auto"/>
              <w:ind w:firstLine="0" w:firstLineChars="0"/>
              <w:jc w:val="center"/>
              <w:rPr>
                <w:highlight w:val="none"/>
              </w:rPr>
            </w:pPr>
            <w:r>
              <w:rPr>
                <w:highlight w:val="none"/>
              </w:rPr>
              <w:t>建设项目名称</w:t>
            </w:r>
          </w:p>
        </w:tc>
        <w:tc>
          <w:tcPr>
            <w:tcW w:w="7630" w:type="dxa"/>
            <w:gridSpan w:val="3"/>
            <w:vAlign w:val="center"/>
          </w:tcPr>
          <w:p w14:paraId="2169DD79">
            <w:pPr>
              <w:shd w:val="clear"/>
              <w:spacing w:line="240" w:lineRule="auto"/>
              <w:ind w:firstLine="0" w:firstLineChars="0"/>
              <w:jc w:val="center"/>
              <w:rPr>
                <w:rFonts w:hint="eastAsia" w:eastAsia="宋体"/>
                <w:highlight w:val="none"/>
                <w:lang w:eastAsia="zh-CN"/>
              </w:rPr>
            </w:pPr>
          </w:p>
        </w:tc>
      </w:tr>
      <w:tr w14:paraId="6409B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523BC2B7">
            <w:pPr>
              <w:shd w:val="clear"/>
              <w:spacing w:line="240" w:lineRule="auto"/>
              <w:ind w:firstLine="0" w:firstLineChars="0"/>
              <w:jc w:val="center"/>
              <w:rPr>
                <w:highlight w:val="none"/>
              </w:rPr>
            </w:pPr>
            <w:r>
              <w:rPr>
                <w:highlight w:val="none"/>
              </w:rPr>
              <w:t>项目代码</w:t>
            </w:r>
          </w:p>
        </w:tc>
        <w:tc>
          <w:tcPr>
            <w:tcW w:w="7630" w:type="dxa"/>
            <w:gridSpan w:val="3"/>
            <w:vAlign w:val="center"/>
          </w:tcPr>
          <w:p w14:paraId="59A9D97F">
            <w:pPr>
              <w:shd w:val="clear"/>
              <w:spacing w:line="240" w:lineRule="auto"/>
              <w:ind w:firstLine="0" w:firstLineChars="0"/>
              <w:jc w:val="center"/>
              <w:rPr>
                <w:highlight w:val="none"/>
              </w:rPr>
            </w:pPr>
          </w:p>
        </w:tc>
      </w:tr>
      <w:tr w14:paraId="277FA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62B21285">
            <w:pPr>
              <w:shd w:val="clear"/>
              <w:spacing w:line="240" w:lineRule="auto"/>
              <w:ind w:firstLine="0" w:firstLineChars="0"/>
              <w:jc w:val="center"/>
              <w:rPr>
                <w:highlight w:val="none"/>
              </w:rPr>
            </w:pPr>
            <w:r>
              <w:rPr>
                <w:highlight w:val="none"/>
              </w:rPr>
              <w:t>建设单位联系人</w:t>
            </w:r>
          </w:p>
        </w:tc>
        <w:tc>
          <w:tcPr>
            <w:tcW w:w="2588" w:type="dxa"/>
            <w:vAlign w:val="center"/>
          </w:tcPr>
          <w:p w14:paraId="647D5154">
            <w:pPr>
              <w:shd w:val="clear"/>
              <w:spacing w:line="240" w:lineRule="auto"/>
              <w:ind w:firstLine="0" w:firstLineChars="0"/>
              <w:jc w:val="center"/>
              <w:rPr>
                <w:highlight w:val="none"/>
              </w:rPr>
            </w:pPr>
          </w:p>
        </w:tc>
        <w:tc>
          <w:tcPr>
            <w:tcW w:w="1914" w:type="dxa"/>
            <w:vAlign w:val="center"/>
          </w:tcPr>
          <w:p w14:paraId="36A5FBA0">
            <w:pPr>
              <w:shd w:val="clear"/>
              <w:spacing w:line="240" w:lineRule="auto"/>
              <w:ind w:firstLine="0" w:firstLineChars="0"/>
              <w:jc w:val="center"/>
              <w:rPr>
                <w:highlight w:val="none"/>
              </w:rPr>
            </w:pPr>
          </w:p>
        </w:tc>
        <w:tc>
          <w:tcPr>
            <w:tcW w:w="4039" w:type="dxa"/>
            <w:vAlign w:val="center"/>
          </w:tcPr>
          <w:p w14:paraId="18B3097C">
            <w:pPr>
              <w:shd w:val="clear"/>
              <w:spacing w:line="240" w:lineRule="auto"/>
              <w:ind w:firstLine="0" w:firstLineChars="0"/>
              <w:jc w:val="center"/>
              <w:rPr>
                <w:highlight w:val="none"/>
              </w:rPr>
            </w:pPr>
          </w:p>
        </w:tc>
      </w:tr>
      <w:tr w14:paraId="13B44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66C9384B">
            <w:pPr>
              <w:shd w:val="clear"/>
              <w:spacing w:line="240" w:lineRule="auto"/>
              <w:ind w:firstLine="0" w:firstLineChars="0"/>
              <w:jc w:val="center"/>
              <w:rPr>
                <w:highlight w:val="none"/>
              </w:rPr>
            </w:pPr>
            <w:r>
              <w:rPr>
                <w:highlight w:val="none"/>
              </w:rPr>
              <w:t>建设地点</w:t>
            </w:r>
          </w:p>
        </w:tc>
        <w:tc>
          <w:tcPr>
            <w:tcW w:w="7630" w:type="dxa"/>
            <w:gridSpan w:val="3"/>
            <w:vAlign w:val="center"/>
          </w:tcPr>
          <w:p w14:paraId="50818410">
            <w:pPr>
              <w:shd w:val="clear"/>
              <w:spacing w:line="240" w:lineRule="auto"/>
              <w:ind w:firstLine="0" w:firstLineChars="0"/>
              <w:jc w:val="center"/>
              <w:rPr>
                <w:highlight w:val="none"/>
              </w:rPr>
            </w:pPr>
          </w:p>
        </w:tc>
      </w:tr>
      <w:tr w14:paraId="2B5D68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06E5D489">
            <w:pPr>
              <w:shd w:val="clear"/>
              <w:spacing w:line="240" w:lineRule="auto"/>
              <w:ind w:firstLine="0" w:firstLineChars="0"/>
              <w:jc w:val="center"/>
              <w:rPr>
                <w:highlight w:val="none"/>
              </w:rPr>
            </w:pPr>
            <w:r>
              <w:rPr>
                <w:highlight w:val="none"/>
              </w:rPr>
              <w:t>地理坐标</w:t>
            </w:r>
          </w:p>
        </w:tc>
        <w:tc>
          <w:tcPr>
            <w:tcW w:w="7630" w:type="dxa"/>
            <w:gridSpan w:val="3"/>
            <w:vAlign w:val="center"/>
          </w:tcPr>
          <w:p w14:paraId="3A174FCE">
            <w:pPr>
              <w:shd w:val="clear"/>
              <w:spacing w:line="240" w:lineRule="auto"/>
              <w:ind w:firstLine="0" w:firstLineChars="0"/>
              <w:jc w:val="center"/>
              <w:rPr>
                <w:highlight w:val="none"/>
              </w:rPr>
            </w:pPr>
          </w:p>
        </w:tc>
      </w:tr>
      <w:tr w14:paraId="7BBA2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3991222D">
            <w:pPr>
              <w:shd w:val="clear"/>
              <w:spacing w:line="240" w:lineRule="auto"/>
              <w:ind w:firstLine="0" w:firstLineChars="0"/>
              <w:jc w:val="center"/>
              <w:rPr>
                <w:highlight w:val="none"/>
              </w:rPr>
            </w:pPr>
            <w:r>
              <w:rPr>
                <w:highlight w:val="none"/>
              </w:rPr>
              <w:t>建设项目</w:t>
            </w:r>
          </w:p>
          <w:p w14:paraId="0FD8ECA5">
            <w:pPr>
              <w:shd w:val="clear"/>
              <w:spacing w:line="240" w:lineRule="auto"/>
              <w:ind w:firstLine="0" w:firstLineChars="0"/>
              <w:jc w:val="center"/>
              <w:rPr>
                <w:highlight w:val="none"/>
              </w:rPr>
            </w:pPr>
            <w:r>
              <w:rPr>
                <w:highlight w:val="none"/>
              </w:rPr>
              <w:t>行业类别</w:t>
            </w:r>
          </w:p>
        </w:tc>
        <w:tc>
          <w:tcPr>
            <w:tcW w:w="2588" w:type="dxa"/>
            <w:vAlign w:val="center"/>
          </w:tcPr>
          <w:p w14:paraId="0FFB36AF">
            <w:pPr>
              <w:shd w:val="clear"/>
              <w:spacing w:line="240" w:lineRule="auto"/>
              <w:ind w:firstLine="0" w:firstLineChars="0"/>
              <w:jc w:val="center"/>
              <w:rPr>
                <w:highlight w:val="none"/>
              </w:rPr>
            </w:pPr>
            <w:r>
              <w:rPr>
                <w:highlight w:val="none"/>
              </w:rPr>
              <w:t>五十五、核与辐射</w:t>
            </w:r>
          </w:p>
          <w:p w14:paraId="336D88A7">
            <w:pPr>
              <w:shd w:val="clear"/>
              <w:spacing w:line="240" w:lineRule="auto"/>
              <w:ind w:firstLine="0" w:firstLineChars="0"/>
              <w:jc w:val="center"/>
              <w:rPr>
                <w:highlight w:val="none"/>
              </w:rPr>
            </w:pPr>
            <w:r>
              <w:rPr>
                <w:highlight w:val="none"/>
              </w:rPr>
              <w:t>161输变电工程</w:t>
            </w:r>
          </w:p>
        </w:tc>
        <w:tc>
          <w:tcPr>
            <w:tcW w:w="1914" w:type="dxa"/>
            <w:vAlign w:val="center"/>
          </w:tcPr>
          <w:p w14:paraId="0C204789">
            <w:pPr>
              <w:shd w:val="clear"/>
              <w:spacing w:line="240" w:lineRule="auto"/>
              <w:ind w:firstLine="0" w:firstLineChars="0"/>
              <w:jc w:val="center"/>
              <w:rPr>
                <w:highlight w:val="none"/>
              </w:rPr>
            </w:pPr>
            <w:r>
              <w:rPr>
                <w:highlight w:val="none"/>
              </w:rPr>
              <w:t>用地面积（m</w:t>
            </w:r>
            <w:r>
              <w:rPr>
                <w:highlight w:val="none"/>
                <w:vertAlign w:val="superscript"/>
              </w:rPr>
              <w:t>2</w:t>
            </w:r>
            <w:r>
              <w:rPr>
                <w:highlight w:val="none"/>
              </w:rPr>
              <w:t>）/长度（km）</w:t>
            </w:r>
          </w:p>
        </w:tc>
        <w:tc>
          <w:tcPr>
            <w:tcW w:w="4039" w:type="dxa"/>
            <w:vAlign w:val="center"/>
          </w:tcPr>
          <w:p w14:paraId="4D651694">
            <w:pPr>
              <w:shd w:val="clear"/>
              <w:spacing w:line="240" w:lineRule="auto"/>
              <w:ind w:firstLine="0" w:firstLineChars="0"/>
              <w:jc w:val="center"/>
              <w:rPr>
                <w:color w:val="000000"/>
                <w:highlight w:val="none"/>
              </w:rPr>
            </w:pPr>
            <w:r>
              <w:rPr>
                <w:color w:val="000000"/>
                <w:highlight w:val="none"/>
              </w:rPr>
              <w:t>永久占地：20159m</w:t>
            </w:r>
            <w:r>
              <w:rPr>
                <w:color w:val="000000"/>
                <w:highlight w:val="none"/>
                <w:vertAlign w:val="superscript"/>
              </w:rPr>
              <w:t>2</w:t>
            </w:r>
            <w:r>
              <w:rPr>
                <w:color w:val="000000"/>
                <w:highlight w:val="none"/>
              </w:rPr>
              <w:t>（升压站占地面积：17855m</w:t>
            </w:r>
            <w:r>
              <w:rPr>
                <w:color w:val="000000"/>
                <w:highlight w:val="none"/>
                <w:vertAlign w:val="superscript"/>
              </w:rPr>
              <w:t>2</w:t>
            </w:r>
            <w:r>
              <w:rPr>
                <w:color w:val="000000"/>
                <w:highlight w:val="none"/>
              </w:rPr>
              <w:t>，塔基占地面积：2304m</w:t>
            </w:r>
            <w:r>
              <w:rPr>
                <w:color w:val="000000"/>
                <w:highlight w:val="none"/>
                <w:vertAlign w:val="superscript"/>
              </w:rPr>
              <w:t>2</w:t>
            </w:r>
            <w:r>
              <w:rPr>
                <w:color w:val="000000"/>
                <w:highlight w:val="none"/>
              </w:rPr>
              <w:t>）临时占地面积：6000m</w:t>
            </w:r>
            <w:r>
              <w:rPr>
                <w:color w:val="000000"/>
                <w:highlight w:val="none"/>
                <w:vertAlign w:val="superscript"/>
              </w:rPr>
              <w:t>2</w:t>
            </w:r>
          </w:p>
          <w:p w14:paraId="3A20145E">
            <w:pPr>
              <w:shd w:val="clear"/>
              <w:spacing w:line="240" w:lineRule="auto"/>
              <w:ind w:firstLine="0" w:firstLineChars="0"/>
              <w:jc w:val="center"/>
              <w:rPr>
                <w:highlight w:val="none"/>
              </w:rPr>
            </w:pPr>
            <w:r>
              <w:rPr>
                <w:color w:val="000000"/>
                <w:highlight w:val="none"/>
              </w:rPr>
              <w:t>线路全长约5.62km</w:t>
            </w:r>
          </w:p>
        </w:tc>
      </w:tr>
      <w:tr w14:paraId="1CC8D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2EF0DF09">
            <w:pPr>
              <w:shd w:val="clear"/>
              <w:spacing w:line="240" w:lineRule="auto"/>
              <w:ind w:firstLine="0" w:firstLineChars="0"/>
              <w:jc w:val="center"/>
              <w:rPr>
                <w:highlight w:val="none"/>
              </w:rPr>
            </w:pPr>
            <w:r>
              <w:rPr>
                <w:highlight w:val="none"/>
              </w:rPr>
              <w:t>建设性质</w:t>
            </w:r>
          </w:p>
        </w:tc>
        <w:tc>
          <w:tcPr>
            <w:tcW w:w="2588" w:type="dxa"/>
            <w:vAlign w:val="center"/>
          </w:tcPr>
          <w:p w14:paraId="69A927B8">
            <w:pPr>
              <w:shd w:val="clear"/>
              <w:spacing w:line="240" w:lineRule="auto"/>
              <w:ind w:firstLine="0" w:firstLineChars="0"/>
              <w:jc w:val="left"/>
              <w:rPr>
                <w:highlight w:val="none"/>
              </w:rPr>
            </w:pPr>
            <w:r>
              <w:rPr>
                <w:highlight w:val="none"/>
              </w:rPr>
              <w:sym w:font="Wingdings" w:char="00FE"/>
            </w:r>
            <w:r>
              <w:rPr>
                <w:highlight w:val="none"/>
              </w:rPr>
              <w:t>新建（迁建）</w:t>
            </w:r>
          </w:p>
          <w:p w14:paraId="1965BAAD">
            <w:pPr>
              <w:shd w:val="clear"/>
              <w:spacing w:line="240" w:lineRule="auto"/>
              <w:ind w:firstLine="0" w:firstLineChars="0"/>
              <w:jc w:val="left"/>
              <w:rPr>
                <w:highlight w:val="none"/>
              </w:rPr>
            </w:pPr>
            <w:r>
              <w:rPr>
                <w:highlight w:val="none"/>
              </w:rPr>
              <w:sym w:font="Wingdings" w:char="00A8"/>
            </w:r>
            <w:r>
              <w:rPr>
                <w:highlight w:val="none"/>
              </w:rPr>
              <w:t>改建</w:t>
            </w:r>
          </w:p>
          <w:p w14:paraId="6EB749D9">
            <w:pPr>
              <w:shd w:val="clear"/>
              <w:spacing w:line="240" w:lineRule="auto"/>
              <w:ind w:firstLine="0" w:firstLineChars="0"/>
              <w:jc w:val="left"/>
              <w:rPr>
                <w:highlight w:val="none"/>
              </w:rPr>
            </w:pPr>
            <w:r>
              <w:rPr>
                <w:highlight w:val="none"/>
              </w:rPr>
              <w:sym w:font="Wingdings" w:char="00A8"/>
            </w:r>
            <w:r>
              <w:rPr>
                <w:highlight w:val="none"/>
              </w:rPr>
              <w:t>扩建</w:t>
            </w:r>
          </w:p>
          <w:p w14:paraId="08990338">
            <w:pPr>
              <w:shd w:val="clear"/>
              <w:spacing w:line="240" w:lineRule="auto"/>
              <w:ind w:firstLine="0" w:firstLineChars="0"/>
              <w:jc w:val="left"/>
              <w:rPr>
                <w:highlight w:val="none"/>
              </w:rPr>
            </w:pPr>
            <w:r>
              <w:rPr>
                <w:highlight w:val="none"/>
              </w:rPr>
              <w:sym w:font="Wingdings" w:char="00A8"/>
            </w:r>
            <w:r>
              <w:rPr>
                <w:highlight w:val="none"/>
              </w:rPr>
              <w:t>技术改造</w:t>
            </w:r>
          </w:p>
        </w:tc>
        <w:tc>
          <w:tcPr>
            <w:tcW w:w="1914" w:type="dxa"/>
            <w:vAlign w:val="center"/>
          </w:tcPr>
          <w:p w14:paraId="711D38B5">
            <w:pPr>
              <w:shd w:val="clear"/>
              <w:spacing w:line="240" w:lineRule="auto"/>
              <w:ind w:firstLine="0" w:firstLineChars="0"/>
              <w:jc w:val="center"/>
              <w:rPr>
                <w:highlight w:val="none"/>
              </w:rPr>
            </w:pPr>
            <w:r>
              <w:rPr>
                <w:highlight w:val="none"/>
              </w:rPr>
              <w:t>建设项目</w:t>
            </w:r>
          </w:p>
          <w:p w14:paraId="09156EE5">
            <w:pPr>
              <w:shd w:val="clear"/>
              <w:spacing w:line="240" w:lineRule="auto"/>
              <w:ind w:firstLine="0" w:firstLineChars="0"/>
              <w:jc w:val="center"/>
              <w:rPr>
                <w:highlight w:val="none"/>
              </w:rPr>
            </w:pPr>
            <w:r>
              <w:rPr>
                <w:highlight w:val="none"/>
              </w:rPr>
              <w:t>申报情形</w:t>
            </w:r>
          </w:p>
        </w:tc>
        <w:tc>
          <w:tcPr>
            <w:tcW w:w="4039" w:type="dxa"/>
            <w:vAlign w:val="center"/>
          </w:tcPr>
          <w:p w14:paraId="164BF37A">
            <w:pPr>
              <w:shd w:val="clear"/>
              <w:spacing w:line="240" w:lineRule="auto"/>
              <w:ind w:firstLine="0" w:firstLineChars="0"/>
              <w:jc w:val="left"/>
              <w:rPr>
                <w:highlight w:val="none"/>
              </w:rPr>
            </w:pPr>
            <w:r>
              <w:rPr>
                <w:highlight w:val="none"/>
              </w:rPr>
              <w:sym w:font="Wingdings" w:char="00FE"/>
            </w:r>
            <w:r>
              <w:rPr>
                <w:highlight w:val="none"/>
              </w:rPr>
              <w:t>首次申报项目</w:t>
            </w:r>
          </w:p>
          <w:p w14:paraId="7AC85034">
            <w:pPr>
              <w:shd w:val="clear"/>
              <w:spacing w:line="240" w:lineRule="auto"/>
              <w:ind w:firstLine="0" w:firstLineChars="0"/>
              <w:jc w:val="left"/>
              <w:rPr>
                <w:highlight w:val="none"/>
              </w:rPr>
            </w:pPr>
            <w:r>
              <w:rPr>
                <w:highlight w:val="none"/>
              </w:rPr>
              <w:sym w:font="Wingdings" w:char="00A8"/>
            </w:r>
            <w:r>
              <w:rPr>
                <w:highlight w:val="none"/>
              </w:rPr>
              <w:t>不予批准后再次申报项目</w:t>
            </w:r>
          </w:p>
          <w:p w14:paraId="71B9E6A1">
            <w:pPr>
              <w:shd w:val="clear"/>
              <w:spacing w:line="240" w:lineRule="auto"/>
              <w:ind w:firstLine="0" w:firstLineChars="0"/>
              <w:jc w:val="left"/>
              <w:rPr>
                <w:highlight w:val="none"/>
              </w:rPr>
            </w:pPr>
            <w:r>
              <w:rPr>
                <w:highlight w:val="none"/>
              </w:rPr>
              <w:sym w:font="Wingdings" w:char="00A8"/>
            </w:r>
            <w:r>
              <w:rPr>
                <w:highlight w:val="none"/>
              </w:rPr>
              <w:t>超五年重新审核项目</w:t>
            </w:r>
          </w:p>
          <w:p w14:paraId="03D1A58E">
            <w:pPr>
              <w:shd w:val="clear"/>
              <w:spacing w:line="240" w:lineRule="auto"/>
              <w:ind w:firstLine="0" w:firstLineChars="0"/>
              <w:rPr>
                <w:highlight w:val="none"/>
              </w:rPr>
            </w:pPr>
            <w:r>
              <w:rPr>
                <w:highlight w:val="none"/>
              </w:rPr>
              <w:sym w:font="Wingdings" w:char="00A8"/>
            </w:r>
            <w:r>
              <w:rPr>
                <w:highlight w:val="none"/>
              </w:rPr>
              <w:t>重大变动重新报批项目</w:t>
            </w:r>
          </w:p>
        </w:tc>
      </w:tr>
      <w:tr w14:paraId="57B49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60F2CC0E">
            <w:pPr>
              <w:shd w:val="clear"/>
              <w:spacing w:line="240" w:lineRule="auto"/>
              <w:ind w:firstLine="0" w:firstLineChars="0"/>
              <w:jc w:val="center"/>
              <w:rPr>
                <w:highlight w:val="none"/>
              </w:rPr>
            </w:pPr>
            <w:r>
              <w:rPr>
                <w:highlight w:val="none"/>
              </w:rPr>
              <w:t>项目审批部门</w:t>
            </w:r>
          </w:p>
        </w:tc>
        <w:tc>
          <w:tcPr>
            <w:tcW w:w="2588" w:type="dxa"/>
            <w:vAlign w:val="center"/>
          </w:tcPr>
          <w:p w14:paraId="5D8B1E35">
            <w:pPr>
              <w:shd w:val="clear"/>
              <w:spacing w:line="240" w:lineRule="auto"/>
              <w:ind w:firstLine="0" w:firstLineChars="0"/>
              <w:jc w:val="center"/>
              <w:rPr>
                <w:highlight w:val="none"/>
              </w:rPr>
            </w:pPr>
            <w:r>
              <w:rPr>
                <w:highlight w:val="none"/>
              </w:rPr>
              <w:t>巴音郭楞蒙古自治州发展和改革委员会</w:t>
            </w:r>
          </w:p>
        </w:tc>
        <w:tc>
          <w:tcPr>
            <w:tcW w:w="1914" w:type="dxa"/>
            <w:vAlign w:val="center"/>
          </w:tcPr>
          <w:p w14:paraId="3D12D163">
            <w:pPr>
              <w:shd w:val="clear"/>
              <w:spacing w:line="240" w:lineRule="auto"/>
              <w:ind w:firstLine="0" w:firstLineChars="0"/>
              <w:jc w:val="center"/>
              <w:rPr>
                <w:highlight w:val="none"/>
              </w:rPr>
            </w:pPr>
            <w:r>
              <w:rPr>
                <w:highlight w:val="none"/>
              </w:rPr>
              <w:t>项目审批文号</w:t>
            </w:r>
          </w:p>
        </w:tc>
        <w:tc>
          <w:tcPr>
            <w:tcW w:w="4039" w:type="dxa"/>
            <w:vAlign w:val="center"/>
          </w:tcPr>
          <w:p w14:paraId="15F79FA7">
            <w:pPr>
              <w:shd w:val="clear"/>
              <w:spacing w:line="240" w:lineRule="auto"/>
              <w:ind w:firstLine="0" w:firstLineChars="0"/>
              <w:jc w:val="center"/>
              <w:rPr>
                <w:highlight w:val="none"/>
              </w:rPr>
            </w:pPr>
            <w:r>
              <w:rPr>
                <w:rFonts w:hint="eastAsia"/>
                <w:color w:val="FF0000"/>
                <w:highlight w:val="none"/>
              </w:rPr>
              <w:t>2507211233652800000162</w:t>
            </w:r>
          </w:p>
        </w:tc>
      </w:tr>
      <w:tr w14:paraId="64833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46287876">
            <w:pPr>
              <w:shd w:val="clear"/>
              <w:spacing w:line="240" w:lineRule="auto"/>
              <w:ind w:firstLine="0" w:firstLineChars="0"/>
              <w:jc w:val="center"/>
              <w:rPr>
                <w:highlight w:val="none"/>
              </w:rPr>
            </w:pPr>
            <w:r>
              <w:rPr>
                <w:highlight w:val="none"/>
              </w:rPr>
              <w:t>总投资（万元）</w:t>
            </w:r>
          </w:p>
        </w:tc>
        <w:tc>
          <w:tcPr>
            <w:tcW w:w="2588" w:type="dxa"/>
            <w:vAlign w:val="center"/>
          </w:tcPr>
          <w:p w14:paraId="19A22355">
            <w:pPr>
              <w:shd w:val="clear"/>
              <w:spacing w:line="240" w:lineRule="auto"/>
              <w:ind w:firstLine="0" w:firstLineChars="0"/>
              <w:jc w:val="center"/>
              <w:rPr>
                <w:highlight w:val="none"/>
              </w:rPr>
            </w:pPr>
            <w:r>
              <w:rPr>
                <w:highlight w:val="none"/>
              </w:rPr>
              <w:t>20000</w:t>
            </w:r>
          </w:p>
        </w:tc>
        <w:tc>
          <w:tcPr>
            <w:tcW w:w="1914" w:type="dxa"/>
            <w:tcMar>
              <w:top w:w="16" w:type="dxa"/>
              <w:left w:w="16" w:type="dxa"/>
              <w:right w:w="16" w:type="dxa"/>
            </w:tcMar>
            <w:vAlign w:val="center"/>
          </w:tcPr>
          <w:p w14:paraId="7C322CE5">
            <w:pPr>
              <w:shd w:val="clear"/>
              <w:spacing w:line="240" w:lineRule="auto"/>
              <w:ind w:firstLine="0" w:firstLineChars="0"/>
              <w:jc w:val="center"/>
              <w:rPr>
                <w:highlight w:val="none"/>
              </w:rPr>
            </w:pPr>
            <w:r>
              <w:rPr>
                <w:highlight w:val="none"/>
              </w:rPr>
              <w:t>环保投资（万元）</w:t>
            </w:r>
          </w:p>
        </w:tc>
        <w:tc>
          <w:tcPr>
            <w:tcW w:w="4039" w:type="dxa"/>
            <w:vAlign w:val="center"/>
          </w:tcPr>
          <w:p w14:paraId="2BF15629">
            <w:pPr>
              <w:shd w:val="clear"/>
              <w:spacing w:line="240" w:lineRule="auto"/>
              <w:ind w:firstLine="0" w:firstLineChars="0"/>
              <w:jc w:val="center"/>
              <w:rPr>
                <w:highlight w:val="none"/>
              </w:rPr>
            </w:pPr>
            <w:r>
              <w:rPr>
                <w:highlight w:val="none"/>
              </w:rPr>
              <w:t>130</w:t>
            </w:r>
          </w:p>
        </w:tc>
      </w:tr>
      <w:tr w14:paraId="773A7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19F74763">
            <w:pPr>
              <w:shd w:val="clear"/>
              <w:spacing w:line="240" w:lineRule="auto"/>
              <w:ind w:firstLine="0" w:firstLineChars="0"/>
              <w:jc w:val="center"/>
              <w:rPr>
                <w:highlight w:val="none"/>
              </w:rPr>
            </w:pPr>
            <w:r>
              <w:rPr>
                <w:highlight w:val="none"/>
              </w:rPr>
              <w:t>环保投资占比（%）</w:t>
            </w:r>
          </w:p>
        </w:tc>
        <w:tc>
          <w:tcPr>
            <w:tcW w:w="2588" w:type="dxa"/>
            <w:vAlign w:val="center"/>
          </w:tcPr>
          <w:p w14:paraId="3E7A4E4C">
            <w:pPr>
              <w:shd w:val="clear"/>
              <w:spacing w:line="240" w:lineRule="auto"/>
              <w:ind w:firstLine="0" w:firstLineChars="0"/>
              <w:jc w:val="center"/>
              <w:rPr>
                <w:highlight w:val="none"/>
              </w:rPr>
            </w:pPr>
            <w:r>
              <w:rPr>
                <w:highlight w:val="none"/>
              </w:rPr>
              <w:t>0.65</w:t>
            </w:r>
          </w:p>
        </w:tc>
        <w:tc>
          <w:tcPr>
            <w:tcW w:w="1914" w:type="dxa"/>
            <w:tcMar>
              <w:top w:w="16" w:type="dxa"/>
              <w:left w:w="16" w:type="dxa"/>
              <w:right w:w="16" w:type="dxa"/>
            </w:tcMar>
            <w:vAlign w:val="center"/>
          </w:tcPr>
          <w:p w14:paraId="751A8F53">
            <w:pPr>
              <w:shd w:val="clear"/>
              <w:spacing w:line="240" w:lineRule="auto"/>
              <w:ind w:firstLine="0" w:firstLineChars="0"/>
              <w:jc w:val="center"/>
              <w:rPr>
                <w:highlight w:val="none"/>
              </w:rPr>
            </w:pPr>
            <w:r>
              <w:rPr>
                <w:highlight w:val="none"/>
              </w:rPr>
              <w:t>施工工期</w:t>
            </w:r>
          </w:p>
        </w:tc>
        <w:tc>
          <w:tcPr>
            <w:tcW w:w="4039" w:type="dxa"/>
            <w:vAlign w:val="center"/>
          </w:tcPr>
          <w:p w14:paraId="16F95B91">
            <w:pPr>
              <w:shd w:val="clear"/>
              <w:spacing w:line="240" w:lineRule="auto"/>
              <w:ind w:firstLine="0" w:firstLineChars="0"/>
              <w:jc w:val="center"/>
              <w:rPr>
                <w:highlight w:val="none"/>
              </w:rPr>
            </w:pPr>
            <w:r>
              <w:rPr>
                <w:highlight w:val="none"/>
              </w:rPr>
              <w:t>6个月</w:t>
            </w:r>
          </w:p>
        </w:tc>
      </w:tr>
      <w:tr w14:paraId="63B041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194A9991">
            <w:pPr>
              <w:shd w:val="clear"/>
              <w:spacing w:line="240" w:lineRule="auto"/>
              <w:ind w:firstLine="0" w:firstLineChars="0"/>
              <w:jc w:val="center"/>
              <w:rPr>
                <w:highlight w:val="none"/>
              </w:rPr>
            </w:pPr>
            <w:r>
              <w:rPr>
                <w:highlight w:val="none"/>
              </w:rPr>
              <w:t>是否开工建设</w:t>
            </w:r>
          </w:p>
        </w:tc>
        <w:tc>
          <w:tcPr>
            <w:tcW w:w="7630" w:type="dxa"/>
            <w:gridSpan w:val="3"/>
            <w:vAlign w:val="center"/>
          </w:tcPr>
          <w:p w14:paraId="5DF21954">
            <w:pPr>
              <w:shd w:val="clear"/>
              <w:spacing w:line="240" w:lineRule="auto"/>
              <w:ind w:firstLine="0" w:firstLineChars="0"/>
              <w:jc w:val="left"/>
              <w:rPr>
                <w:highlight w:val="none"/>
              </w:rPr>
            </w:pPr>
            <w:r>
              <w:rPr>
                <w:highlight w:val="none"/>
              </w:rPr>
              <w:sym w:font="Wingdings" w:char="00FE"/>
            </w:r>
            <w:r>
              <w:rPr>
                <w:highlight w:val="none"/>
              </w:rPr>
              <w:t>否</w:t>
            </w:r>
          </w:p>
          <w:p w14:paraId="2BC29A90">
            <w:pPr>
              <w:shd w:val="clear"/>
              <w:spacing w:line="240" w:lineRule="auto"/>
              <w:ind w:firstLine="0" w:firstLineChars="0"/>
              <w:rPr>
                <w:highlight w:val="none"/>
              </w:rPr>
            </w:pPr>
            <w:r>
              <w:rPr>
                <w:highlight w:val="none"/>
              </w:rPr>
              <w:sym w:font="Wingdings" w:char="00A8"/>
            </w:r>
            <w:r>
              <w:rPr>
                <w:highlight w:val="none"/>
              </w:rPr>
              <w:t>是：</w:t>
            </w:r>
            <w:r>
              <w:rPr>
                <w:highlight w:val="none"/>
                <w:u w:val="single"/>
              </w:rPr>
              <w:t xml:space="preserve">          </w:t>
            </w:r>
          </w:p>
        </w:tc>
      </w:tr>
      <w:tr w14:paraId="5278E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7BBF7F61">
            <w:pPr>
              <w:shd w:val="clear"/>
              <w:spacing w:line="240" w:lineRule="auto"/>
              <w:ind w:firstLine="0" w:firstLineChars="0"/>
              <w:jc w:val="center"/>
              <w:rPr>
                <w:highlight w:val="none"/>
              </w:rPr>
            </w:pPr>
            <w:r>
              <w:rPr>
                <w:highlight w:val="none"/>
              </w:rPr>
              <w:t>专项评价设置情况</w:t>
            </w:r>
          </w:p>
        </w:tc>
        <w:tc>
          <w:tcPr>
            <w:tcW w:w="7630" w:type="dxa"/>
            <w:gridSpan w:val="3"/>
            <w:tcMar>
              <w:top w:w="16" w:type="dxa"/>
              <w:left w:w="16" w:type="dxa"/>
              <w:right w:w="16" w:type="dxa"/>
            </w:tcMar>
            <w:vAlign w:val="center"/>
          </w:tcPr>
          <w:p w14:paraId="7C8697C2">
            <w:pPr>
              <w:keepNext w:val="0"/>
              <w:keepLines w:val="0"/>
              <w:pageBreakBefore w:val="0"/>
              <w:widowControl w:val="0"/>
              <w:shd w:val="clear"/>
              <w:kinsoku/>
              <w:wordWrap/>
              <w:overflowPunct/>
              <w:topLinePunct w:val="0"/>
              <w:autoSpaceDE/>
              <w:autoSpaceDN/>
              <w:bidi w:val="0"/>
              <w:adjustRightInd w:val="0"/>
              <w:snapToGrid w:val="0"/>
              <w:spacing w:line="240" w:lineRule="auto"/>
              <w:ind w:firstLine="480" w:firstLineChars="200"/>
              <w:jc w:val="both"/>
              <w:textAlignment w:val="auto"/>
              <w:rPr>
                <w:highlight w:val="none"/>
              </w:rPr>
            </w:pPr>
            <w:r>
              <w:rPr>
                <w:highlight w:val="none"/>
              </w:rPr>
              <w:t>根据《环境影响评价技术导则 输变电》（HJ 24-2020）附录B要求：输变电建设项目环境影响评价报告表应设电磁环境影响专题评价，</w:t>
            </w:r>
            <w:r>
              <w:rPr>
                <w:rFonts w:hint="eastAsia"/>
                <w:highlight w:val="none"/>
                <w:lang w:eastAsia="zh-CN"/>
              </w:rPr>
              <w:t>巴州尉犁安丰福慧60MW/240MWh独立新型储能项目（输变电工程）</w:t>
            </w:r>
            <w:r>
              <w:rPr>
                <w:highlight w:val="none"/>
              </w:rPr>
              <w:t>属于编制环境影响评价报告表的输变电建设项目，因此设置电磁环境影响专题评价。</w:t>
            </w:r>
          </w:p>
        </w:tc>
      </w:tr>
      <w:tr w14:paraId="247316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024914B9">
            <w:pPr>
              <w:shd w:val="clear"/>
              <w:spacing w:line="240" w:lineRule="auto"/>
              <w:ind w:firstLine="0" w:firstLineChars="0"/>
              <w:jc w:val="center"/>
              <w:rPr>
                <w:highlight w:val="none"/>
              </w:rPr>
            </w:pPr>
            <w:r>
              <w:rPr>
                <w:highlight w:val="none"/>
              </w:rPr>
              <w:t>规划情况</w:t>
            </w:r>
          </w:p>
        </w:tc>
        <w:tc>
          <w:tcPr>
            <w:tcW w:w="7630" w:type="dxa"/>
            <w:gridSpan w:val="3"/>
            <w:tcMar>
              <w:top w:w="16" w:type="dxa"/>
              <w:left w:w="16" w:type="dxa"/>
              <w:right w:w="16" w:type="dxa"/>
            </w:tcMar>
            <w:vAlign w:val="center"/>
          </w:tcPr>
          <w:p w14:paraId="48ACB39B">
            <w:pPr>
              <w:shd w:val="clear"/>
              <w:spacing w:line="240" w:lineRule="auto"/>
              <w:ind w:firstLine="0" w:firstLineChars="0"/>
              <w:jc w:val="center"/>
              <w:rPr>
                <w:highlight w:val="none"/>
              </w:rPr>
            </w:pPr>
            <w:r>
              <w:rPr>
                <w:highlight w:val="none"/>
              </w:rPr>
              <w:t>无</w:t>
            </w:r>
          </w:p>
        </w:tc>
      </w:tr>
      <w:tr w14:paraId="06B8C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6E27B203">
            <w:pPr>
              <w:shd w:val="clear"/>
              <w:spacing w:line="240" w:lineRule="auto"/>
              <w:ind w:firstLine="0" w:firstLineChars="0"/>
              <w:jc w:val="center"/>
              <w:rPr>
                <w:highlight w:val="none"/>
              </w:rPr>
            </w:pPr>
            <w:r>
              <w:rPr>
                <w:highlight w:val="none"/>
              </w:rPr>
              <w:t>规划环境影响评价情况</w:t>
            </w:r>
          </w:p>
        </w:tc>
        <w:tc>
          <w:tcPr>
            <w:tcW w:w="7630" w:type="dxa"/>
            <w:gridSpan w:val="3"/>
            <w:tcMar>
              <w:top w:w="16" w:type="dxa"/>
              <w:left w:w="16" w:type="dxa"/>
              <w:right w:w="16" w:type="dxa"/>
            </w:tcMar>
            <w:vAlign w:val="center"/>
          </w:tcPr>
          <w:p w14:paraId="03E5173A">
            <w:pPr>
              <w:shd w:val="clear"/>
              <w:spacing w:line="240" w:lineRule="auto"/>
              <w:ind w:firstLine="0" w:firstLineChars="0"/>
              <w:jc w:val="center"/>
              <w:rPr>
                <w:highlight w:val="none"/>
              </w:rPr>
            </w:pPr>
            <w:r>
              <w:rPr>
                <w:highlight w:val="none"/>
              </w:rPr>
              <w:t>无</w:t>
            </w:r>
          </w:p>
        </w:tc>
      </w:tr>
      <w:tr w14:paraId="41BEE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790C2A5B">
            <w:pPr>
              <w:shd w:val="clear"/>
              <w:spacing w:line="240" w:lineRule="auto"/>
              <w:ind w:firstLine="0" w:firstLineChars="0"/>
              <w:jc w:val="center"/>
              <w:rPr>
                <w:highlight w:val="none"/>
              </w:rPr>
            </w:pPr>
            <w:r>
              <w:rPr>
                <w:highlight w:val="none"/>
              </w:rPr>
              <w:t>规划及规划环境影响评价符合性分析</w:t>
            </w:r>
          </w:p>
        </w:tc>
        <w:tc>
          <w:tcPr>
            <w:tcW w:w="7630" w:type="dxa"/>
            <w:gridSpan w:val="3"/>
            <w:tcMar>
              <w:top w:w="16" w:type="dxa"/>
              <w:left w:w="16" w:type="dxa"/>
              <w:right w:w="16" w:type="dxa"/>
            </w:tcMar>
            <w:vAlign w:val="center"/>
          </w:tcPr>
          <w:p w14:paraId="62C1D96C">
            <w:pPr>
              <w:shd w:val="clear"/>
              <w:spacing w:line="240" w:lineRule="auto"/>
              <w:ind w:firstLine="0" w:firstLineChars="0"/>
              <w:jc w:val="center"/>
              <w:rPr>
                <w:highlight w:val="none"/>
              </w:rPr>
            </w:pPr>
            <w:r>
              <w:rPr>
                <w:highlight w:val="none"/>
              </w:rPr>
              <w:t>无</w:t>
            </w:r>
          </w:p>
        </w:tc>
      </w:tr>
      <w:tr w14:paraId="27356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228" w:type="dxa"/>
            <w:tcMar>
              <w:top w:w="16" w:type="dxa"/>
              <w:left w:w="16" w:type="dxa"/>
              <w:right w:w="16" w:type="dxa"/>
            </w:tcMar>
            <w:vAlign w:val="center"/>
          </w:tcPr>
          <w:p w14:paraId="52DE8AA0">
            <w:pPr>
              <w:shd w:val="clear"/>
              <w:autoSpaceDE w:val="0"/>
              <w:autoSpaceDN w:val="0"/>
              <w:spacing w:line="240" w:lineRule="auto"/>
              <w:ind w:firstLine="0" w:firstLineChars="0"/>
              <w:jc w:val="center"/>
              <w:rPr>
                <w:kern w:val="0"/>
                <w:highlight w:val="none"/>
              </w:rPr>
            </w:pPr>
            <w:bookmarkStart w:id="8" w:name="_Hlk56690880"/>
            <w:r>
              <w:rPr>
                <w:kern w:val="0"/>
                <w:highlight w:val="none"/>
              </w:rPr>
              <w:t>其他符合性分析</w:t>
            </w:r>
            <w:bookmarkEnd w:id="8"/>
          </w:p>
        </w:tc>
        <w:tc>
          <w:tcPr>
            <w:tcW w:w="7630" w:type="dxa"/>
            <w:gridSpan w:val="3"/>
            <w:tcMar>
              <w:top w:w="16" w:type="dxa"/>
              <w:left w:w="16" w:type="dxa"/>
              <w:right w:w="16" w:type="dxa"/>
            </w:tcMar>
          </w:tcPr>
          <w:p w14:paraId="3E78F7C3">
            <w:pPr>
              <w:pStyle w:val="3"/>
              <w:shd w:val="clear"/>
              <w:rPr>
                <w:kern w:val="0"/>
                <w:highlight w:val="none"/>
              </w:rPr>
            </w:pPr>
            <w:r>
              <w:rPr>
                <w:highlight w:val="none"/>
              </w:rPr>
              <w:t xml:space="preserve"> </w:t>
            </w:r>
            <w:bookmarkStart w:id="9" w:name="_Toc23534"/>
            <w:bookmarkStart w:id="10" w:name="_Toc26405"/>
            <w:bookmarkStart w:id="11" w:name="_Toc23231"/>
            <w:r>
              <w:rPr>
                <w:kern w:val="0"/>
                <w:highlight w:val="none"/>
              </w:rPr>
              <w:t>1、产业政策符合性</w:t>
            </w:r>
            <w:bookmarkEnd w:id="9"/>
            <w:bookmarkEnd w:id="10"/>
            <w:bookmarkEnd w:id="11"/>
          </w:p>
          <w:p w14:paraId="41C5D34C">
            <w:pPr>
              <w:shd w:val="clear"/>
              <w:ind w:firstLine="480"/>
              <w:rPr>
                <w:highlight w:val="none"/>
              </w:rPr>
            </w:pPr>
            <w:r>
              <w:rPr>
                <w:highlight w:val="none"/>
              </w:rPr>
              <w:t>根据《产业结构调整指导目录（2024年本）》中第一类鼓励类中的第四项电力</w:t>
            </w:r>
            <w:r>
              <w:rPr>
                <w:rFonts w:hint="eastAsia"/>
                <w:highlight w:val="none"/>
                <w:lang w:eastAsia="zh-CN"/>
              </w:rPr>
              <w:t>“</w:t>
            </w:r>
            <w:r>
              <w:rPr>
                <w:highlight w:val="none"/>
              </w:rPr>
              <w:t>2.电力基础设施建设：大中型水力发电及抽水蓄能电站、大型电站及大电网变电站集约化设计和自动化技术开发与应用，跨区电网互联工程技术开发与应用，电网改造与建设，增量配电网建设边境及国家大电网未覆盖的地区可再生能源局域网建设，输变电、配电节能、降损、环保技术开发与推广应用</w:t>
            </w:r>
            <w:r>
              <w:rPr>
                <w:rFonts w:hint="eastAsia"/>
                <w:highlight w:val="none"/>
                <w:lang w:eastAsia="zh-CN"/>
              </w:rPr>
              <w:t>”</w:t>
            </w:r>
            <w:r>
              <w:rPr>
                <w:highlight w:val="none"/>
              </w:rPr>
              <w:t>，本项目</w:t>
            </w:r>
            <w:r>
              <w:rPr>
                <w:rFonts w:hint="default"/>
                <w:highlight w:val="none"/>
              </w:rPr>
              <w:t>建设一座</w:t>
            </w:r>
            <w:r>
              <w:rPr>
                <w:rFonts w:hint="eastAsia"/>
                <w:color w:val="FF0000"/>
                <w:highlight w:val="none"/>
                <w:lang w:val="en-US" w:eastAsia="zh-CN"/>
              </w:rPr>
              <w:t>110kV变电站</w:t>
            </w:r>
            <w:r>
              <w:rPr>
                <w:rFonts w:hint="default"/>
                <w:highlight w:val="none"/>
              </w:rPr>
              <w:t>，并配套建设一回110kV送出线路，属于</w:t>
            </w:r>
            <w:r>
              <w:rPr>
                <w:rFonts w:hint="eastAsia"/>
                <w:highlight w:val="none"/>
                <w:lang w:eastAsia="zh-CN"/>
              </w:rPr>
              <w:t>“</w:t>
            </w:r>
            <w:r>
              <w:rPr>
                <w:rFonts w:hint="default"/>
                <w:highlight w:val="none"/>
              </w:rPr>
              <w:t>鼓励类</w:t>
            </w:r>
            <w:r>
              <w:rPr>
                <w:rFonts w:hint="eastAsia"/>
                <w:highlight w:val="none"/>
                <w:lang w:eastAsia="zh-CN"/>
              </w:rPr>
              <w:t>”</w:t>
            </w:r>
            <w:r>
              <w:rPr>
                <w:rFonts w:hint="default"/>
                <w:highlight w:val="none"/>
              </w:rPr>
              <w:t>项目。</w:t>
            </w:r>
            <w:bookmarkStart w:id="551" w:name="_GoBack"/>
            <w:bookmarkEnd w:id="551"/>
          </w:p>
          <w:p w14:paraId="5D47F42F">
            <w:pPr>
              <w:pStyle w:val="3"/>
              <w:shd w:val="clear"/>
              <w:rPr>
                <w:highlight w:val="none"/>
              </w:rPr>
            </w:pPr>
            <w:bookmarkStart w:id="12" w:name="_Toc17938"/>
            <w:bookmarkStart w:id="13" w:name="_Toc30801"/>
            <w:bookmarkStart w:id="14" w:name="_Toc20561"/>
            <w:r>
              <w:rPr>
                <w:highlight w:val="none"/>
              </w:rPr>
              <w:t>2、相关规划符合性分析</w:t>
            </w:r>
            <w:bookmarkEnd w:id="12"/>
            <w:bookmarkEnd w:id="13"/>
            <w:bookmarkEnd w:id="14"/>
          </w:p>
          <w:p w14:paraId="2C6F864B">
            <w:pPr>
              <w:pStyle w:val="28"/>
              <w:shd w:val="clear"/>
              <w:spacing w:before="0" w:beforeAutospacing="0" w:after="0" w:afterAutospacing="0" w:line="240" w:lineRule="auto"/>
              <w:ind w:firstLine="422"/>
              <w:rPr>
                <w:rFonts w:ascii="Times New Roman" w:hAnsi="Times New Roman"/>
                <w:b/>
                <w:bCs/>
                <w:kern w:val="2"/>
                <w:sz w:val="21"/>
                <w:szCs w:val="21"/>
                <w:highlight w:val="none"/>
              </w:rPr>
            </w:pPr>
            <w:r>
              <w:rPr>
                <w:rFonts w:ascii="Times New Roman" w:hAnsi="Times New Roman"/>
                <w:b/>
                <w:bCs/>
                <w:kern w:val="2"/>
                <w:sz w:val="21"/>
                <w:szCs w:val="21"/>
                <w:highlight w:val="none"/>
              </w:rPr>
              <w:t>表1-1                       相关规划表</w:t>
            </w:r>
          </w:p>
          <w:tbl>
            <w:tblPr>
              <w:tblStyle w:val="34"/>
              <w:tblW w:w="49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
              <w:gridCol w:w="1009"/>
              <w:gridCol w:w="4656"/>
              <w:gridCol w:w="1030"/>
              <w:gridCol w:w="433"/>
            </w:tblGrid>
            <w:tr w14:paraId="67B141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272" w:type="pct"/>
                  <w:tcBorders>
                    <w:tl2br w:val="nil"/>
                    <w:tr2bl w:val="nil"/>
                  </w:tcBorders>
                  <w:vAlign w:val="center"/>
                </w:tcPr>
                <w:p w14:paraId="4D7FAF35">
                  <w:pPr>
                    <w:pStyle w:val="10"/>
                    <w:shd w:val="clear"/>
                    <w:rPr>
                      <w:sz w:val="18"/>
                      <w:highlight w:val="none"/>
                    </w:rPr>
                  </w:pPr>
                  <w:r>
                    <w:rPr>
                      <w:sz w:val="18"/>
                      <w:highlight w:val="none"/>
                    </w:rPr>
                    <w:t>序号</w:t>
                  </w:r>
                </w:p>
              </w:tc>
              <w:tc>
                <w:tcPr>
                  <w:tcW w:w="669" w:type="pct"/>
                  <w:tcBorders>
                    <w:tl2br w:val="nil"/>
                    <w:tr2bl w:val="nil"/>
                  </w:tcBorders>
                  <w:vAlign w:val="center"/>
                </w:tcPr>
                <w:p w14:paraId="3671546E">
                  <w:pPr>
                    <w:pStyle w:val="10"/>
                    <w:shd w:val="clear"/>
                    <w:rPr>
                      <w:sz w:val="18"/>
                      <w:highlight w:val="none"/>
                    </w:rPr>
                  </w:pPr>
                  <w:r>
                    <w:rPr>
                      <w:sz w:val="18"/>
                      <w:highlight w:val="none"/>
                    </w:rPr>
                    <w:t>规划名称</w:t>
                  </w:r>
                </w:p>
              </w:tc>
              <w:tc>
                <w:tcPr>
                  <w:tcW w:w="3087" w:type="pct"/>
                  <w:tcBorders>
                    <w:tl2br w:val="nil"/>
                    <w:tr2bl w:val="nil"/>
                  </w:tcBorders>
                  <w:vAlign w:val="center"/>
                </w:tcPr>
                <w:p w14:paraId="34C0C113">
                  <w:pPr>
                    <w:pStyle w:val="10"/>
                    <w:shd w:val="clear"/>
                    <w:rPr>
                      <w:sz w:val="18"/>
                      <w:highlight w:val="none"/>
                    </w:rPr>
                  </w:pPr>
                  <w:r>
                    <w:rPr>
                      <w:sz w:val="18"/>
                      <w:highlight w:val="none"/>
                    </w:rPr>
                    <w:t>与工程有关内容</w:t>
                  </w:r>
                </w:p>
              </w:tc>
              <w:tc>
                <w:tcPr>
                  <w:tcW w:w="683" w:type="pct"/>
                  <w:tcBorders>
                    <w:tl2br w:val="nil"/>
                    <w:tr2bl w:val="nil"/>
                  </w:tcBorders>
                  <w:vAlign w:val="center"/>
                </w:tcPr>
                <w:p w14:paraId="61BBC9D2">
                  <w:pPr>
                    <w:pStyle w:val="10"/>
                    <w:shd w:val="clear"/>
                    <w:rPr>
                      <w:sz w:val="18"/>
                      <w:highlight w:val="none"/>
                    </w:rPr>
                  </w:pPr>
                  <w:r>
                    <w:rPr>
                      <w:sz w:val="18"/>
                      <w:highlight w:val="none"/>
                    </w:rPr>
                    <w:t>本项目</w:t>
                  </w:r>
                </w:p>
              </w:tc>
              <w:tc>
                <w:tcPr>
                  <w:tcW w:w="287" w:type="pct"/>
                  <w:tcBorders>
                    <w:tl2br w:val="nil"/>
                    <w:tr2bl w:val="nil"/>
                  </w:tcBorders>
                  <w:vAlign w:val="center"/>
                </w:tcPr>
                <w:p w14:paraId="7C3A67E9">
                  <w:pPr>
                    <w:pStyle w:val="10"/>
                    <w:shd w:val="clear"/>
                    <w:rPr>
                      <w:sz w:val="18"/>
                      <w:highlight w:val="none"/>
                    </w:rPr>
                  </w:pPr>
                  <w:r>
                    <w:rPr>
                      <w:sz w:val="18"/>
                      <w:highlight w:val="none"/>
                    </w:rPr>
                    <w:t>符合性</w:t>
                  </w:r>
                </w:p>
              </w:tc>
            </w:tr>
            <w:tr w14:paraId="592AF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l2br w:val="nil"/>
                    <w:tr2bl w:val="nil"/>
                  </w:tcBorders>
                  <w:vAlign w:val="center"/>
                </w:tcPr>
                <w:p w14:paraId="1631FA72">
                  <w:pPr>
                    <w:pStyle w:val="10"/>
                    <w:shd w:val="clear"/>
                    <w:rPr>
                      <w:sz w:val="18"/>
                      <w:highlight w:val="none"/>
                    </w:rPr>
                  </w:pPr>
                  <w:r>
                    <w:rPr>
                      <w:sz w:val="18"/>
                      <w:highlight w:val="none"/>
                    </w:rPr>
                    <w:t>1</w:t>
                  </w:r>
                </w:p>
              </w:tc>
              <w:tc>
                <w:tcPr>
                  <w:tcW w:w="669" w:type="pct"/>
                  <w:tcBorders>
                    <w:tl2br w:val="nil"/>
                    <w:tr2bl w:val="nil"/>
                  </w:tcBorders>
                  <w:vAlign w:val="center"/>
                </w:tcPr>
                <w:p w14:paraId="1661A469">
                  <w:pPr>
                    <w:pStyle w:val="10"/>
                    <w:shd w:val="clear"/>
                    <w:rPr>
                      <w:sz w:val="18"/>
                      <w:highlight w:val="none"/>
                    </w:rPr>
                  </w:pPr>
                  <w:r>
                    <w:rPr>
                      <w:rFonts w:hint="eastAsia"/>
                      <w:sz w:val="18"/>
                      <w:highlight w:val="none"/>
                      <w:lang w:eastAsia="zh-CN"/>
                    </w:rPr>
                    <w:t>“</w:t>
                  </w:r>
                  <w:r>
                    <w:rPr>
                      <w:sz w:val="18"/>
                      <w:highlight w:val="none"/>
                    </w:rPr>
                    <w:t>十四五</w:t>
                  </w:r>
                  <w:r>
                    <w:rPr>
                      <w:rFonts w:hint="eastAsia"/>
                      <w:sz w:val="18"/>
                      <w:highlight w:val="none"/>
                      <w:lang w:eastAsia="zh-CN"/>
                    </w:rPr>
                    <w:t>”</w:t>
                  </w:r>
                  <w:r>
                    <w:rPr>
                      <w:sz w:val="18"/>
                      <w:highlight w:val="none"/>
                    </w:rPr>
                    <w:t>可再生能源发展规划</w:t>
                  </w:r>
                </w:p>
                <w:p w14:paraId="3AECFE14">
                  <w:pPr>
                    <w:pStyle w:val="10"/>
                    <w:shd w:val="clear"/>
                    <w:rPr>
                      <w:sz w:val="18"/>
                      <w:highlight w:val="none"/>
                    </w:rPr>
                  </w:pPr>
                </w:p>
              </w:tc>
              <w:tc>
                <w:tcPr>
                  <w:tcW w:w="3087" w:type="pct"/>
                  <w:tcBorders>
                    <w:tl2br w:val="nil"/>
                    <w:tr2bl w:val="nil"/>
                  </w:tcBorders>
                  <w:vAlign w:val="center"/>
                </w:tcPr>
                <w:p w14:paraId="30DC0601">
                  <w:pPr>
                    <w:pStyle w:val="10"/>
                    <w:shd w:val="clear"/>
                    <w:rPr>
                      <w:sz w:val="18"/>
                      <w:highlight w:val="none"/>
                    </w:rPr>
                  </w:pPr>
                  <w:r>
                    <w:rPr>
                      <w:sz w:val="18"/>
                      <w:highlight w:val="none"/>
                    </w:rPr>
                    <w:t>加快推进以沙漠、戈壁、荒漠地区为重点的大型风电太阳能发电基地。以风光资源为依托、以区域电网为支撑、以输电通道为牵引、以高效消纳为目标，统筹优化风电光伏布局和支撑调节电源，在内蒙古、青海、甘肃等西部北部沙漠、戈壁、荒漠地区，加快建设一批生态友好、经济优越、体现国家战略和国家意志的大型风电光伏基地项目。依托已建跨省区输电通道和火电</w:t>
                  </w:r>
                  <w:r>
                    <w:rPr>
                      <w:rFonts w:hint="eastAsia"/>
                      <w:sz w:val="18"/>
                      <w:highlight w:val="none"/>
                      <w:lang w:eastAsia="zh-CN"/>
                    </w:rPr>
                    <w:t>“</w:t>
                  </w:r>
                  <w:r>
                    <w:rPr>
                      <w:sz w:val="18"/>
                      <w:highlight w:val="none"/>
                    </w:rPr>
                    <w:t>点对网</w:t>
                  </w:r>
                  <w:r>
                    <w:rPr>
                      <w:rFonts w:hint="eastAsia"/>
                      <w:sz w:val="18"/>
                      <w:highlight w:val="none"/>
                      <w:lang w:eastAsia="zh-CN"/>
                    </w:rPr>
                    <w:t>”</w:t>
                  </w:r>
                  <w:r>
                    <w:rPr>
                      <w:sz w:val="18"/>
                      <w:highlight w:val="none"/>
                    </w:rPr>
                    <w:t>输电通道，重点提升存量输电通道输电能力和新能源电量占比，多措并举增配风电光伏基地。依托</w:t>
                  </w:r>
                  <w:r>
                    <w:rPr>
                      <w:rFonts w:hint="eastAsia"/>
                      <w:sz w:val="18"/>
                      <w:highlight w:val="none"/>
                      <w:lang w:eastAsia="zh-CN"/>
                    </w:rPr>
                    <w:t>“</w:t>
                  </w:r>
                  <w:r>
                    <w:rPr>
                      <w:sz w:val="18"/>
                      <w:highlight w:val="none"/>
                    </w:rPr>
                    <w:t>十四五</w:t>
                  </w:r>
                  <w:r>
                    <w:rPr>
                      <w:rFonts w:hint="eastAsia"/>
                      <w:sz w:val="18"/>
                      <w:highlight w:val="none"/>
                      <w:lang w:eastAsia="zh-CN"/>
                    </w:rPr>
                    <w:t>”</w:t>
                  </w:r>
                  <w:r>
                    <w:rPr>
                      <w:sz w:val="18"/>
                      <w:highlight w:val="none"/>
                    </w:rPr>
                    <w:t>期间建成投产和开工建设的重点输电通道，按照新增通道中可再生能源电量占比不低于50%的要求，配套建设风电光伏基地。依托</w:t>
                  </w:r>
                  <w:r>
                    <w:rPr>
                      <w:rFonts w:hint="eastAsia"/>
                      <w:sz w:val="18"/>
                      <w:highlight w:val="none"/>
                      <w:lang w:eastAsia="zh-CN"/>
                    </w:rPr>
                    <w:t>“</w:t>
                  </w:r>
                  <w:r>
                    <w:rPr>
                      <w:sz w:val="18"/>
                      <w:highlight w:val="none"/>
                    </w:rPr>
                    <w:t>十四五</w:t>
                  </w:r>
                  <w:r>
                    <w:rPr>
                      <w:rFonts w:hint="eastAsia"/>
                      <w:sz w:val="18"/>
                      <w:highlight w:val="none"/>
                      <w:lang w:eastAsia="zh-CN"/>
                    </w:rPr>
                    <w:t>”</w:t>
                  </w:r>
                  <w:r>
                    <w:rPr>
                      <w:sz w:val="18"/>
                      <w:highlight w:val="none"/>
                    </w:rPr>
                    <w:t>期间研究论证输电通道，规划建设风电光伏基地。创新发展方式和应用模式，建设一批就地消纳的风电光伏项目。发挥区域电网内资源时空互济能力，统筹区域电网调峰资源，打破省际电网消纳边界，加强送受两端协调，保障大型风电光伏基地消纳。</w:t>
                  </w:r>
                </w:p>
              </w:tc>
              <w:tc>
                <w:tcPr>
                  <w:tcW w:w="683" w:type="pct"/>
                  <w:tcBorders>
                    <w:tl2br w:val="nil"/>
                    <w:tr2bl w:val="nil"/>
                  </w:tcBorders>
                  <w:vAlign w:val="center"/>
                </w:tcPr>
                <w:p w14:paraId="03DF2BCF">
                  <w:pPr>
                    <w:pStyle w:val="10"/>
                    <w:shd w:val="clear"/>
                    <w:rPr>
                      <w:sz w:val="18"/>
                      <w:highlight w:val="none"/>
                    </w:rPr>
                  </w:pPr>
                  <w:r>
                    <w:rPr>
                      <w:sz w:val="18"/>
                      <w:highlight w:val="none"/>
                    </w:rPr>
                    <w:t>本项目为</w:t>
                  </w:r>
                  <w:r>
                    <w:rPr>
                      <w:rFonts w:hint="eastAsia"/>
                      <w:sz w:val="18"/>
                      <w:highlight w:val="none"/>
                      <w:lang w:val="en-US" w:eastAsia="zh-CN"/>
                    </w:rPr>
                    <w:t>光伏发电</w:t>
                  </w:r>
                  <w:r>
                    <w:rPr>
                      <w:sz w:val="18"/>
                      <w:highlight w:val="none"/>
                    </w:rPr>
                    <w:t>配套送出工程，属于清洁能源项目。</w:t>
                  </w:r>
                </w:p>
              </w:tc>
              <w:tc>
                <w:tcPr>
                  <w:tcW w:w="287" w:type="pct"/>
                  <w:tcBorders>
                    <w:tl2br w:val="nil"/>
                    <w:tr2bl w:val="nil"/>
                  </w:tcBorders>
                  <w:vAlign w:val="center"/>
                </w:tcPr>
                <w:p w14:paraId="23A056B4">
                  <w:pPr>
                    <w:pStyle w:val="10"/>
                    <w:shd w:val="clear"/>
                    <w:rPr>
                      <w:sz w:val="18"/>
                      <w:highlight w:val="none"/>
                    </w:rPr>
                  </w:pPr>
                  <w:r>
                    <w:rPr>
                      <w:sz w:val="18"/>
                      <w:highlight w:val="none"/>
                    </w:rPr>
                    <w:t>符合</w:t>
                  </w:r>
                </w:p>
              </w:tc>
            </w:tr>
            <w:tr w14:paraId="7E91C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l2br w:val="nil"/>
                    <w:tr2bl w:val="nil"/>
                  </w:tcBorders>
                  <w:vAlign w:val="center"/>
                </w:tcPr>
                <w:p w14:paraId="60F3BC20">
                  <w:pPr>
                    <w:pStyle w:val="10"/>
                    <w:shd w:val="clear"/>
                    <w:rPr>
                      <w:sz w:val="18"/>
                      <w:highlight w:val="none"/>
                    </w:rPr>
                  </w:pPr>
                  <w:r>
                    <w:rPr>
                      <w:sz w:val="18"/>
                      <w:highlight w:val="none"/>
                    </w:rPr>
                    <w:t>2</w:t>
                  </w:r>
                </w:p>
              </w:tc>
              <w:tc>
                <w:tcPr>
                  <w:tcW w:w="669" w:type="pct"/>
                  <w:tcBorders>
                    <w:tl2br w:val="nil"/>
                    <w:tr2bl w:val="nil"/>
                  </w:tcBorders>
                  <w:vAlign w:val="center"/>
                </w:tcPr>
                <w:p w14:paraId="01850759">
                  <w:pPr>
                    <w:pStyle w:val="10"/>
                    <w:shd w:val="clear"/>
                    <w:rPr>
                      <w:sz w:val="18"/>
                      <w:highlight w:val="none"/>
                    </w:rPr>
                  </w:pPr>
                  <w:r>
                    <w:rPr>
                      <w:sz w:val="18"/>
                      <w:highlight w:val="none"/>
                    </w:rPr>
                    <w:t>《新疆生态环境保护</w:t>
                  </w:r>
                  <w:r>
                    <w:rPr>
                      <w:rFonts w:hint="eastAsia"/>
                      <w:sz w:val="18"/>
                      <w:highlight w:val="none"/>
                      <w:lang w:eastAsia="zh-CN"/>
                    </w:rPr>
                    <w:t>“</w:t>
                  </w:r>
                  <w:r>
                    <w:rPr>
                      <w:sz w:val="18"/>
                      <w:highlight w:val="none"/>
                    </w:rPr>
                    <w:t>十四五</w:t>
                  </w:r>
                  <w:r>
                    <w:rPr>
                      <w:rFonts w:hint="eastAsia"/>
                      <w:sz w:val="18"/>
                      <w:highlight w:val="none"/>
                      <w:lang w:eastAsia="zh-CN"/>
                    </w:rPr>
                    <w:t>”</w:t>
                  </w:r>
                  <w:r>
                    <w:rPr>
                      <w:sz w:val="18"/>
                      <w:highlight w:val="none"/>
                    </w:rPr>
                    <w:t>规划》</w:t>
                  </w:r>
                </w:p>
              </w:tc>
              <w:tc>
                <w:tcPr>
                  <w:tcW w:w="3087" w:type="pct"/>
                  <w:tcBorders>
                    <w:tl2br w:val="nil"/>
                    <w:tr2bl w:val="nil"/>
                  </w:tcBorders>
                  <w:vAlign w:val="center"/>
                </w:tcPr>
                <w:p w14:paraId="67778E23">
                  <w:pPr>
                    <w:pStyle w:val="10"/>
                    <w:shd w:val="clear"/>
                    <w:rPr>
                      <w:sz w:val="18"/>
                      <w:highlight w:val="none"/>
                    </w:rPr>
                  </w:pPr>
                  <w:r>
                    <w:rPr>
                      <w:sz w:val="18"/>
                      <w:highlight w:val="none"/>
                    </w:rPr>
                    <w:t>大力发展清洁能源。进一步壮大清洁能源产业，着力转变能源生产和消费模式，推动化石能源转型升级。加快非化石能源发展，推进风电和太阳能发电基地建设，积极开发分布式太阳能发电和分散式风电，支持可再生能源与工业、建筑、交通、农业、生态等产业和设施协同发展，配套发展储能产业，推进抽水蓄能电站建设，加快新型储能示范推广应用。积极发展可再生能源微电网、局域网，提高可再生能源的推广和消纳能力。</w:t>
                  </w:r>
                </w:p>
              </w:tc>
              <w:tc>
                <w:tcPr>
                  <w:tcW w:w="683" w:type="pct"/>
                  <w:tcBorders>
                    <w:tl2br w:val="nil"/>
                    <w:tr2bl w:val="nil"/>
                  </w:tcBorders>
                  <w:vAlign w:val="center"/>
                </w:tcPr>
                <w:p w14:paraId="7094C661">
                  <w:pPr>
                    <w:pStyle w:val="10"/>
                    <w:shd w:val="clear"/>
                    <w:rPr>
                      <w:sz w:val="18"/>
                      <w:highlight w:val="none"/>
                    </w:rPr>
                  </w:pPr>
                  <w:r>
                    <w:rPr>
                      <w:sz w:val="18"/>
                      <w:highlight w:val="none"/>
                    </w:rPr>
                    <w:t>本项目为新能源配套送出工程。</w:t>
                  </w:r>
                </w:p>
              </w:tc>
              <w:tc>
                <w:tcPr>
                  <w:tcW w:w="287" w:type="pct"/>
                  <w:tcBorders>
                    <w:tl2br w:val="nil"/>
                    <w:tr2bl w:val="nil"/>
                  </w:tcBorders>
                  <w:vAlign w:val="center"/>
                </w:tcPr>
                <w:p w14:paraId="168B7199">
                  <w:pPr>
                    <w:pStyle w:val="10"/>
                    <w:shd w:val="clear"/>
                    <w:rPr>
                      <w:sz w:val="18"/>
                      <w:highlight w:val="none"/>
                    </w:rPr>
                  </w:pPr>
                  <w:r>
                    <w:rPr>
                      <w:sz w:val="18"/>
                      <w:highlight w:val="none"/>
                    </w:rPr>
                    <w:t>符合</w:t>
                  </w:r>
                </w:p>
              </w:tc>
            </w:tr>
            <w:tr w14:paraId="2B0AE8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restart"/>
                  <w:tcBorders>
                    <w:tl2br w:val="nil"/>
                    <w:tr2bl w:val="nil"/>
                  </w:tcBorders>
                  <w:vAlign w:val="center"/>
                </w:tcPr>
                <w:p w14:paraId="39615DFF">
                  <w:pPr>
                    <w:pStyle w:val="10"/>
                    <w:shd w:val="clear"/>
                    <w:rPr>
                      <w:sz w:val="18"/>
                      <w:highlight w:val="none"/>
                    </w:rPr>
                  </w:pPr>
                  <w:bookmarkStart w:id="15" w:name="_Toc1775"/>
                  <w:r>
                    <w:rPr>
                      <w:sz w:val="18"/>
                      <w:highlight w:val="none"/>
                    </w:rPr>
                    <w:t>3</w:t>
                  </w:r>
                </w:p>
              </w:tc>
              <w:tc>
                <w:tcPr>
                  <w:tcW w:w="669" w:type="pct"/>
                  <w:vMerge w:val="restart"/>
                  <w:tcBorders>
                    <w:tl2br w:val="nil"/>
                    <w:tr2bl w:val="nil"/>
                  </w:tcBorders>
                  <w:vAlign w:val="center"/>
                </w:tcPr>
                <w:p w14:paraId="675FD2E1">
                  <w:pPr>
                    <w:pStyle w:val="10"/>
                    <w:shd w:val="clear"/>
                    <w:rPr>
                      <w:sz w:val="18"/>
                      <w:highlight w:val="none"/>
                    </w:rPr>
                  </w:pPr>
                  <w:r>
                    <w:rPr>
                      <w:sz w:val="18"/>
                      <w:highlight w:val="none"/>
                    </w:rPr>
                    <w:t>《巴音郭楞蒙古自治州生态环境</w:t>
                  </w:r>
                  <w:r>
                    <w:rPr>
                      <w:rFonts w:hint="eastAsia"/>
                      <w:sz w:val="18"/>
                      <w:highlight w:val="none"/>
                      <w:lang w:eastAsia="zh-CN"/>
                    </w:rPr>
                    <w:t>“</w:t>
                  </w:r>
                  <w:r>
                    <w:rPr>
                      <w:sz w:val="18"/>
                      <w:highlight w:val="none"/>
                    </w:rPr>
                    <w:t>十四五</w:t>
                  </w:r>
                  <w:r>
                    <w:rPr>
                      <w:rFonts w:hint="eastAsia"/>
                      <w:sz w:val="18"/>
                      <w:highlight w:val="none"/>
                      <w:lang w:eastAsia="zh-CN"/>
                    </w:rPr>
                    <w:t>”</w:t>
                  </w:r>
                  <w:r>
                    <w:rPr>
                      <w:sz w:val="18"/>
                      <w:highlight w:val="none"/>
                    </w:rPr>
                    <w:t>规划》</w:t>
                  </w:r>
                </w:p>
              </w:tc>
              <w:tc>
                <w:tcPr>
                  <w:tcW w:w="3087" w:type="pct"/>
                  <w:tcBorders>
                    <w:tl2br w:val="nil"/>
                    <w:tr2bl w:val="nil"/>
                  </w:tcBorders>
                  <w:vAlign w:val="center"/>
                </w:tcPr>
                <w:p w14:paraId="6229FA5F">
                  <w:pPr>
                    <w:pStyle w:val="28"/>
                    <w:shd w:val="clear"/>
                    <w:spacing w:before="0" w:beforeAutospacing="0" w:after="0" w:afterAutospacing="0" w:line="240" w:lineRule="auto"/>
                    <w:ind w:firstLine="360"/>
                    <w:jc w:val="both"/>
                    <w:rPr>
                      <w:rFonts w:ascii="Times New Roman" w:hAnsi="Times New Roman"/>
                      <w:sz w:val="18"/>
                      <w:szCs w:val="18"/>
                      <w:highlight w:val="none"/>
                    </w:rPr>
                  </w:pPr>
                  <w:r>
                    <w:rPr>
                      <w:rFonts w:ascii="Times New Roman" w:hAnsi="Times New Roman"/>
                      <w:kern w:val="2"/>
                      <w:sz w:val="18"/>
                      <w:szCs w:val="18"/>
                      <w:highlight w:val="none"/>
                    </w:rPr>
                    <w:t>加快工业结构绿色转型升级。推动重点行业绿色转型，大力推进企业清洁生产技术提标改造，积极引导水泥、钢铁、石化等重点行业全面实施能效提升、清洁生产、强化治污、循环利用等专项技术提标改造；加快高端装备制造、新能源、新材料等战略性新兴产业发展，推广适用的煤化工节能减排技术，提升行业清洁生产水平，降低对油气资源的依赖，逐步实现循环发展；大力推进园区建设提档升级，推进工业循环经济试点建设引导和规范试点园区。</w:t>
                  </w:r>
                </w:p>
              </w:tc>
              <w:tc>
                <w:tcPr>
                  <w:tcW w:w="683" w:type="pct"/>
                  <w:tcBorders>
                    <w:tl2br w:val="nil"/>
                    <w:tr2bl w:val="nil"/>
                  </w:tcBorders>
                  <w:vAlign w:val="center"/>
                </w:tcPr>
                <w:p w14:paraId="7F76F948">
                  <w:pPr>
                    <w:pStyle w:val="10"/>
                    <w:shd w:val="clear"/>
                    <w:rPr>
                      <w:sz w:val="18"/>
                      <w:highlight w:val="none"/>
                    </w:rPr>
                  </w:pPr>
                  <w:r>
                    <w:rPr>
                      <w:sz w:val="18"/>
                      <w:highlight w:val="none"/>
                    </w:rPr>
                    <w:t>本项目为输变电项目，满足调峰需要。</w:t>
                  </w:r>
                </w:p>
              </w:tc>
              <w:tc>
                <w:tcPr>
                  <w:tcW w:w="287" w:type="pct"/>
                  <w:tcBorders>
                    <w:tl2br w:val="nil"/>
                    <w:tr2bl w:val="nil"/>
                  </w:tcBorders>
                  <w:vAlign w:val="center"/>
                </w:tcPr>
                <w:p w14:paraId="12463925">
                  <w:pPr>
                    <w:pStyle w:val="10"/>
                    <w:shd w:val="clear"/>
                    <w:rPr>
                      <w:sz w:val="18"/>
                      <w:highlight w:val="none"/>
                    </w:rPr>
                  </w:pPr>
                  <w:r>
                    <w:rPr>
                      <w:sz w:val="18"/>
                      <w:highlight w:val="none"/>
                    </w:rPr>
                    <w:t>符合</w:t>
                  </w:r>
                </w:p>
              </w:tc>
            </w:tr>
            <w:tr w14:paraId="1B2BB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vMerge w:val="continue"/>
                  <w:tcBorders>
                    <w:tl2br w:val="nil"/>
                    <w:tr2bl w:val="nil"/>
                  </w:tcBorders>
                  <w:vAlign w:val="center"/>
                </w:tcPr>
                <w:p w14:paraId="5C92E32F">
                  <w:pPr>
                    <w:pStyle w:val="10"/>
                    <w:shd w:val="clear"/>
                    <w:rPr>
                      <w:sz w:val="18"/>
                      <w:highlight w:val="none"/>
                    </w:rPr>
                  </w:pPr>
                </w:p>
              </w:tc>
              <w:tc>
                <w:tcPr>
                  <w:tcW w:w="669" w:type="pct"/>
                  <w:vMerge w:val="continue"/>
                  <w:tcBorders>
                    <w:tl2br w:val="nil"/>
                    <w:tr2bl w:val="nil"/>
                  </w:tcBorders>
                  <w:vAlign w:val="center"/>
                </w:tcPr>
                <w:p w14:paraId="0A225792">
                  <w:pPr>
                    <w:pStyle w:val="10"/>
                    <w:shd w:val="clear"/>
                    <w:rPr>
                      <w:sz w:val="18"/>
                      <w:highlight w:val="none"/>
                    </w:rPr>
                  </w:pPr>
                </w:p>
              </w:tc>
              <w:tc>
                <w:tcPr>
                  <w:tcW w:w="3087" w:type="pct"/>
                  <w:tcBorders>
                    <w:tl2br w:val="nil"/>
                    <w:tr2bl w:val="nil"/>
                  </w:tcBorders>
                  <w:vAlign w:val="center"/>
                </w:tcPr>
                <w:p w14:paraId="6286392E">
                  <w:pPr>
                    <w:pStyle w:val="10"/>
                    <w:shd w:val="clear"/>
                    <w:rPr>
                      <w:sz w:val="18"/>
                      <w:highlight w:val="none"/>
                    </w:rPr>
                  </w:pPr>
                  <w:r>
                    <w:rPr>
                      <w:sz w:val="18"/>
                      <w:highlight w:val="none"/>
                    </w:rPr>
                    <w:t>持续推进能源清洁化利用。加大民用散煤清洁化治理。到2022年，禁燃区逐步由县级及以上城市建成区扩展到近郊。禁燃区内禁止使用散煤等高污染燃料，采用清洁能源，宜气则气、宜电则电，逐步实现禁燃区内无煤化。禁燃区外，逐步推行清洁能源替代散煤。持续推进清洁供暖，因地制宜制定实施自治州清洁取暖方案，逐步提高清洁取暖面积占比。加强建筑节能改造，积极创建绿色建筑行动，到2025年，当年城镇新建民用建筑中绿色建筑面积占比达到100%，新建民用建筑严格执行强制性节能标准，执行率达到100%。</w:t>
                  </w:r>
                </w:p>
              </w:tc>
              <w:tc>
                <w:tcPr>
                  <w:tcW w:w="683" w:type="pct"/>
                  <w:tcBorders>
                    <w:tl2br w:val="nil"/>
                    <w:tr2bl w:val="nil"/>
                  </w:tcBorders>
                  <w:vAlign w:val="center"/>
                </w:tcPr>
                <w:p w14:paraId="524C7BF1">
                  <w:pPr>
                    <w:pStyle w:val="10"/>
                    <w:shd w:val="clear"/>
                    <w:rPr>
                      <w:sz w:val="18"/>
                      <w:highlight w:val="none"/>
                    </w:rPr>
                  </w:pPr>
                  <w:r>
                    <w:rPr>
                      <w:sz w:val="18"/>
                      <w:highlight w:val="none"/>
                    </w:rPr>
                    <w:t>本项目为输变电项目，满足调峰需要。</w:t>
                  </w:r>
                </w:p>
              </w:tc>
              <w:tc>
                <w:tcPr>
                  <w:tcW w:w="287" w:type="pct"/>
                  <w:tcBorders>
                    <w:tl2br w:val="nil"/>
                    <w:tr2bl w:val="nil"/>
                  </w:tcBorders>
                  <w:vAlign w:val="center"/>
                </w:tcPr>
                <w:p w14:paraId="5B3BAB69">
                  <w:pPr>
                    <w:pStyle w:val="10"/>
                    <w:shd w:val="clear"/>
                    <w:rPr>
                      <w:sz w:val="18"/>
                      <w:highlight w:val="none"/>
                    </w:rPr>
                  </w:pPr>
                  <w:r>
                    <w:rPr>
                      <w:sz w:val="18"/>
                      <w:highlight w:val="none"/>
                    </w:rPr>
                    <w:t>符合</w:t>
                  </w:r>
                </w:p>
              </w:tc>
            </w:tr>
            <w:tr w14:paraId="0542BA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 w:type="pct"/>
                  <w:tcBorders>
                    <w:tl2br w:val="nil"/>
                    <w:tr2bl w:val="nil"/>
                  </w:tcBorders>
                  <w:vAlign w:val="center"/>
                </w:tcPr>
                <w:p w14:paraId="768BBC10">
                  <w:pPr>
                    <w:pStyle w:val="10"/>
                    <w:shd w:val="clear"/>
                    <w:rPr>
                      <w:sz w:val="18"/>
                      <w:highlight w:val="none"/>
                    </w:rPr>
                  </w:pPr>
                  <w:r>
                    <w:rPr>
                      <w:sz w:val="18"/>
                      <w:highlight w:val="none"/>
                    </w:rPr>
                    <w:t>4</w:t>
                  </w:r>
                </w:p>
              </w:tc>
              <w:tc>
                <w:tcPr>
                  <w:tcW w:w="669" w:type="pct"/>
                  <w:tcBorders>
                    <w:tl2br w:val="nil"/>
                    <w:tr2bl w:val="nil"/>
                  </w:tcBorders>
                  <w:vAlign w:val="center"/>
                </w:tcPr>
                <w:p w14:paraId="69BA9923">
                  <w:pPr>
                    <w:pStyle w:val="10"/>
                    <w:shd w:val="clear"/>
                    <w:rPr>
                      <w:sz w:val="18"/>
                      <w:highlight w:val="none"/>
                    </w:rPr>
                  </w:pPr>
                  <w:r>
                    <w:rPr>
                      <w:sz w:val="18"/>
                      <w:highlight w:val="none"/>
                    </w:rPr>
                    <w:t>《新疆维吾尔自治区2025年</w:t>
                  </w:r>
                </w:p>
                <w:p w14:paraId="3691C023">
                  <w:pPr>
                    <w:pStyle w:val="10"/>
                    <w:shd w:val="clear"/>
                    <w:rPr>
                      <w:sz w:val="18"/>
                      <w:highlight w:val="none"/>
                    </w:rPr>
                  </w:pPr>
                  <w:r>
                    <w:rPr>
                      <w:sz w:val="18"/>
                      <w:highlight w:val="none"/>
                    </w:rPr>
                    <w:t>空气质量持续改善行动实施方案》（新政办发〔2024〕58号）</w:t>
                  </w:r>
                </w:p>
                <w:p w14:paraId="1084D230">
                  <w:pPr>
                    <w:pStyle w:val="10"/>
                    <w:shd w:val="clear"/>
                    <w:rPr>
                      <w:sz w:val="18"/>
                      <w:highlight w:val="none"/>
                    </w:rPr>
                  </w:pPr>
                </w:p>
              </w:tc>
              <w:tc>
                <w:tcPr>
                  <w:tcW w:w="3087" w:type="pct"/>
                  <w:tcBorders>
                    <w:tl2br w:val="nil"/>
                    <w:tr2bl w:val="nil"/>
                  </w:tcBorders>
                  <w:vAlign w:val="center"/>
                </w:tcPr>
                <w:p w14:paraId="52803C40">
                  <w:pPr>
                    <w:pStyle w:val="10"/>
                    <w:shd w:val="clear"/>
                    <w:rPr>
                      <w:sz w:val="18"/>
                      <w:highlight w:val="none"/>
                    </w:rPr>
                  </w:pPr>
                  <w:r>
                    <w:rPr>
                      <w:sz w:val="18"/>
                      <w:highlight w:val="none"/>
                    </w:rPr>
                    <w:t>（十三）持续强化扬尘污染综合管控。施工场地严格落实</w:t>
                  </w:r>
                  <w:r>
                    <w:rPr>
                      <w:rFonts w:hint="eastAsia"/>
                      <w:sz w:val="18"/>
                      <w:highlight w:val="none"/>
                      <w:lang w:eastAsia="zh-CN"/>
                    </w:rPr>
                    <w:t>“</w:t>
                  </w:r>
                  <w:r>
                    <w:rPr>
                      <w:sz w:val="18"/>
                      <w:highlight w:val="none"/>
                    </w:rPr>
                    <w:t>六个百分百</w:t>
                  </w:r>
                  <w:r>
                    <w:rPr>
                      <w:rFonts w:hint="eastAsia"/>
                      <w:sz w:val="18"/>
                      <w:highlight w:val="none"/>
                      <w:lang w:eastAsia="zh-CN"/>
                    </w:rPr>
                    <w:t>”</w:t>
                  </w:r>
                  <w:r>
                    <w:rPr>
                      <w:sz w:val="18"/>
                      <w:highlight w:val="none"/>
                    </w:rPr>
                    <w:t>要求。扬尘污染防治费用纳入工程造价，3000m</w:t>
                  </w:r>
                  <w:r>
                    <w:rPr>
                      <w:sz w:val="18"/>
                      <w:highlight w:val="none"/>
                      <w:vertAlign w:val="superscript"/>
                    </w:rPr>
                    <w:t>2</w:t>
                  </w:r>
                  <w:r>
                    <w:rPr>
                      <w:sz w:val="18"/>
                      <w:highlight w:val="none"/>
                    </w:rPr>
                    <w:t>及以上建筑工地安装视频监控并接入当地监管平台。道路、水务等长距离线性工程实行分段施工。城市建成区主次干道机械化清扫率达到80%。加强城市及周边公共裸地、物料堆场等易产尘区域抑尘管理。到2025年，装配式建筑占新建建筑面积比例达到30%。</w:t>
                  </w:r>
                </w:p>
              </w:tc>
              <w:tc>
                <w:tcPr>
                  <w:tcW w:w="683" w:type="pct"/>
                  <w:tcBorders>
                    <w:tl2br w:val="nil"/>
                    <w:tr2bl w:val="nil"/>
                  </w:tcBorders>
                  <w:vAlign w:val="center"/>
                </w:tcPr>
                <w:p w14:paraId="1C9441AA">
                  <w:pPr>
                    <w:pStyle w:val="10"/>
                    <w:shd w:val="clear"/>
                    <w:rPr>
                      <w:sz w:val="18"/>
                      <w:highlight w:val="none"/>
                    </w:rPr>
                  </w:pPr>
                  <w:r>
                    <w:rPr>
                      <w:sz w:val="18"/>
                      <w:highlight w:val="none"/>
                    </w:rPr>
                    <w:t>本项目施工期满足</w:t>
                  </w:r>
                  <w:r>
                    <w:rPr>
                      <w:rFonts w:hint="eastAsia"/>
                      <w:sz w:val="18"/>
                      <w:highlight w:val="none"/>
                      <w:lang w:eastAsia="zh-CN"/>
                    </w:rPr>
                    <w:t>“</w:t>
                  </w:r>
                  <w:r>
                    <w:rPr>
                      <w:sz w:val="18"/>
                      <w:highlight w:val="none"/>
                    </w:rPr>
                    <w:t>六个百分百</w:t>
                  </w:r>
                  <w:r>
                    <w:rPr>
                      <w:rFonts w:hint="eastAsia"/>
                      <w:sz w:val="18"/>
                      <w:highlight w:val="none"/>
                      <w:lang w:eastAsia="zh-CN"/>
                    </w:rPr>
                    <w:t>”</w:t>
                  </w:r>
                  <w:r>
                    <w:rPr>
                      <w:sz w:val="18"/>
                      <w:highlight w:val="none"/>
                    </w:rPr>
                    <w:t>的要求。</w:t>
                  </w:r>
                </w:p>
              </w:tc>
              <w:tc>
                <w:tcPr>
                  <w:tcW w:w="287" w:type="pct"/>
                  <w:tcBorders>
                    <w:tl2br w:val="nil"/>
                    <w:tr2bl w:val="nil"/>
                  </w:tcBorders>
                  <w:vAlign w:val="center"/>
                </w:tcPr>
                <w:p w14:paraId="7EA7C523">
                  <w:pPr>
                    <w:pStyle w:val="10"/>
                    <w:shd w:val="clear"/>
                    <w:rPr>
                      <w:sz w:val="18"/>
                      <w:highlight w:val="none"/>
                    </w:rPr>
                  </w:pPr>
                  <w:r>
                    <w:rPr>
                      <w:sz w:val="18"/>
                      <w:highlight w:val="none"/>
                    </w:rPr>
                    <w:t>符合</w:t>
                  </w:r>
                </w:p>
              </w:tc>
            </w:tr>
          </w:tbl>
          <w:p w14:paraId="6BF08191">
            <w:pPr>
              <w:shd w:val="clear"/>
              <w:ind w:firstLine="0" w:firstLineChars="0"/>
              <w:rPr>
                <w:b/>
                <w:bCs/>
                <w:color w:val="000000"/>
                <w:highlight w:val="none"/>
              </w:rPr>
            </w:pPr>
            <w:r>
              <w:rPr>
                <w:highlight w:val="none"/>
              </w:rPr>
              <w:t>3、</w:t>
            </w:r>
            <w:r>
              <w:rPr>
                <w:b/>
                <w:bCs/>
                <w:color w:val="000000"/>
                <w:highlight w:val="none"/>
              </w:rPr>
              <w:t>生态环境分区管控的符合性分析</w:t>
            </w:r>
          </w:p>
          <w:p w14:paraId="04A780BB">
            <w:pPr>
              <w:shd w:val="clear"/>
              <w:adjustRightInd/>
              <w:snapToGrid/>
              <w:ind w:firstLine="480"/>
              <w:rPr>
                <w:color w:val="000000"/>
                <w:highlight w:val="none"/>
              </w:rPr>
            </w:pPr>
            <w:r>
              <w:rPr>
                <w:color w:val="000000"/>
                <w:highlight w:val="none"/>
              </w:rPr>
              <w:t>《新疆维吾尔自治区生态环境分区管控动态更新成果》（新政发〔2024〕157号）的符合性分析。</w:t>
            </w:r>
          </w:p>
          <w:p w14:paraId="29022C86">
            <w:pPr>
              <w:shd w:val="clear"/>
              <w:adjustRightInd/>
              <w:snapToGrid/>
              <w:spacing w:line="240" w:lineRule="auto"/>
              <w:ind w:firstLine="422"/>
              <w:rPr>
                <w:b/>
                <w:bCs/>
                <w:color w:val="000000"/>
                <w:sz w:val="21"/>
                <w:szCs w:val="21"/>
                <w:highlight w:val="none"/>
              </w:rPr>
            </w:pPr>
            <w:r>
              <w:rPr>
                <w:b/>
                <w:bCs/>
                <w:color w:val="000000"/>
                <w:sz w:val="21"/>
                <w:szCs w:val="21"/>
                <w:highlight w:val="none"/>
              </w:rPr>
              <w:t>表1-2 与新疆维吾尔自治区生态环境分区管控动态更新成果的符合性</w:t>
            </w:r>
          </w:p>
          <w:tbl>
            <w:tblPr>
              <w:tblStyle w:val="90"/>
              <w:tblW w:w="49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00"/>
              <w:gridCol w:w="603"/>
              <w:gridCol w:w="3835"/>
              <w:gridCol w:w="2700"/>
            </w:tblGrid>
            <w:tr w14:paraId="45CDB8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665" w:type="pct"/>
                  <w:gridSpan w:val="2"/>
                  <w:tcBorders>
                    <w:tl2br w:val="nil"/>
                    <w:tr2bl w:val="nil"/>
                  </w:tcBorders>
                  <w:vAlign w:val="center"/>
                </w:tcPr>
                <w:p w14:paraId="5372D90F">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管控维度</w:t>
                  </w:r>
                </w:p>
              </w:tc>
              <w:tc>
                <w:tcPr>
                  <w:tcW w:w="2543" w:type="pct"/>
                  <w:tcBorders>
                    <w:tl2br w:val="nil"/>
                    <w:tr2bl w:val="nil"/>
                  </w:tcBorders>
                  <w:vAlign w:val="center"/>
                </w:tcPr>
                <w:p w14:paraId="77FE001E">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管控要求</w:t>
                  </w:r>
                </w:p>
              </w:tc>
              <w:tc>
                <w:tcPr>
                  <w:tcW w:w="1790" w:type="pct"/>
                  <w:tcBorders>
                    <w:tl2br w:val="nil"/>
                    <w:tr2bl w:val="nil"/>
                  </w:tcBorders>
                  <w:vAlign w:val="center"/>
                </w:tcPr>
                <w:p w14:paraId="66577FC6">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符合性分析</w:t>
                  </w:r>
                </w:p>
              </w:tc>
            </w:tr>
            <w:tr w14:paraId="58083A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restart"/>
                  <w:tcBorders>
                    <w:tl2br w:val="nil"/>
                    <w:tr2bl w:val="nil"/>
                  </w:tcBorders>
                  <w:vAlign w:val="center"/>
                </w:tcPr>
                <w:p w14:paraId="003D434F">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A1空间布局约束</w:t>
                  </w:r>
                </w:p>
              </w:tc>
              <w:tc>
                <w:tcPr>
                  <w:tcW w:w="400" w:type="pct"/>
                  <w:vMerge w:val="restart"/>
                  <w:tcBorders>
                    <w:tl2br w:val="nil"/>
                    <w:tr2bl w:val="nil"/>
                  </w:tcBorders>
                  <w:vAlign w:val="center"/>
                </w:tcPr>
                <w:p w14:paraId="494BD8EF">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A1.1禁止开发建设的活动</w:t>
                  </w:r>
                </w:p>
              </w:tc>
              <w:tc>
                <w:tcPr>
                  <w:tcW w:w="2543" w:type="pct"/>
                  <w:tcBorders>
                    <w:tl2br w:val="nil"/>
                    <w:tr2bl w:val="nil"/>
                  </w:tcBorders>
                  <w:vAlign w:val="center"/>
                </w:tcPr>
                <w:p w14:paraId="7DCE1B3E">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〔A1.1-1〕禁止新建、扩建《产业结构调整指导目录（2024年本）》中淘汰类项目。禁止引入《市场准入负面清单（2022年版）》禁止准入类事项。</w:t>
                  </w:r>
                </w:p>
              </w:tc>
              <w:tc>
                <w:tcPr>
                  <w:tcW w:w="1790" w:type="pct"/>
                  <w:tcBorders>
                    <w:tl2br w:val="nil"/>
                    <w:tr2bl w:val="nil"/>
                  </w:tcBorders>
                  <w:vAlign w:val="center"/>
                </w:tcPr>
                <w:p w14:paraId="66F8209E">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符合，本项目属于《产业结构调整指导目录（2024 年本）》鼓励类项目，不属于《市场准入负面清单（2025年版）》禁止准入事项。</w:t>
                  </w:r>
                </w:p>
              </w:tc>
            </w:tr>
            <w:tr w14:paraId="6871FC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4EB5FFB9">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372048C7">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6C94DBB3">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〔A1.1-2〕禁止建设不符合国家和自治区环境保护标准的项目。</w:t>
                  </w:r>
                </w:p>
              </w:tc>
              <w:tc>
                <w:tcPr>
                  <w:tcW w:w="1790" w:type="pct"/>
                  <w:tcBorders>
                    <w:tl2br w:val="nil"/>
                    <w:tr2bl w:val="nil"/>
                  </w:tcBorders>
                  <w:vAlign w:val="center"/>
                </w:tcPr>
                <w:p w14:paraId="25BD40F7">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符合，本项目符合国家和自治区环境保护标准。</w:t>
                  </w:r>
                </w:p>
              </w:tc>
            </w:tr>
            <w:tr w14:paraId="067AD8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77F4749C">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782A8E9D">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13AE0650">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1790" w:type="pct"/>
                  <w:tcBorders>
                    <w:tl2br w:val="nil"/>
                    <w:tr2bl w:val="nil"/>
                  </w:tcBorders>
                  <w:vAlign w:val="center"/>
                </w:tcPr>
                <w:p w14:paraId="1634E67C">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符合，本项目不属于</w:t>
                  </w:r>
                  <w:r>
                    <w:rPr>
                      <w:rFonts w:hint="eastAsia"/>
                      <w:bCs/>
                      <w:color w:val="000000"/>
                      <w:kern w:val="0"/>
                      <w:sz w:val="18"/>
                      <w:szCs w:val="18"/>
                      <w:highlight w:val="none"/>
                      <w:lang w:bidi="zh-CN"/>
                    </w:rPr>
                    <w:t>“两高”项目</w:t>
                  </w:r>
                  <w:r>
                    <w:rPr>
                      <w:bCs/>
                      <w:color w:val="000000"/>
                      <w:kern w:val="0"/>
                      <w:sz w:val="18"/>
                      <w:szCs w:val="18"/>
                      <w:highlight w:val="none"/>
                      <w:lang w:bidi="zh-CN"/>
                    </w:rPr>
                    <w:t>。</w:t>
                  </w:r>
                </w:p>
              </w:tc>
            </w:tr>
            <w:tr w14:paraId="581674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31C101A3">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546899CA">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4BE0B07A">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w:t>
                  </w:r>
                  <w:r>
                    <w:rPr>
                      <w:rFonts w:hint="eastAsia"/>
                      <w:bCs/>
                      <w:color w:val="000000"/>
                      <w:kern w:val="0"/>
                      <w:sz w:val="18"/>
                      <w:szCs w:val="18"/>
                      <w:highlight w:val="none"/>
                      <w:lang w:bidi="zh-CN"/>
                    </w:rPr>
                    <w:t>“</w:t>
                  </w:r>
                  <w:r>
                    <w:rPr>
                      <w:bCs/>
                      <w:color w:val="000000"/>
                      <w:kern w:val="0"/>
                      <w:sz w:val="18"/>
                      <w:szCs w:val="18"/>
                      <w:highlight w:val="none"/>
                      <w:lang w:bidi="zh-CN"/>
                    </w:rPr>
                    <w:t>一厂一策</w:t>
                  </w:r>
                  <w:r>
                    <w:rPr>
                      <w:rFonts w:hint="eastAsia"/>
                      <w:bCs/>
                      <w:color w:val="000000"/>
                      <w:kern w:val="0"/>
                      <w:sz w:val="18"/>
                      <w:szCs w:val="18"/>
                      <w:highlight w:val="none"/>
                      <w:lang w:bidi="zh-CN"/>
                    </w:rPr>
                    <w:t>”</w:t>
                  </w:r>
                  <w:r>
                    <w:rPr>
                      <w:bCs/>
                      <w:color w:val="000000"/>
                      <w:kern w:val="0"/>
                      <w:sz w:val="18"/>
                      <w:szCs w:val="18"/>
                      <w:highlight w:val="none"/>
                      <w:lang w:bidi="zh-CN"/>
                    </w:rPr>
                    <w:t>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1790" w:type="pct"/>
                  <w:tcBorders>
                    <w:tl2br w:val="nil"/>
                    <w:tr2bl w:val="nil"/>
                  </w:tcBorders>
                  <w:vAlign w:val="center"/>
                </w:tcPr>
                <w:p w14:paraId="05DF06D9">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符合，本项目为输变电项目。</w:t>
                  </w:r>
                </w:p>
              </w:tc>
            </w:tr>
            <w:tr w14:paraId="6DB330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70709E93">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restart"/>
                  <w:tcBorders>
                    <w:tl2br w:val="nil"/>
                    <w:tr2bl w:val="nil"/>
                  </w:tcBorders>
                  <w:vAlign w:val="center"/>
                </w:tcPr>
                <w:p w14:paraId="2B804FC9">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A1.2限制开发建设的活动</w:t>
                  </w:r>
                </w:p>
              </w:tc>
              <w:tc>
                <w:tcPr>
                  <w:tcW w:w="2543" w:type="pct"/>
                  <w:tcBorders>
                    <w:tl2br w:val="nil"/>
                    <w:tr2bl w:val="nil"/>
                  </w:tcBorders>
                  <w:vAlign w:val="center"/>
                </w:tcPr>
                <w:p w14:paraId="74819886">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〔A1.2-1〕严格控制缺水地区、水污染严重区域和敏感区域高耗水、高污染行业发展。</w:t>
                  </w:r>
                </w:p>
              </w:tc>
              <w:tc>
                <w:tcPr>
                  <w:tcW w:w="1790" w:type="pct"/>
                  <w:tcBorders>
                    <w:tl2br w:val="nil"/>
                    <w:tr2bl w:val="nil"/>
                  </w:tcBorders>
                  <w:vAlign w:val="center"/>
                </w:tcPr>
                <w:p w14:paraId="2AC549F6">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符合，本项目不涉及生产废水。</w:t>
                  </w:r>
                </w:p>
              </w:tc>
            </w:tr>
            <w:tr w14:paraId="776884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0E64A296">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45BE1442">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281BF18F">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1.2-2〕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790" w:type="pct"/>
                  <w:tcBorders>
                    <w:tl2br w:val="nil"/>
                    <w:tr2bl w:val="nil"/>
                  </w:tcBorders>
                  <w:vAlign w:val="center"/>
                </w:tcPr>
                <w:p w14:paraId="530EBCA9">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符合，本项目不占用永久基本农田</w:t>
                  </w:r>
                  <w:r>
                    <w:rPr>
                      <w:rFonts w:hint="eastAsia"/>
                      <w:bCs/>
                      <w:color w:val="000000"/>
                      <w:kern w:val="0"/>
                      <w:sz w:val="18"/>
                      <w:szCs w:val="18"/>
                      <w:highlight w:val="none"/>
                      <w:lang w:bidi="zh-CN"/>
                    </w:rPr>
                    <w:t>，</w:t>
                  </w:r>
                  <w:r>
                    <w:rPr>
                      <w:rFonts w:hint="eastAsia"/>
                      <w:bCs/>
                      <w:color w:val="000000"/>
                      <w:kern w:val="0"/>
                      <w:sz w:val="18"/>
                      <w:szCs w:val="18"/>
                      <w:highlight w:val="none"/>
                      <w:lang w:val="en-US" w:bidi="zh-CN"/>
                    </w:rPr>
                    <w:t>储能站目前已办理了林草补偿手续，输出线路中的塔基占用其他草地，目前正在办理林草补偿</w:t>
                  </w:r>
                  <w:r>
                    <w:rPr>
                      <w:bCs/>
                      <w:color w:val="000000"/>
                      <w:kern w:val="0"/>
                      <w:sz w:val="18"/>
                      <w:szCs w:val="18"/>
                      <w:highlight w:val="none"/>
                      <w:lang w:bidi="zh-CN"/>
                    </w:rPr>
                    <w:t>。</w:t>
                  </w:r>
                </w:p>
              </w:tc>
            </w:tr>
            <w:tr w14:paraId="7B94F8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7FB790AE">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40365254">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7F0148BD">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〔A1.2-3〕以用途变更为住宅、公用设施用地的地块为重点，严格建设用地准入管理和风险管控，未依法完成土壤污染状况调查或风险评估的地块，不得开工建设与风险管控和修复无关的项目。</w:t>
                  </w:r>
                </w:p>
              </w:tc>
              <w:tc>
                <w:tcPr>
                  <w:tcW w:w="1790" w:type="pct"/>
                  <w:tcBorders>
                    <w:tl2br w:val="nil"/>
                    <w:tr2bl w:val="nil"/>
                  </w:tcBorders>
                  <w:vAlign w:val="center"/>
                </w:tcPr>
                <w:p w14:paraId="6F506DE6">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符合，本项目用地性质为工业用地。</w:t>
                  </w:r>
                </w:p>
              </w:tc>
            </w:tr>
            <w:tr w14:paraId="4D076A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1D0D5E21">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24E0CA91">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5EC7E774">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〔A1.3-2〕对不符合国家产业政策、严重污染水环境的生产项目全部予以取缔。</w:t>
                  </w:r>
                </w:p>
              </w:tc>
              <w:tc>
                <w:tcPr>
                  <w:tcW w:w="1790" w:type="pct"/>
                  <w:tcBorders>
                    <w:tl2br w:val="nil"/>
                    <w:tr2bl w:val="nil"/>
                  </w:tcBorders>
                  <w:vAlign w:val="center"/>
                </w:tcPr>
                <w:p w14:paraId="3607319F">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符合，本项目属于《产业结构调整指导目录（2024 年本）》鼓励类项目。</w:t>
                  </w:r>
                </w:p>
              </w:tc>
            </w:tr>
            <w:tr w14:paraId="4C1B5C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308D336C">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33FA934C">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2EF19504">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1.3-3〕根据《产业结构调整指导目录》《限期淘汰产生严重污染环境的工业固体废物的落后生产工艺设备名录》等要求，配合有关部门依法淘汰烧结-鼓风炉-炼铅工艺炼铅等涉重金属落后产能和化解过剩产能。严格执行生态环境保护等相关法规标准，推动经整改仍达不到要求的产能依法依规关闭退出。</w:t>
                  </w:r>
                </w:p>
              </w:tc>
              <w:tc>
                <w:tcPr>
                  <w:tcW w:w="1790" w:type="pct"/>
                  <w:tcBorders>
                    <w:tl2br w:val="nil"/>
                    <w:tr2bl w:val="nil"/>
                  </w:tcBorders>
                  <w:vAlign w:val="center"/>
                </w:tcPr>
                <w:p w14:paraId="04EE7C18">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符合，本项目属于《产业结构调整指导目录（2024 年本）》鼓励类项目。</w:t>
                  </w:r>
                </w:p>
              </w:tc>
            </w:tr>
            <w:tr w14:paraId="036501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50BFC013">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67388792">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7EB5D0BD">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〔A1.3-4〕城市建成区、重点流域内已建成投产化工企业和危险化学品生产企业应加快退城入园，搬入化工园区前企业不应实施改扩建工程扩大生产规模。</w:t>
                  </w:r>
                </w:p>
              </w:tc>
              <w:tc>
                <w:tcPr>
                  <w:tcW w:w="1790" w:type="pct"/>
                  <w:tcBorders>
                    <w:tl2br w:val="nil"/>
                    <w:tr2bl w:val="nil"/>
                  </w:tcBorders>
                  <w:vAlign w:val="center"/>
                </w:tcPr>
                <w:p w14:paraId="2015E7A9">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符合，本项目不属于化工项目，不涉及危险化学品。</w:t>
                  </w:r>
                </w:p>
              </w:tc>
            </w:tr>
            <w:tr w14:paraId="1CB10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55012E44">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tcBorders>
                    <w:tl2br w:val="nil"/>
                    <w:tr2bl w:val="nil"/>
                  </w:tcBorders>
                  <w:vAlign w:val="center"/>
                </w:tcPr>
                <w:p w14:paraId="2958C8C9">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A1.4其他布局要求</w:t>
                  </w:r>
                </w:p>
              </w:tc>
              <w:tc>
                <w:tcPr>
                  <w:tcW w:w="2543" w:type="pct"/>
                  <w:tcBorders>
                    <w:tl2br w:val="nil"/>
                    <w:tr2bl w:val="nil"/>
                  </w:tcBorders>
                  <w:vAlign w:val="center"/>
                </w:tcPr>
                <w:p w14:paraId="4E1B97F1">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1.4-1〕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790" w:type="pct"/>
                  <w:tcBorders>
                    <w:tl2br w:val="nil"/>
                    <w:tr2bl w:val="nil"/>
                  </w:tcBorders>
                  <w:vAlign w:val="center"/>
                </w:tcPr>
                <w:p w14:paraId="13A0D8FD">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符合，本项目符</w:t>
                  </w:r>
                  <w:r>
                    <w:rPr>
                      <w:rFonts w:hint="eastAsia"/>
                      <w:bCs/>
                      <w:color w:val="000000"/>
                      <w:kern w:val="0"/>
                      <w:sz w:val="18"/>
                      <w:szCs w:val="18"/>
                      <w:highlight w:val="none"/>
                      <w:lang w:bidi="zh-CN"/>
                    </w:rPr>
                    <w:t>合自</w:t>
                  </w:r>
                  <w:r>
                    <w:rPr>
                      <w:bCs/>
                      <w:color w:val="000000"/>
                      <w:kern w:val="0"/>
                      <w:sz w:val="18"/>
                      <w:szCs w:val="18"/>
                      <w:highlight w:val="none"/>
                      <w:lang w:bidi="zh-CN"/>
                    </w:rPr>
                    <w:t>治区主体功能区规划。</w:t>
                  </w:r>
                </w:p>
              </w:tc>
            </w:tr>
            <w:tr w14:paraId="0E8EE1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restart"/>
                  <w:tcBorders>
                    <w:tl2br w:val="nil"/>
                    <w:tr2bl w:val="nil"/>
                  </w:tcBorders>
                  <w:vAlign w:val="center"/>
                </w:tcPr>
                <w:p w14:paraId="4F3DF7C4">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A2污染物排放管控</w:t>
                  </w:r>
                </w:p>
              </w:tc>
              <w:tc>
                <w:tcPr>
                  <w:tcW w:w="400" w:type="pct"/>
                  <w:vMerge w:val="restart"/>
                  <w:tcBorders>
                    <w:tl2br w:val="nil"/>
                    <w:tr2bl w:val="nil"/>
                  </w:tcBorders>
                  <w:vAlign w:val="center"/>
                </w:tcPr>
                <w:p w14:paraId="17570966">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A2.1污染物削减/替代要求</w:t>
                  </w:r>
                </w:p>
              </w:tc>
              <w:tc>
                <w:tcPr>
                  <w:tcW w:w="2543" w:type="pct"/>
                  <w:tcBorders>
                    <w:tl2br w:val="nil"/>
                    <w:tr2bl w:val="nil"/>
                  </w:tcBorders>
                  <w:vAlign w:val="center"/>
                </w:tcPr>
                <w:p w14:paraId="011056D0">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〔A2.1-1〕新、改、扩建重点行业建设项目应符合</w:t>
                  </w:r>
                  <w:r>
                    <w:rPr>
                      <w:rFonts w:hint="eastAsia"/>
                      <w:bCs/>
                      <w:color w:val="000000"/>
                      <w:kern w:val="0"/>
                      <w:sz w:val="18"/>
                      <w:szCs w:val="18"/>
                      <w:highlight w:val="none"/>
                      <w:lang w:bidi="zh-CN"/>
                    </w:rPr>
                    <w:t>“</w:t>
                  </w:r>
                  <w:r>
                    <w:rPr>
                      <w:bCs/>
                      <w:color w:val="000000"/>
                      <w:kern w:val="0"/>
                      <w:sz w:val="18"/>
                      <w:szCs w:val="18"/>
                      <w:highlight w:val="none"/>
                      <w:lang w:bidi="zh-CN"/>
                    </w:rPr>
                    <w:t>三线一单</w:t>
                  </w:r>
                  <w:r>
                    <w:rPr>
                      <w:rFonts w:hint="eastAsia"/>
                      <w:bCs/>
                      <w:color w:val="000000"/>
                      <w:kern w:val="0"/>
                      <w:sz w:val="18"/>
                      <w:szCs w:val="18"/>
                      <w:highlight w:val="none"/>
                      <w:lang w:bidi="zh-CN"/>
                    </w:rPr>
                    <w:t>”</w:t>
                  </w:r>
                  <w:r>
                    <w:rPr>
                      <w:bCs/>
                      <w:color w:val="000000"/>
                      <w:kern w:val="0"/>
                      <w:sz w:val="18"/>
                      <w:szCs w:val="18"/>
                      <w:highlight w:val="none"/>
                      <w:lang w:bidi="zh-CN"/>
                    </w:rPr>
                    <w:t>、产业政策、区域环评、规划环评和行业环境准入管控要求。重点区域的新、改、扩建重点行业建设项目应遵循重点重金属污染物排放</w:t>
                  </w:r>
                  <w:r>
                    <w:rPr>
                      <w:rFonts w:hint="eastAsia"/>
                      <w:bCs/>
                      <w:color w:val="000000"/>
                      <w:kern w:val="0"/>
                      <w:sz w:val="18"/>
                      <w:szCs w:val="18"/>
                      <w:highlight w:val="none"/>
                      <w:lang w:bidi="zh-CN"/>
                    </w:rPr>
                    <w:t>“</w:t>
                  </w:r>
                  <w:r>
                    <w:rPr>
                      <w:bCs/>
                      <w:color w:val="000000"/>
                      <w:kern w:val="0"/>
                      <w:sz w:val="18"/>
                      <w:szCs w:val="18"/>
                      <w:highlight w:val="none"/>
                      <w:lang w:bidi="zh-CN"/>
                    </w:rPr>
                    <w:t>减量替代</w:t>
                  </w:r>
                  <w:r>
                    <w:rPr>
                      <w:rFonts w:hint="eastAsia"/>
                      <w:bCs/>
                      <w:color w:val="000000"/>
                      <w:kern w:val="0"/>
                      <w:sz w:val="18"/>
                      <w:szCs w:val="18"/>
                      <w:highlight w:val="none"/>
                      <w:lang w:bidi="zh-CN"/>
                    </w:rPr>
                    <w:t>”</w:t>
                  </w:r>
                  <w:r>
                    <w:rPr>
                      <w:bCs/>
                      <w:color w:val="000000"/>
                      <w:kern w:val="0"/>
                      <w:sz w:val="18"/>
                      <w:szCs w:val="18"/>
                      <w:highlight w:val="none"/>
                      <w:lang w:bidi="zh-CN"/>
                    </w:rPr>
                    <w:t>原则。</w:t>
                  </w:r>
                </w:p>
              </w:tc>
              <w:tc>
                <w:tcPr>
                  <w:tcW w:w="1790" w:type="pct"/>
                  <w:tcBorders>
                    <w:tl2br w:val="nil"/>
                    <w:tr2bl w:val="nil"/>
                  </w:tcBorders>
                  <w:vAlign w:val="center"/>
                </w:tcPr>
                <w:p w14:paraId="6ADF2B59">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符合，本项目符合《巴音郭楞蒙古自治州</w:t>
                  </w:r>
                  <w:r>
                    <w:rPr>
                      <w:rFonts w:hint="eastAsia"/>
                      <w:bCs/>
                      <w:color w:val="000000"/>
                      <w:kern w:val="0"/>
                      <w:sz w:val="18"/>
                      <w:szCs w:val="18"/>
                      <w:highlight w:val="none"/>
                      <w:lang w:bidi="zh-CN"/>
                    </w:rPr>
                    <w:t>“</w:t>
                  </w:r>
                  <w:r>
                    <w:rPr>
                      <w:bCs/>
                      <w:color w:val="000000"/>
                      <w:kern w:val="0"/>
                      <w:sz w:val="18"/>
                      <w:szCs w:val="18"/>
                      <w:highlight w:val="none"/>
                      <w:lang w:bidi="zh-CN"/>
                    </w:rPr>
                    <w:t>三线一单</w:t>
                  </w:r>
                  <w:r>
                    <w:rPr>
                      <w:rFonts w:hint="eastAsia"/>
                      <w:bCs/>
                      <w:color w:val="000000"/>
                      <w:kern w:val="0"/>
                      <w:sz w:val="18"/>
                      <w:szCs w:val="18"/>
                      <w:highlight w:val="none"/>
                      <w:lang w:bidi="zh-CN"/>
                    </w:rPr>
                    <w:t>”</w:t>
                  </w:r>
                  <w:r>
                    <w:rPr>
                      <w:bCs/>
                      <w:color w:val="000000"/>
                      <w:kern w:val="0"/>
                      <w:sz w:val="18"/>
                      <w:szCs w:val="18"/>
                      <w:highlight w:val="none"/>
                      <w:lang w:bidi="zh-CN"/>
                    </w:rPr>
                    <w:t>生态环境分区管控动态更新成果（2023年）》（巴政办发〔2024〕32号）中的环境管控要求。</w:t>
                  </w:r>
                </w:p>
              </w:tc>
            </w:tr>
            <w:tr w14:paraId="4944C1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1A71C875">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1A23FF7B">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720CD664">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2.1-3〕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tc>
              <w:tc>
                <w:tcPr>
                  <w:tcW w:w="1790" w:type="pct"/>
                  <w:tcBorders>
                    <w:tl2br w:val="nil"/>
                    <w:tr2bl w:val="nil"/>
                  </w:tcBorders>
                  <w:vAlign w:val="center"/>
                </w:tcPr>
                <w:p w14:paraId="7189A9D2">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符合，本项目不涉及。</w:t>
                  </w:r>
                </w:p>
              </w:tc>
            </w:tr>
            <w:tr w14:paraId="1E9708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6DD02C1C">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restart"/>
                  <w:tcBorders>
                    <w:tl2br w:val="nil"/>
                    <w:tr2bl w:val="nil"/>
                  </w:tcBorders>
                  <w:vAlign w:val="center"/>
                </w:tcPr>
                <w:p w14:paraId="663922E8">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A2.2污染控制措施要求</w:t>
                  </w:r>
                </w:p>
              </w:tc>
              <w:tc>
                <w:tcPr>
                  <w:tcW w:w="2543" w:type="pct"/>
                  <w:tcBorders>
                    <w:tl2br w:val="nil"/>
                    <w:tr2bl w:val="nil"/>
                  </w:tcBorders>
                  <w:vAlign w:val="center"/>
                </w:tcPr>
                <w:p w14:paraId="38FD1E7C">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2.2-1〕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1790" w:type="pct"/>
                  <w:tcBorders>
                    <w:tl2br w:val="nil"/>
                    <w:tr2bl w:val="nil"/>
                  </w:tcBorders>
                  <w:vAlign w:val="center"/>
                </w:tcPr>
                <w:p w14:paraId="61874CB8">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符合，本项目不属于重点行业。</w:t>
                  </w:r>
                </w:p>
              </w:tc>
            </w:tr>
            <w:tr w14:paraId="3D1BF1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2323B406">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2BBE15EF">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365C3DCD">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2.2-2〕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石、耐火材料、金属冶炼以及煤化工、石油化工等行业，严格控制物料储存、输送及生产工艺过程无组织排放。重点涉气排放企业逐步取消烟气旁路，因安全生产无法取消的，安装在线监控系统。</w:t>
                  </w:r>
                </w:p>
              </w:tc>
              <w:tc>
                <w:tcPr>
                  <w:tcW w:w="1790" w:type="pct"/>
                  <w:tcBorders>
                    <w:tl2br w:val="nil"/>
                    <w:tr2bl w:val="nil"/>
                  </w:tcBorders>
                  <w:vAlign w:val="center"/>
                </w:tcPr>
                <w:p w14:paraId="0BBBC25C">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符合，本项目不属于重点行业。</w:t>
                  </w:r>
                </w:p>
              </w:tc>
            </w:tr>
            <w:tr w14:paraId="7814B5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740F9068">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1423D73A">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3E047FD9">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2.2-3〕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大宗货物</w:t>
                  </w:r>
                  <w:r>
                    <w:rPr>
                      <w:rFonts w:hint="eastAsia"/>
                      <w:bCs/>
                      <w:color w:val="000000"/>
                      <w:kern w:val="0"/>
                      <w:sz w:val="18"/>
                      <w:szCs w:val="18"/>
                      <w:highlight w:val="none"/>
                      <w:lang w:bidi="zh-CN"/>
                    </w:rPr>
                    <w:t>“</w:t>
                  </w:r>
                  <w:r>
                    <w:rPr>
                      <w:bCs/>
                      <w:color w:val="000000"/>
                      <w:kern w:val="0"/>
                      <w:sz w:val="18"/>
                      <w:szCs w:val="18"/>
                      <w:highlight w:val="none"/>
                      <w:lang w:bidi="zh-CN"/>
                    </w:rPr>
                    <w:t>公转铁</w:t>
                  </w:r>
                  <w:r>
                    <w:rPr>
                      <w:rFonts w:hint="eastAsia"/>
                      <w:bCs/>
                      <w:color w:val="000000"/>
                      <w:kern w:val="0"/>
                      <w:sz w:val="18"/>
                      <w:szCs w:val="18"/>
                      <w:highlight w:val="none"/>
                      <w:lang w:bidi="zh-CN"/>
                    </w:rPr>
                    <w:t>”</w:t>
                  </w:r>
                  <w:r>
                    <w:rPr>
                      <w:bCs/>
                      <w:color w:val="000000"/>
                      <w:kern w:val="0"/>
                      <w:sz w:val="18"/>
                      <w:szCs w:val="18"/>
                      <w:highlight w:val="none"/>
                      <w:lang w:bidi="zh-CN"/>
                    </w:rPr>
                    <w:t>）、柴油货车治理、锅炉炉窑综合治理等工程项目。全面推行绿色施工，持续推动城市建成区重污染企业搬迁或关闭退出。</w:t>
                  </w:r>
                </w:p>
              </w:tc>
              <w:tc>
                <w:tcPr>
                  <w:tcW w:w="1790" w:type="pct"/>
                  <w:tcBorders>
                    <w:tl2br w:val="nil"/>
                    <w:tr2bl w:val="nil"/>
                  </w:tcBorders>
                  <w:vAlign w:val="center"/>
                </w:tcPr>
                <w:p w14:paraId="4DA96F03">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符合，本项目不涉及。</w:t>
                  </w:r>
                </w:p>
              </w:tc>
            </w:tr>
            <w:tr w14:paraId="31E9A2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4D7E5A25">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0355217A">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73F1E53D">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〔A2.2-4〕强化用水定额管理。推进地下水超采综合治理。开展河湖生态流量（水量）确定工作，强化生态用水保障。</w:t>
                  </w:r>
                </w:p>
              </w:tc>
              <w:tc>
                <w:tcPr>
                  <w:tcW w:w="1790" w:type="pct"/>
                  <w:tcBorders>
                    <w:tl2br w:val="nil"/>
                    <w:tr2bl w:val="nil"/>
                  </w:tcBorders>
                  <w:vAlign w:val="center"/>
                </w:tcPr>
                <w:p w14:paraId="21F43D8A">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符合，本项目不开采地下水。</w:t>
                  </w:r>
                </w:p>
              </w:tc>
            </w:tr>
            <w:tr w14:paraId="547DE3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6B0F2AF5">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3FEFEA5F">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71FF119B">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2.2-5〕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tc>
              <w:tc>
                <w:tcPr>
                  <w:tcW w:w="1790" w:type="pct"/>
                  <w:tcBorders>
                    <w:tl2br w:val="nil"/>
                    <w:tr2bl w:val="nil"/>
                  </w:tcBorders>
                  <w:vAlign w:val="center"/>
                </w:tcPr>
                <w:p w14:paraId="61535201">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符合，本项目产生的生活污水采用隔油池+一体化污水处理设施、</w:t>
                  </w:r>
                  <w:r>
                    <w:rPr>
                      <w:rFonts w:hint="eastAsia"/>
                      <w:bCs/>
                      <w:color w:val="000000"/>
                      <w:kern w:val="0"/>
                      <w:sz w:val="18"/>
                      <w:szCs w:val="18"/>
                      <w:highlight w:val="none"/>
                      <w:lang w:bidi="zh-CN"/>
                    </w:rPr>
                    <w:t>集水池</w:t>
                  </w:r>
                  <w:r>
                    <w:rPr>
                      <w:bCs/>
                      <w:color w:val="000000"/>
                      <w:kern w:val="0"/>
                      <w:sz w:val="18"/>
                      <w:szCs w:val="18"/>
                      <w:highlight w:val="none"/>
                      <w:lang w:bidi="zh-CN"/>
                    </w:rPr>
                    <w:t>40m</w:t>
                  </w:r>
                  <w:r>
                    <w:rPr>
                      <w:bCs/>
                      <w:color w:val="000000"/>
                      <w:kern w:val="0"/>
                      <w:sz w:val="18"/>
                      <w:szCs w:val="18"/>
                      <w:highlight w:val="none"/>
                      <w:vertAlign w:val="superscript"/>
                      <w:lang w:bidi="zh-CN"/>
                    </w:rPr>
                    <w:t>3</w:t>
                  </w:r>
                  <w:r>
                    <w:rPr>
                      <w:bCs/>
                      <w:color w:val="000000"/>
                      <w:kern w:val="0"/>
                      <w:sz w:val="18"/>
                      <w:szCs w:val="18"/>
                      <w:highlight w:val="none"/>
                      <w:lang w:bidi="zh-CN"/>
                    </w:rPr>
                    <w:t>（冬储夏灌）。</w:t>
                  </w:r>
                </w:p>
              </w:tc>
            </w:tr>
            <w:tr w14:paraId="0E249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7C88D31B">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vMerge w:val="continue"/>
                  <w:tcBorders>
                    <w:tl2br w:val="nil"/>
                    <w:tr2bl w:val="nil"/>
                  </w:tcBorders>
                  <w:vAlign w:val="center"/>
                </w:tcPr>
                <w:p w14:paraId="2817AEF7">
                  <w:pPr>
                    <w:keepNext/>
                    <w:widowControl/>
                    <w:shd w:val="clear"/>
                    <w:topLinePunct/>
                    <w:spacing w:line="240" w:lineRule="auto"/>
                    <w:ind w:firstLine="0" w:firstLineChars="0"/>
                    <w:jc w:val="center"/>
                    <w:rPr>
                      <w:bCs/>
                      <w:color w:val="000000"/>
                      <w:kern w:val="0"/>
                      <w:sz w:val="18"/>
                      <w:szCs w:val="18"/>
                      <w:highlight w:val="none"/>
                      <w:lang w:bidi="zh-CN"/>
                    </w:rPr>
                  </w:pPr>
                </w:p>
              </w:tc>
              <w:tc>
                <w:tcPr>
                  <w:tcW w:w="2543" w:type="pct"/>
                  <w:tcBorders>
                    <w:tl2br w:val="nil"/>
                    <w:tr2bl w:val="nil"/>
                  </w:tcBorders>
                  <w:vAlign w:val="center"/>
                </w:tcPr>
                <w:p w14:paraId="2FA012D2">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2.2-6〕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790" w:type="pct"/>
                  <w:tcBorders>
                    <w:tl2br w:val="nil"/>
                    <w:tr2bl w:val="nil"/>
                  </w:tcBorders>
                  <w:vAlign w:val="center"/>
                </w:tcPr>
                <w:p w14:paraId="2AFEDB01">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符合，本项目产生的生活污水采用隔油池+一体化污水处理设施、</w:t>
                  </w:r>
                  <w:r>
                    <w:rPr>
                      <w:rFonts w:hint="eastAsia"/>
                      <w:bCs/>
                      <w:color w:val="000000"/>
                      <w:kern w:val="0"/>
                      <w:sz w:val="18"/>
                      <w:szCs w:val="18"/>
                      <w:highlight w:val="none"/>
                      <w:lang w:bidi="zh-CN"/>
                    </w:rPr>
                    <w:t>集水池</w:t>
                  </w:r>
                  <w:r>
                    <w:rPr>
                      <w:bCs/>
                      <w:color w:val="000000"/>
                      <w:kern w:val="0"/>
                      <w:sz w:val="18"/>
                      <w:szCs w:val="18"/>
                      <w:highlight w:val="none"/>
                      <w:lang w:bidi="zh-CN"/>
                    </w:rPr>
                    <w:t>40m</w:t>
                  </w:r>
                  <w:r>
                    <w:rPr>
                      <w:bCs/>
                      <w:color w:val="000000"/>
                      <w:kern w:val="0"/>
                      <w:sz w:val="18"/>
                      <w:szCs w:val="18"/>
                      <w:highlight w:val="none"/>
                      <w:vertAlign w:val="superscript"/>
                      <w:lang w:bidi="zh-CN"/>
                    </w:rPr>
                    <w:t>3</w:t>
                  </w:r>
                  <w:r>
                    <w:rPr>
                      <w:bCs/>
                      <w:color w:val="000000"/>
                      <w:kern w:val="0"/>
                      <w:sz w:val="18"/>
                      <w:szCs w:val="18"/>
                      <w:highlight w:val="none"/>
                      <w:lang w:bidi="zh-CN"/>
                    </w:rPr>
                    <w:t>（冬储夏灌）。</w:t>
                  </w:r>
                </w:p>
              </w:tc>
            </w:tr>
            <w:tr w14:paraId="647F15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tcBorders>
                    <w:tl2br w:val="nil"/>
                    <w:tr2bl w:val="nil"/>
                  </w:tcBorders>
                  <w:vAlign w:val="center"/>
                </w:tcPr>
                <w:p w14:paraId="2BF28B6D">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A3环境风险防控</w:t>
                  </w:r>
                </w:p>
              </w:tc>
              <w:tc>
                <w:tcPr>
                  <w:tcW w:w="400" w:type="pct"/>
                  <w:tcBorders>
                    <w:tl2br w:val="nil"/>
                    <w:tr2bl w:val="nil"/>
                  </w:tcBorders>
                  <w:vAlign w:val="center"/>
                </w:tcPr>
                <w:p w14:paraId="12DB9D35">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A3.1人居环境要求</w:t>
                  </w:r>
                </w:p>
              </w:tc>
              <w:tc>
                <w:tcPr>
                  <w:tcW w:w="2543" w:type="pct"/>
                  <w:tcBorders>
                    <w:tl2br w:val="nil"/>
                    <w:tr2bl w:val="nil"/>
                  </w:tcBorders>
                  <w:vAlign w:val="center"/>
                </w:tcPr>
                <w:p w14:paraId="0E2AAE1C">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3.2-5〕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790" w:type="pct"/>
                  <w:tcBorders>
                    <w:tl2br w:val="nil"/>
                    <w:tr2bl w:val="nil"/>
                  </w:tcBorders>
                  <w:vAlign w:val="center"/>
                </w:tcPr>
                <w:p w14:paraId="16660FF6">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符合，本项目建成后需编制突发环境事件应急预案。</w:t>
                  </w:r>
                </w:p>
              </w:tc>
            </w:tr>
            <w:tr w14:paraId="76DB83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restart"/>
                  <w:tcBorders>
                    <w:tl2br w:val="nil"/>
                    <w:tr2bl w:val="nil"/>
                  </w:tcBorders>
                  <w:vAlign w:val="center"/>
                </w:tcPr>
                <w:p w14:paraId="7A5B4943">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A4资源利用要求</w:t>
                  </w:r>
                </w:p>
              </w:tc>
              <w:tc>
                <w:tcPr>
                  <w:tcW w:w="400" w:type="pct"/>
                  <w:tcBorders>
                    <w:tl2br w:val="nil"/>
                    <w:tr2bl w:val="nil"/>
                  </w:tcBorders>
                  <w:vAlign w:val="center"/>
                </w:tcPr>
                <w:p w14:paraId="1B169637">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A4.1水资源</w:t>
                  </w:r>
                </w:p>
              </w:tc>
              <w:tc>
                <w:tcPr>
                  <w:tcW w:w="2543" w:type="pct"/>
                  <w:tcBorders>
                    <w:tl2br w:val="nil"/>
                    <w:tr2bl w:val="nil"/>
                  </w:tcBorders>
                  <w:vAlign w:val="center"/>
                </w:tcPr>
                <w:p w14:paraId="4C8D6DA8">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4.1-2〕加大城镇污水再生利用工程建设力度，推进区域再生水循环利用，到2025年，城市生活污水再生利用率力争达到60%。〔A4.1-3〕加强农村水利基础设施建设，推进农村供水保障工程，农村自来水普及率、集中供水率分别达到99.3%、99.7%。</w:t>
                  </w:r>
                </w:p>
              </w:tc>
              <w:tc>
                <w:tcPr>
                  <w:tcW w:w="1790" w:type="pct"/>
                  <w:tcBorders>
                    <w:tl2br w:val="nil"/>
                    <w:tr2bl w:val="nil"/>
                  </w:tcBorders>
                  <w:vAlign w:val="center"/>
                </w:tcPr>
                <w:p w14:paraId="68B4B047">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符合，本项目产生的生活污水采用隔油池+一体化污水处理设施、</w:t>
                  </w:r>
                  <w:r>
                    <w:rPr>
                      <w:rFonts w:hint="eastAsia"/>
                      <w:bCs/>
                      <w:color w:val="000000"/>
                      <w:kern w:val="0"/>
                      <w:sz w:val="18"/>
                      <w:szCs w:val="18"/>
                      <w:highlight w:val="none"/>
                      <w:lang w:bidi="zh-CN"/>
                    </w:rPr>
                    <w:t>集水池</w:t>
                  </w:r>
                  <w:r>
                    <w:rPr>
                      <w:bCs/>
                      <w:color w:val="000000"/>
                      <w:kern w:val="0"/>
                      <w:sz w:val="18"/>
                      <w:szCs w:val="18"/>
                      <w:highlight w:val="none"/>
                      <w:lang w:bidi="zh-CN"/>
                    </w:rPr>
                    <w:t>40m</w:t>
                  </w:r>
                  <w:r>
                    <w:rPr>
                      <w:bCs/>
                      <w:color w:val="000000"/>
                      <w:kern w:val="0"/>
                      <w:sz w:val="18"/>
                      <w:szCs w:val="18"/>
                      <w:highlight w:val="none"/>
                      <w:vertAlign w:val="superscript"/>
                      <w:lang w:bidi="zh-CN"/>
                    </w:rPr>
                    <w:t>3</w:t>
                  </w:r>
                  <w:r>
                    <w:rPr>
                      <w:bCs/>
                      <w:color w:val="000000"/>
                      <w:kern w:val="0"/>
                      <w:sz w:val="18"/>
                      <w:szCs w:val="18"/>
                      <w:highlight w:val="none"/>
                      <w:lang w:bidi="zh-CN"/>
                    </w:rPr>
                    <w:t>（冬储夏灌）。</w:t>
                  </w:r>
                </w:p>
              </w:tc>
            </w:tr>
            <w:tr w14:paraId="34F736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5E4B4C04">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tcBorders>
                    <w:tl2br w:val="nil"/>
                    <w:tr2bl w:val="nil"/>
                  </w:tcBorders>
                  <w:vAlign w:val="center"/>
                </w:tcPr>
                <w:p w14:paraId="09B02F5D">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A4.2土地资源</w:t>
                  </w:r>
                </w:p>
              </w:tc>
              <w:tc>
                <w:tcPr>
                  <w:tcW w:w="2543" w:type="pct"/>
                  <w:tcBorders>
                    <w:tl2br w:val="nil"/>
                    <w:tr2bl w:val="nil"/>
                  </w:tcBorders>
                  <w:vAlign w:val="center"/>
                </w:tcPr>
                <w:p w14:paraId="4715CA91">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〔A4.2-1〕土地资源上线指标控制在最终批复的国土空间规划控制指标内。</w:t>
                  </w:r>
                </w:p>
              </w:tc>
              <w:tc>
                <w:tcPr>
                  <w:tcW w:w="1790" w:type="pct"/>
                  <w:tcBorders>
                    <w:tl2br w:val="nil"/>
                    <w:tr2bl w:val="nil"/>
                  </w:tcBorders>
                  <w:vAlign w:val="center"/>
                </w:tcPr>
                <w:p w14:paraId="2A08F6F7">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符合，本项目已完成用地招牌挂。</w:t>
                  </w:r>
                </w:p>
              </w:tc>
            </w:tr>
            <w:tr w14:paraId="340EDC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0B0009DD">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tcBorders>
                    <w:tl2br w:val="nil"/>
                    <w:tr2bl w:val="nil"/>
                  </w:tcBorders>
                  <w:vAlign w:val="center"/>
                </w:tcPr>
                <w:p w14:paraId="1B870D66">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A4.4禁燃区要求</w:t>
                  </w:r>
                </w:p>
              </w:tc>
              <w:tc>
                <w:tcPr>
                  <w:tcW w:w="2543" w:type="pct"/>
                  <w:tcBorders>
                    <w:tl2br w:val="nil"/>
                    <w:tr2bl w:val="nil"/>
                  </w:tcBorders>
                  <w:vAlign w:val="center"/>
                </w:tcPr>
                <w:p w14:paraId="2719B8AE">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〔A4.4-1〕在禁燃区内，禁止销售、燃用高污染燃料；禁止新建、扩建燃用高污染燃料的设施。已建成的，应当在规定期限内改用清洁能源。</w:t>
                  </w:r>
                </w:p>
              </w:tc>
              <w:tc>
                <w:tcPr>
                  <w:tcW w:w="1790" w:type="pct"/>
                  <w:tcBorders>
                    <w:tl2br w:val="nil"/>
                    <w:tr2bl w:val="nil"/>
                  </w:tcBorders>
                  <w:vAlign w:val="center"/>
                </w:tcPr>
                <w:p w14:paraId="20CEAEA6">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符合，本项目不涉及。</w:t>
                  </w:r>
                </w:p>
              </w:tc>
            </w:tr>
            <w:tr w14:paraId="5AA368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65" w:type="pct"/>
                  <w:vMerge w:val="continue"/>
                  <w:tcBorders>
                    <w:tl2br w:val="nil"/>
                    <w:tr2bl w:val="nil"/>
                  </w:tcBorders>
                  <w:vAlign w:val="center"/>
                </w:tcPr>
                <w:p w14:paraId="391D2FC6">
                  <w:pPr>
                    <w:keepNext/>
                    <w:widowControl/>
                    <w:shd w:val="clear"/>
                    <w:topLinePunct/>
                    <w:spacing w:line="240" w:lineRule="auto"/>
                    <w:ind w:firstLine="0" w:firstLineChars="0"/>
                    <w:jc w:val="center"/>
                    <w:rPr>
                      <w:bCs/>
                      <w:color w:val="000000"/>
                      <w:kern w:val="0"/>
                      <w:sz w:val="18"/>
                      <w:szCs w:val="18"/>
                      <w:highlight w:val="none"/>
                      <w:lang w:bidi="zh-CN"/>
                    </w:rPr>
                  </w:pPr>
                </w:p>
              </w:tc>
              <w:tc>
                <w:tcPr>
                  <w:tcW w:w="400" w:type="pct"/>
                  <w:tcBorders>
                    <w:tl2br w:val="nil"/>
                    <w:tr2bl w:val="nil"/>
                  </w:tcBorders>
                  <w:vAlign w:val="center"/>
                </w:tcPr>
                <w:p w14:paraId="2FBE903A">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A4.5资源综合利用</w:t>
                  </w:r>
                </w:p>
              </w:tc>
              <w:tc>
                <w:tcPr>
                  <w:tcW w:w="2543" w:type="pct"/>
                  <w:tcBorders>
                    <w:tl2br w:val="nil"/>
                    <w:tr2bl w:val="nil"/>
                  </w:tcBorders>
                  <w:vAlign w:val="center"/>
                </w:tcPr>
                <w:p w14:paraId="3CAFDDFB">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A4.5-1〕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w:t>
                  </w:r>
                  <w:r>
                    <w:rPr>
                      <w:rFonts w:hint="eastAsia"/>
                      <w:bCs/>
                      <w:color w:val="000000"/>
                      <w:kern w:val="0"/>
                      <w:sz w:val="18"/>
                      <w:szCs w:val="18"/>
                      <w:highlight w:val="none"/>
                      <w:lang w:bidi="zh-CN"/>
                    </w:rPr>
                    <w:t>“</w:t>
                  </w:r>
                  <w:r>
                    <w:rPr>
                      <w:bCs/>
                      <w:color w:val="000000"/>
                      <w:kern w:val="0"/>
                      <w:sz w:val="18"/>
                      <w:szCs w:val="18"/>
                      <w:highlight w:val="none"/>
                      <w:lang w:bidi="zh-CN"/>
                    </w:rPr>
                    <w:t>逆向回收</w:t>
                  </w:r>
                  <w:r>
                    <w:rPr>
                      <w:rFonts w:hint="eastAsia"/>
                      <w:bCs/>
                      <w:color w:val="000000"/>
                      <w:kern w:val="0"/>
                      <w:sz w:val="18"/>
                      <w:szCs w:val="18"/>
                      <w:highlight w:val="none"/>
                      <w:lang w:bidi="zh-CN"/>
                    </w:rPr>
                    <w:t>”</w:t>
                  </w:r>
                  <w:r>
                    <w:rPr>
                      <w:bCs/>
                      <w:color w:val="000000"/>
                      <w:kern w:val="0"/>
                      <w:sz w:val="18"/>
                      <w:szCs w:val="18"/>
                      <w:highlight w:val="none"/>
                      <w:lang w:bidi="zh-CN"/>
                    </w:rPr>
                    <w:t>等模式。以尾矿和共伴生矿、煤矸石、炉渣、粉煤灰、脱硫石膏、冶炼渣、建筑垃圾等为重点，持续推进固体废物综合利用和环境整治，不断提高大宗固体废物资源化利用水平。推行生活垃圾分类，加快建设县（市）生活垃圾处理设施，到2025年，全疆城市生活垃圾无害化处理率达到99%以上。</w:t>
                  </w:r>
                </w:p>
              </w:tc>
              <w:tc>
                <w:tcPr>
                  <w:tcW w:w="1790" w:type="pct"/>
                  <w:tcBorders>
                    <w:tl2br w:val="nil"/>
                    <w:tr2bl w:val="nil"/>
                  </w:tcBorders>
                  <w:vAlign w:val="center"/>
                </w:tcPr>
                <w:p w14:paraId="41E3C904">
                  <w:pPr>
                    <w:keepNext/>
                    <w:widowControl/>
                    <w:shd w:val="clear"/>
                    <w:topLinePunct/>
                    <w:spacing w:line="240" w:lineRule="auto"/>
                    <w:ind w:firstLine="0" w:firstLineChars="0"/>
                    <w:jc w:val="center"/>
                    <w:rPr>
                      <w:bCs/>
                      <w:color w:val="000000"/>
                      <w:kern w:val="0"/>
                      <w:sz w:val="18"/>
                      <w:szCs w:val="18"/>
                      <w:highlight w:val="none"/>
                      <w:lang w:bidi="zh-CN"/>
                    </w:rPr>
                  </w:pPr>
                  <w:r>
                    <w:rPr>
                      <w:bCs/>
                      <w:color w:val="000000"/>
                      <w:kern w:val="0"/>
                      <w:sz w:val="18"/>
                      <w:szCs w:val="18"/>
                      <w:highlight w:val="none"/>
                      <w:lang w:bidi="zh-CN"/>
                    </w:rPr>
                    <w:t>符合，本项目废变压器油委托有资质单位处置；</w:t>
                  </w:r>
                  <w:r>
                    <w:rPr>
                      <w:rFonts w:hint="eastAsia"/>
                      <w:bCs/>
                      <w:color w:val="000000"/>
                      <w:kern w:val="0"/>
                      <w:sz w:val="18"/>
                      <w:szCs w:val="18"/>
                      <w:highlight w:val="none"/>
                      <w:lang w:val="en-US" w:bidi="zh-CN"/>
                    </w:rPr>
                    <w:t>废铅酸电池、</w:t>
                  </w:r>
                  <w:r>
                    <w:rPr>
                      <w:bCs/>
                      <w:color w:val="000000"/>
                      <w:kern w:val="0"/>
                      <w:sz w:val="18"/>
                      <w:szCs w:val="18"/>
                      <w:highlight w:val="none"/>
                      <w:lang w:bidi="zh-CN"/>
                    </w:rPr>
                    <w:t>含油抹布、手套属于危险废物集中收集至危险废物贮存库内</w:t>
                  </w:r>
                  <w:r>
                    <w:rPr>
                      <w:rFonts w:hint="eastAsia"/>
                      <w:bCs/>
                      <w:color w:val="000000"/>
                      <w:kern w:val="0"/>
                      <w:sz w:val="18"/>
                      <w:szCs w:val="18"/>
                      <w:highlight w:val="none"/>
                      <w:lang w:val="en-US" w:bidi="zh-CN"/>
                    </w:rPr>
                    <w:t>暂存</w:t>
                  </w:r>
                  <w:r>
                    <w:rPr>
                      <w:bCs/>
                      <w:color w:val="000000"/>
                      <w:kern w:val="0"/>
                      <w:sz w:val="18"/>
                      <w:szCs w:val="18"/>
                      <w:highlight w:val="none"/>
                      <w:lang w:bidi="zh-CN"/>
                    </w:rPr>
                    <w:t>，</w:t>
                  </w:r>
                  <w:r>
                    <w:rPr>
                      <w:rFonts w:hint="eastAsia"/>
                      <w:bCs/>
                      <w:color w:val="000000"/>
                      <w:kern w:val="0"/>
                      <w:sz w:val="18"/>
                      <w:szCs w:val="18"/>
                      <w:highlight w:val="none"/>
                      <w:lang w:val="en-US" w:bidi="zh-CN"/>
                    </w:rPr>
                    <w:t>及时</w:t>
                  </w:r>
                  <w:r>
                    <w:rPr>
                      <w:bCs/>
                      <w:color w:val="000000"/>
                      <w:kern w:val="0"/>
                      <w:sz w:val="18"/>
                      <w:szCs w:val="18"/>
                      <w:highlight w:val="none"/>
                      <w:lang w:bidi="zh-CN"/>
                    </w:rPr>
                    <w:t>交由有资质单位进行处置</w:t>
                  </w:r>
                  <w:r>
                    <w:rPr>
                      <w:rFonts w:hint="eastAsia"/>
                      <w:bCs/>
                      <w:color w:val="000000"/>
                      <w:kern w:val="0"/>
                      <w:sz w:val="18"/>
                      <w:szCs w:val="18"/>
                      <w:highlight w:val="none"/>
                      <w:lang w:bidi="zh-CN"/>
                    </w:rPr>
                    <w:t>；</w:t>
                  </w:r>
                  <w:r>
                    <w:rPr>
                      <w:rFonts w:hint="eastAsia"/>
                      <w:bCs/>
                      <w:color w:val="000000"/>
                      <w:kern w:val="0"/>
                      <w:sz w:val="18"/>
                      <w:szCs w:val="18"/>
                      <w:highlight w:val="none"/>
                      <w:lang w:val="en-US" w:eastAsia="zh-CN" w:bidi="zh-CN"/>
                    </w:rPr>
                    <w:t>废润滑油、废油桶集中收集至危险废物贮存库内暂存，及时交由有资质单位进行处置。</w:t>
                  </w:r>
                </w:p>
              </w:tc>
            </w:tr>
          </w:tbl>
          <w:p w14:paraId="49E66277">
            <w:pPr>
              <w:pStyle w:val="111"/>
              <w:shd w:val="clear"/>
              <w:ind w:firstLine="480"/>
              <w:rPr>
                <w:color w:val="000000"/>
                <w:highlight w:val="none"/>
              </w:rPr>
            </w:pPr>
            <w:r>
              <w:rPr>
                <w:color w:val="000000"/>
                <w:highlight w:val="none"/>
              </w:rPr>
              <w:t>综上所述，本项目符合《新疆维吾尔自治区生态环境分区管控动态更新成果》（新政发〔2024〕157号）管控要求。</w:t>
            </w:r>
          </w:p>
          <w:p w14:paraId="265C440D">
            <w:pPr>
              <w:pStyle w:val="111"/>
              <w:shd w:val="clear"/>
              <w:ind w:firstLine="480"/>
              <w:rPr>
                <w:color w:val="000000"/>
                <w:highlight w:val="none"/>
              </w:rPr>
            </w:pPr>
            <w:r>
              <w:rPr>
                <w:color w:val="000000"/>
                <w:highlight w:val="none"/>
              </w:rPr>
              <w:t>本项目与《巴音郭楞蒙古自治州</w:t>
            </w:r>
            <w:r>
              <w:rPr>
                <w:rFonts w:hint="eastAsia"/>
                <w:color w:val="000000"/>
                <w:highlight w:val="none"/>
                <w:lang w:eastAsia="zh-CN"/>
              </w:rPr>
              <w:t>“</w:t>
            </w:r>
            <w:r>
              <w:rPr>
                <w:color w:val="000000"/>
                <w:highlight w:val="none"/>
              </w:rPr>
              <w:t>三线一单</w:t>
            </w:r>
            <w:r>
              <w:rPr>
                <w:rFonts w:hint="eastAsia"/>
                <w:color w:val="000000"/>
                <w:highlight w:val="none"/>
                <w:lang w:eastAsia="zh-CN"/>
              </w:rPr>
              <w:t>”</w:t>
            </w:r>
            <w:r>
              <w:rPr>
                <w:color w:val="000000"/>
                <w:highlight w:val="none"/>
              </w:rPr>
              <w:t>生态环境分区管控动态更新成果（2023年）》（巴政办发〔2024〕32号）表1-3。项目与巴音郭楞蒙古自治州</w:t>
            </w:r>
            <w:r>
              <w:rPr>
                <w:rFonts w:hint="eastAsia"/>
                <w:color w:val="000000"/>
                <w:highlight w:val="none"/>
                <w:lang w:eastAsia="zh-CN"/>
              </w:rPr>
              <w:t>“</w:t>
            </w:r>
            <w:r>
              <w:rPr>
                <w:color w:val="000000"/>
                <w:highlight w:val="none"/>
              </w:rPr>
              <w:t>三线一单</w:t>
            </w:r>
            <w:r>
              <w:rPr>
                <w:rFonts w:hint="eastAsia"/>
                <w:color w:val="000000"/>
                <w:highlight w:val="none"/>
                <w:lang w:eastAsia="zh-CN"/>
              </w:rPr>
              <w:t>”</w:t>
            </w:r>
            <w:r>
              <w:rPr>
                <w:color w:val="000000"/>
                <w:highlight w:val="none"/>
              </w:rPr>
              <w:t>生态环境分区管控方案位置关系图见附图2。</w:t>
            </w:r>
          </w:p>
          <w:p w14:paraId="3CAB71E0">
            <w:pPr>
              <w:shd w:val="clear"/>
              <w:adjustRightInd/>
              <w:snapToGrid/>
              <w:spacing w:line="240" w:lineRule="auto"/>
              <w:ind w:firstLine="0" w:firstLineChars="0"/>
              <w:jc w:val="center"/>
              <w:rPr>
                <w:b/>
                <w:color w:val="000000"/>
                <w:szCs w:val="21"/>
                <w:highlight w:val="none"/>
              </w:rPr>
            </w:pPr>
            <w:r>
              <w:rPr>
                <w:b/>
                <w:color w:val="000000"/>
                <w:szCs w:val="21"/>
                <w:highlight w:val="none"/>
              </w:rPr>
              <w:t>表1-</w:t>
            </w:r>
            <w:r>
              <w:rPr>
                <w:rFonts w:hint="eastAsia"/>
                <w:b/>
                <w:color w:val="000000"/>
                <w:szCs w:val="21"/>
                <w:highlight w:val="none"/>
              </w:rPr>
              <w:t>3</w:t>
            </w:r>
            <w:r>
              <w:rPr>
                <w:b/>
                <w:color w:val="000000"/>
                <w:szCs w:val="21"/>
                <w:highlight w:val="none"/>
              </w:rPr>
              <w:t xml:space="preserve"> 与自治州生态环境分区管控方案符合分析</w:t>
            </w:r>
          </w:p>
          <w:tbl>
            <w:tblPr>
              <w:tblStyle w:val="33"/>
              <w:tblW w:w="49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97"/>
              <w:gridCol w:w="777"/>
              <w:gridCol w:w="2338"/>
              <w:gridCol w:w="2301"/>
              <w:gridCol w:w="525"/>
            </w:tblGrid>
            <w:tr w14:paraId="7E2080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183C7F56">
                  <w:pPr>
                    <w:widowControl/>
                    <w:shd w:val="clear"/>
                    <w:adjustRightInd/>
                    <w:snapToGrid/>
                    <w:spacing w:line="240" w:lineRule="auto"/>
                    <w:ind w:firstLine="0" w:firstLineChars="0"/>
                    <w:jc w:val="center"/>
                    <w:textAlignment w:val="baseline"/>
                    <w:rPr>
                      <w:b/>
                      <w:bCs/>
                      <w:color w:val="000000"/>
                      <w:sz w:val="18"/>
                      <w:szCs w:val="18"/>
                      <w:highlight w:val="none"/>
                    </w:rPr>
                  </w:pPr>
                  <w:r>
                    <w:rPr>
                      <w:b/>
                      <w:bCs/>
                      <w:color w:val="000000"/>
                      <w:sz w:val="18"/>
                      <w:szCs w:val="18"/>
                      <w:highlight w:val="none"/>
                    </w:rPr>
                    <w:t>环境管控单元名称及编码</w:t>
                  </w:r>
                </w:p>
              </w:tc>
              <w:tc>
                <w:tcPr>
                  <w:tcW w:w="0" w:type="auto"/>
                  <w:gridSpan w:val="2"/>
                  <w:tcBorders>
                    <w:tl2br w:val="nil"/>
                    <w:tr2bl w:val="nil"/>
                  </w:tcBorders>
                  <w:vAlign w:val="center"/>
                </w:tcPr>
                <w:p w14:paraId="63EDBB5D">
                  <w:pPr>
                    <w:widowControl/>
                    <w:shd w:val="clear"/>
                    <w:adjustRightInd/>
                    <w:snapToGrid/>
                    <w:spacing w:line="240" w:lineRule="auto"/>
                    <w:ind w:firstLine="0" w:firstLineChars="0"/>
                    <w:jc w:val="center"/>
                    <w:textAlignment w:val="baseline"/>
                    <w:rPr>
                      <w:b/>
                      <w:bCs/>
                      <w:color w:val="000000"/>
                      <w:sz w:val="18"/>
                      <w:szCs w:val="18"/>
                      <w:highlight w:val="none"/>
                    </w:rPr>
                  </w:pPr>
                  <w:r>
                    <w:rPr>
                      <w:rFonts w:hint="eastAsia"/>
                      <w:b/>
                      <w:bCs/>
                      <w:color w:val="000000"/>
                      <w:sz w:val="18"/>
                      <w:szCs w:val="18"/>
                      <w:highlight w:val="none"/>
                      <w:lang w:eastAsia="zh-CN"/>
                    </w:rPr>
                    <w:t>“</w:t>
                  </w:r>
                  <w:r>
                    <w:rPr>
                      <w:b/>
                      <w:bCs/>
                      <w:color w:val="000000"/>
                      <w:sz w:val="18"/>
                      <w:szCs w:val="18"/>
                      <w:highlight w:val="none"/>
                    </w:rPr>
                    <w:t>三线一单</w:t>
                  </w:r>
                  <w:r>
                    <w:rPr>
                      <w:rFonts w:hint="eastAsia"/>
                      <w:b/>
                      <w:bCs/>
                      <w:color w:val="000000"/>
                      <w:sz w:val="18"/>
                      <w:szCs w:val="18"/>
                      <w:highlight w:val="none"/>
                      <w:lang w:eastAsia="zh-CN"/>
                    </w:rPr>
                    <w:t>”</w:t>
                  </w:r>
                  <w:r>
                    <w:rPr>
                      <w:b/>
                      <w:bCs/>
                      <w:color w:val="000000"/>
                      <w:sz w:val="18"/>
                      <w:szCs w:val="18"/>
                      <w:highlight w:val="none"/>
                    </w:rPr>
                    <w:t>要求</w:t>
                  </w:r>
                </w:p>
              </w:tc>
              <w:tc>
                <w:tcPr>
                  <w:tcW w:w="0" w:type="auto"/>
                  <w:tcBorders>
                    <w:tl2br w:val="nil"/>
                    <w:tr2bl w:val="nil"/>
                  </w:tcBorders>
                  <w:vAlign w:val="center"/>
                </w:tcPr>
                <w:p w14:paraId="3239D6AC">
                  <w:pPr>
                    <w:widowControl/>
                    <w:shd w:val="clear"/>
                    <w:adjustRightInd/>
                    <w:snapToGrid/>
                    <w:spacing w:line="240" w:lineRule="auto"/>
                    <w:ind w:firstLine="0" w:firstLineChars="0"/>
                    <w:jc w:val="center"/>
                    <w:textAlignment w:val="baseline"/>
                    <w:rPr>
                      <w:b/>
                      <w:bCs/>
                      <w:color w:val="000000"/>
                      <w:sz w:val="18"/>
                      <w:szCs w:val="18"/>
                      <w:highlight w:val="none"/>
                    </w:rPr>
                  </w:pPr>
                  <w:r>
                    <w:rPr>
                      <w:b/>
                      <w:bCs/>
                      <w:color w:val="000000"/>
                      <w:sz w:val="18"/>
                      <w:szCs w:val="18"/>
                      <w:highlight w:val="none"/>
                    </w:rPr>
                    <w:t>本项目</w:t>
                  </w:r>
                </w:p>
              </w:tc>
              <w:tc>
                <w:tcPr>
                  <w:tcW w:w="0" w:type="auto"/>
                  <w:tcBorders>
                    <w:tl2br w:val="nil"/>
                    <w:tr2bl w:val="nil"/>
                  </w:tcBorders>
                  <w:vAlign w:val="center"/>
                </w:tcPr>
                <w:p w14:paraId="6FED4FEF">
                  <w:pPr>
                    <w:widowControl/>
                    <w:shd w:val="clear"/>
                    <w:adjustRightInd/>
                    <w:snapToGrid/>
                    <w:spacing w:line="240" w:lineRule="auto"/>
                    <w:ind w:firstLine="0" w:firstLineChars="0"/>
                    <w:jc w:val="center"/>
                    <w:textAlignment w:val="baseline"/>
                    <w:rPr>
                      <w:b/>
                      <w:bCs/>
                      <w:color w:val="000000"/>
                      <w:sz w:val="18"/>
                      <w:szCs w:val="18"/>
                      <w:highlight w:val="none"/>
                    </w:rPr>
                  </w:pPr>
                  <w:r>
                    <w:rPr>
                      <w:b/>
                      <w:bCs/>
                      <w:color w:val="000000"/>
                      <w:sz w:val="18"/>
                      <w:szCs w:val="18"/>
                      <w:highlight w:val="none"/>
                    </w:rPr>
                    <w:t>符合性</w:t>
                  </w:r>
                </w:p>
              </w:tc>
            </w:tr>
            <w:tr w14:paraId="383269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3FF4782F">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尉犁县一般</w:t>
                  </w:r>
                </w:p>
                <w:p w14:paraId="20B3841C">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管控单元（ZH6528233</w:t>
                  </w:r>
                </w:p>
                <w:p w14:paraId="21DFE244">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0001</w:t>
                  </w:r>
                  <w:r>
                    <w:rPr>
                      <w:rFonts w:hint="eastAsia"/>
                      <w:color w:val="000000"/>
                      <w:sz w:val="18"/>
                      <w:szCs w:val="18"/>
                      <w:highlight w:val="none"/>
                      <w:lang w:eastAsia="zh-CN"/>
                    </w:rPr>
                    <w:t>)</w:t>
                  </w:r>
                </w:p>
              </w:tc>
              <w:tc>
                <w:tcPr>
                  <w:tcW w:w="0" w:type="auto"/>
                  <w:tcBorders>
                    <w:tl2br w:val="nil"/>
                    <w:tr2bl w:val="nil"/>
                  </w:tcBorders>
                  <w:vAlign w:val="center"/>
                </w:tcPr>
                <w:p w14:paraId="24F8181B">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空间布局约束</w:t>
                  </w:r>
                </w:p>
              </w:tc>
              <w:tc>
                <w:tcPr>
                  <w:tcW w:w="0" w:type="auto"/>
                  <w:tcBorders>
                    <w:tl2br w:val="nil"/>
                    <w:tr2bl w:val="nil"/>
                  </w:tcBorders>
                  <w:vAlign w:val="center"/>
                </w:tcPr>
                <w:p w14:paraId="5CC18FA2">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1.执行总体管控要求中关于一般管控单元的空间布局约束准入要求。</w:t>
                  </w:r>
                </w:p>
              </w:tc>
              <w:tc>
                <w:tcPr>
                  <w:tcW w:w="0" w:type="auto"/>
                  <w:tcBorders>
                    <w:tl2br w:val="nil"/>
                    <w:tr2bl w:val="nil"/>
                  </w:tcBorders>
                  <w:vAlign w:val="center"/>
                </w:tcPr>
                <w:p w14:paraId="08B0332A">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本项目符合总体管控要求中关于一般管控单元的空间布局约束准入要求</w:t>
                  </w:r>
                </w:p>
              </w:tc>
              <w:tc>
                <w:tcPr>
                  <w:tcW w:w="0" w:type="auto"/>
                  <w:tcBorders>
                    <w:tl2br w:val="nil"/>
                    <w:tr2bl w:val="nil"/>
                  </w:tcBorders>
                  <w:vAlign w:val="center"/>
                </w:tcPr>
                <w:p w14:paraId="6AA788A7">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符合</w:t>
                  </w:r>
                </w:p>
              </w:tc>
            </w:tr>
            <w:tr w14:paraId="1D6BCB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1167B39">
                  <w:pPr>
                    <w:widowControl/>
                    <w:shd w:val="clear"/>
                    <w:adjustRightInd/>
                    <w:snapToGrid/>
                    <w:spacing w:line="240" w:lineRule="auto"/>
                    <w:ind w:firstLine="0" w:firstLineChars="0"/>
                    <w:jc w:val="center"/>
                    <w:textAlignment w:val="baseline"/>
                    <w:rPr>
                      <w:color w:val="000000"/>
                      <w:sz w:val="18"/>
                      <w:szCs w:val="18"/>
                      <w:highlight w:val="none"/>
                    </w:rPr>
                  </w:pPr>
                </w:p>
              </w:tc>
              <w:tc>
                <w:tcPr>
                  <w:tcW w:w="0" w:type="auto"/>
                  <w:tcBorders>
                    <w:tl2br w:val="nil"/>
                    <w:tr2bl w:val="nil"/>
                  </w:tcBorders>
                  <w:vAlign w:val="center"/>
                </w:tcPr>
                <w:p w14:paraId="5681F02E">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污染物排放管控</w:t>
                  </w:r>
                </w:p>
              </w:tc>
              <w:tc>
                <w:tcPr>
                  <w:tcW w:w="0" w:type="auto"/>
                  <w:tcBorders>
                    <w:tl2br w:val="nil"/>
                    <w:tr2bl w:val="nil"/>
                  </w:tcBorders>
                  <w:vAlign w:val="center"/>
                </w:tcPr>
                <w:p w14:paraId="51E7F093">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 xml:space="preserve">1.执行总体管控要求中关于一般管控单元的污染物排放管控要求。 </w:t>
                  </w:r>
                </w:p>
              </w:tc>
              <w:tc>
                <w:tcPr>
                  <w:tcW w:w="0" w:type="auto"/>
                  <w:tcBorders>
                    <w:tl2br w:val="nil"/>
                    <w:tr2bl w:val="nil"/>
                  </w:tcBorders>
                  <w:vAlign w:val="center"/>
                </w:tcPr>
                <w:p w14:paraId="4A0510DE">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本项目符合总体管控要求中关于一般管控单元的污染物排放管控要求</w:t>
                  </w:r>
                </w:p>
              </w:tc>
              <w:tc>
                <w:tcPr>
                  <w:tcW w:w="0" w:type="auto"/>
                  <w:tcBorders>
                    <w:tl2br w:val="nil"/>
                    <w:tr2bl w:val="nil"/>
                  </w:tcBorders>
                  <w:vAlign w:val="center"/>
                </w:tcPr>
                <w:p w14:paraId="3F64E9D8">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符合</w:t>
                  </w:r>
                </w:p>
              </w:tc>
            </w:tr>
            <w:tr w14:paraId="1BB671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B5B70CC">
                  <w:pPr>
                    <w:widowControl/>
                    <w:shd w:val="clear"/>
                    <w:adjustRightInd/>
                    <w:snapToGrid/>
                    <w:spacing w:line="240" w:lineRule="auto"/>
                    <w:ind w:firstLine="0" w:firstLineChars="0"/>
                    <w:jc w:val="center"/>
                    <w:textAlignment w:val="baseline"/>
                    <w:rPr>
                      <w:color w:val="000000"/>
                      <w:sz w:val="18"/>
                      <w:szCs w:val="18"/>
                      <w:highlight w:val="none"/>
                    </w:rPr>
                  </w:pPr>
                </w:p>
              </w:tc>
              <w:tc>
                <w:tcPr>
                  <w:tcW w:w="0" w:type="auto"/>
                  <w:tcBorders>
                    <w:tl2br w:val="nil"/>
                    <w:tr2bl w:val="nil"/>
                  </w:tcBorders>
                  <w:vAlign w:val="center"/>
                </w:tcPr>
                <w:p w14:paraId="0E031F79">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环境风险</w:t>
                  </w:r>
                </w:p>
                <w:p w14:paraId="28DB24DF">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防控</w:t>
                  </w:r>
                </w:p>
              </w:tc>
              <w:tc>
                <w:tcPr>
                  <w:tcW w:w="0" w:type="auto"/>
                  <w:tcBorders>
                    <w:tl2br w:val="nil"/>
                    <w:tr2bl w:val="nil"/>
                  </w:tcBorders>
                  <w:vAlign w:val="center"/>
                </w:tcPr>
                <w:p w14:paraId="7A225686">
                  <w:pPr>
                    <w:shd w:val="clear"/>
                    <w:adjustRightInd/>
                    <w:snapToGrid/>
                    <w:spacing w:line="240" w:lineRule="auto"/>
                    <w:ind w:firstLine="0" w:firstLineChars="0"/>
                    <w:jc w:val="center"/>
                    <w:rPr>
                      <w:color w:val="000000"/>
                      <w:kern w:val="0"/>
                      <w:sz w:val="18"/>
                      <w:szCs w:val="18"/>
                      <w:highlight w:val="none"/>
                    </w:rPr>
                  </w:pPr>
                  <w:r>
                    <w:rPr>
                      <w:color w:val="000000"/>
                      <w:kern w:val="0"/>
                      <w:sz w:val="18"/>
                      <w:szCs w:val="18"/>
                      <w:highlight w:val="none"/>
                    </w:rPr>
                    <w:t>1.执行总体管控要求中关于一般管控单元的环境风险防控要求。</w:t>
                  </w:r>
                </w:p>
              </w:tc>
              <w:tc>
                <w:tcPr>
                  <w:tcW w:w="0" w:type="auto"/>
                  <w:tcBorders>
                    <w:tl2br w:val="nil"/>
                    <w:tr2bl w:val="nil"/>
                  </w:tcBorders>
                  <w:vAlign w:val="center"/>
                </w:tcPr>
                <w:p w14:paraId="125E58E1">
                  <w:pPr>
                    <w:shd w:val="clear"/>
                    <w:adjustRightInd/>
                    <w:snapToGrid/>
                    <w:spacing w:line="240" w:lineRule="auto"/>
                    <w:ind w:firstLine="0" w:firstLineChars="0"/>
                    <w:jc w:val="center"/>
                    <w:rPr>
                      <w:color w:val="000000"/>
                      <w:kern w:val="0"/>
                      <w:sz w:val="18"/>
                      <w:szCs w:val="18"/>
                      <w:highlight w:val="none"/>
                    </w:rPr>
                  </w:pPr>
                  <w:r>
                    <w:rPr>
                      <w:color w:val="000000"/>
                      <w:kern w:val="0"/>
                      <w:sz w:val="18"/>
                      <w:szCs w:val="18"/>
                      <w:highlight w:val="none"/>
                    </w:rPr>
                    <w:t>本项目符合总体管控要求中关于一般管控单元的环境风险防控要求</w:t>
                  </w:r>
                </w:p>
              </w:tc>
              <w:tc>
                <w:tcPr>
                  <w:tcW w:w="0" w:type="auto"/>
                  <w:tcBorders>
                    <w:tl2br w:val="nil"/>
                    <w:tr2bl w:val="nil"/>
                  </w:tcBorders>
                  <w:vAlign w:val="center"/>
                </w:tcPr>
                <w:p w14:paraId="48846F81">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符合</w:t>
                  </w:r>
                </w:p>
              </w:tc>
            </w:tr>
            <w:tr w14:paraId="27F528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12AE420">
                  <w:pPr>
                    <w:widowControl/>
                    <w:shd w:val="clear"/>
                    <w:adjustRightInd/>
                    <w:snapToGrid/>
                    <w:spacing w:line="240" w:lineRule="auto"/>
                    <w:ind w:firstLine="0" w:firstLineChars="0"/>
                    <w:jc w:val="center"/>
                    <w:textAlignment w:val="baseline"/>
                    <w:rPr>
                      <w:color w:val="000000"/>
                      <w:sz w:val="18"/>
                      <w:szCs w:val="18"/>
                      <w:highlight w:val="none"/>
                    </w:rPr>
                  </w:pPr>
                </w:p>
              </w:tc>
              <w:tc>
                <w:tcPr>
                  <w:tcW w:w="0" w:type="auto"/>
                  <w:tcBorders>
                    <w:tl2br w:val="nil"/>
                    <w:tr2bl w:val="nil"/>
                  </w:tcBorders>
                  <w:vAlign w:val="center"/>
                </w:tcPr>
                <w:p w14:paraId="257E84EE">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资源利用效率</w:t>
                  </w:r>
                </w:p>
              </w:tc>
              <w:tc>
                <w:tcPr>
                  <w:tcW w:w="0" w:type="auto"/>
                  <w:tcBorders>
                    <w:tl2br w:val="nil"/>
                    <w:tr2bl w:val="nil"/>
                  </w:tcBorders>
                  <w:vAlign w:val="center"/>
                </w:tcPr>
                <w:p w14:paraId="01BE681F">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1.执行总体管控要求中关于一般管控单元的资源利用效率要求。</w:t>
                  </w:r>
                </w:p>
              </w:tc>
              <w:tc>
                <w:tcPr>
                  <w:tcW w:w="0" w:type="auto"/>
                  <w:tcBorders>
                    <w:tl2br w:val="nil"/>
                    <w:tr2bl w:val="nil"/>
                  </w:tcBorders>
                  <w:vAlign w:val="center"/>
                </w:tcPr>
                <w:p w14:paraId="00AD0F95">
                  <w:pPr>
                    <w:widowControl/>
                    <w:shd w:val="clear"/>
                    <w:adjustRightInd/>
                    <w:snapToGrid/>
                    <w:spacing w:line="240" w:lineRule="auto"/>
                    <w:ind w:firstLine="0" w:firstLineChars="0"/>
                    <w:jc w:val="center"/>
                    <w:textAlignment w:val="baseline"/>
                    <w:rPr>
                      <w:color w:val="000000"/>
                      <w:sz w:val="18"/>
                      <w:szCs w:val="18"/>
                      <w:highlight w:val="none"/>
                    </w:rPr>
                  </w:pPr>
                  <w:r>
                    <w:rPr>
                      <w:color w:val="000000"/>
                      <w:kern w:val="0"/>
                      <w:sz w:val="18"/>
                      <w:szCs w:val="18"/>
                      <w:highlight w:val="none"/>
                    </w:rPr>
                    <w:t>本项目符合总体管控要求中关于一般管控单元的资源利用效率要求及</w:t>
                  </w:r>
                </w:p>
              </w:tc>
              <w:tc>
                <w:tcPr>
                  <w:tcW w:w="0" w:type="auto"/>
                  <w:tcBorders>
                    <w:tl2br w:val="nil"/>
                    <w:tr2bl w:val="nil"/>
                  </w:tcBorders>
                  <w:vAlign w:val="center"/>
                </w:tcPr>
                <w:p w14:paraId="0A3B81F4">
                  <w:pPr>
                    <w:widowControl/>
                    <w:shd w:val="clear"/>
                    <w:adjustRightInd/>
                    <w:snapToGrid/>
                    <w:spacing w:line="240" w:lineRule="auto"/>
                    <w:ind w:firstLine="0" w:firstLineChars="0"/>
                    <w:jc w:val="center"/>
                    <w:textAlignment w:val="baseline"/>
                    <w:rPr>
                      <w:color w:val="000000"/>
                      <w:sz w:val="18"/>
                      <w:szCs w:val="18"/>
                      <w:highlight w:val="none"/>
                    </w:rPr>
                  </w:pPr>
                  <w:r>
                    <w:rPr>
                      <w:color w:val="000000"/>
                      <w:sz w:val="18"/>
                      <w:szCs w:val="18"/>
                      <w:highlight w:val="none"/>
                    </w:rPr>
                    <w:t>符合</w:t>
                  </w:r>
                </w:p>
              </w:tc>
            </w:tr>
          </w:tbl>
          <w:p w14:paraId="031807AC">
            <w:pPr>
              <w:shd w:val="clear"/>
              <w:ind w:firstLine="480"/>
              <w:rPr>
                <w:color w:val="000000"/>
                <w:highlight w:val="none"/>
              </w:rPr>
            </w:pPr>
            <w:r>
              <w:rPr>
                <w:rFonts w:hint="eastAsia"/>
                <w:color w:val="000000"/>
                <w:highlight w:val="none"/>
                <w:lang w:eastAsia="zh-CN"/>
              </w:rPr>
              <w:t>综上所述</w:t>
            </w:r>
            <w:r>
              <w:rPr>
                <w:color w:val="000000"/>
                <w:highlight w:val="none"/>
              </w:rPr>
              <w:t>，本项目符合《巴音郭楞蒙古自治州</w:t>
            </w:r>
            <w:r>
              <w:rPr>
                <w:rFonts w:hint="eastAsia"/>
                <w:color w:val="000000"/>
                <w:highlight w:val="none"/>
                <w:lang w:eastAsia="zh-CN"/>
              </w:rPr>
              <w:t>“</w:t>
            </w:r>
            <w:r>
              <w:rPr>
                <w:color w:val="000000"/>
                <w:highlight w:val="none"/>
              </w:rPr>
              <w:t>三线一单</w:t>
            </w:r>
            <w:r>
              <w:rPr>
                <w:rFonts w:hint="eastAsia"/>
                <w:color w:val="000000"/>
                <w:highlight w:val="none"/>
                <w:lang w:eastAsia="zh-CN"/>
              </w:rPr>
              <w:t>”</w:t>
            </w:r>
            <w:r>
              <w:rPr>
                <w:color w:val="000000"/>
                <w:highlight w:val="none"/>
              </w:rPr>
              <w:t>生态环境分区管控动态更新成果（2023年）》（巴政办发〔2024〕32号）文件管控要求。</w:t>
            </w:r>
          </w:p>
          <w:bookmarkEnd w:id="15"/>
          <w:p w14:paraId="4BEAF42D">
            <w:pPr>
              <w:pStyle w:val="3"/>
              <w:shd w:val="clear"/>
              <w:rPr>
                <w:highlight w:val="none"/>
              </w:rPr>
            </w:pPr>
            <w:bookmarkStart w:id="16" w:name="_Toc29132"/>
            <w:bookmarkStart w:id="17" w:name="_Toc26664"/>
            <w:bookmarkStart w:id="18" w:name="_Toc12358"/>
            <w:r>
              <w:rPr>
                <w:highlight w:val="none"/>
              </w:rPr>
              <w:t>4、与《输变电建设项目环境保护技术要求》（HJ1113-2020）符合性分析</w:t>
            </w:r>
            <w:bookmarkEnd w:id="16"/>
            <w:bookmarkEnd w:id="17"/>
            <w:bookmarkEnd w:id="18"/>
          </w:p>
          <w:p w14:paraId="0FA64003">
            <w:pPr>
              <w:shd w:val="clear"/>
              <w:ind w:firstLine="480"/>
              <w:rPr>
                <w:highlight w:val="none"/>
              </w:rPr>
            </w:pPr>
            <w:r>
              <w:rPr>
                <w:highlight w:val="none"/>
              </w:rPr>
              <w:t>根据《输变电建设项目环境保护技术要求》（HJ1113-2020）（以下简称</w:t>
            </w:r>
            <w:r>
              <w:rPr>
                <w:rFonts w:hint="eastAsia"/>
                <w:highlight w:val="none"/>
                <w:lang w:eastAsia="zh-CN"/>
              </w:rPr>
              <w:t>“</w:t>
            </w:r>
            <w:r>
              <w:rPr>
                <w:highlight w:val="none"/>
              </w:rPr>
              <w:t>要求</w:t>
            </w:r>
            <w:r>
              <w:rPr>
                <w:rFonts w:hint="eastAsia"/>
                <w:highlight w:val="none"/>
                <w:lang w:eastAsia="zh-CN"/>
              </w:rPr>
              <w:t>”</w:t>
            </w:r>
            <w:r>
              <w:rPr>
                <w:highlight w:val="none"/>
              </w:rPr>
              <w:t>）中选址、设计等相关技术内容，本项目符合性情况见下表。</w:t>
            </w:r>
          </w:p>
          <w:p w14:paraId="77F27F83">
            <w:pPr>
              <w:pStyle w:val="5"/>
              <w:shd w:val="clear"/>
              <w:ind w:firstLine="422"/>
              <w:rPr>
                <w:highlight w:val="none"/>
              </w:rPr>
            </w:pPr>
            <w:r>
              <w:rPr>
                <w:highlight w:val="none"/>
              </w:rPr>
              <w:t>表1-4 与《输变电建设项目环境保护技术要求》的符合性分析</w:t>
            </w:r>
          </w:p>
          <w:tbl>
            <w:tblPr>
              <w:tblStyle w:val="34"/>
              <w:tblW w:w="49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51" w:type="dxa"/>
                <w:bottom w:w="0" w:type="dxa"/>
                <w:right w:w="51" w:type="dxa"/>
              </w:tblCellMar>
            </w:tblPr>
            <w:tblGrid>
              <w:gridCol w:w="302"/>
              <w:gridCol w:w="343"/>
              <w:gridCol w:w="385"/>
              <w:gridCol w:w="2877"/>
              <w:gridCol w:w="3328"/>
              <w:gridCol w:w="303"/>
            </w:tblGrid>
            <w:tr w14:paraId="4BC8A73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tcBorders>
                    <w:tl2br w:val="nil"/>
                    <w:tr2bl w:val="nil"/>
                  </w:tcBorders>
                  <w:vAlign w:val="center"/>
                </w:tcPr>
                <w:p w14:paraId="2D12CF49">
                  <w:pPr>
                    <w:pStyle w:val="10"/>
                    <w:shd w:val="clear"/>
                    <w:rPr>
                      <w:sz w:val="18"/>
                      <w:highlight w:val="none"/>
                    </w:rPr>
                  </w:pPr>
                  <w:r>
                    <w:rPr>
                      <w:sz w:val="18"/>
                      <w:highlight w:val="none"/>
                    </w:rPr>
                    <w:t>序号</w:t>
                  </w:r>
                </w:p>
              </w:tc>
              <w:tc>
                <w:tcPr>
                  <w:tcW w:w="0" w:type="auto"/>
                  <w:gridSpan w:val="3"/>
                  <w:tcBorders>
                    <w:tl2br w:val="nil"/>
                    <w:tr2bl w:val="nil"/>
                  </w:tcBorders>
                  <w:vAlign w:val="center"/>
                </w:tcPr>
                <w:p w14:paraId="45A6DF63">
                  <w:pPr>
                    <w:pStyle w:val="10"/>
                    <w:shd w:val="clear"/>
                    <w:rPr>
                      <w:sz w:val="18"/>
                      <w:highlight w:val="none"/>
                    </w:rPr>
                  </w:pPr>
                  <w:r>
                    <w:rPr>
                      <w:sz w:val="18"/>
                      <w:highlight w:val="none"/>
                    </w:rPr>
                    <w:t>具体要求</w:t>
                  </w:r>
                </w:p>
              </w:tc>
              <w:tc>
                <w:tcPr>
                  <w:tcW w:w="0" w:type="auto"/>
                  <w:tcBorders>
                    <w:tl2br w:val="nil"/>
                    <w:tr2bl w:val="nil"/>
                  </w:tcBorders>
                  <w:vAlign w:val="center"/>
                </w:tcPr>
                <w:p w14:paraId="2DD4B7D3">
                  <w:pPr>
                    <w:pStyle w:val="10"/>
                    <w:shd w:val="clear"/>
                    <w:rPr>
                      <w:sz w:val="18"/>
                      <w:highlight w:val="none"/>
                    </w:rPr>
                  </w:pPr>
                  <w:r>
                    <w:rPr>
                      <w:sz w:val="18"/>
                      <w:highlight w:val="none"/>
                    </w:rPr>
                    <w:t>本项目实际情况</w:t>
                  </w:r>
                </w:p>
              </w:tc>
              <w:tc>
                <w:tcPr>
                  <w:tcW w:w="0" w:type="auto"/>
                  <w:tcBorders>
                    <w:tl2br w:val="nil"/>
                    <w:tr2bl w:val="nil"/>
                  </w:tcBorders>
                  <w:vAlign w:val="center"/>
                </w:tcPr>
                <w:p w14:paraId="549CF1D8">
                  <w:pPr>
                    <w:pStyle w:val="10"/>
                    <w:shd w:val="clear"/>
                    <w:rPr>
                      <w:sz w:val="18"/>
                      <w:highlight w:val="none"/>
                    </w:rPr>
                  </w:pPr>
                  <w:r>
                    <w:rPr>
                      <w:sz w:val="18"/>
                      <w:highlight w:val="none"/>
                    </w:rPr>
                    <w:t>是否</w:t>
                  </w:r>
                </w:p>
                <w:p w14:paraId="23F6BD4B">
                  <w:pPr>
                    <w:pStyle w:val="10"/>
                    <w:shd w:val="clear"/>
                    <w:rPr>
                      <w:sz w:val="18"/>
                      <w:highlight w:val="none"/>
                    </w:rPr>
                  </w:pPr>
                  <w:r>
                    <w:rPr>
                      <w:sz w:val="18"/>
                      <w:highlight w:val="none"/>
                    </w:rPr>
                    <w:t>符合</w:t>
                  </w:r>
                </w:p>
              </w:tc>
            </w:tr>
            <w:tr w14:paraId="6650C75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restart"/>
                  <w:tcBorders>
                    <w:tl2br w:val="nil"/>
                    <w:tr2bl w:val="nil"/>
                  </w:tcBorders>
                  <w:vAlign w:val="center"/>
                </w:tcPr>
                <w:p w14:paraId="6BC38899">
                  <w:pPr>
                    <w:pStyle w:val="10"/>
                    <w:shd w:val="clear"/>
                    <w:rPr>
                      <w:sz w:val="18"/>
                      <w:highlight w:val="none"/>
                    </w:rPr>
                  </w:pPr>
                  <w:r>
                    <w:rPr>
                      <w:sz w:val="18"/>
                      <w:highlight w:val="none"/>
                    </w:rPr>
                    <w:t>1</w:t>
                  </w:r>
                </w:p>
              </w:tc>
              <w:tc>
                <w:tcPr>
                  <w:tcW w:w="0" w:type="auto"/>
                  <w:vMerge w:val="restart"/>
                  <w:tcBorders>
                    <w:tl2br w:val="nil"/>
                    <w:tr2bl w:val="nil"/>
                  </w:tcBorders>
                  <w:vAlign w:val="center"/>
                </w:tcPr>
                <w:p w14:paraId="475C4872">
                  <w:pPr>
                    <w:pStyle w:val="10"/>
                    <w:shd w:val="clear"/>
                    <w:rPr>
                      <w:sz w:val="18"/>
                      <w:highlight w:val="none"/>
                    </w:rPr>
                  </w:pPr>
                  <w:r>
                    <w:rPr>
                      <w:sz w:val="18"/>
                      <w:highlight w:val="none"/>
                    </w:rPr>
                    <w:t>选址选线</w:t>
                  </w:r>
                </w:p>
              </w:tc>
              <w:tc>
                <w:tcPr>
                  <w:tcW w:w="0" w:type="auto"/>
                  <w:gridSpan w:val="2"/>
                  <w:tcBorders>
                    <w:tl2br w:val="nil"/>
                    <w:tr2bl w:val="nil"/>
                  </w:tcBorders>
                  <w:vAlign w:val="center"/>
                </w:tcPr>
                <w:p w14:paraId="3A5428C9">
                  <w:pPr>
                    <w:pStyle w:val="10"/>
                    <w:shd w:val="clear"/>
                    <w:rPr>
                      <w:sz w:val="18"/>
                      <w:highlight w:val="none"/>
                    </w:rPr>
                  </w:pPr>
                  <w:r>
                    <w:rPr>
                      <w:sz w:val="18"/>
                      <w:highlight w:val="none"/>
                    </w:rPr>
                    <w:t>输变电建设项目选址选线应符合生态保护红线管控要求，避让自然保护区、饮用水水源保护区等环境敏感区。</w:t>
                  </w:r>
                </w:p>
              </w:tc>
              <w:tc>
                <w:tcPr>
                  <w:tcW w:w="0" w:type="auto"/>
                  <w:tcBorders>
                    <w:tl2br w:val="nil"/>
                    <w:tr2bl w:val="nil"/>
                  </w:tcBorders>
                  <w:vAlign w:val="center"/>
                </w:tcPr>
                <w:p w14:paraId="49AD8C06">
                  <w:pPr>
                    <w:pStyle w:val="10"/>
                    <w:shd w:val="clear"/>
                    <w:rPr>
                      <w:sz w:val="18"/>
                      <w:highlight w:val="none"/>
                    </w:rPr>
                  </w:pPr>
                  <w:r>
                    <w:rPr>
                      <w:sz w:val="18"/>
                      <w:highlight w:val="none"/>
                    </w:rPr>
                    <w:t>本项目选址选线不在生态保护红线管控区内，不涉及自然保护区。</w:t>
                  </w:r>
                </w:p>
              </w:tc>
              <w:tc>
                <w:tcPr>
                  <w:tcW w:w="0" w:type="auto"/>
                  <w:tcBorders>
                    <w:tl2br w:val="nil"/>
                    <w:tr2bl w:val="nil"/>
                  </w:tcBorders>
                  <w:vAlign w:val="center"/>
                </w:tcPr>
                <w:p w14:paraId="21E19654">
                  <w:pPr>
                    <w:pStyle w:val="10"/>
                    <w:shd w:val="clear"/>
                    <w:rPr>
                      <w:sz w:val="18"/>
                      <w:highlight w:val="none"/>
                    </w:rPr>
                  </w:pPr>
                  <w:r>
                    <w:rPr>
                      <w:sz w:val="18"/>
                      <w:highlight w:val="none"/>
                    </w:rPr>
                    <w:t>符合</w:t>
                  </w:r>
                </w:p>
              </w:tc>
            </w:tr>
            <w:tr w14:paraId="47702E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tcPr>
                <w:p w14:paraId="43FB4E1C">
                  <w:pPr>
                    <w:pStyle w:val="10"/>
                    <w:shd w:val="clear"/>
                    <w:rPr>
                      <w:sz w:val="18"/>
                      <w:highlight w:val="none"/>
                    </w:rPr>
                  </w:pPr>
                </w:p>
              </w:tc>
              <w:tc>
                <w:tcPr>
                  <w:tcW w:w="0" w:type="auto"/>
                  <w:vMerge w:val="continue"/>
                  <w:tcBorders>
                    <w:tl2br w:val="nil"/>
                    <w:tr2bl w:val="nil"/>
                  </w:tcBorders>
                </w:tcPr>
                <w:p w14:paraId="1AF0604A">
                  <w:pPr>
                    <w:pStyle w:val="10"/>
                    <w:shd w:val="clear"/>
                    <w:rPr>
                      <w:sz w:val="18"/>
                      <w:highlight w:val="none"/>
                    </w:rPr>
                  </w:pPr>
                </w:p>
              </w:tc>
              <w:tc>
                <w:tcPr>
                  <w:tcW w:w="0" w:type="auto"/>
                  <w:gridSpan w:val="2"/>
                  <w:tcBorders>
                    <w:tl2br w:val="nil"/>
                    <w:tr2bl w:val="nil"/>
                  </w:tcBorders>
                  <w:vAlign w:val="center"/>
                </w:tcPr>
                <w:p w14:paraId="12AAC1BD">
                  <w:pPr>
                    <w:pStyle w:val="10"/>
                    <w:shd w:val="clear"/>
                    <w:rPr>
                      <w:sz w:val="18"/>
                      <w:highlight w:val="none"/>
                    </w:rPr>
                  </w:pPr>
                  <w:r>
                    <w:rPr>
                      <w:sz w:val="18"/>
                      <w:highlight w:val="none"/>
                    </w:rPr>
                    <w:t>变电工程在选址时应按终期规模综合考虑进出线走廊规划，避免进出线进入自然保护区、饮用水水源保护区等环境敏感区。</w:t>
                  </w:r>
                </w:p>
              </w:tc>
              <w:tc>
                <w:tcPr>
                  <w:tcW w:w="0" w:type="auto"/>
                  <w:tcBorders>
                    <w:tl2br w:val="nil"/>
                    <w:tr2bl w:val="nil"/>
                  </w:tcBorders>
                  <w:vAlign w:val="center"/>
                </w:tcPr>
                <w:p w14:paraId="3BD734BF">
                  <w:pPr>
                    <w:pStyle w:val="10"/>
                    <w:shd w:val="clear"/>
                    <w:rPr>
                      <w:sz w:val="18"/>
                      <w:highlight w:val="none"/>
                    </w:rPr>
                  </w:pPr>
                  <w:r>
                    <w:rPr>
                      <w:sz w:val="18"/>
                      <w:highlight w:val="none"/>
                    </w:rPr>
                    <w:t>本项目升压站及输电线路均不在生态保护红线管控区内，不涉及自然保护区、饮用水水源保护区，故不属于排放污染物的建设项目。</w:t>
                  </w:r>
                </w:p>
              </w:tc>
              <w:tc>
                <w:tcPr>
                  <w:tcW w:w="0" w:type="auto"/>
                  <w:tcBorders>
                    <w:tl2br w:val="nil"/>
                    <w:tr2bl w:val="nil"/>
                  </w:tcBorders>
                  <w:vAlign w:val="center"/>
                </w:tcPr>
                <w:p w14:paraId="4A0F48FF">
                  <w:pPr>
                    <w:pStyle w:val="10"/>
                    <w:shd w:val="clear"/>
                    <w:rPr>
                      <w:sz w:val="18"/>
                      <w:highlight w:val="none"/>
                    </w:rPr>
                  </w:pPr>
                  <w:r>
                    <w:rPr>
                      <w:sz w:val="18"/>
                      <w:highlight w:val="none"/>
                    </w:rPr>
                    <w:t>符合</w:t>
                  </w:r>
                </w:p>
              </w:tc>
            </w:tr>
            <w:tr w14:paraId="676F580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tcPr>
                <w:p w14:paraId="35BAE2EF">
                  <w:pPr>
                    <w:pStyle w:val="10"/>
                    <w:shd w:val="clear"/>
                    <w:rPr>
                      <w:sz w:val="18"/>
                      <w:highlight w:val="none"/>
                    </w:rPr>
                  </w:pPr>
                </w:p>
              </w:tc>
              <w:tc>
                <w:tcPr>
                  <w:tcW w:w="0" w:type="auto"/>
                  <w:vMerge w:val="continue"/>
                  <w:tcBorders>
                    <w:tl2br w:val="nil"/>
                    <w:tr2bl w:val="nil"/>
                  </w:tcBorders>
                </w:tcPr>
                <w:p w14:paraId="5DA0C6FC">
                  <w:pPr>
                    <w:pStyle w:val="10"/>
                    <w:shd w:val="clear"/>
                    <w:rPr>
                      <w:sz w:val="18"/>
                      <w:highlight w:val="none"/>
                    </w:rPr>
                  </w:pPr>
                </w:p>
              </w:tc>
              <w:tc>
                <w:tcPr>
                  <w:tcW w:w="0" w:type="auto"/>
                  <w:gridSpan w:val="2"/>
                  <w:tcBorders>
                    <w:tl2br w:val="nil"/>
                    <w:tr2bl w:val="nil"/>
                  </w:tcBorders>
                  <w:vAlign w:val="center"/>
                </w:tcPr>
                <w:p w14:paraId="7BFE9B6B">
                  <w:pPr>
                    <w:pStyle w:val="10"/>
                    <w:shd w:val="clear"/>
                    <w:rPr>
                      <w:sz w:val="18"/>
                      <w:highlight w:val="none"/>
                    </w:rPr>
                  </w:pPr>
                  <w:r>
                    <w:rPr>
                      <w:sz w:val="18"/>
                      <w:highlight w:val="none"/>
                    </w:rPr>
                    <w:t>户外变电工程及规划架空进出线选址选线时，应关注以居住、医疗卫生、文化教育、科研、行政办公等为主要功能的区域，采取综合措施，减少电磁和声环境影响。</w:t>
                  </w:r>
                </w:p>
              </w:tc>
              <w:tc>
                <w:tcPr>
                  <w:tcW w:w="0" w:type="auto"/>
                  <w:tcBorders>
                    <w:tl2br w:val="nil"/>
                    <w:tr2bl w:val="nil"/>
                  </w:tcBorders>
                  <w:vAlign w:val="center"/>
                </w:tcPr>
                <w:p w14:paraId="719D4AF5">
                  <w:pPr>
                    <w:pStyle w:val="10"/>
                    <w:shd w:val="clear"/>
                    <w:rPr>
                      <w:sz w:val="18"/>
                      <w:highlight w:val="none"/>
                    </w:rPr>
                  </w:pPr>
                  <w:r>
                    <w:rPr>
                      <w:sz w:val="18"/>
                      <w:highlight w:val="none"/>
                    </w:rPr>
                    <w:t>本项目升压站、输变电噪声及电磁环境影响评价范围内无居民居住。</w:t>
                  </w:r>
                </w:p>
              </w:tc>
              <w:tc>
                <w:tcPr>
                  <w:tcW w:w="0" w:type="auto"/>
                  <w:tcBorders>
                    <w:tl2br w:val="nil"/>
                    <w:tr2bl w:val="nil"/>
                  </w:tcBorders>
                  <w:vAlign w:val="center"/>
                </w:tcPr>
                <w:p w14:paraId="3A519935">
                  <w:pPr>
                    <w:pStyle w:val="10"/>
                    <w:shd w:val="clear"/>
                    <w:rPr>
                      <w:sz w:val="18"/>
                      <w:highlight w:val="none"/>
                    </w:rPr>
                  </w:pPr>
                  <w:r>
                    <w:rPr>
                      <w:sz w:val="18"/>
                      <w:highlight w:val="none"/>
                    </w:rPr>
                    <w:t>符合</w:t>
                  </w:r>
                </w:p>
              </w:tc>
            </w:tr>
            <w:tr w14:paraId="637DD9E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tcPr>
                <w:p w14:paraId="358FD85C">
                  <w:pPr>
                    <w:pStyle w:val="10"/>
                    <w:shd w:val="clear"/>
                    <w:rPr>
                      <w:sz w:val="18"/>
                      <w:highlight w:val="none"/>
                    </w:rPr>
                  </w:pPr>
                </w:p>
              </w:tc>
              <w:tc>
                <w:tcPr>
                  <w:tcW w:w="0" w:type="auto"/>
                  <w:vMerge w:val="continue"/>
                  <w:tcBorders>
                    <w:tl2br w:val="nil"/>
                    <w:tr2bl w:val="nil"/>
                  </w:tcBorders>
                </w:tcPr>
                <w:p w14:paraId="6A6C0B86">
                  <w:pPr>
                    <w:pStyle w:val="10"/>
                    <w:shd w:val="clear"/>
                    <w:rPr>
                      <w:sz w:val="18"/>
                      <w:highlight w:val="none"/>
                    </w:rPr>
                  </w:pPr>
                </w:p>
              </w:tc>
              <w:tc>
                <w:tcPr>
                  <w:tcW w:w="0" w:type="auto"/>
                  <w:gridSpan w:val="2"/>
                  <w:tcBorders>
                    <w:tl2br w:val="nil"/>
                    <w:tr2bl w:val="nil"/>
                  </w:tcBorders>
                  <w:vAlign w:val="center"/>
                </w:tcPr>
                <w:p w14:paraId="4E03062B">
                  <w:pPr>
                    <w:pStyle w:val="10"/>
                    <w:shd w:val="clear"/>
                    <w:rPr>
                      <w:sz w:val="18"/>
                      <w:highlight w:val="none"/>
                    </w:rPr>
                  </w:pPr>
                  <w:r>
                    <w:rPr>
                      <w:sz w:val="18"/>
                      <w:highlight w:val="none"/>
                    </w:rPr>
                    <w:t>输电线路宜避让集中林区，以减少林木砍伐，保护生态环境。</w:t>
                  </w:r>
                </w:p>
              </w:tc>
              <w:tc>
                <w:tcPr>
                  <w:tcW w:w="0" w:type="auto"/>
                  <w:tcBorders>
                    <w:tl2br w:val="nil"/>
                    <w:tr2bl w:val="nil"/>
                  </w:tcBorders>
                  <w:vAlign w:val="center"/>
                </w:tcPr>
                <w:p w14:paraId="65108E70">
                  <w:pPr>
                    <w:pStyle w:val="10"/>
                    <w:shd w:val="clear"/>
                    <w:rPr>
                      <w:sz w:val="18"/>
                      <w:highlight w:val="none"/>
                    </w:rPr>
                  </w:pPr>
                  <w:r>
                    <w:rPr>
                      <w:sz w:val="18"/>
                      <w:highlight w:val="none"/>
                    </w:rPr>
                    <w:t>本项目不涉及。</w:t>
                  </w:r>
                </w:p>
              </w:tc>
              <w:tc>
                <w:tcPr>
                  <w:tcW w:w="0" w:type="auto"/>
                  <w:tcBorders>
                    <w:tl2br w:val="nil"/>
                    <w:tr2bl w:val="nil"/>
                  </w:tcBorders>
                  <w:vAlign w:val="center"/>
                </w:tcPr>
                <w:p w14:paraId="47355154">
                  <w:pPr>
                    <w:pStyle w:val="10"/>
                    <w:shd w:val="clear"/>
                    <w:rPr>
                      <w:sz w:val="18"/>
                      <w:highlight w:val="none"/>
                    </w:rPr>
                  </w:pPr>
                  <w:r>
                    <w:rPr>
                      <w:sz w:val="18"/>
                      <w:highlight w:val="none"/>
                    </w:rPr>
                    <w:t>符合</w:t>
                  </w:r>
                </w:p>
              </w:tc>
            </w:tr>
            <w:tr w14:paraId="1AF0923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restart"/>
                  <w:tcBorders>
                    <w:tl2br w:val="nil"/>
                    <w:tr2bl w:val="nil"/>
                  </w:tcBorders>
                  <w:vAlign w:val="center"/>
                </w:tcPr>
                <w:p w14:paraId="6E1D83AD">
                  <w:pPr>
                    <w:pStyle w:val="10"/>
                    <w:shd w:val="clear"/>
                    <w:rPr>
                      <w:sz w:val="18"/>
                      <w:highlight w:val="none"/>
                    </w:rPr>
                  </w:pPr>
                  <w:r>
                    <w:rPr>
                      <w:sz w:val="18"/>
                      <w:highlight w:val="none"/>
                    </w:rPr>
                    <w:t>2</w:t>
                  </w:r>
                </w:p>
              </w:tc>
              <w:tc>
                <w:tcPr>
                  <w:tcW w:w="0" w:type="auto"/>
                  <w:vMerge w:val="restart"/>
                  <w:tcBorders>
                    <w:tl2br w:val="nil"/>
                    <w:tr2bl w:val="nil"/>
                  </w:tcBorders>
                  <w:vAlign w:val="center"/>
                </w:tcPr>
                <w:p w14:paraId="7D518159">
                  <w:pPr>
                    <w:pStyle w:val="10"/>
                    <w:shd w:val="clear"/>
                    <w:rPr>
                      <w:sz w:val="18"/>
                      <w:highlight w:val="none"/>
                    </w:rPr>
                  </w:pPr>
                  <w:r>
                    <w:rPr>
                      <w:sz w:val="18"/>
                      <w:highlight w:val="none"/>
                    </w:rPr>
                    <w:t>设计</w:t>
                  </w:r>
                </w:p>
              </w:tc>
              <w:tc>
                <w:tcPr>
                  <w:tcW w:w="0" w:type="auto"/>
                  <w:vMerge w:val="restart"/>
                  <w:tcBorders>
                    <w:tl2br w:val="nil"/>
                    <w:tr2bl w:val="nil"/>
                  </w:tcBorders>
                  <w:vAlign w:val="center"/>
                </w:tcPr>
                <w:p w14:paraId="3ADC3D20">
                  <w:pPr>
                    <w:pStyle w:val="10"/>
                    <w:shd w:val="clear"/>
                    <w:rPr>
                      <w:sz w:val="18"/>
                      <w:highlight w:val="none"/>
                    </w:rPr>
                  </w:pPr>
                  <w:r>
                    <w:rPr>
                      <w:sz w:val="18"/>
                      <w:highlight w:val="none"/>
                    </w:rPr>
                    <w:t>总体</w:t>
                  </w:r>
                </w:p>
                <w:p w14:paraId="2E21CFF7">
                  <w:pPr>
                    <w:pStyle w:val="10"/>
                    <w:shd w:val="clear"/>
                    <w:rPr>
                      <w:sz w:val="18"/>
                      <w:highlight w:val="none"/>
                    </w:rPr>
                  </w:pPr>
                  <w:r>
                    <w:rPr>
                      <w:sz w:val="18"/>
                      <w:highlight w:val="none"/>
                    </w:rPr>
                    <w:t>要求</w:t>
                  </w:r>
                </w:p>
              </w:tc>
              <w:tc>
                <w:tcPr>
                  <w:tcW w:w="0" w:type="auto"/>
                  <w:tcBorders>
                    <w:tl2br w:val="nil"/>
                    <w:tr2bl w:val="nil"/>
                  </w:tcBorders>
                  <w:vAlign w:val="center"/>
                </w:tcPr>
                <w:p w14:paraId="6233FA50">
                  <w:pPr>
                    <w:pStyle w:val="10"/>
                    <w:shd w:val="clear"/>
                    <w:rPr>
                      <w:sz w:val="18"/>
                      <w:highlight w:val="none"/>
                    </w:rPr>
                  </w:pPr>
                  <w:r>
                    <w:rPr>
                      <w:sz w:val="18"/>
                      <w:highlight w:val="none"/>
                    </w:rPr>
                    <w:t>变电工程应设置足够容量的事故油池及其配套的拦截、防雨、防渗等措施和设施。一旦发生泄漏，</w:t>
                  </w:r>
                  <w:r>
                    <w:rPr>
                      <w:rFonts w:hint="eastAsia"/>
                      <w:sz w:val="18"/>
                      <w:highlight w:val="none"/>
                      <w:lang w:eastAsia="zh-CN"/>
                    </w:rPr>
                    <w:t>应</w:t>
                  </w:r>
                  <w:r>
                    <w:rPr>
                      <w:sz w:val="18"/>
                      <w:highlight w:val="none"/>
                    </w:rPr>
                    <w:t>及时进行拦截和处理，确保油和油水混合物全部收集、不外排。</w:t>
                  </w:r>
                </w:p>
              </w:tc>
              <w:tc>
                <w:tcPr>
                  <w:tcW w:w="0" w:type="auto"/>
                  <w:tcBorders>
                    <w:tl2br w:val="nil"/>
                    <w:tr2bl w:val="nil"/>
                  </w:tcBorders>
                  <w:vAlign w:val="center"/>
                </w:tcPr>
                <w:p w14:paraId="7F16C91E">
                  <w:pPr>
                    <w:pStyle w:val="10"/>
                    <w:shd w:val="clear"/>
                    <w:rPr>
                      <w:sz w:val="18"/>
                      <w:highlight w:val="none"/>
                    </w:rPr>
                  </w:pPr>
                  <w:r>
                    <w:rPr>
                      <w:sz w:val="18"/>
                      <w:highlight w:val="none"/>
                    </w:rPr>
                    <w:t>本项目</w:t>
                  </w:r>
                  <w:r>
                    <w:rPr>
                      <w:rFonts w:hint="eastAsia"/>
                      <w:sz w:val="18"/>
                      <w:highlight w:val="none"/>
                      <w:lang w:eastAsia="zh-CN"/>
                    </w:rPr>
                    <w:t>升压站</w:t>
                  </w:r>
                  <w:r>
                    <w:rPr>
                      <w:sz w:val="18"/>
                      <w:highlight w:val="none"/>
                    </w:rPr>
                    <w:t>事故油池容积满足最大单相变压器100%排油量要求。事故油池周边设有围堰，同时采取防雨、防渗等措施，废油排入事故贮油池后，交由具有资质的单位进行回收，确保油水混合物全部收集不外排。</w:t>
                  </w:r>
                </w:p>
              </w:tc>
              <w:tc>
                <w:tcPr>
                  <w:tcW w:w="0" w:type="auto"/>
                  <w:tcBorders>
                    <w:tl2br w:val="nil"/>
                    <w:tr2bl w:val="nil"/>
                  </w:tcBorders>
                  <w:vAlign w:val="center"/>
                </w:tcPr>
                <w:p w14:paraId="282E7FFB">
                  <w:pPr>
                    <w:pStyle w:val="10"/>
                    <w:shd w:val="clear"/>
                    <w:rPr>
                      <w:sz w:val="18"/>
                      <w:highlight w:val="none"/>
                    </w:rPr>
                  </w:pPr>
                  <w:r>
                    <w:rPr>
                      <w:sz w:val="18"/>
                      <w:highlight w:val="none"/>
                    </w:rPr>
                    <w:t>符合</w:t>
                  </w:r>
                </w:p>
              </w:tc>
            </w:tr>
            <w:tr w14:paraId="49D669E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1A26B74E">
                  <w:pPr>
                    <w:pStyle w:val="10"/>
                    <w:shd w:val="clear"/>
                    <w:rPr>
                      <w:sz w:val="18"/>
                      <w:highlight w:val="none"/>
                    </w:rPr>
                  </w:pPr>
                </w:p>
              </w:tc>
              <w:tc>
                <w:tcPr>
                  <w:tcW w:w="0" w:type="auto"/>
                  <w:vMerge w:val="continue"/>
                  <w:tcBorders>
                    <w:tl2br w:val="nil"/>
                    <w:tr2bl w:val="nil"/>
                  </w:tcBorders>
                  <w:vAlign w:val="center"/>
                </w:tcPr>
                <w:p w14:paraId="5A52E4F4">
                  <w:pPr>
                    <w:pStyle w:val="10"/>
                    <w:shd w:val="clear"/>
                    <w:rPr>
                      <w:sz w:val="18"/>
                      <w:highlight w:val="none"/>
                    </w:rPr>
                  </w:pPr>
                </w:p>
              </w:tc>
              <w:tc>
                <w:tcPr>
                  <w:tcW w:w="0" w:type="auto"/>
                  <w:vMerge w:val="continue"/>
                  <w:tcBorders>
                    <w:tl2br w:val="nil"/>
                    <w:tr2bl w:val="nil"/>
                  </w:tcBorders>
                  <w:vAlign w:val="center"/>
                </w:tcPr>
                <w:p w14:paraId="392658A1">
                  <w:pPr>
                    <w:pStyle w:val="10"/>
                    <w:shd w:val="clear"/>
                    <w:rPr>
                      <w:sz w:val="18"/>
                      <w:highlight w:val="none"/>
                    </w:rPr>
                  </w:pPr>
                </w:p>
              </w:tc>
              <w:tc>
                <w:tcPr>
                  <w:tcW w:w="0" w:type="auto"/>
                  <w:tcBorders>
                    <w:tl2br w:val="nil"/>
                    <w:tr2bl w:val="nil"/>
                  </w:tcBorders>
                  <w:vAlign w:val="center"/>
                </w:tcPr>
                <w:p w14:paraId="0F22F939">
                  <w:pPr>
                    <w:pStyle w:val="10"/>
                    <w:shd w:val="clear"/>
                    <w:rPr>
                      <w:sz w:val="18"/>
                      <w:highlight w:val="none"/>
                    </w:rPr>
                  </w:pPr>
                  <w:r>
                    <w:rPr>
                      <w:sz w:val="18"/>
                      <w:highlight w:val="none"/>
                    </w:rPr>
                    <w:t>输电线路进入自然保护区实验区、饮用水水源二级保护区等环境敏感区时，应采取塔基定位避让、减少进入长度、控制导线高度等环境保护措施，减少对环境保护对象的不利影响。</w:t>
                  </w:r>
                </w:p>
              </w:tc>
              <w:tc>
                <w:tcPr>
                  <w:tcW w:w="0" w:type="auto"/>
                  <w:tcBorders>
                    <w:tl2br w:val="nil"/>
                    <w:tr2bl w:val="nil"/>
                  </w:tcBorders>
                  <w:vAlign w:val="center"/>
                </w:tcPr>
                <w:p w14:paraId="4BBFC64A">
                  <w:pPr>
                    <w:pStyle w:val="10"/>
                    <w:shd w:val="clear"/>
                    <w:rPr>
                      <w:sz w:val="18"/>
                      <w:highlight w:val="none"/>
                    </w:rPr>
                  </w:pPr>
                  <w:r>
                    <w:rPr>
                      <w:sz w:val="18"/>
                      <w:highlight w:val="none"/>
                    </w:rPr>
                    <w:t>本项目输电线路不涉及自然保护区、饮用水水源保护区，故不属于排放污染物的建设项目。</w:t>
                  </w:r>
                </w:p>
              </w:tc>
              <w:tc>
                <w:tcPr>
                  <w:tcW w:w="0" w:type="auto"/>
                  <w:tcBorders>
                    <w:tl2br w:val="nil"/>
                    <w:tr2bl w:val="nil"/>
                  </w:tcBorders>
                  <w:vAlign w:val="center"/>
                </w:tcPr>
                <w:p w14:paraId="1726E2C5">
                  <w:pPr>
                    <w:pStyle w:val="10"/>
                    <w:shd w:val="clear"/>
                    <w:rPr>
                      <w:sz w:val="18"/>
                      <w:highlight w:val="none"/>
                    </w:rPr>
                  </w:pPr>
                  <w:r>
                    <w:rPr>
                      <w:sz w:val="18"/>
                      <w:highlight w:val="none"/>
                    </w:rPr>
                    <w:t>符合</w:t>
                  </w:r>
                </w:p>
              </w:tc>
            </w:tr>
            <w:tr w14:paraId="425547B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41A95739">
                  <w:pPr>
                    <w:pStyle w:val="10"/>
                    <w:shd w:val="clear"/>
                    <w:rPr>
                      <w:sz w:val="18"/>
                      <w:highlight w:val="none"/>
                    </w:rPr>
                  </w:pPr>
                </w:p>
              </w:tc>
              <w:tc>
                <w:tcPr>
                  <w:tcW w:w="0" w:type="auto"/>
                  <w:vMerge w:val="continue"/>
                  <w:tcBorders>
                    <w:tl2br w:val="nil"/>
                    <w:tr2bl w:val="nil"/>
                  </w:tcBorders>
                  <w:vAlign w:val="center"/>
                </w:tcPr>
                <w:p w14:paraId="1884082A">
                  <w:pPr>
                    <w:pStyle w:val="10"/>
                    <w:shd w:val="clear"/>
                    <w:rPr>
                      <w:sz w:val="18"/>
                      <w:highlight w:val="none"/>
                    </w:rPr>
                  </w:pPr>
                </w:p>
              </w:tc>
              <w:tc>
                <w:tcPr>
                  <w:tcW w:w="0" w:type="auto"/>
                  <w:vMerge w:val="restart"/>
                  <w:tcBorders>
                    <w:tl2br w:val="nil"/>
                    <w:tr2bl w:val="nil"/>
                  </w:tcBorders>
                  <w:vAlign w:val="center"/>
                </w:tcPr>
                <w:p w14:paraId="1C3A00A9">
                  <w:pPr>
                    <w:pStyle w:val="10"/>
                    <w:shd w:val="clear"/>
                    <w:rPr>
                      <w:sz w:val="18"/>
                      <w:highlight w:val="none"/>
                    </w:rPr>
                  </w:pPr>
                  <w:r>
                    <w:rPr>
                      <w:sz w:val="18"/>
                      <w:highlight w:val="none"/>
                    </w:rPr>
                    <w:t>电磁环境保护</w:t>
                  </w:r>
                </w:p>
              </w:tc>
              <w:tc>
                <w:tcPr>
                  <w:tcW w:w="0" w:type="auto"/>
                  <w:tcBorders>
                    <w:tl2br w:val="nil"/>
                    <w:tr2bl w:val="nil"/>
                  </w:tcBorders>
                </w:tcPr>
                <w:p w14:paraId="78381F38">
                  <w:pPr>
                    <w:pStyle w:val="10"/>
                    <w:shd w:val="clear"/>
                    <w:rPr>
                      <w:sz w:val="18"/>
                      <w:highlight w:val="none"/>
                    </w:rPr>
                  </w:pPr>
                  <w:r>
                    <w:rPr>
                      <w:sz w:val="18"/>
                      <w:highlight w:val="none"/>
                    </w:rPr>
                    <w:t>输电线路设计应因地制宜选择线路型式、架设高度、杆塔塔型、导线参数、相序布置等，减少电磁环境影响。</w:t>
                  </w:r>
                </w:p>
              </w:tc>
              <w:tc>
                <w:tcPr>
                  <w:tcW w:w="0" w:type="auto"/>
                  <w:tcBorders>
                    <w:tl2br w:val="nil"/>
                    <w:tr2bl w:val="nil"/>
                  </w:tcBorders>
                  <w:vAlign w:val="center"/>
                </w:tcPr>
                <w:p w14:paraId="1C12A0A8">
                  <w:pPr>
                    <w:pStyle w:val="10"/>
                    <w:shd w:val="clear"/>
                    <w:rPr>
                      <w:sz w:val="18"/>
                      <w:highlight w:val="none"/>
                    </w:rPr>
                  </w:pPr>
                  <w:r>
                    <w:rPr>
                      <w:sz w:val="18"/>
                      <w:highlight w:val="none"/>
                    </w:rPr>
                    <w:t>本项目设计阶段即选取适宜的杆塔、架设高度、杆塔塔型、导线参数、相序布置，以减少电磁环境影响。</w:t>
                  </w:r>
                </w:p>
              </w:tc>
              <w:tc>
                <w:tcPr>
                  <w:tcW w:w="0" w:type="auto"/>
                  <w:tcBorders>
                    <w:tl2br w:val="nil"/>
                    <w:tr2bl w:val="nil"/>
                  </w:tcBorders>
                  <w:vAlign w:val="center"/>
                </w:tcPr>
                <w:p w14:paraId="11AA0382">
                  <w:pPr>
                    <w:pStyle w:val="10"/>
                    <w:shd w:val="clear"/>
                    <w:rPr>
                      <w:sz w:val="18"/>
                      <w:highlight w:val="none"/>
                    </w:rPr>
                  </w:pPr>
                  <w:r>
                    <w:rPr>
                      <w:sz w:val="18"/>
                      <w:highlight w:val="none"/>
                    </w:rPr>
                    <w:t>符合</w:t>
                  </w:r>
                </w:p>
              </w:tc>
            </w:tr>
            <w:tr w14:paraId="10A581E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5CAD7892">
                  <w:pPr>
                    <w:pStyle w:val="10"/>
                    <w:shd w:val="clear"/>
                    <w:rPr>
                      <w:sz w:val="18"/>
                      <w:highlight w:val="none"/>
                    </w:rPr>
                  </w:pPr>
                </w:p>
              </w:tc>
              <w:tc>
                <w:tcPr>
                  <w:tcW w:w="0" w:type="auto"/>
                  <w:vMerge w:val="continue"/>
                  <w:tcBorders>
                    <w:tl2br w:val="nil"/>
                    <w:tr2bl w:val="nil"/>
                  </w:tcBorders>
                  <w:vAlign w:val="center"/>
                </w:tcPr>
                <w:p w14:paraId="05F75641">
                  <w:pPr>
                    <w:pStyle w:val="10"/>
                    <w:shd w:val="clear"/>
                    <w:rPr>
                      <w:sz w:val="18"/>
                      <w:highlight w:val="none"/>
                    </w:rPr>
                  </w:pPr>
                </w:p>
              </w:tc>
              <w:tc>
                <w:tcPr>
                  <w:tcW w:w="0" w:type="auto"/>
                  <w:vMerge w:val="continue"/>
                  <w:tcBorders>
                    <w:tl2br w:val="nil"/>
                    <w:tr2bl w:val="nil"/>
                  </w:tcBorders>
                  <w:vAlign w:val="center"/>
                </w:tcPr>
                <w:p w14:paraId="7CB4AD96">
                  <w:pPr>
                    <w:pStyle w:val="10"/>
                    <w:shd w:val="clear"/>
                    <w:rPr>
                      <w:sz w:val="18"/>
                      <w:highlight w:val="none"/>
                    </w:rPr>
                  </w:pPr>
                </w:p>
              </w:tc>
              <w:tc>
                <w:tcPr>
                  <w:tcW w:w="0" w:type="auto"/>
                  <w:tcBorders>
                    <w:tl2br w:val="nil"/>
                    <w:tr2bl w:val="nil"/>
                  </w:tcBorders>
                </w:tcPr>
                <w:p w14:paraId="3A74599D">
                  <w:pPr>
                    <w:pStyle w:val="10"/>
                    <w:shd w:val="clear"/>
                    <w:rPr>
                      <w:sz w:val="18"/>
                      <w:highlight w:val="none"/>
                    </w:rPr>
                  </w:pPr>
                  <w:r>
                    <w:rPr>
                      <w:sz w:val="18"/>
                      <w:highlight w:val="none"/>
                    </w:rPr>
                    <w:t>架空输电线路经过电磁环境敏感目标时，应采取避让或增加导线对地高度等措施，减少电磁环境影响。</w:t>
                  </w:r>
                </w:p>
              </w:tc>
              <w:tc>
                <w:tcPr>
                  <w:tcW w:w="0" w:type="auto"/>
                  <w:tcBorders>
                    <w:tl2br w:val="nil"/>
                    <w:tr2bl w:val="nil"/>
                  </w:tcBorders>
                  <w:vAlign w:val="center"/>
                </w:tcPr>
                <w:p w14:paraId="1C9EBB46">
                  <w:pPr>
                    <w:pStyle w:val="10"/>
                    <w:shd w:val="clear"/>
                    <w:rPr>
                      <w:sz w:val="18"/>
                      <w:highlight w:val="none"/>
                    </w:rPr>
                  </w:pPr>
                  <w:r>
                    <w:rPr>
                      <w:sz w:val="18"/>
                      <w:highlight w:val="none"/>
                    </w:rPr>
                    <w:t>本项目不涉及电磁环境敏感目标</w:t>
                  </w:r>
                </w:p>
              </w:tc>
              <w:tc>
                <w:tcPr>
                  <w:tcW w:w="0" w:type="auto"/>
                  <w:tcBorders>
                    <w:tl2br w:val="nil"/>
                    <w:tr2bl w:val="nil"/>
                  </w:tcBorders>
                  <w:vAlign w:val="center"/>
                </w:tcPr>
                <w:p w14:paraId="10831ABD">
                  <w:pPr>
                    <w:pStyle w:val="10"/>
                    <w:shd w:val="clear"/>
                    <w:rPr>
                      <w:sz w:val="18"/>
                      <w:highlight w:val="none"/>
                    </w:rPr>
                  </w:pPr>
                  <w:r>
                    <w:rPr>
                      <w:sz w:val="18"/>
                      <w:highlight w:val="none"/>
                    </w:rPr>
                    <w:t>符合</w:t>
                  </w:r>
                </w:p>
              </w:tc>
            </w:tr>
            <w:tr w14:paraId="120BA54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38745793">
                  <w:pPr>
                    <w:pStyle w:val="10"/>
                    <w:shd w:val="clear"/>
                    <w:rPr>
                      <w:sz w:val="18"/>
                      <w:highlight w:val="none"/>
                    </w:rPr>
                  </w:pPr>
                </w:p>
              </w:tc>
              <w:tc>
                <w:tcPr>
                  <w:tcW w:w="0" w:type="auto"/>
                  <w:vMerge w:val="continue"/>
                  <w:tcBorders>
                    <w:tl2br w:val="nil"/>
                    <w:tr2bl w:val="nil"/>
                  </w:tcBorders>
                  <w:vAlign w:val="center"/>
                </w:tcPr>
                <w:p w14:paraId="62507D24">
                  <w:pPr>
                    <w:pStyle w:val="10"/>
                    <w:shd w:val="clear"/>
                    <w:rPr>
                      <w:sz w:val="18"/>
                      <w:highlight w:val="none"/>
                    </w:rPr>
                  </w:pPr>
                </w:p>
              </w:tc>
              <w:tc>
                <w:tcPr>
                  <w:tcW w:w="0" w:type="auto"/>
                  <w:vMerge w:val="restart"/>
                  <w:tcBorders>
                    <w:tl2br w:val="nil"/>
                    <w:tr2bl w:val="nil"/>
                  </w:tcBorders>
                  <w:vAlign w:val="center"/>
                </w:tcPr>
                <w:p w14:paraId="44DDA6A5">
                  <w:pPr>
                    <w:pStyle w:val="10"/>
                    <w:shd w:val="clear"/>
                    <w:rPr>
                      <w:sz w:val="18"/>
                      <w:highlight w:val="none"/>
                    </w:rPr>
                  </w:pPr>
                  <w:r>
                    <w:rPr>
                      <w:sz w:val="18"/>
                      <w:highlight w:val="none"/>
                    </w:rPr>
                    <w:t>声环境保护</w:t>
                  </w:r>
                </w:p>
              </w:tc>
              <w:tc>
                <w:tcPr>
                  <w:tcW w:w="0" w:type="auto"/>
                  <w:tcBorders>
                    <w:tl2br w:val="nil"/>
                    <w:tr2bl w:val="nil"/>
                  </w:tcBorders>
                </w:tcPr>
                <w:p w14:paraId="064ED63F">
                  <w:pPr>
                    <w:pStyle w:val="10"/>
                    <w:shd w:val="clear"/>
                    <w:rPr>
                      <w:sz w:val="18"/>
                      <w:highlight w:val="none"/>
                    </w:rPr>
                  </w:pPr>
                  <w:r>
                    <w:rPr>
                      <w:sz w:val="18"/>
                      <w:highlight w:val="none"/>
                    </w:rPr>
                    <w:t>变电工程噪声控制设计应首先从噪声源强上进行控制，选择低噪声设备；对于声源上无法 根治的噪声，应采用隔声、吸声、消声、防振、减振等降噪措施，确保厂界排放噪声和周围声环境敏感目标分别满足GB12348和GB3096要求。</w:t>
                  </w:r>
                </w:p>
              </w:tc>
              <w:tc>
                <w:tcPr>
                  <w:tcW w:w="0" w:type="auto"/>
                  <w:tcBorders>
                    <w:tl2br w:val="nil"/>
                    <w:tr2bl w:val="nil"/>
                  </w:tcBorders>
                  <w:vAlign w:val="center"/>
                </w:tcPr>
                <w:p w14:paraId="197DDB3F">
                  <w:pPr>
                    <w:pStyle w:val="10"/>
                    <w:shd w:val="clear"/>
                    <w:rPr>
                      <w:sz w:val="18"/>
                      <w:highlight w:val="none"/>
                    </w:rPr>
                  </w:pPr>
                  <w:r>
                    <w:rPr>
                      <w:sz w:val="18"/>
                      <w:highlight w:val="none"/>
                    </w:rPr>
                    <w:t>本项目</w:t>
                  </w:r>
                  <w:r>
                    <w:rPr>
                      <w:rFonts w:hint="eastAsia"/>
                      <w:sz w:val="18"/>
                      <w:highlight w:val="none"/>
                      <w:lang w:eastAsia="zh-CN"/>
                    </w:rPr>
                    <w:t>升压站</w:t>
                  </w:r>
                  <w:r>
                    <w:rPr>
                      <w:sz w:val="18"/>
                      <w:highlight w:val="none"/>
                    </w:rPr>
                    <w:t>选择低噪声主变，并从源头上采取隔声、减震、防振的降噪措施，经预测站界可满足GB12348的限值要求。</w:t>
                  </w:r>
                </w:p>
              </w:tc>
              <w:tc>
                <w:tcPr>
                  <w:tcW w:w="0" w:type="auto"/>
                  <w:tcBorders>
                    <w:tl2br w:val="nil"/>
                    <w:tr2bl w:val="nil"/>
                  </w:tcBorders>
                  <w:vAlign w:val="center"/>
                </w:tcPr>
                <w:p w14:paraId="0C50C7BF">
                  <w:pPr>
                    <w:pStyle w:val="10"/>
                    <w:shd w:val="clear"/>
                    <w:rPr>
                      <w:sz w:val="18"/>
                      <w:highlight w:val="none"/>
                    </w:rPr>
                  </w:pPr>
                  <w:r>
                    <w:rPr>
                      <w:sz w:val="18"/>
                      <w:highlight w:val="none"/>
                    </w:rPr>
                    <w:t>符合</w:t>
                  </w:r>
                </w:p>
              </w:tc>
            </w:tr>
            <w:tr w14:paraId="452E12C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63D08C27">
                  <w:pPr>
                    <w:pStyle w:val="10"/>
                    <w:shd w:val="clear"/>
                    <w:rPr>
                      <w:sz w:val="18"/>
                      <w:highlight w:val="none"/>
                    </w:rPr>
                  </w:pPr>
                </w:p>
              </w:tc>
              <w:tc>
                <w:tcPr>
                  <w:tcW w:w="0" w:type="auto"/>
                  <w:vMerge w:val="continue"/>
                  <w:tcBorders>
                    <w:tl2br w:val="nil"/>
                    <w:tr2bl w:val="nil"/>
                  </w:tcBorders>
                  <w:vAlign w:val="center"/>
                </w:tcPr>
                <w:p w14:paraId="529D9B91">
                  <w:pPr>
                    <w:pStyle w:val="10"/>
                    <w:shd w:val="clear"/>
                    <w:rPr>
                      <w:sz w:val="18"/>
                      <w:highlight w:val="none"/>
                    </w:rPr>
                  </w:pPr>
                </w:p>
              </w:tc>
              <w:tc>
                <w:tcPr>
                  <w:tcW w:w="0" w:type="auto"/>
                  <w:vMerge w:val="continue"/>
                  <w:tcBorders>
                    <w:tl2br w:val="nil"/>
                    <w:tr2bl w:val="nil"/>
                  </w:tcBorders>
                  <w:vAlign w:val="center"/>
                </w:tcPr>
                <w:p w14:paraId="0365FCFF">
                  <w:pPr>
                    <w:pStyle w:val="10"/>
                    <w:shd w:val="clear"/>
                    <w:rPr>
                      <w:sz w:val="18"/>
                      <w:highlight w:val="none"/>
                    </w:rPr>
                  </w:pPr>
                </w:p>
              </w:tc>
              <w:tc>
                <w:tcPr>
                  <w:tcW w:w="0" w:type="auto"/>
                  <w:tcBorders>
                    <w:tl2br w:val="nil"/>
                    <w:tr2bl w:val="nil"/>
                  </w:tcBorders>
                </w:tcPr>
                <w:p w14:paraId="7AA764A7">
                  <w:pPr>
                    <w:pStyle w:val="10"/>
                    <w:shd w:val="clear"/>
                    <w:rPr>
                      <w:sz w:val="18"/>
                      <w:highlight w:val="none"/>
                    </w:rPr>
                  </w:pPr>
                  <w:r>
                    <w:rPr>
                      <w:sz w:val="18"/>
                      <w:highlight w:val="none"/>
                    </w:rPr>
                    <w:t>户外变电工程在设计过程中应进行平面布置优化，将主变压器、换流变压器、高压电抗器等主要声源设备布置在站址中央区域或远离站外声环境敏感目标侧的区域。</w:t>
                  </w:r>
                </w:p>
              </w:tc>
              <w:tc>
                <w:tcPr>
                  <w:tcW w:w="0" w:type="auto"/>
                  <w:tcBorders>
                    <w:tl2br w:val="nil"/>
                    <w:tr2bl w:val="nil"/>
                  </w:tcBorders>
                  <w:vAlign w:val="center"/>
                </w:tcPr>
                <w:p w14:paraId="02CD4658">
                  <w:pPr>
                    <w:pStyle w:val="10"/>
                    <w:shd w:val="clear"/>
                    <w:rPr>
                      <w:sz w:val="18"/>
                      <w:highlight w:val="none"/>
                    </w:rPr>
                  </w:pPr>
                  <w:r>
                    <w:rPr>
                      <w:sz w:val="18"/>
                      <w:highlight w:val="none"/>
                    </w:rPr>
                    <w:t>本项目</w:t>
                  </w:r>
                  <w:r>
                    <w:rPr>
                      <w:rFonts w:hint="eastAsia"/>
                      <w:sz w:val="18"/>
                      <w:highlight w:val="none"/>
                      <w:lang w:eastAsia="zh-CN"/>
                    </w:rPr>
                    <w:t>升压站</w:t>
                  </w:r>
                  <w:r>
                    <w:rPr>
                      <w:sz w:val="18"/>
                      <w:highlight w:val="none"/>
                    </w:rPr>
                    <w:t>在设计阶段进行了总平面优化，经预测站界可满足GB12348的限值要求。</w:t>
                  </w:r>
                </w:p>
              </w:tc>
              <w:tc>
                <w:tcPr>
                  <w:tcW w:w="0" w:type="auto"/>
                  <w:tcBorders>
                    <w:tl2br w:val="nil"/>
                    <w:tr2bl w:val="nil"/>
                  </w:tcBorders>
                  <w:vAlign w:val="center"/>
                </w:tcPr>
                <w:p w14:paraId="18105232">
                  <w:pPr>
                    <w:pStyle w:val="10"/>
                    <w:shd w:val="clear"/>
                    <w:rPr>
                      <w:sz w:val="18"/>
                      <w:highlight w:val="none"/>
                    </w:rPr>
                  </w:pPr>
                  <w:r>
                    <w:rPr>
                      <w:sz w:val="18"/>
                      <w:highlight w:val="none"/>
                    </w:rPr>
                    <w:t>符合</w:t>
                  </w:r>
                </w:p>
              </w:tc>
            </w:tr>
            <w:tr w14:paraId="6F72006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1393E34B">
                  <w:pPr>
                    <w:pStyle w:val="10"/>
                    <w:shd w:val="clear"/>
                    <w:rPr>
                      <w:sz w:val="18"/>
                      <w:highlight w:val="none"/>
                    </w:rPr>
                  </w:pPr>
                </w:p>
              </w:tc>
              <w:tc>
                <w:tcPr>
                  <w:tcW w:w="0" w:type="auto"/>
                  <w:vMerge w:val="continue"/>
                  <w:tcBorders>
                    <w:tl2br w:val="nil"/>
                    <w:tr2bl w:val="nil"/>
                  </w:tcBorders>
                  <w:vAlign w:val="center"/>
                </w:tcPr>
                <w:p w14:paraId="2B837D27">
                  <w:pPr>
                    <w:pStyle w:val="10"/>
                    <w:shd w:val="clear"/>
                    <w:rPr>
                      <w:sz w:val="18"/>
                      <w:highlight w:val="none"/>
                    </w:rPr>
                  </w:pPr>
                </w:p>
              </w:tc>
              <w:tc>
                <w:tcPr>
                  <w:tcW w:w="0" w:type="auto"/>
                  <w:vMerge w:val="continue"/>
                  <w:tcBorders>
                    <w:tl2br w:val="nil"/>
                    <w:tr2bl w:val="nil"/>
                  </w:tcBorders>
                  <w:vAlign w:val="center"/>
                </w:tcPr>
                <w:p w14:paraId="6E6510E4">
                  <w:pPr>
                    <w:pStyle w:val="10"/>
                    <w:shd w:val="clear"/>
                    <w:rPr>
                      <w:sz w:val="18"/>
                      <w:highlight w:val="none"/>
                    </w:rPr>
                  </w:pPr>
                </w:p>
              </w:tc>
              <w:tc>
                <w:tcPr>
                  <w:tcW w:w="0" w:type="auto"/>
                  <w:tcBorders>
                    <w:tl2br w:val="nil"/>
                    <w:tr2bl w:val="nil"/>
                  </w:tcBorders>
                </w:tcPr>
                <w:p w14:paraId="3645DEDC">
                  <w:pPr>
                    <w:pStyle w:val="10"/>
                    <w:shd w:val="clear"/>
                    <w:rPr>
                      <w:sz w:val="18"/>
                      <w:highlight w:val="none"/>
                    </w:rPr>
                  </w:pPr>
                  <w:r>
                    <w:rPr>
                      <w:sz w:val="18"/>
                      <w:highlight w:val="none"/>
                    </w:rPr>
                    <w:t>变电工程位于1类或周围噪声敏感建筑物较多的2类声环境功能区时，建设单位应严格控制主变压器、换流变压器、高压电抗器等主要噪声源的噪声水平，并在满足GB12348的基础上保留适当裕度。</w:t>
                  </w:r>
                </w:p>
              </w:tc>
              <w:tc>
                <w:tcPr>
                  <w:tcW w:w="0" w:type="auto"/>
                  <w:tcBorders>
                    <w:tl2br w:val="nil"/>
                    <w:tr2bl w:val="nil"/>
                  </w:tcBorders>
                  <w:vAlign w:val="center"/>
                </w:tcPr>
                <w:p w14:paraId="31836448">
                  <w:pPr>
                    <w:pStyle w:val="10"/>
                    <w:shd w:val="clear"/>
                    <w:rPr>
                      <w:sz w:val="18"/>
                      <w:highlight w:val="none"/>
                    </w:rPr>
                  </w:pPr>
                  <w:r>
                    <w:rPr>
                      <w:sz w:val="18"/>
                      <w:highlight w:val="none"/>
                    </w:rPr>
                    <w:t>本项目升压站位于2类声环境功能区，设计阶段即采取降低主变声源的措施，经预测站界可满足GB12348的限值要求。</w:t>
                  </w:r>
                </w:p>
              </w:tc>
              <w:tc>
                <w:tcPr>
                  <w:tcW w:w="0" w:type="auto"/>
                  <w:tcBorders>
                    <w:tl2br w:val="nil"/>
                    <w:tr2bl w:val="nil"/>
                  </w:tcBorders>
                  <w:vAlign w:val="center"/>
                </w:tcPr>
                <w:p w14:paraId="18AAE724">
                  <w:pPr>
                    <w:pStyle w:val="10"/>
                    <w:shd w:val="clear"/>
                    <w:rPr>
                      <w:sz w:val="18"/>
                      <w:highlight w:val="none"/>
                    </w:rPr>
                  </w:pPr>
                  <w:r>
                    <w:rPr>
                      <w:sz w:val="18"/>
                      <w:highlight w:val="none"/>
                    </w:rPr>
                    <w:t>符合</w:t>
                  </w:r>
                </w:p>
              </w:tc>
            </w:tr>
            <w:tr w14:paraId="26DF1D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038675B2">
                  <w:pPr>
                    <w:pStyle w:val="10"/>
                    <w:shd w:val="clear"/>
                    <w:rPr>
                      <w:sz w:val="18"/>
                      <w:highlight w:val="none"/>
                    </w:rPr>
                  </w:pPr>
                </w:p>
              </w:tc>
              <w:tc>
                <w:tcPr>
                  <w:tcW w:w="0" w:type="auto"/>
                  <w:vMerge w:val="continue"/>
                  <w:tcBorders>
                    <w:tl2br w:val="nil"/>
                    <w:tr2bl w:val="nil"/>
                  </w:tcBorders>
                  <w:vAlign w:val="center"/>
                </w:tcPr>
                <w:p w14:paraId="585DCDF5">
                  <w:pPr>
                    <w:pStyle w:val="10"/>
                    <w:shd w:val="clear"/>
                    <w:rPr>
                      <w:sz w:val="18"/>
                      <w:highlight w:val="none"/>
                    </w:rPr>
                  </w:pPr>
                </w:p>
              </w:tc>
              <w:tc>
                <w:tcPr>
                  <w:tcW w:w="0" w:type="auto"/>
                  <w:vMerge w:val="restart"/>
                  <w:tcBorders>
                    <w:tl2br w:val="nil"/>
                    <w:tr2bl w:val="nil"/>
                  </w:tcBorders>
                  <w:vAlign w:val="center"/>
                </w:tcPr>
                <w:p w14:paraId="21B314DC">
                  <w:pPr>
                    <w:pStyle w:val="10"/>
                    <w:shd w:val="clear"/>
                    <w:rPr>
                      <w:sz w:val="18"/>
                      <w:highlight w:val="none"/>
                    </w:rPr>
                  </w:pPr>
                  <w:r>
                    <w:rPr>
                      <w:sz w:val="18"/>
                      <w:highlight w:val="none"/>
                    </w:rPr>
                    <w:t>生态环境保护</w:t>
                  </w:r>
                </w:p>
              </w:tc>
              <w:tc>
                <w:tcPr>
                  <w:tcW w:w="0" w:type="auto"/>
                  <w:tcBorders>
                    <w:tl2br w:val="nil"/>
                    <w:tr2bl w:val="nil"/>
                  </w:tcBorders>
                </w:tcPr>
                <w:p w14:paraId="6E340221">
                  <w:pPr>
                    <w:pStyle w:val="10"/>
                    <w:shd w:val="clear"/>
                    <w:rPr>
                      <w:sz w:val="18"/>
                      <w:highlight w:val="none"/>
                    </w:rPr>
                  </w:pPr>
                  <w:r>
                    <w:rPr>
                      <w:sz w:val="18"/>
                      <w:highlight w:val="none"/>
                    </w:rPr>
                    <w:t>输变电建设项目临时占地，应因地制宜进行土地功能恢复设计。</w:t>
                  </w:r>
                </w:p>
              </w:tc>
              <w:tc>
                <w:tcPr>
                  <w:tcW w:w="0" w:type="auto"/>
                  <w:tcBorders>
                    <w:tl2br w:val="nil"/>
                    <w:tr2bl w:val="nil"/>
                  </w:tcBorders>
                </w:tcPr>
                <w:p w14:paraId="5C428D65">
                  <w:pPr>
                    <w:pStyle w:val="10"/>
                    <w:shd w:val="clear"/>
                    <w:rPr>
                      <w:sz w:val="18"/>
                      <w:highlight w:val="none"/>
                    </w:rPr>
                  </w:pPr>
                  <w:r>
                    <w:rPr>
                      <w:sz w:val="18"/>
                      <w:highlight w:val="none"/>
                    </w:rPr>
                    <w:t>本项目在施工结束后对占地进行恢复，恢复至原生态、土地功能。</w:t>
                  </w:r>
                </w:p>
              </w:tc>
              <w:tc>
                <w:tcPr>
                  <w:tcW w:w="0" w:type="auto"/>
                  <w:tcBorders>
                    <w:tl2br w:val="nil"/>
                    <w:tr2bl w:val="nil"/>
                  </w:tcBorders>
                  <w:vAlign w:val="center"/>
                </w:tcPr>
                <w:p w14:paraId="00373AA1">
                  <w:pPr>
                    <w:pStyle w:val="10"/>
                    <w:shd w:val="clear"/>
                    <w:rPr>
                      <w:sz w:val="18"/>
                      <w:highlight w:val="none"/>
                    </w:rPr>
                  </w:pPr>
                  <w:r>
                    <w:rPr>
                      <w:sz w:val="18"/>
                      <w:highlight w:val="none"/>
                    </w:rPr>
                    <w:t>符合</w:t>
                  </w:r>
                </w:p>
                <w:p w14:paraId="61D0EB48">
                  <w:pPr>
                    <w:pStyle w:val="10"/>
                    <w:shd w:val="clear"/>
                    <w:rPr>
                      <w:sz w:val="18"/>
                      <w:highlight w:val="none"/>
                    </w:rPr>
                  </w:pPr>
                </w:p>
              </w:tc>
            </w:tr>
            <w:tr w14:paraId="1685B05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5870E36E">
                  <w:pPr>
                    <w:pStyle w:val="10"/>
                    <w:shd w:val="clear"/>
                    <w:rPr>
                      <w:sz w:val="18"/>
                      <w:highlight w:val="none"/>
                    </w:rPr>
                  </w:pPr>
                </w:p>
              </w:tc>
              <w:tc>
                <w:tcPr>
                  <w:tcW w:w="0" w:type="auto"/>
                  <w:vMerge w:val="continue"/>
                  <w:tcBorders>
                    <w:tl2br w:val="nil"/>
                    <w:tr2bl w:val="nil"/>
                  </w:tcBorders>
                  <w:vAlign w:val="center"/>
                </w:tcPr>
                <w:p w14:paraId="7DD1D6FD">
                  <w:pPr>
                    <w:pStyle w:val="10"/>
                    <w:shd w:val="clear"/>
                    <w:rPr>
                      <w:sz w:val="18"/>
                      <w:highlight w:val="none"/>
                    </w:rPr>
                  </w:pPr>
                </w:p>
              </w:tc>
              <w:tc>
                <w:tcPr>
                  <w:tcW w:w="0" w:type="auto"/>
                  <w:vMerge w:val="continue"/>
                  <w:tcBorders>
                    <w:tl2br w:val="nil"/>
                    <w:tr2bl w:val="nil"/>
                  </w:tcBorders>
                  <w:vAlign w:val="center"/>
                </w:tcPr>
                <w:p w14:paraId="7631948E">
                  <w:pPr>
                    <w:pStyle w:val="10"/>
                    <w:shd w:val="clear"/>
                    <w:rPr>
                      <w:sz w:val="18"/>
                      <w:highlight w:val="none"/>
                    </w:rPr>
                  </w:pPr>
                </w:p>
              </w:tc>
              <w:tc>
                <w:tcPr>
                  <w:tcW w:w="0" w:type="auto"/>
                  <w:tcBorders>
                    <w:tl2br w:val="nil"/>
                    <w:tr2bl w:val="nil"/>
                  </w:tcBorders>
                  <w:vAlign w:val="center"/>
                </w:tcPr>
                <w:p w14:paraId="671CF41C">
                  <w:pPr>
                    <w:pStyle w:val="10"/>
                    <w:shd w:val="clear"/>
                    <w:rPr>
                      <w:sz w:val="18"/>
                      <w:highlight w:val="none"/>
                    </w:rPr>
                  </w:pPr>
                  <w:r>
                    <w:rPr>
                      <w:sz w:val="18"/>
                      <w:highlight w:val="none"/>
                    </w:rPr>
                    <w:t>输变电建设项目在设计过程中应按照避让、减缓、恢复的次序提出生态影响防护与恢复的措施。</w:t>
                  </w:r>
                </w:p>
              </w:tc>
              <w:tc>
                <w:tcPr>
                  <w:tcW w:w="0" w:type="auto"/>
                  <w:tcBorders>
                    <w:tl2br w:val="nil"/>
                    <w:tr2bl w:val="nil"/>
                  </w:tcBorders>
                  <w:vAlign w:val="center"/>
                </w:tcPr>
                <w:p w14:paraId="5CCDBEFF">
                  <w:pPr>
                    <w:pStyle w:val="10"/>
                    <w:shd w:val="clear"/>
                    <w:rPr>
                      <w:sz w:val="18"/>
                      <w:highlight w:val="none"/>
                    </w:rPr>
                  </w:pPr>
                  <w:r>
                    <w:rPr>
                      <w:sz w:val="18"/>
                      <w:highlight w:val="none"/>
                    </w:rPr>
                    <w:t>已按照避让、减缓、恢复的次序采取生态影响防护与恢复的措施。</w:t>
                  </w:r>
                </w:p>
              </w:tc>
              <w:tc>
                <w:tcPr>
                  <w:tcW w:w="0" w:type="auto"/>
                  <w:tcBorders>
                    <w:tl2br w:val="nil"/>
                    <w:tr2bl w:val="nil"/>
                  </w:tcBorders>
                  <w:vAlign w:val="center"/>
                </w:tcPr>
                <w:p w14:paraId="5C251AE5">
                  <w:pPr>
                    <w:pStyle w:val="10"/>
                    <w:shd w:val="clear"/>
                    <w:rPr>
                      <w:sz w:val="18"/>
                      <w:highlight w:val="none"/>
                    </w:rPr>
                  </w:pPr>
                  <w:r>
                    <w:rPr>
                      <w:sz w:val="18"/>
                      <w:highlight w:val="none"/>
                    </w:rPr>
                    <w:t>符合</w:t>
                  </w:r>
                </w:p>
              </w:tc>
            </w:tr>
            <w:tr w14:paraId="6027CD3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21CBAC37">
                  <w:pPr>
                    <w:pStyle w:val="10"/>
                    <w:shd w:val="clear"/>
                    <w:rPr>
                      <w:sz w:val="18"/>
                      <w:highlight w:val="none"/>
                    </w:rPr>
                  </w:pPr>
                </w:p>
              </w:tc>
              <w:tc>
                <w:tcPr>
                  <w:tcW w:w="0" w:type="auto"/>
                  <w:vMerge w:val="continue"/>
                  <w:tcBorders>
                    <w:tl2br w:val="nil"/>
                    <w:tr2bl w:val="nil"/>
                  </w:tcBorders>
                  <w:vAlign w:val="center"/>
                </w:tcPr>
                <w:p w14:paraId="1D9A77F3">
                  <w:pPr>
                    <w:pStyle w:val="10"/>
                    <w:shd w:val="clear"/>
                    <w:rPr>
                      <w:sz w:val="18"/>
                      <w:highlight w:val="none"/>
                    </w:rPr>
                  </w:pPr>
                </w:p>
              </w:tc>
              <w:tc>
                <w:tcPr>
                  <w:tcW w:w="0" w:type="auto"/>
                  <w:tcBorders>
                    <w:tl2br w:val="nil"/>
                    <w:tr2bl w:val="nil"/>
                  </w:tcBorders>
                  <w:vAlign w:val="center"/>
                </w:tcPr>
                <w:p w14:paraId="49F86112">
                  <w:pPr>
                    <w:pStyle w:val="10"/>
                    <w:shd w:val="clear"/>
                    <w:rPr>
                      <w:sz w:val="18"/>
                      <w:highlight w:val="none"/>
                    </w:rPr>
                  </w:pPr>
                  <w:r>
                    <w:rPr>
                      <w:sz w:val="18"/>
                      <w:highlight w:val="none"/>
                    </w:rPr>
                    <w:t>水环境保护</w:t>
                  </w:r>
                </w:p>
              </w:tc>
              <w:tc>
                <w:tcPr>
                  <w:tcW w:w="0" w:type="auto"/>
                  <w:tcBorders>
                    <w:tl2br w:val="nil"/>
                    <w:tr2bl w:val="nil"/>
                  </w:tcBorders>
                  <w:vAlign w:val="center"/>
                </w:tcPr>
                <w:p w14:paraId="58B0C76E">
                  <w:pPr>
                    <w:pStyle w:val="10"/>
                    <w:shd w:val="clear"/>
                    <w:rPr>
                      <w:sz w:val="18"/>
                      <w:highlight w:val="none"/>
                    </w:rPr>
                  </w:pPr>
                  <w:r>
                    <w:rPr>
                      <w:sz w:val="18"/>
                      <w:highlight w:val="none"/>
                    </w:rPr>
                    <w:t>变电工程应采取节水措施，加强水的重复利用，减少废（污）水排放。雨水和生活污水应采取分流制。</w:t>
                  </w:r>
                </w:p>
              </w:tc>
              <w:tc>
                <w:tcPr>
                  <w:tcW w:w="0" w:type="auto"/>
                  <w:tcBorders>
                    <w:tl2br w:val="nil"/>
                    <w:tr2bl w:val="nil"/>
                  </w:tcBorders>
                  <w:vAlign w:val="center"/>
                </w:tcPr>
                <w:p w14:paraId="10DFA347">
                  <w:pPr>
                    <w:pStyle w:val="10"/>
                    <w:shd w:val="clear"/>
                    <w:rPr>
                      <w:sz w:val="18"/>
                      <w:highlight w:val="none"/>
                    </w:rPr>
                  </w:pPr>
                  <w:r>
                    <w:rPr>
                      <w:sz w:val="18"/>
                      <w:highlight w:val="none"/>
                    </w:rPr>
                    <w:t>本项目已设计雨水分流，运营期无水污染物排放，对区域水环境无影响。</w:t>
                  </w:r>
                </w:p>
              </w:tc>
              <w:tc>
                <w:tcPr>
                  <w:tcW w:w="0" w:type="auto"/>
                  <w:tcBorders>
                    <w:tl2br w:val="nil"/>
                    <w:tr2bl w:val="nil"/>
                  </w:tcBorders>
                  <w:vAlign w:val="center"/>
                </w:tcPr>
                <w:p w14:paraId="6E8785E0">
                  <w:pPr>
                    <w:pStyle w:val="10"/>
                    <w:shd w:val="clear"/>
                    <w:rPr>
                      <w:sz w:val="18"/>
                      <w:highlight w:val="none"/>
                    </w:rPr>
                  </w:pPr>
                  <w:r>
                    <w:rPr>
                      <w:sz w:val="18"/>
                      <w:highlight w:val="none"/>
                    </w:rPr>
                    <w:t>符合</w:t>
                  </w:r>
                </w:p>
              </w:tc>
            </w:tr>
            <w:tr w14:paraId="4DE20626">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restart"/>
                  <w:tcBorders>
                    <w:tl2br w:val="nil"/>
                    <w:tr2bl w:val="nil"/>
                  </w:tcBorders>
                  <w:vAlign w:val="center"/>
                </w:tcPr>
                <w:p w14:paraId="71F8DE71">
                  <w:pPr>
                    <w:pStyle w:val="10"/>
                    <w:shd w:val="clear"/>
                    <w:rPr>
                      <w:sz w:val="18"/>
                      <w:highlight w:val="none"/>
                    </w:rPr>
                  </w:pPr>
                  <w:r>
                    <w:rPr>
                      <w:sz w:val="18"/>
                      <w:highlight w:val="none"/>
                    </w:rPr>
                    <w:t>3</w:t>
                  </w:r>
                </w:p>
              </w:tc>
              <w:tc>
                <w:tcPr>
                  <w:tcW w:w="0" w:type="auto"/>
                  <w:vMerge w:val="restart"/>
                  <w:tcBorders>
                    <w:tl2br w:val="nil"/>
                    <w:tr2bl w:val="nil"/>
                  </w:tcBorders>
                  <w:vAlign w:val="center"/>
                </w:tcPr>
                <w:p w14:paraId="737A93FA">
                  <w:pPr>
                    <w:pStyle w:val="10"/>
                    <w:shd w:val="clear"/>
                    <w:rPr>
                      <w:sz w:val="18"/>
                      <w:highlight w:val="none"/>
                    </w:rPr>
                  </w:pPr>
                  <w:r>
                    <w:rPr>
                      <w:sz w:val="18"/>
                      <w:highlight w:val="none"/>
                    </w:rPr>
                    <w:t>施工</w:t>
                  </w:r>
                </w:p>
              </w:tc>
              <w:tc>
                <w:tcPr>
                  <w:tcW w:w="0" w:type="auto"/>
                  <w:tcBorders>
                    <w:tl2br w:val="nil"/>
                    <w:tr2bl w:val="nil"/>
                  </w:tcBorders>
                  <w:vAlign w:val="center"/>
                </w:tcPr>
                <w:p w14:paraId="408BD2A2">
                  <w:pPr>
                    <w:pStyle w:val="10"/>
                    <w:shd w:val="clear"/>
                    <w:rPr>
                      <w:sz w:val="18"/>
                      <w:highlight w:val="none"/>
                    </w:rPr>
                  </w:pPr>
                  <w:r>
                    <w:rPr>
                      <w:sz w:val="18"/>
                      <w:highlight w:val="none"/>
                    </w:rPr>
                    <w:t>总体</w:t>
                  </w:r>
                </w:p>
                <w:p w14:paraId="4F1C7195">
                  <w:pPr>
                    <w:pStyle w:val="10"/>
                    <w:shd w:val="clear"/>
                    <w:rPr>
                      <w:sz w:val="18"/>
                      <w:highlight w:val="none"/>
                    </w:rPr>
                  </w:pPr>
                  <w:r>
                    <w:rPr>
                      <w:sz w:val="18"/>
                      <w:highlight w:val="none"/>
                    </w:rPr>
                    <w:t>要求</w:t>
                  </w:r>
                </w:p>
              </w:tc>
              <w:tc>
                <w:tcPr>
                  <w:tcW w:w="0" w:type="auto"/>
                  <w:tcBorders>
                    <w:tl2br w:val="nil"/>
                    <w:tr2bl w:val="nil"/>
                  </w:tcBorders>
                  <w:vAlign w:val="center"/>
                </w:tcPr>
                <w:p w14:paraId="113E4E14">
                  <w:pPr>
                    <w:pStyle w:val="10"/>
                    <w:shd w:val="clear"/>
                    <w:rPr>
                      <w:sz w:val="18"/>
                      <w:highlight w:val="none"/>
                    </w:rPr>
                  </w:pPr>
                  <w:r>
                    <w:rPr>
                      <w:sz w:val="18"/>
                      <w:highlight w:val="none"/>
                    </w:rPr>
                    <w:t>进入自然保护区和饮用水水源保护区等环境敏感区的输电线路，建设单位应加强施工过程的管理，开展环境保护培训，明确保护对象和保护要求，严格控制施工影响范围，确定适宜的施工季节和施工方式，减少对环境保护对象的不利影响。</w:t>
                  </w:r>
                </w:p>
              </w:tc>
              <w:tc>
                <w:tcPr>
                  <w:tcW w:w="0" w:type="auto"/>
                  <w:tcBorders>
                    <w:tl2br w:val="nil"/>
                    <w:tr2bl w:val="nil"/>
                  </w:tcBorders>
                  <w:vAlign w:val="center"/>
                </w:tcPr>
                <w:p w14:paraId="1E460CCA">
                  <w:pPr>
                    <w:pStyle w:val="10"/>
                    <w:shd w:val="clear"/>
                    <w:rPr>
                      <w:sz w:val="18"/>
                      <w:highlight w:val="none"/>
                    </w:rPr>
                  </w:pPr>
                  <w:r>
                    <w:rPr>
                      <w:sz w:val="18"/>
                      <w:highlight w:val="none"/>
                    </w:rPr>
                    <w:t>本项目未涉及。</w:t>
                  </w:r>
                </w:p>
              </w:tc>
              <w:tc>
                <w:tcPr>
                  <w:tcW w:w="0" w:type="auto"/>
                  <w:tcBorders>
                    <w:tl2br w:val="nil"/>
                    <w:tr2bl w:val="nil"/>
                  </w:tcBorders>
                  <w:vAlign w:val="center"/>
                </w:tcPr>
                <w:p w14:paraId="00656BB7">
                  <w:pPr>
                    <w:pStyle w:val="10"/>
                    <w:shd w:val="clear"/>
                    <w:rPr>
                      <w:sz w:val="18"/>
                      <w:highlight w:val="none"/>
                    </w:rPr>
                  </w:pPr>
                  <w:r>
                    <w:rPr>
                      <w:sz w:val="18"/>
                      <w:highlight w:val="none"/>
                    </w:rPr>
                    <w:t>符合</w:t>
                  </w:r>
                </w:p>
              </w:tc>
            </w:tr>
            <w:tr w14:paraId="2BDB90A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7312C242">
                  <w:pPr>
                    <w:pStyle w:val="10"/>
                    <w:shd w:val="clear"/>
                    <w:rPr>
                      <w:sz w:val="18"/>
                      <w:highlight w:val="none"/>
                    </w:rPr>
                  </w:pPr>
                </w:p>
              </w:tc>
              <w:tc>
                <w:tcPr>
                  <w:tcW w:w="0" w:type="auto"/>
                  <w:vMerge w:val="continue"/>
                  <w:tcBorders>
                    <w:tl2br w:val="nil"/>
                    <w:tr2bl w:val="nil"/>
                  </w:tcBorders>
                  <w:vAlign w:val="center"/>
                </w:tcPr>
                <w:p w14:paraId="31B36021">
                  <w:pPr>
                    <w:pStyle w:val="10"/>
                    <w:shd w:val="clear"/>
                    <w:rPr>
                      <w:sz w:val="18"/>
                      <w:highlight w:val="none"/>
                    </w:rPr>
                  </w:pPr>
                </w:p>
              </w:tc>
              <w:tc>
                <w:tcPr>
                  <w:tcW w:w="0" w:type="auto"/>
                  <w:tcBorders>
                    <w:tl2br w:val="nil"/>
                    <w:tr2bl w:val="nil"/>
                  </w:tcBorders>
                  <w:vAlign w:val="center"/>
                </w:tcPr>
                <w:p w14:paraId="497B9918">
                  <w:pPr>
                    <w:pStyle w:val="10"/>
                    <w:shd w:val="clear"/>
                    <w:rPr>
                      <w:sz w:val="18"/>
                      <w:highlight w:val="none"/>
                    </w:rPr>
                  </w:pPr>
                  <w:r>
                    <w:rPr>
                      <w:sz w:val="18"/>
                      <w:highlight w:val="none"/>
                    </w:rPr>
                    <w:t>声环境保护</w:t>
                  </w:r>
                </w:p>
              </w:tc>
              <w:tc>
                <w:tcPr>
                  <w:tcW w:w="0" w:type="auto"/>
                  <w:tcBorders>
                    <w:tl2br w:val="nil"/>
                    <w:tr2bl w:val="nil"/>
                  </w:tcBorders>
                  <w:vAlign w:val="center"/>
                </w:tcPr>
                <w:p w14:paraId="25AD1605">
                  <w:pPr>
                    <w:pStyle w:val="10"/>
                    <w:shd w:val="clear"/>
                    <w:rPr>
                      <w:sz w:val="18"/>
                      <w:highlight w:val="none"/>
                    </w:rPr>
                  </w:pPr>
                  <w:r>
                    <w:rPr>
                      <w:sz w:val="18"/>
                      <w:highlight w:val="none"/>
                    </w:rPr>
                    <w:t>变电工程施工过程中场界环境噪声排放应满足GB 12523中的要求。</w:t>
                  </w:r>
                </w:p>
              </w:tc>
              <w:tc>
                <w:tcPr>
                  <w:tcW w:w="0" w:type="auto"/>
                  <w:tcBorders>
                    <w:tl2br w:val="nil"/>
                    <w:tr2bl w:val="nil"/>
                  </w:tcBorders>
                  <w:vAlign w:val="center"/>
                </w:tcPr>
                <w:p w14:paraId="7C3291A8">
                  <w:pPr>
                    <w:pStyle w:val="10"/>
                    <w:shd w:val="clear"/>
                    <w:rPr>
                      <w:sz w:val="18"/>
                      <w:highlight w:val="none"/>
                    </w:rPr>
                  </w:pPr>
                  <w:r>
                    <w:rPr>
                      <w:sz w:val="18"/>
                      <w:highlight w:val="none"/>
                    </w:rPr>
                    <w:t>本项目施工避免在同一地点安排大量动力机械设备，以避免局部声级过高；遵守作业规定，减少碰撞噪声，减少人为噪声；施工设备应采用低噪声环保型。施工期场界环境噪声执行GB 12523中的要求。</w:t>
                  </w:r>
                </w:p>
              </w:tc>
              <w:tc>
                <w:tcPr>
                  <w:tcW w:w="0" w:type="auto"/>
                  <w:tcBorders>
                    <w:tl2br w:val="nil"/>
                    <w:tr2bl w:val="nil"/>
                  </w:tcBorders>
                  <w:vAlign w:val="center"/>
                </w:tcPr>
                <w:p w14:paraId="3B0AE40D">
                  <w:pPr>
                    <w:pStyle w:val="10"/>
                    <w:shd w:val="clear"/>
                    <w:rPr>
                      <w:sz w:val="18"/>
                      <w:highlight w:val="none"/>
                    </w:rPr>
                  </w:pPr>
                  <w:r>
                    <w:rPr>
                      <w:sz w:val="18"/>
                      <w:highlight w:val="none"/>
                    </w:rPr>
                    <w:t>符合</w:t>
                  </w:r>
                </w:p>
              </w:tc>
            </w:tr>
            <w:tr w14:paraId="6885959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214A2167">
                  <w:pPr>
                    <w:pStyle w:val="10"/>
                    <w:shd w:val="clear"/>
                    <w:rPr>
                      <w:sz w:val="18"/>
                      <w:highlight w:val="none"/>
                    </w:rPr>
                  </w:pPr>
                </w:p>
              </w:tc>
              <w:tc>
                <w:tcPr>
                  <w:tcW w:w="0" w:type="auto"/>
                  <w:vMerge w:val="continue"/>
                  <w:tcBorders>
                    <w:tl2br w:val="nil"/>
                    <w:tr2bl w:val="nil"/>
                  </w:tcBorders>
                  <w:vAlign w:val="center"/>
                </w:tcPr>
                <w:p w14:paraId="33F03D1E">
                  <w:pPr>
                    <w:pStyle w:val="10"/>
                    <w:shd w:val="clear"/>
                    <w:rPr>
                      <w:sz w:val="18"/>
                      <w:highlight w:val="none"/>
                    </w:rPr>
                  </w:pPr>
                </w:p>
              </w:tc>
              <w:tc>
                <w:tcPr>
                  <w:tcW w:w="0" w:type="auto"/>
                  <w:tcBorders>
                    <w:tl2br w:val="nil"/>
                    <w:tr2bl w:val="nil"/>
                  </w:tcBorders>
                  <w:vAlign w:val="center"/>
                </w:tcPr>
                <w:p w14:paraId="2265736E">
                  <w:pPr>
                    <w:pStyle w:val="10"/>
                    <w:shd w:val="clear"/>
                    <w:rPr>
                      <w:sz w:val="18"/>
                      <w:highlight w:val="none"/>
                    </w:rPr>
                  </w:pPr>
                  <w:r>
                    <w:rPr>
                      <w:sz w:val="18"/>
                      <w:highlight w:val="none"/>
                    </w:rPr>
                    <w:t>水环境保护</w:t>
                  </w:r>
                </w:p>
              </w:tc>
              <w:tc>
                <w:tcPr>
                  <w:tcW w:w="0" w:type="auto"/>
                  <w:tcBorders>
                    <w:tl2br w:val="nil"/>
                    <w:tr2bl w:val="nil"/>
                  </w:tcBorders>
                  <w:vAlign w:val="center"/>
                </w:tcPr>
                <w:p w14:paraId="2909FA09">
                  <w:pPr>
                    <w:pStyle w:val="10"/>
                    <w:shd w:val="clear"/>
                    <w:rPr>
                      <w:sz w:val="18"/>
                      <w:highlight w:val="none"/>
                    </w:rPr>
                  </w:pPr>
                  <w:r>
                    <w:rPr>
                      <w:sz w:val="18"/>
                      <w:highlight w:val="none"/>
                    </w:rPr>
                    <w:t>在饮用水水源保护区和其他水体保护区内或附近施工时，应加强管理，做好污水防治措施，确保水环境不受影响。</w:t>
                  </w:r>
                </w:p>
              </w:tc>
              <w:tc>
                <w:tcPr>
                  <w:tcW w:w="0" w:type="auto"/>
                  <w:tcBorders>
                    <w:tl2br w:val="nil"/>
                    <w:tr2bl w:val="nil"/>
                  </w:tcBorders>
                  <w:vAlign w:val="center"/>
                </w:tcPr>
                <w:p w14:paraId="7EC9F226">
                  <w:pPr>
                    <w:pStyle w:val="10"/>
                    <w:shd w:val="clear"/>
                    <w:rPr>
                      <w:sz w:val="18"/>
                      <w:highlight w:val="none"/>
                    </w:rPr>
                  </w:pPr>
                  <w:r>
                    <w:rPr>
                      <w:sz w:val="18"/>
                      <w:highlight w:val="none"/>
                    </w:rPr>
                    <w:t>施工期严格落实各项环保措施最大限度</w:t>
                  </w:r>
                  <w:r>
                    <w:rPr>
                      <w:rFonts w:hint="eastAsia"/>
                      <w:sz w:val="18"/>
                      <w:highlight w:val="none"/>
                      <w:lang w:eastAsia="zh-CN"/>
                    </w:rPr>
                    <w:t>地</w:t>
                  </w:r>
                  <w:r>
                    <w:rPr>
                      <w:sz w:val="18"/>
                      <w:highlight w:val="none"/>
                    </w:rPr>
                    <w:t>减少对水源地的影响。</w:t>
                  </w:r>
                </w:p>
              </w:tc>
              <w:tc>
                <w:tcPr>
                  <w:tcW w:w="0" w:type="auto"/>
                  <w:tcBorders>
                    <w:tl2br w:val="nil"/>
                    <w:tr2bl w:val="nil"/>
                  </w:tcBorders>
                  <w:vAlign w:val="center"/>
                </w:tcPr>
                <w:p w14:paraId="245B9591">
                  <w:pPr>
                    <w:pStyle w:val="10"/>
                    <w:shd w:val="clear"/>
                    <w:rPr>
                      <w:sz w:val="18"/>
                      <w:highlight w:val="none"/>
                    </w:rPr>
                  </w:pPr>
                  <w:r>
                    <w:rPr>
                      <w:sz w:val="18"/>
                      <w:highlight w:val="none"/>
                    </w:rPr>
                    <w:t>符合</w:t>
                  </w:r>
                </w:p>
              </w:tc>
            </w:tr>
            <w:tr w14:paraId="2DD60BF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67C8D1B7">
                  <w:pPr>
                    <w:pStyle w:val="10"/>
                    <w:shd w:val="clear"/>
                    <w:rPr>
                      <w:sz w:val="18"/>
                      <w:highlight w:val="none"/>
                    </w:rPr>
                  </w:pPr>
                </w:p>
              </w:tc>
              <w:tc>
                <w:tcPr>
                  <w:tcW w:w="0" w:type="auto"/>
                  <w:vMerge w:val="continue"/>
                  <w:tcBorders>
                    <w:tl2br w:val="nil"/>
                    <w:tr2bl w:val="nil"/>
                  </w:tcBorders>
                  <w:vAlign w:val="center"/>
                </w:tcPr>
                <w:p w14:paraId="1E225018">
                  <w:pPr>
                    <w:pStyle w:val="10"/>
                    <w:shd w:val="clear"/>
                    <w:rPr>
                      <w:sz w:val="18"/>
                      <w:highlight w:val="none"/>
                    </w:rPr>
                  </w:pPr>
                </w:p>
              </w:tc>
              <w:tc>
                <w:tcPr>
                  <w:tcW w:w="0" w:type="auto"/>
                  <w:tcBorders>
                    <w:tl2br w:val="nil"/>
                    <w:tr2bl w:val="nil"/>
                  </w:tcBorders>
                  <w:vAlign w:val="center"/>
                </w:tcPr>
                <w:p w14:paraId="256770CD">
                  <w:pPr>
                    <w:pStyle w:val="10"/>
                    <w:shd w:val="clear"/>
                    <w:rPr>
                      <w:sz w:val="18"/>
                      <w:highlight w:val="none"/>
                    </w:rPr>
                  </w:pPr>
                  <w:r>
                    <w:rPr>
                      <w:sz w:val="18"/>
                      <w:highlight w:val="none"/>
                    </w:rPr>
                    <w:t>生态环境保护</w:t>
                  </w:r>
                </w:p>
              </w:tc>
              <w:tc>
                <w:tcPr>
                  <w:tcW w:w="0" w:type="auto"/>
                  <w:tcBorders>
                    <w:tl2br w:val="nil"/>
                    <w:tr2bl w:val="nil"/>
                  </w:tcBorders>
                  <w:vAlign w:val="center"/>
                </w:tcPr>
                <w:p w14:paraId="0C5F3846">
                  <w:pPr>
                    <w:pStyle w:val="10"/>
                    <w:shd w:val="clear"/>
                    <w:rPr>
                      <w:sz w:val="18"/>
                      <w:highlight w:val="none"/>
                    </w:rPr>
                  </w:pPr>
                  <w:r>
                    <w:rPr>
                      <w:sz w:val="18"/>
                      <w:highlight w:val="none"/>
                    </w:rPr>
                    <w:t>施工现场使用带油料的机械器具，应采取措施防止油料跑、冒、滴、漏，防止对土壤和水体造成污染。施工结束后，应及时清理施工现场，因地制宜进行土地功能恢复。</w:t>
                  </w:r>
                </w:p>
              </w:tc>
              <w:tc>
                <w:tcPr>
                  <w:tcW w:w="0" w:type="auto"/>
                  <w:tcBorders>
                    <w:tl2br w:val="nil"/>
                    <w:tr2bl w:val="nil"/>
                  </w:tcBorders>
                  <w:vAlign w:val="center"/>
                </w:tcPr>
                <w:p w14:paraId="3BFE9A11">
                  <w:pPr>
                    <w:pStyle w:val="10"/>
                    <w:shd w:val="clear"/>
                    <w:rPr>
                      <w:sz w:val="18"/>
                      <w:highlight w:val="none"/>
                    </w:rPr>
                  </w:pPr>
                  <w:r>
                    <w:rPr>
                      <w:sz w:val="18"/>
                      <w:highlight w:val="none"/>
                    </w:rPr>
                    <w:t>本项目施工期应做好施工机械合理摆放，定期对施工机械进行保养，禁止出现油料跑、冒、滴、漏。施工结束后，及时恢复施工迹地。</w:t>
                  </w:r>
                </w:p>
              </w:tc>
              <w:tc>
                <w:tcPr>
                  <w:tcW w:w="0" w:type="auto"/>
                  <w:tcBorders>
                    <w:tl2br w:val="nil"/>
                    <w:tr2bl w:val="nil"/>
                  </w:tcBorders>
                  <w:vAlign w:val="center"/>
                </w:tcPr>
                <w:p w14:paraId="31694057">
                  <w:pPr>
                    <w:pStyle w:val="10"/>
                    <w:shd w:val="clear"/>
                    <w:rPr>
                      <w:sz w:val="18"/>
                      <w:highlight w:val="none"/>
                    </w:rPr>
                  </w:pPr>
                  <w:r>
                    <w:rPr>
                      <w:sz w:val="18"/>
                      <w:highlight w:val="none"/>
                    </w:rPr>
                    <w:t>符合</w:t>
                  </w:r>
                </w:p>
              </w:tc>
            </w:tr>
            <w:tr w14:paraId="6649B6B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0796E692">
                  <w:pPr>
                    <w:pStyle w:val="10"/>
                    <w:shd w:val="clear"/>
                    <w:rPr>
                      <w:sz w:val="18"/>
                      <w:highlight w:val="none"/>
                    </w:rPr>
                  </w:pPr>
                </w:p>
              </w:tc>
              <w:tc>
                <w:tcPr>
                  <w:tcW w:w="0" w:type="auto"/>
                  <w:vMerge w:val="continue"/>
                  <w:tcBorders>
                    <w:tl2br w:val="nil"/>
                    <w:tr2bl w:val="nil"/>
                  </w:tcBorders>
                  <w:vAlign w:val="center"/>
                </w:tcPr>
                <w:p w14:paraId="4318139B">
                  <w:pPr>
                    <w:pStyle w:val="10"/>
                    <w:shd w:val="clear"/>
                    <w:rPr>
                      <w:sz w:val="18"/>
                      <w:highlight w:val="none"/>
                    </w:rPr>
                  </w:pPr>
                </w:p>
              </w:tc>
              <w:tc>
                <w:tcPr>
                  <w:tcW w:w="0" w:type="auto"/>
                  <w:tcBorders>
                    <w:tl2br w:val="nil"/>
                    <w:tr2bl w:val="nil"/>
                  </w:tcBorders>
                  <w:vAlign w:val="center"/>
                </w:tcPr>
                <w:p w14:paraId="0DB4ED5D">
                  <w:pPr>
                    <w:pStyle w:val="10"/>
                    <w:shd w:val="clear"/>
                    <w:rPr>
                      <w:sz w:val="18"/>
                      <w:highlight w:val="none"/>
                    </w:rPr>
                  </w:pPr>
                  <w:r>
                    <w:rPr>
                      <w:sz w:val="18"/>
                      <w:highlight w:val="none"/>
                    </w:rPr>
                    <w:t>大气环境保护</w:t>
                  </w:r>
                </w:p>
              </w:tc>
              <w:tc>
                <w:tcPr>
                  <w:tcW w:w="0" w:type="auto"/>
                  <w:tcBorders>
                    <w:tl2br w:val="nil"/>
                    <w:tr2bl w:val="nil"/>
                  </w:tcBorders>
                  <w:vAlign w:val="center"/>
                </w:tcPr>
                <w:p w14:paraId="7102CA45">
                  <w:pPr>
                    <w:pStyle w:val="10"/>
                    <w:shd w:val="clear"/>
                    <w:rPr>
                      <w:sz w:val="18"/>
                      <w:highlight w:val="none"/>
                    </w:rPr>
                  </w:pPr>
                  <w:r>
                    <w:rPr>
                      <w:sz w:val="18"/>
                      <w:highlight w:val="none"/>
                    </w:rPr>
                    <w:t>施工过程中，对易起尘的临时堆土、运输过程中的土石方等应采用密闭式防尘布（网）进行苫盖，施工面集中且有条件的地方宜采取洒水降尘等有效措施，减少易造成大气污染的施工作业。</w:t>
                  </w:r>
                </w:p>
              </w:tc>
              <w:tc>
                <w:tcPr>
                  <w:tcW w:w="0" w:type="auto"/>
                  <w:tcBorders>
                    <w:tl2br w:val="nil"/>
                    <w:tr2bl w:val="nil"/>
                  </w:tcBorders>
                  <w:vAlign w:val="center"/>
                </w:tcPr>
                <w:p w14:paraId="1316AFD5">
                  <w:pPr>
                    <w:pStyle w:val="10"/>
                    <w:shd w:val="clear"/>
                    <w:rPr>
                      <w:sz w:val="18"/>
                      <w:highlight w:val="none"/>
                    </w:rPr>
                  </w:pPr>
                  <w:r>
                    <w:rPr>
                      <w:sz w:val="18"/>
                      <w:highlight w:val="none"/>
                    </w:rPr>
                    <w:t>在施工过程中加强对施工现场和物料运输的管理，保持道路清洁，管控料堆和渣土堆放，洒水降尘防止扬尘污染。</w:t>
                  </w:r>
                </w:p>
              </w:tc>
              <w:tc>
                <w:tcPr>
                  <w:tcW w:w="0" w:type="auto"/>
                  <w:tcBorders>
                    <w:tl2br w:val="nil"/>
                    <w:tr2bl w:val="nil"/>
                  </w:tcBorders>
                  <w:vAlign w:val="center"/>
                </w:tcPr>
                <w:p w14:paraId="68642E1B">
                  <w:pPr>
                    <w:pStyle w:val="10"/>
                    <w:shd w:val="clear"/>
                    <w:rPr>
                      <w:sz w:val="18"/>
                      <w:highlight w:val="none"/>
                    </w:rPr>
                  </w:pPr>
                  <w:r>
                    <w:rPr>
                      <w:sz w:val="18"/>
                      <w:highlight w:val="none"/>
                    </w:rPr>
                    <w:t>符合</w:t>
                  </w:r>
                </w:p>
              </w:tc>
            </w:tr>
            <w:tr w14:paraId="371FE5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Borders>
                    <w:tl2br w:val="nil"/>
                    <w:tr2bl w:val="nil"/>
                  </w:tcBorders>
                  <w:vAlign w:val="center"/>
                </w:tcPr>
                <w:p w14:paraId="34F2B24A">
                  <w:pPr>
                    <w:pStyle w:val="10"/>
                    <w:shd w:val="clear"/>
                    <w:rPr>
                      <w:sz w:val="18"/>
                      <w:highlight w:val="none"/>
                    </w:rPr>
                  </w:pPr>
                </w:p>
              </w:tc>
              <w:tc>
                <w:tcPr>
                  <w:tcW w:w="0" w:type="auto"/>
                  <w:vMerge w:val="continue"/>
                  <w:tcBorders>
                    <w:tl2br w:val="nil"/>
                    <w:tr2bl w:val="nil"/>
                  </w:tcBorders>
                  <w:vAlign w:val="center"/>
                </w:tcPr>
                <w:p w14:paraId="5DAEA2BD">
                  <w:pPr>
                    <w:pStyle w:val="10"/>
                    <w:shd w:val="clear"/>
                    <w:rPr>
                      <w:sz w:val="18"/>
                      <w:highlight w:val="none"/>
                    </w:rPr>
                  </w:pPr>
                </w:p>
              </w:tc>
              <w:tc>
                <w:tcPr>
                  <w:tcW w:w="0" w:type="auto"/>
                  <w:tcBorders>
                    <w:tl2br w:val="nil"/>
                    <w:tr2bl w:val="nil"/>
                  </w:tcBorders>
                  <w:vAlign w:val="center"/>
                </w:tcPr>
                <w:p w14:paraId="0FA60F0B">
                  <w:pPr>
                    <w:pStyle w:val="10"/>
                    <w:shd w:val="clear"/>
                    <w:rPr>
                      <w:sz w:val="18"/>
                      <w:highlight w:val="none"/>
                    </w:rPr>
                  </w:pPr>
                  <w:r>
                    <w:rPr>
                      <w:sz w:val="18"/>
                      <w:highlight w:val="none"/>
                    </w:rPr>
                    <w:t>固体废物处置</w:t>
                  </w:r>
                </w:p>
              </w:tc>
              <w:tc>
                <w:tcPr>
                  <w:tcW w:w="0" w:type="auto"/>
                  <w:tcBorders>
                    <w:tl2br w:val="nil"/>
                    <w:tr2bl w:val="nil"/>
                  </w:tcBorders>
                  <w:vAlign w:val="center"/>
                </w:tcPr>
                <w:p w14:paraId="709BDF6D">
                  <w:pPr>
                    <w:pStyle w:val="10"/>
                    <w:shd w:val="clear"/>
                    <w:rPr>
                      <w:sz w:val="18"/>
                      <w:highlight w:val="none"/>
                    </w:rPr>
                  </w:pPr>
                  <w:r>
                    <w:rPr>
                      <w:sz w:val="18"/>
                      <w:highlight w:val="none"/>
                    </w:rPr>
                    <w:t>施工过程中产生的土石方、建筑垃圾、生活垃圾应分类集中收集，并按国家和地方有关规定定期进行清运处置，施工完成后及时做好迹地清理工作。</w:t>
                  </w:r>
                </w:p>
              </w:tc>
              <w:tc>
                <w:tcPr>
                  <w:tcW w:w="0" w:type="auto"/>
                  <w:tcBorders>
                    <w:tl2br w:val="nil"/>
                    <w:tr2bl w:val="nil"/>
                  </w:tcBorders>
                  <w:vAlign w:val="center"/>
                </w:tcPr>
                <w:p w14:paraId="26D74EE9">
                  <w:pPr>
                    <w:pStyle w:val="10"/>
                    <w:shd w:val="clear"/>
                    <w:rPr>
                      <w:sz w:val="18"/>
                      <w:highlight w:val="none"/>
                    </w:rPr>
                  </w:pPr>
                  <w:r>
                    <w:rPr>
                      <w:sz w:val="18"/>
                      <w:highlight w:val="none"/>
                    </w:rPr>
                    <w:t>本项目施工中物料运输采用带篷布的汽车运输；生活垃圾集中收集后由环卫部门拉运；建筑垃圾进行分类收集，对可回收利用部分（如废金属、包装材料等）由施工单位统一回收综合利用，不可回收部分（如废混凝土块、碎砖等）按规定运至当地建筑垃圾消纳场所进行处置，不随意倾倒。</w:t>
                  </w:r>
                </w:p>
              </w:tc>
              <w:tc>
                <w:tcPr>
                  <w:tcW w:w="0" w:type="auto"/>
                  <w:tcBorders>
                    <w:tl2br w:val="nil"/>
                    <w:tr2bl w:val="nil"/>
                  </w:tcBorders>
                  <w:vAlign w:val="center"/>
                </w:tcPr>
                <w:p w14:paraId="2CFB134B">
                  <w:pPr>
                    <w:pStyle w:val="10"/>
                    <w:shd w:val="clear"/>
                    <w:rPr>
                      <w:sz w:val="18"/>
                      <w:highlight w:val="none"/>
                    </w:rPr>
                  </w:pPr>
                  <w:r>
                    <w:rPr>
                      <w:sz w:val="18"/>
                      <w:highlight w:val="none"/>
                    </w:rPr>
                    <w:t>符合</w:t>
                  </w:r>
                </w:p>
              </w:tc>
            </w:tr>
            <w:tr w14:paraId="7BD4C4F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restart"/>
                  <w:tcBorders>
                    <w:tl2br w:val="nil"/>
                    <w:tr2bl w:val="nil"/>
                  </w:tcBorders>
                  <w:vAlign w:val="center"/>
                </w:tcPr>
                <w:p w14:paraId="5DA62EBA">
                  <w:pPr>
                    <w:pStyle w:val="10"/>
                    <w:shd w:val="clear"/>
                    <w:rPr>
                      <w:sz w:val="18"/>
                      <w:highlight w:val="none"/>
                    </w:rPr>
                  </w:pPr>
                  <w:r>
                    <w:rPr>
                      <w:sz w:val="18"/>
                      <w:highlight w:val="none"/>
                    </w:rPr>
                    <w:t>4</w:t>
                  </w:r>
                </w:p>
              </w:tc>
              <w:tc>
                <w:tcPr>
                  <w:tcW w:w="0" w:type="auto"/>
                  <w:gridSpan w:val="2"/>
                  <w:vMerge w:val="restart"/>
                  <w:tcBorders>
                    <w:tl2br w:val="nil"/>
                    <w:tr2bl w:val="nil"/>
                  </w:tcBorders>
                  <w:vAlign w:val="center"/>
                </w:tcPr>
                <w:p w14:paraId="4B5B8C8E">
                  <w:pPr>
                    <w:pStyle w:val="10"/>
                    <w:shd w:val="clear"/>
                    <w:rPr>
                      <w:sz w:val="18"/>
                      <w:highlight w:val="none"/>
                    </w:rPr>
                  </w:pPr>
                  <w:r>
                    <w:rPr>
                      <w:sz w:val="18"/>
                      <w:highlight w:val="none"/>
                    </w:rPr>
                    <w:t>运行</w:t>
                  </w:r>
                </w:p>
              </w:tc>
              <w:tc>
                <w:tcPr>
                  <w:tcW w:w="0" w:type="auto"/>
                  <w:tcBorders>
                    <w:tl2br w:val="nil"/>
                    <w:tr2bl w:val="nil"/>
                  </w:tcBorders>
                  <w:vAlign w:val="center"/>
                </w:tcPr>
                <w:p w14:paraId="122C0E83">
                  <w:pPr>
                    <w:pStyle w:val="10"/>
                    <w:shd w:val="clear"/>
                    <w:rPr>
                      <w:sz w:val="18"/>
                      <w:highlight w:val="none"/>
                    </w:rPr>
                  </w:pPr>
                  <w:r>
                    <w:rPr>
                      <w:sz w:val="18"/>
                      <w:highlight w:val="none"/>
                    </w:rPr>
                    <w:t>运行期做好环境保护设施的维护和运行管理，加强巡查和检查，保障发挥环境保护作用。</w:t>
                  </w:r>
                </w:p>
              </w:tc>
              <w:tc>
                <w:tcPr>
                  <w:tcW w:w="0" w:type="auto"/>
                  <w:tcBorders>
                    <w:tl2br w:val="nil"/>
                    <w:tr2bl w:val="nil"/>
                  </w:tcBorders>
                  <w:vAlign w:val="center"/>
                </w:tcPr>
                <w:p w14:paraId="3F3572C9">
                  <w:pPr>
                    <w:pStyle w:val="10"/>
                    <w:shd w:val="clear"/>
                    <w:rPr>
                      <w:sz w:val="18"/>
                      <w:highlight w:val="none"/>
                    </w:rPr>
                  </w:pPr>
                  <w:r>
                    <w:rPr>
                      <w:sz w:val="18"/>
                      <w:highlight w:val="none"/>
                    </w:rPr>
                    <w:t>本环评要求建设单位应按照环评批复及本环评做好运营期环境监测及定期巡检等工作。</w:t>
                  </w:r>
                </w:p>
              </w:tc>
              <w:tc>
                <w:tcPr>
                  <w:tcW w:w="0" w:type="auto"/>
                  <w:tcBorders>
                    <w:tl2br w:val="nil"/>
                    <w:tr2bl w:val="nil"/>
                  </w:tcBorders>
                  <w:vAlign w:val="center"/>
                </w:tcPr>
                <w:p w14:paraId="00814F88">
                  <w:pPr>
                    <w:pStyle w:val="10"/>
                    <w:shd w:val="clear"/>
                    <w:rPr>
                      <w:sz w:val="18"/>
                      <w:highlight w:val="none"/>
                    </w:rPr>
                  </w:pPr>
                  <w:r>
                    <w:rPr>
                      <w:sz w:val="18"/>
                      <w:highlight w:val="none"/>
                    </w:rPr>
                    <w:t>符合</w:t>
                  </w:r>
                </w:p>
              </w:tc>
            </w:tr>
            <w:tr w14:paraId="59A54D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Pr>
                <w:p w14:paraId="2C94DFD2">
                  <w:pPr>
                    <w:pStyle w:val="10"/>
                    <w:shd w:val="clear"/>
                    <w:rPr>
                      <w:sz w:val="18"/>
                      <w:highlight w:val="none"/>
                    </w:rPr>
                  </w:pPr>
                </w:p>
              </w:tc>
              <w:tc>
                <w:tcPr>
                  <w:tcW w:w="0" w:type="auto"/>
                  <w:gridSpan w:val="2"/>
                  <w:vMerge w:val="continue"/>
                </w:tcPr>
                <w:p w14:paraId="665B4132">
                  <w:pPr>
                    <w:pStyle w:val="10"/>
                    <w:shd w:val="clear"/>
                    <w:rPr>
                      <w:sz w:val="18"/>
                      <w:highlight w:val="none"/>
                    </w:rPr>
                  </w:pPr>
                </w:p>
              </w:tc>
              <w:tc>
                <w:tcPr>
                  <w:tcW w:w="0" w:type="auto"/>
                  <w:vAlign w:val="center"/>
                </w:tcPr>
                <w:p w14:paraId="55E1070F">
                  <w:pPr>
                    <w:pStyle w:val="10"/>
                    <w:shd w:val="clear"/>
                    <w:rPr>
                      <w:sz w:val="18"/>
                      <w:highlight w:val="none"/>
                    </w:rPr>
                  </w:pPr>
                  <w:r>
                    <w:rPr>
                      <w:sz w:val="18"/>
                      <w:highlight w:val="none"/>
                    </w:rPr>
                    <w:t>主要声源设备大修前后，应对变电工程厂界排放噪声和周围声环境敏感目标环境噪声进行监测，监测结果向社会公开。</w:t>
                  </w:r>
                </w:p>
              </w:tc>
              <w:tc>
                <w:tcPr>
                  <w:tcW w:w="0" w:type="auto"/>
                  <w:vAlign w:val="center"/>
                </w:tcPr>
                <w:p w14:paraId="34D8B9DE">
                  <w:pPr>
                    <w:pStyle w:val="10"/>
                    <w:shd w:val="clear"/>
                    <w:rPr>
                      <w:sz w:val="18"/>
                      <w:highlight w:val="none"/>
                    </w:rPr>
                  </w:pPr>
                  <w:r>
                    <w:rPr>
                      <w:sz w:val="18"/>
                      <w:highlight w:val="none"/>
                    </w:rPr>
                    <w:t>本项目按要求开展自行监测计划，并及时向社会公开。</w:t>
                  </w:r>
                </w:p>
              </w:tc>
              <w:tc>
                <w:tcPr>
                  <w:tcW w:w="0" w:type="auto"/>
                </w:tcPr>
                <w:p w14:paraId="795F574E">
                  <w:pPr>
                    <w:pStyle w:val="10"/>
                    <w:shd w:val="clear"/>
                    <w:rPr>
                      <w:sz w:val="18"/>
                      <w:highlight w:val="none"/>
                    </w:rPr>
                  </w:pPr>
                </w:p>
              </w:tc>
            </w:tr>
            <w:tr w14:paraId="3CFDC7F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Pr>
                <w:p w14:paraId="359A7B85">
                  <w:pPr>
                    <w:pStyle w:val="10"/>
                    <w:shd w:val="clear"/>
                    <w:rPr>
                      <w:sz w:val="18"/>
                      <w:highlight w:val="none"/>
                    </w:rPr>
                  </w:pPr>
                </w:p>
              </w:tc>
              <w:tc>
                <w:tcPr>
                  <w:tcW w:w="0" w:type="auto"/>
                  <w:gridSpan w:val="2"/>
                  <w:vMerge w:val="continue"/>
                </w:tcPr>
                <w:p w14:paraId="02815F42">
                  <w:pPr>
                    <w:pStyle w:val="10"/>
                    <w:shd w:val="clear"/>
                    <w:rPr>
                      <w:sz w:val="18"/>
                      <w:highlight w:val="none"/>
                    </w:rPr>
                  </w:pPr>
                </w:p>
              </w:tc>
              <w:tc>
                <w:tcPr>
                  <w:tcW w:w="0" w:type="auto"/>
                  <w:vAlign w:val="center"/>
                </w:tcPr>
                <w:p w14:paraId="38301475">
                  <w:pPr>
                    <w:pStyle w:val="10"/>
                    <w:shd w:val="clear"/>
                    <w:rPr>
                      <w:sz w:val="18"/>
                      <w:highlight w:val="none"/>
                    </w:rPr>
                  </w:pPr>
                  <w:r>
                    <w:rPr>
                      <w:sz w:val="18"/>
                      <w:highlight w:val="none"/>
                    </w:rPr>
                    <w:t>运行期应对事故油池的完好情况进行检查，确保无渗漏、无溢流。</w:t>
                  </w:r>
                </w:p>
              </w:tc>
              <w:tc>
                <w:tcPr>
                  <w:tcW w:w="0" w:type="auto"/>
                  <w:vAlign w:val="center"/>
                </w:tcPr>
                <w:p w14:paraId="278DB02A">
                  <w:pPr>
                    <w:pStyle w:val="10"/>
                    <w:shd w:val="clear"/>
                    <w:rPr>
                      <w:sz w:val="18"/>
                      <w:highlight w:val="none"/>
                    </w:rPr>
                  </w:pPr>
                  <w:r>
                    <w:rPr>
                      <w:sz w:val="18"/>
                      <w:highlight w:val="none"/>
                    </w:rPr>
                    <w:t>本项目要求制定运行制度，定期检查，确保无渗漏、无溢流的情况</w:t>
                  </w:r>
                </w:p>
              </w:tc>
              <w:tc>
                <w:tcPr>
                  <w:tcW w:w="0" w:type="auto"/>
                </w:tcPr>
                <w:p w14:paraId="01ABF5B5">
                  <w:pPr>
                    <w:pStyle w:val="10"/>
                    <w:shd w:val="clear"/>
                    <w:rPr>
                      <w:sz w:val="18"/>
                      <w:highlight w:val="none"/>
                    </w:rPr>
                  </w:pPr>
                </w:p>
              </w:tc>
            </w:tr>
            <w:tr w14:paraId="2B9428B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51" w:type="dxa"/>
                  <w:bottom w:w="0" w:type="dxa"/>
                  <w:right w:w="51" w:type="dxa"/>
                </w:tblCellMar>
              </w:tblPrEx>
              <w:trPr>
                <w:jc w:val="center"/>
              </w:trPr>
              <w:tc>
                <w:tcPr>
                  <w:tcW w:w="0" w:type="auto"/>
                  <w:vMerge w:val="continue"/>
                </w:tcPr>
                <w:p w14:paraId="6EEC4251">
                  <w:pPr>
                    <w:pStyle w:val="10"/>
                    <w:shd w:val="clear"/>
                    <w:rPr>
                      <w:sz w:val="18"/>
                      <w:highlight w:val="none"/>
                    </w:rPr>
                  </w:pPr>
                </w:p>
              </w:tc>
              <w:tc>
                <w:tcPr>
                  <w:tcW w:w="0" w:type="auto"/>
                  <w:gridSpan w:val="2"/>
                  <w:vMerge w:val="continue"/>
                </w:tcPr>
                <w:p w14:paraId="78B8FF21">
                  <w:pPr>
                    <w:pStyle w:val="10"/>
                    <w:shd w:val="clear"/>
                    <w:rPr>
                      <w:sz w:val="18"/>
                      <w:highlight w:val="none"/>
                    </w:rPr>
                  </w:pPr>
                </w:p>
              </w:tc>
              <w:tc>
                <w:tcPr>
                  <w:tcW w:w="0" w:type="auto"/>
                  <w:vAlign w:val="center"/>
                </w:tcPr>
                <w:p w14:paraId="6C208FCB">
                  <w:pPr>
                    <w:pStyle w:val="10"/>
                    <w:shd w:val="clear"/>
                    <w:rPr>
                      <w:sz w:val="18"/>
                      <w:highlight w:val="none"/>
                    </w:rPr>
                  </w:pPr>
                  <w:r>
                    <w:rPr>
                      <w:sz w:val="18"/>
                      <w:highlight w:val="none"/>
                    </w:rPr>
                    <w:t>变电工程运行过程中产生的变压器油、高抗油等矿物油应进行回收处理。废矿物油和废铅酸蓄电池作为危险废物应交由有资质的单位回收处理，严禁随意丢弃。不能立即回收处理的应暂存在危险废物暂存间或暂存区。</w:t>
                  </w:r>
                </w:p>
              </w:tc>
              <w:tc>
                <w:tcPr>
                  <w:tcW w:w="0" w:type="auto"/>
                  <w:vAlign w:val="center"/>
                </w:tcPr>
                <w:p w14:paraId="383953DC">
                  <w:pPr>
                    <w:pStyle w:val="10"/>
                    <w:shd w:val="clear"/>
                    <w:rPr>
                      <w:sz w:val="18"/>
                      <w:highlight w:val="none"/>
                    </w:rPr>
                  </w:pPr>
                  <w:r>
                    <w:rPr>
                      <w:sz w:val="18"/>
                      <w:highlight w:val="none"/>
                    </w:rPr>
                    <w:t>本项目产生的危废委托有资质单位处置。</w:t>
                  </w:r>
                </w:p>
              </w:tc>
              <w:tc>
                <w:tcPr>
                  <w:tcW w:w="0" w:type="auto"/>
                </w:tcPr>
                <w:p w14:paraId="0A52F52B">
                  <w:pPr>
                    <w:pStyle w:val="10"/>
                    <w:shd w:val="clear"/>
                    <w:rPr>
                      <w:sz w:val="18"/>
                      <w:highlight w:val="none"/>
                    </w:rPr>
                  </w:pPr>
                </w:p>
              </w:tc>
            </w:tr>
            <w:tr w14:paraId="571815D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0" w:type="auto"/>
                  <w:vMerge w:val="continue"/>
                </w:tcPr>
                <w:p w14:paraId="6DEAFA3A">
                  <w:pPr>
                    <w:pStyle w:val="10"/>
                    <w:shd w:val="clear"/>
                    <w:rPr>
                      <w:sz w:val="18"/>
                      <w:highlight w:val="none"/>
                    </w:rPr>
                  </w:pPr>
                </w:p>
              </w:tc>
              <w:tc>
                <w:tcPr>
                  <w:tcW w:w="0" w:type="auto"/>
                  <w:gridSpan w:val="2"/>
                  <w:vMerge w:val="continue"/>
                </w:tcPr>
                <w:p w14:paraId="6A8E65AC">
                  <w:pPr>
                    <w:pStyle w:val="10"/>
                    <w:shd w:val="clear"/>
                    <w:rPr>
                      <w:sz w:val="18"/>
                      <w:highlight w:val="none"/>
                    </w:rPr>
                  </w:pPr>
                </w:p>
              </w:tc>
              <w:tc>
                <w:tcPr>
                  <w:tcW w:w="0" w:type="auto"/>
                  <w:vAlign w:val="center"/>
                </w:tcPr>
                <w:p w14:paraId="73DF792F">
                  <w:pPr>
                    <w:pStyle w:val="10"/>
                    <w:shd w:val="clear"/>
                    <w:rPr>
                      <w:sz w:val="18"/>
                      <w:highlight w:val="none"/>
                    </w:rPr>
                  </w:pPr>
                  <w:r>
                    <w:rPr>
                      <w:sz w:val="18"/>
                      <w:highlight w:val="none"/>
                    </w:rPr>
                    <w:t>针对变电工程站内可能发生的突发环境事件，应按照HJ169等国家有关规定制定突发环境事件应急预案，并定期演练。</w:t>
                  </w:r>
                </w:p>
              </w:tc>
              <w:tc>
                <w:tcPr>
                  <w:tcW w:w="0" w:type="auto"/>
                  <w:vAlign w:val="center"/>
                </w:tcPr>
                <w:p w14:paraId="5F38EA05">
                  <w:pPr>
                    <w:pStyle w:val="10"/>
                    <w:shd w:val="clear"/>
                    <w:rPr>
                      <w:sz w:val="18"/>
                      <w:highlight w:val="none"/>
                    </w:rPr>
                  </w:pPr>
                  <w:r>
                    <w:rPr>
                      <w:sz w:val="18"/>
                      <w:highlight w:val="none"/>
                    </w:rPr>
                    <w:t>本环评要求，运营期需编制应急预案，并制定演练计划。</w:t>
                  </w:r>
                </w:p>
              </w:tc>
              <w:tc>
                <w:tcPr>
                  <w:tcW w:w="0" w:type="auto"/>
                </w:tcPr>
                <w:p w14:paraId="2576BC07">
                  <w:pPr>
                    <w:pStyle w:val="10"/>
                    <w:shd w:val="clear"/>
                    <w:rPr>
                      <w:sz w:val="18"/>
                      <w:highlight w:val="none"/>
                    </w:rPr>
                  </w:pPr>
                </w:p>
              </w:tc>
            </w:tr>
          </w:tbl>
          <w:p w14:paraId="4C662758">
            <w:pPr>
              <w:keepNext w:val="0"/>
              <w:keepLines w:val="0"/>
              <w:pageBreakBefore w:val="0"/>
              <w:widowControl w:val="0"/>
              <w:shd w:val="clear"/>
              <w:kinsoku/>
              <w:wordWrap/>
              <w:overflowPunct/>
              <w:topLinePunct w:val="0"/>
              <w:autoSpaceDE/>
              <w:autoSpaceDN/>
              <w:bidi w:val="0"/>
              <w:adjustRightInd w:val="0"/>
              <w:snapToGrid w:val="0"/>
              <w:ind w:firstLine="482" w:firstLineChars="200"/>
              <w:textAlignment w:val="auto"/>
              <w:rPr>
                <w:rFonts w:hint="eastAsia"/>
                <w:b/>
                <w:bCs/>
                <w:highlight w:val="none"/>
              </w:rPr>
            </w:pPr>
            <w:r>
              <w:rPr>
                <w:rFonts w:hint="eastAsia"/>
                <w:b/>
                <w:bCs/>
                <w:highlight w:val="none"/>
              </w:rPr>
              <w:t>5、与防沙治沙相关法规的符合性分析</w:t>
            </w:r>
          </w:p>
          <w:p w14:paraId="46622A72">
            <w:pPr>
              <w:keepNext w:val="0"/>
              <w:keepLines w:val="0"/>
              <w:pageBreakBefore w:val="0"/>
              <w:widowControl w:val="0"/>
              <w:shd w:val="clear"/>
              <w:kinsoku/>
              <w:wordWrap/>
              <w:overflowPunct/>
              <w:topLinePunct w:val="0"/>
              <w:autoSpaceDE/>
              <w:autoSpaceDN/>
              <w:bidi w:val="0"/>
              <w:adjustRightInd w:val="0"/>
              <w:snapToGrid w:val="0"/>
              <w:ind w:firstLine="482" w:firstLineChars="200"/>
              <w:textAlignment w:val="auto"/>
              <w:rPr>
                <w:rFonts w:hint="eastAsia"/>
                <w:b/>
                <w:bCs/>
                <w:highlight w:val="none"/>
              </w:rPr>
            </w:pPr>
            <w:r>
              <w:rPr>
                <w:rFonts w:hint="eastAsia"/>
                <w:b/>
                <w:bCs/>
                <w:highlight w:val="none"/>
              </w:rPr>
              <w:t>（1）与《中华人民共和国防沙治沙法》的符合性分析</w:t>
            </w:r>
          </w:p>
          <w:p w14:paraId="7FF7FA7D">
            <w:pPr>
              <w:keepNext w:val="0"/>
              <w:keepLines w:val="0"/>
              <w:pageBreakBefore w:val="0"/>
              <w:widowControl w:val="0"/>
              <w:shd w:val="clear"/>
              <w:kinsoku/>
              <w:wordWrap/>
              <w:overflowPunct/>
              <w:topLinePunct w:val="0"/>
              <w:autoSpaceDE/>
              <w:autoSpaceDN/>
              <w:bidi w:val="0"/>
              <w:adjustRightInd w:val="0"/>
              <w:snapToGrid w:val="0"/>
              <w:ind w:firstLine="480" w:firstLineChars="200"/>
              <w:textAlignment w:val="auto"/>
              <w:rPr>
                <w:rFonts w:hint="eastAsia"/>
                <w:highlight w:val="none"/>
              </w:rPr>
            </w:pPr>
            <w:r>
              <w:rPr>
                <w:rFonts w:hint="eastAsia"/>
                <w:highlight w:val="none"/>
              </w:rPr>
              <w:t>根据《中华人民共和国防沙治沙法》，在沙化土地范围内从事开发建设活动的，必须事先就该项目可能对当地及相关地区生态环境产生的影响进行环境影响评价，依法提交环境影响报告；环境影响报告应当包括有关防沙治沙的内容。本项目位于新疆巴州尉犁县光伏产业园内，施工期将严格控制施工范围，减少地表扰动，对临时堆土采取密目网</w:t>
            </w:r>
            <w:r>
              <w:rPr>
                <w:rFonts w:hint="eastAsia"/>
                <w:highlight w:val="none"/>
                <w:lang w:eastAsia="zh-CN"/>
              </w:rPr>
              <w:t>苫盖</w:t>
            </w:r>
            <w:r>
              <w:rPr>
                <w:rFonts w:hint="eastAsia"/>
                <w:highlight w:val="none"/>
              </w:rPr>
              <w:t>措施，施工结束后及时进行场地平整，以减少风蚀起沙的可能性。综上，本项目符合《中华人民共和国防沙治沙法》的相关要求。</w:t>
            </w:r>
          </w:p>
          <w:p w14:paraId="0B2E0C52">
            <w:pPr>
              <w:keepNext w:val="0"/>
              <w:keepLines w:val="0"/>
              <w:pageBreakBefore w:val="0"/>
              <w:widowControl w:val="0"/>
              <w:shd w:val="clear"/>
              <w:kinsoku/>
              <w:wordWrap/>
              <w:overflowPunct/>
              <w:topLinePunct w:val="0"/>
              <w:autoSpaceDE/>
              <w:autoSpaceDN/>
              <w:bidi w:val="0"/>
              <w:adjustRightInd w:val="0"/>
              <w:snapToGrid w:val="0"/>
              <w:ind w:firstLine="482" w:firstLineChars="200"/>
              <w:textAlignment w:val="auto"/>
              <w:rPr>
                <w:rFonts w:hint="eastAsia"/>
                <w:b/>
                <w:bCs/>
                <w:highlight w:val="none"/>
              </w:rPr>
            </w:pPr>
            <w:r>
              <w:rPr>
                <w:rFonts w:hint="eastAsia"/>
                <w:b/>
                <w:bCs/>
                <w:highlight w:val="none"/>
              </w:rPr>
              <w:t>（2）与《关于加强沙区建设项目环境影响评价工作的通知》（新环环评发〔2020〕138号）的符合性分析</w:t>
            </w:r>
          </w:p>
          <w:p w14:paraId="520A7C8C">
            <w:pPr>
              <w:keepNext w:val="0"/>
              <w:keepLines w:val="0"/>
              <w:pageBreakBefore w:val="0"/>
              <w:widowControl w:val="0"/>
              <w:shd w:val="clear"/>
              <w:kinsoku/>
              <w:wordWrap/>
              <w:overflowPunct/>
              <w:topLinePunct w:val="0"/>
              <w:autoSpaceDE/>
              <w:autoSpaceDN/>
              <w:bidi w:val="0"/>
              <w:adjustRightInd w:val="0"/>
              <w:snapToGrid w:val="0"/>
              <w:ind w:firstLine="480" w:firstLineChars="200"/>
              <w:textAlignment w:val="auto"/>
              <w:rPr>
                <w:highlight w:val="none"/>
              </w:rPr>
            </w:pPr>
            <w:r>
              <w:rPr>
                <w:rFonts w:hint="eastAsia"/>
                <w:highlight w:val="none"/>
              </w:rPr>
              <w:t>通知要求，加强沙区建设项目环境影响评价，对位于沙化土地封禁保护区、沙化土地一般管控区内的项目，应提出更为严格的生态保护和恢复措施。本项目不涉及沙化土地封禁保护区或一般管控区。为最大程度减少对区域生态环境的影响，本环评提出了严格的施工期管理要求，包括：划定施工作业范围、车辆沿固定路线行驶、临时堆土覆盖、洒水抑尘、施工结束后及时清理场地并恢复地表形态等。通过落实上述措施，可有效防止土地沙化的发生和加剧，符合《关于加强沙区建设项目环境影响评价工作的通知》（新环环评发〔2020〕138号）的管理要求。</w:t>
            </w:r>
          </w:p>
          <w:p w14:paraId="6394D897">
            <w:pPr>
              <w:keepNext w:val="0"/>
              <w:keepLines w:val="0"/>
              <w:pageBreakBefore w:val="0"/>
              <w:widowControl w:val="0"/>
              <w:shd w:val="clear"/>
              <w:kinsoku/>
              <w:wordWrap/>
              <w:overflowPunct/>
              <w:topLinePunct w:val="0"/>
              <w:autoSpaceDE/>
              <w:autoSpaceDN/>
              <w:bidi w:val="0"/>
              <w:adjustRightInd w:val="0"/>
              <w:snapToGrid w:val="0"/>
              <w:ind w:firstLine="482" w:firstLineChars="200"/>
              <w:textAlignment w:val="auto"/>
              <w:rPr>
                <w:rFonts w:hint="eastAsia"/>
                <w:b/>
                <w:bCs/>
                <w:highlight w:val="none"/>
              </w:rPr>
            </w:pPr>
            <w:r>
              <w:rPr>
                <w:rFonts w:hint="eastAsia"/>
                <w:b/>
                <w:bCs/>
                <w:highlight w:val="none"/>
                <w:lang w:val="en-US" w:eastAsia="zh-CN"/>
              </w:rPr>
              <w:t>6、</w:t>
            </w:r>
            <w:r>
              <w:rPr>
                <w:rFonts w:hint="default"/>
                <w:b/>
                <w:bCs/>
                <w:highlight w:val="none"/>
              </w:rPr>
              <w:t>与《尉犁县国土空间总体规划（2021—2035年）》的符合性分析</w:t>
            </w:r>
          </w:p>
          <w:p w14:paraId="1D571277">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尉犁县国土空间总体规划（2021—2035年）》已由巴音郭楞蒙古自治州人民政府以巴政函〔2024〕117号文批复同意实施。《规划》是尉犁县空间发展的指南、可持续发展的空间蓝图，是各类开发保护建设活动的基本依据。</w:t>
            </w:r>
          </w:p>
          <w:p w14:paraId="157997E8">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（1）项目建设符合规划确定的用地性质。 本项目升压站用地位于尉犁县光伏产业园内、X243县道14公里处东侧，已取得尉犁县自然资源局出让的国有建设用地使用权，土地用途为二类工业用地，用地面积1.7855公顷，使用权年限50年。本项目建设内容为独立新型储能项目，属于新能源产业配套设施，用地性质与规划确定的工业用地功能完全一致。</w:t>
            </w:r>
          </w:p>
          <w:p w14:paraId="5CB175E8">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（2）项目建设符合《规划》关于重大基础设施布局的要求。 《规划》第七条规定，重点保障区域重大基础设施建设，完善交通、能源、水利等各类基础设施布局</w:t>
            </w:r>
            <w:r>
              <w:rPr>
                <w:rFonts w:hint="default"/>
                <w:highlight w:val="none"/>
              </w:rPr>
              <w:fldChar w:fldCharType="begin"/>
            </w:r>
            <w:r>
              <w:rPr>
                <w:rFonts w:hint="default"/>
                <w:highlight w:val="none"/>
              </w:rPr>
              <w:instrText xml:space="preserve"> HYPERLINK "http://www.xjbz.gov.cn/xjbz/bzg/202408/7b1c3f16a9924f0da2f7174c1bbbcfa1.shtml" \t "https://chat.deepseek.com/a/chat/s/_blank" </w:instrText>
            </w:r>
            <w:r>
              <w:rPr>
                <w:rFonts w:hint="default"/>
                <w:highlight w:val="none"/>
              </w:rPr>
              <w:fldChar w:fldCharType="separate"/>
            </w:r>
            <w:r>
              <w:rPr>
                <w:rFonts w:hint="default"/>
                <w:highlight w:val="none"/>
              </w:rPr>
              <w:fldChar w:fldCharType="end"/>
            </w:r>
            <w:r>
              <w:rPr>
                <w:rFonts w:hint="default"/>
                <w:highlight w:val="none"/>
              </w:rPr>
              <w:t>。本项目新建一座60MW/240MWh独立新型储能电站并配套建设110kV送出线路，属于区域能源基础设施建设项目，符合《规划》关于保障能源基础设施建设的总体要求。</w:t>
            </w:r>
          </w:p>
          <w:p w14:paraId="730F0BB7">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（3）项目建设落实节约集约用地原则。 本项目充分依托现有光伏产业园基础设施，合理布局，站内道路采用环形布置，最大限度节约土地资源。项目各项用地指标符合《规划》关于落实节约集约发展要求、优化土地资源配置、提高土地利用效益的原则。</w:t>
            </w:r>
          </w:p>
          <w:p w14:paraId="7228FF18">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（4）项目不涉及《规划》划定的保护红线区域。 根据生态环境现状调查，本项目选址不涉及自然保护区、风景名胜区、世界文化和自然遗产地、饮用水水源保护区等环境敏感区，不占用耕地和永久基本农田，不涉及生态保护红线，符合《规划》关于严守生态安全底线的要求。</w:t>
            </w:r>
          </w:p>
          <w:p w14:paraId="3DA280C1">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综上，本项目的建设符合《尉犁县国土空间总体规划（2021—2035年）》的相关要求。</w:t>
            </w:r>
          </w:p>
          <w:p w14:paraId="56041204">
            <w:pPr>
              <w:keepNext w:val="0"/>
              <w:keepLines w:val="0"/>
              <w:pageBreakBefore w:val="0"/>
              <w:widowControl w:val="0"/>
              <w:shd w:val="clear"/>
              <w:kinsoku/>
              <w:wordWrap/>
              <w:overflowPunct/>
              <w:topLinePunct w:val="0"/>
              <w:autoSpaceDE/>
              <w:autoSpaceDN/>
              <w:bidi w:val="0"/>
              <w:adjustRightInd w:val="0"/>
              <w:snapToGrid w:val="0"/>
              <w:ind w:firstLine="482" w:firstLineChars="200"/>
              <w:textAlignment w:val="auto"/>
              <w:rPr>
                <w:rFonts w:hint="default"/>
                <w:b/>
                <w:bCs/>
                <w:highlight w:val="none"/>
              </w:rPr>
            </w:pPr>
            <w:r>
              <w:rPr>
                <w:rFonts w:hint="eastAsia"/>
                <w:b/>
                <w:bCs/>
                <w:highlight w:val="none"/>
                <w:lang w:val="en-US" w:eastAsia="zh-CN"/>
              </w:rPr>
              <w:t>7</w:t>
            </w:r>
            <w:r>
              <w:rPr>
                <w:rFonts w:hint="default"/>
                <w:b/>
                <w:bCs/>
                <w:highlight w:val="none"/>
              </w:rPr>
              <w:t>、与《新疆维吾尔自治区辐射污染防治办法》的符合性分析</w:t>
            </w:r>
          </w:p>
          <w:p w14:paraId="7ED5376F">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《新疆维吾尔自治区辐射污染防治办法》（新疆维吾尔自治区人民政府令第192号）于2015年7月1日起施行，适用于自治区行政区域内放射性污染和电磁辐射污染的防治及其监督管理活动</w:t>
            </w:r>
            <w:r>
              <w:rPr>
                <w:rFonts w:hint="default"/>
                <w:highlight w:val="none"/>
              </w:rPr>
              <w:fldChar w:fldCharType="begin"/>
            </w:r>
            <w:r>
              <w:rPr>
                <w:rFonts w:hint="default"/>
                <w:highlight w:val="none"/>
              </w:rPr>
              <w:instrText xml:space="preserve">HYPERLINK"http://www.xjhbcy.cn/articles/show/1777"\t"https://chat.deepseek.com/a/chat/s/_blank"</w:instrText>
            </w:r>
            <w:r>
              <w:rPr>
                <w:rFonts w:hint="default"/>
                <w:highlight w:val="none"/>
              </w:rPr>
              <w:fldChar w:fldCharType="separate"/>
            </w:r>
            <w:r>
              <w:rPr>
                <w:rFonts w:hint="default"/>
                <w:highlight w:val="none"/>
              </w:rPr>
              <w:fldChar w:fldCharType="end"/>
            </w:r>
            <w:r>
              <w:rPr>
                <w:rFonts w:hint="default"/>
                <w:highlight w:val="none"/>
              </w:rPr>
              <w:t>。《办法》第四条规定，辐射污染防治坚持科学规划、预防为主、防治结合、严格管理、安全第一的原则</w:t>
            </w:r>
            <w:r>
              <w:rPr>
                <w:rFonts w:hint="default"/>
                <w:highlight w:val="none"/>
              </w:rPr>
              <w:fldChar w:fldCharType="begin"/>
            </w:r>
            <w:r>
              <w:rPr>
                <w:rFonts w:hint="default"/>
                <w:highlight w:val="none"/>
              </w:rPr>
              <w:instrText xml:space="preserve">HYPERLINK"http://www.xjhbcy.cn/articles/show/1777"\t"https://chat.deepseek.com/a/chat/s/_blank"</w:instrText>
            </w:r>
            <w:r>
              <w:rPr>
                <w:rFonts w:hint="default"/>
                <w:highlight w:val="none"/>
              </w:rPr>
              <w:fldChar w:fldCharType="separate"/>
            </w:r>
            <w:r>
              <w:rPr>
                <w:rFonts w:hint="default"/>
                <w:highlight w:val="none"/>
              </w:rPr>
              <w:fldChar w:fldCharType="end"/>
            </w:r>
            <w:r>
              <w:rPr>
                <w:rFonts w:hint="default"/>
                <w:highlight w:val="none"/>
              </w:rPr>
              <w:t>。</w:t>
            </w:r>
          </w:p>
          <w:p w14:paraId="2E85150A">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1）落实电磁辐射建设项目的环境影响评价要求。《办法》第二十六条规定，新建、改建、扩建电磁辐射建设项目，应当按照国务院环境保护行政主管部门依法制定并公布的建设项目环境影响评价分类管理名录执行</w:t>
            </w:r>
            <w:r>
              <w:rPr>
                <w:rFonts w:hint="default"/>
                <w:highlight w:val="none"/>
              </w:rPr>
              <w:fldChar w:fldCharType="begin"/>
            </w:r>
            <w:r>
              <w:rPr>
                <w:rFonts w:hint="default"/>
                <w:highlight w:val="none"/>
              </w:rPr>
              <w:instrText xml:space="preserve">HYPERLINK"https://www.xinjiang.gov.cn/xinjiang/gzk/202112/6e55c342c51e470683d645e33413723d.shtml"\t"https://chat.deepseek.com/a/chat/s/_blank"</w:instrText>
            </w:r>
            <w:r>
              <w:rPr>
                <w:rFonts w:hint="default"/>
                <w:highlight w:val="none"/>
              </w:rPr>
              <w:fldChar w:fldCharType="separate"/>
            </w:r>
            <w:r>
              <w:rPr>
                <w:rFonts w:hint="default"/>
                <w:highlight w:val="none"/>
              </w:rPr>
              <w:fldChar w:fldCharType="end"/>
            </w:r>
            <w:r>
              <w:rPr>
                <w:rFonts w:hint="default"/>
                <w:highlight w:val="none"/>
              </w:rPr>
              <w:t>。本项目升压站电压等级为110kV，输电线路长度约5.26km，已按要求编制了《建设项目环境影响报告表》，并设置了电磁环境影响专题评价，符合《办法》第二十六条的要求。</w:t>
            </w:r>
          </w:p>
          <w:p w14:paraId="115DB582">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（2）落实</w:t>
            </w:r>
            <w:r>
              <w:rPr>
                <w:rFonts w:hint="eastAsia"/>
                <w:highlight w:val="none"/>
                <w:lang w:eastAsia="zh-CN"/>
              </w:rPr>
              <w:t>“</w:t>
            </w:r>
            <w:r>
              <w:rPr>
                <w:rFonts w:hint="default"/>
                <w:highlight w:val="none"/>
              </w:rPr>
              <w:t>三同时</w:t>
            </w:r>
            <w:r>
              <w:rPr>
                <w:rFonts w:hint="eastAsia"/>
                <w:highlight w:val="none"/>
                <w:lang w:eastAsia="zh-CN"/>
              </w:rPr>
              <w:t>”</w:t>
            </w:r>
            <w:r>
              <w:rPr>
                <w:rFonts w:hint="default"/>
                <w:highlight w:val="none"/>
              </w:rPr>
              <w:t>制度要求。《办法》第三十一条规定，与电磁辐射建设项目配套建设的电磁辐射防护设施，应当与主体工程同时设计、同时施工、同时使用</w:t>
            </w:r>
            <w:r>
              <w:rPr>
                <w:rFonts w:hint="default"/>
                <w:highlight w:val="none"/>
              </w:rPr>
              <w:fldChar w:fldCharType="begin"/>
            </w:r>
            <w:r>
              <w:rPr>
                <w:rFonts w:hint="default"/>
                <w:highlight w:val="none"/>
              </w:rPr>
              <w:instrText xml:space="preserve">HYPERLINK"https://www.xinjiang.gov.cn/xinjiang/gzk/202112/6e55c342c51e470683d645e33413723d.shtml"\t"https://chat.deepseek.com/a/chat/s/_blank"</w:instrText>
            </w:r>
            <w:r>
              <w:rPr>
                <w:rFonts w:hint="default"/>
                <w:highlight w:val="none"/>
              </w:rPr>
              <w:fldChar w:fldCharType="separate"/>
            </w:r>
            <w:r>
              <w:rPr>
                <w:rFonts w:hint="default"/>
                <w:highlight w:val="none"/>
              </w:rPr>
              <w:fldChar w:fldCharType="end"/>
            </w:r>
            <w:r>
              <w:rPr>
                <w:rFonts w:hint="default"/>
                <w:highlight w:val="none"/>
              </w:rPr>
              <w:t>。本环评报告已提出，运营期将合理布局站内电气设备及配电装置，做好警示和防护指示标志的悬挂设立工作，制定安全操作规程，加强电磁水平监测，并在报告</w:t>
            </w:r>
            <w:r>
              <w:rPr>
                <w:rFonts w:hint="eastAsia"/>
                <w:highlight w:val="none"/>
                <w:lang w:eastAsia="zh-CN"/>
              </w:rPr>
              <w:t>“</w:t>
            </w:r>
            <w:r>
              <w:rPr>
                <w:rFonts w:hint="default"/>
                <w:highlight w:val="none"/>
              </w:rPr>
              <w:t>运营期生态环境保护措施</w:t>
            </w:r>
            <w:r>
              <w:rPr>
                <w:rFonts w:hint="eastAsia"/>
                <w:highlight w:val="none"/>
                <w:lang w:eastAsia="zh-CN"/>
              </w:rPr>
              <w:t>”</w:t>
            </w:r>
            <w:r>
              <w:rPr>
                <w:rFonts w:hint="default"/>
                <w:highlight w:val="none"/>
              </w:rPr>
              <w:t>章节中明确了防护设施与主体工程同步设计、同步施工、同步投入使用的</w:t>
            </w:r>
            <w:r>
              <w:rPr>
                <w:rFonts w:hint="eastAsia"/>
                <w:highlight w:val="none"/>
                <w:lang w:eastAsia="zh-CN"/>
              </w:rPr>
              <w:t>“</w:t>
            </w:r>
            <w:r>
              <w:rPr>
                <w:rFonts w:hint="default"/>
                <w:highlight w:val="none"/>
              </w:rPr>
              <w:t>三同时</w:t>
            </w:r>
            <w:r>
              <w:rPr>
                <w:rFonts w:hint="eastAsia"/>
                <w:highlight w:val="none"/>
                <w:lang w:eastAsia="zh-CN"/>
              </w:rPr>
              <w:t>”</w:t>
            </w:r>
            <w:r>
              <w:rPr>
                <w:rFonts w:hint="default"/>
                <w:highlight w:val="none"/>
              </w:rPr>
              <w:t>要求。</w:t>
            </w:r>
          </w:p>
          <w:p w14:paraId="05270F3B">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3）落实竣工环保验收制度。《办法》第三十二条规定，电磁辐射建设项目竣工后，建设单位应当向审批该建设项目环境影响评价文件的环境保护主管部门提出电磁辐射防护设施竣工验收申请，经验收合格后，方可投入运行</w:t>
            </w:r>
            <w:r>
              <w:rPr>
                <w:rFonts w:hint="default"/>
                <w:highlight w:val="none"/>
              </w:rPr>
              <w:fldChar w:fldCharType="begin"/>
            </w:r>
            <w:r>
              <w:rPr>
                <w:rFonts w:hint="default"/>
                <w:highlight w:val="none"/>
              </w:rPr>
              <w:instrText xml:space="preserve">HYPERLINK"https://www.xinjiang.gov.cn/xinjiang/gzk/202112/6e55c342c51e470683d645e33413723d.shtml"\t"https://chat.deepseek.com/a/chat/s/_blank"</w:instrText>
            </w:r>
            <w:r>
              <w:rPr>
                <w:rFonts w:hint="default"/>
                <w:highlight w:val="none"/>
              </w:rPr>
              <w:fldChar w:fldCharType="separate"/>
            </w:r>
            <w:r>
              <w:rPr>
                <w:rFonts w:hint="default"/>
                <w:highlight w:val="none"/>
              </w:rPr>
              <w:fldChar w:fldCharType="end"/>
            </w:r>
            <w:r>
              <w:rPr>
                <w:rFonts w:hint="default"/>
                <w:highlight w:val="none"/>
              </w:rPr>
              <w:t>。本环评报告</w:t>
            </w:r>
            <w:r>
              <w:rPr>
                <w:rFonts w:hint="eastAsia"/>
                <w:highlight w:val="none"/>
                <w:lang w:eastAsia="zh-CN"/>
              </w:rPr>
              <w:t>“</w:t>
            </w:r>
            <w:r>
              <w:rPr>
                <w:rFonts w:hint="default"/>
                <w:highlight w:val="none"/>
              </w:rPr>
              <w:t>六、生态环境保护措施监督检查清单</w:t>
            </w:r>
            <w:r>
              <w:rPr>
                <w:rFonts w:hint="eastAsia"/>
                <w:highlight w:val="none"/>
                <w:lang w:eastAsia="zh-CN"/>
              </w:rPr>
              <w:t>”</w:t>
            </w:r>
            <w:r>
              <w:rPr>
                <w:rFonts w:hint="default"/>
                <w:highlight w:val="none"/>
              </w:rPr>
              <w:t>，已明确要求建设单位在项目竣工后按规定的标准和程序组织环保设施竣工验收，确保环保设施与主体工程同步投入使用，符合《办法》相关要求。</w:t>
            </w:r>
          </w:p>
          <w:p w14:paraId="084C50E5">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4）落实环境监测制度。《办法》第三十五条规定，从事电磁辐射活动的单位，应当配置相应的电磁辐射监测设备，对本单位电磁辐射设施、设备和周围环境实施监测，并建立监测档案，每2年定期向自治区环境保护主管部门报送监测报告</w:t>
            </w:r>
            <w:r>
              <w:rPr>
                <w:rFonts w:hint="default"/>
                <w:highlight w:val="none"/>
              </w:rPr>
              <w:fldChar w:fldCharType="begin"/>
            </w:r>
            <w:r>
              <w:rPr>
                <w:rFonts w:hint="default"/>
                <w:highlight w:val="none"/>
              </w:rPr>
              <w:instrText xml:space="preserve">HYPERLINK"https://www.xinjiang.gov.cn/xinjiang/gzk/202112/6e55c342c51e470683d645e33413723d.shtml"\t"https://chat.deepseek.com/a/chat/s/_blank"</w:instrText>
            </w:r>
            <w:r>
              <w:rPr>
                <w:rFonts w:hint="default"/>
                <w:highlight w:val="none"/>
              </w:rPr>
              <w:fldChar w:fldCharType="separate"/>
            </w:r>
            <w:r>
              <w:rPr>
                <w:rFonts w:hint="default"/>
                <w:highlight w:val="none"/>
              </w:rPr>
              <w:fldChar w:fldCharType="end"/>
            </w:r>
            <w:r>
              <w:rPr>
                <w:rFonts w:hint="default"/>
                <w:highlight w:val="none"/>
              </w:rPr>
              <w:t>。本环评报告</w:t>
            </w:r>
            <w:r>
              <w:rPr>
                <w:rFonts w:hint="eastAsia"/>
                <w:highlight w:val="none"/>
                <w:lang w:eastAsia="zh-CN"/>
              </w:rPr>
              <w:t>“</w:t>
            </w:r>
            <w:r>
              <w:rPr>
                <w:rFonts w:hint="default"/>
                <w:highlight w:val="none"/>
              </w:rPr>
              <w:t>五、主要生态环境保护措施</w:t>
            </w:r>
            <w:r>
              <w:rPr>
                <w:rFonts w:hint="eastAsia"/>
                <w:highlight w:val="none"/>
                <w:lang w:eastAsia="zh-CN"/>
              </w:rPr>
              <w:t>”</w:t>
            </w:r>
            <w:r>
              <w:rPr>
                <w:rFonts w:hint="default"/>
                <w:highlight w:val="none"/>
              </w:rPr>
              <w:t>中，已制定了运营期自行监测计划，明确了监测因子（工频电场、工频磁场）、监测频次（竣工环保验收时监测一次，出现环保投诉时组织开展监测）及监测点位布设要求，建设单位将落实监测档案管理并按要求定期报送监测信息，符合《办法》要求。</w:t>
            </w:r>
          </w:p>
          <w:p w14:paraId="5FBBDFEE">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（5）落实电磁辐射防护距离要求。《办法》第三十条规定，电磁辐射建设项目或者电磁辐射设备与周围建筑物之间的防护距离，应当符合经批准的环境影响评价文件的要求</w:t>
            </w:r>
            <w:r>
              <w:rPr>
                <w:rFonts w:hint="default"/>
                <w:highlight w:val="none"/>
              </w:rPr>
              <w:fldChar w:fldCharType="begin"/>
            </w:r>
            <w:r>
              <w:rPr>
                <w:rFonts w:hint="default"/>
                <w:highlight w:val="none"/>
              </w:rPr>
              <w:instrText xml:space="preserve">HYPERLINK"https://www.xinjiang.gov.cn/xinjiang/gzk/202112/6e55c342c51e470683d645e33413723d.shtml"\t"https://chat.deepseek.com/a/chat/s/_blank"</w:instrText>
            </w:r>
            <w:r>
              <w:rPr>
                <w:rFonts w:hint="default"/>
                <w:highlight w:val="none"/>
              </w:rPr>
              <w:fldChar w:fldCharType="separate"/>
            </w:r>
            <w:r>
              <w:rPr>
                <w:rFonts w:hint="default"/>
                <w:highlight w:val="none"/>
              </w:rPr>
              <w:fldChar w:fldCharType="end"/>
            </w:r>
            <w:r>
              <w:rPr>
                <w:rFonts w:hint="default"/>
                <w:highlight w:val="none"/>
              </w:rPr>
              <w:t>。根据本环评报告电磁环境影响专题评价的预测分析，本项目架空线路当线高按7.0m计，产生的工频电场强度最大值为2.173kV/m，工频磁感应强度最大值为22.64μT，均满足《电磁环境控制限值》（GB 8702-2014）规定的电场强度≤4000V/m、磁感应强度≤100μT的公众曝露控制限值要求，防护距离符合要求。</w:t>
            </w:r>
          </w:p>
          <w:p w14:paraId="6A173DFD">
            <w:pPr>
              <w:pStyle w:val="32"/>
              <w:keepNext w:val="0"/>
              <w:keepLines w:val="0"/>
              <w:pageBreakBefore w:val="0"/>
              <w:widowControl w:val="0"/>
              <w:shd w:val="clear"/>
              <w:kinsoku/>
              <w:wordWrap/>
              <w:overflowPunct/>
              <w:topLinePunct w:val="0"/>
              <w:autoSpaceDE/>
              <w:autoSpaceDN/>
              <w:bidi w:val="0"/>
              <w:adjustRightInd w:val="0"/>
              <w:snapToGrid w:val="0"/>
              <w:spacing w:after="0"/>
              <w:ind w:left="0" w:leftChars="0" w:firstLine="480" w:firstLineChars="200"/>
              <w:textAlignment w:val="auto"/>
              <w:rPr>
                <w:rFonts w:hint="default"/>
                <w:highlight w:val="none"/>
              </w:rPr>
            </w:pPr>
            <w:r>
              <w:rPr>
                <w:rFonts w:hint="default"/>
                <w:highlight w:val="none"/>
              </w:rPr>
              <w:t>综上，本项目建设符合《新疆维吾尔自治区辐射污染防治办法》的相关要求，项目在环境影响评价、环保设施</w:t>
            </w:r>
            <w:r>
              <w:rPr>
                <w:rFonts w:hint="eastAsia"/>
                <w:highlight w:val="none"/>
                <w:lang w:eastAsia="zh-CN"/>
              </w:rPr>
              <w:t>“</w:t>
            </w:r>
            <w:r>
              <w:rPr>
                <w:rFonts w:hint="default"/>
                <w:highlight w:val="none"/>
              </w:rPr>
              <w:t>三同时</w:t>
            </w:r>
            <w:r>
              <w:rPr>
                <w:rFonts w:hint="eastAsia"/>
                <w:highlight w:val="none"/>
                <w:lang w:eastAsia="zh-CN"/>
              </w:rPr>
              <w:t>”</w:t>
            </w:r>
            <w:r>
              <w:rPr>
                <w:rFonts w:hint="default"/>
                <w:highlight w:val="none"/>
              </w:rPr>
              <w:t>、竣工环保验收、环境监测及防护距离控制等方面均满足规定。</w:t>
            </w:r>
          </w:p>
          <w:p w14:paraId="7758DD79">
            <w:pPr>
              <w:pStyle w:val="32"/>
              <w:shd w:val="clear"/>
              <w:ind w:left="0" w:leftChars="0" w:firstLine="0" w:firstLineChars="0"/>
              <w:rPr>
                <w:highlight w:val="none"/>
              </w:rPr>
            </w:pPr>
          </w:p>
          <w:p w14:paraId="217487DE">
            <w:pPr>
              <w:pStyle w:val="32"/>
              <w:shd w:val="clear"/>
              <w:ind w:left="0" w:leftChars="0" w:firstLine="0" w:firstLineChars="0"/>
              <w:rPr>
                <w:highlight w:val="none"/>
              </w:rPr>
            </w:pPr>
          </w:p>
          <w:p w14:paraId="764B0E19">
            <w:pPr>
              <w:pStyle w:val="32"/>
              <w:shd w:val="clear"/>
              <w:ind w:left="0" w:leftChars="0" w:firstLine="0" w:firstLineChars="0"/>
              <w:rPr>
                <w:highlight w:val="none"/>
              </w:rPr>
            </w:pPr>
          </w:p>
          <w:p w14:paraId="663B28F4">
            <w:pPr>
              <w:pStyle w:val="32"/>
              <w:shd w:val="clear"/>
              <w:ind w:left="0" w:leftChars="0" w:firstLine="0" w:firstLineChars="0"/>
              <w:rPr>
                <w:highlight w:val="none"/>
              </w:rPr>
            </w:pPr>
          </w:p>
          <w:p w14:paraId="16E3138B">
            <w:pPr>
              <w:pStyle w:val="32"/>
              <w:shd w:val="clear"/>
              <w:ind w:left="0" w:leftChars="0" w:firstLine="0" w:firstLineChars="0"/>
              <w:rPr>
                <w:highlight w:val="none"/>
              </w:rPr>
            </w:pPr>
          </w:p>
          <w:p w14:paraId="05E15C00">
            <w:pPr>
              <w:pStyle w:val="32"/>
              <w:shd w:val="clear"/>
              <w:ind w:left="0" w:leftChars="0" w:firstLine="0" w:firstLineChars="0"/>
              <w:rPr>
                <w:highlight w:val="none"/>
              </w:rPr>
            </w:pPr>
          </w:p>
          <w:p w14:paraId="2BF8BB06">
            <w:pPr>
              <w:pStyle w:val="32"/>
              <w:shd w:val="clear"/>
              <w:ind w:left="0" w:leftChars="0" w:firstLine="0" w:firstLineChars="0"/>
              <w:rPr>
                <w:highlight w:val="none"/>
              </w:rPr>
            </w:pPr>
          </w:p>
          <w:p w14:paraId="742D5544">
            <w:pPr>
              <w:pStyle w:val="32"/>
              <w:shd w:val="clear"/>
              <w:ind w:left="0" w:leftChars="0" w:firstLine="0" w:firstLineChars="0"/>
              <w:rPr>
                <w:highlight w:val="none"/>
              </w:rPr>
            </w:pPr>
          </w:p>
          <w:p w14:paraId="31B67A96">
            <w:pPr>
              <w:pStyle w:val="32"/>
              <w:shd w:val="clear"/>
              <w:ind w:left="0" w:leftChars="0" w:firstLine="0" w:firstLineChars="0"/>
              <w:rPr>
                <w:highlight w:val="none"/>
              </w:rPr>
            </w:pPr>
          </w:p>
          <w:p w14:paraId="0C8399AB">
            <w:pPr>
              <w:pStyle w:val="32"/>
              <w:shd w:val="clear"/>
              <w:ind w:left="0" w:leftChars="0" w:firstLine="0" w:firstLineChars="0"/>
              <w:rPr>
                <w:highlight w:val="none"/>
              </w:rPr>
            </w:pPr>
          </w:p>
          <w:p w14:paraId="5D6D2EEB">
            <w:pPr>
              <w:pStyle w:val="32"/>
              <w:shd w:val="clear"/>
              <w:ind w:left="0" w:leftChars="0" w:firstLine="0" w:firstLineChars="0"/>
              <w:rPr>
                <w:highlight w:val="none"/>
              </w:rPr>
            </w:pPr>
          </w:p>
          <w:p w14:paraId="2669813A">
            <w:pPr>
              <w:pStyle w:val="32"/>
              <w:shd w:val="clear"/>
              <w:ind w:left="0" w:leftChars="0" w:firstLine="0" w:firstLineChars="0"/>
              <w:rPr>
                <w:highlight w:val="none"/>
              </w:rPr>
            </w:pPr>
          </w:p>
          <w:p w14:paraId="40F0F481">
            <w:pPr>
              <w:pStyle w:val="32"/>
              <w:shd w:val="clear"/>
              <w:ind w:left="0" w:leftChars="0" w:firstLine="0" w:firstLineChars="0"/>
              <w:rPr>
                <w:highlight w:val="none"/>
              </w:rPr>
            </w:pPr>
          </w:p>
          <w:p w14:paraId="0D886069">
            <w:pPr>
              <w:pStyle w:val="32"/>
              <w:shd w:val="clear"/>
              <w:ind w:left="0" w:leftChars="0" w:firstLine="0" w:firstLineChars="0"/>
              <w:rPr>
                <w:highlight w:val="none"/>
              </w:rPr>
            </w:pPr>
          </w:p>
          <w:p w14:paraId="4301614F">
            <w:pPr>
              <w:pStyle w:val="32"/>
              <w:shd w:val="clear"/>
              <w:ind w:left="0" w:leftChars="0" w:firstLine="0" w:firstLineChars="0"/>
              <w:rPr>
                <w:highlight w:val="none"/>
              </w:rPr>
            </w:pPr>
          </w:p>
          <w:p w14:paraId="5D492CD8">
            <w:pPr>
              <w:pStyle w:val="32"/>
              <w:shd w:val="clear"/>
              <w:ind w:left="0" w:leftChars="0" w:firstLine="0" w:firstLineChars="0"/>
              <w:rPr>
                <w:highlight w:val="none"/>
              </w:rPr>
            </w:pPr>
          </w:p>
          <w:p w14:paraId="6E24DD32">
            <w:pPr>
              <w:pStyle w:val="32"/>
              <w:shd w:val="clear"/>
              <w:ind w:left="0" w:leftChars="0" w:firstLine="0" w:firstLineChars="0"/>
              <w:rPr>
                <w:highlight w:val="none"/>
              </w:rPr>
            </w:pPr>
          </w:p>
          <w:p w14:paraId="5323F640">
            <w:pPr>
              <w:pStyle w:val="32"/>
              <w:shd w:val="clear"/>
              <w:ind w:left="0" w:leftChars="0" w:firstLine="0" w:firstLineChars="0"/>
              <w:rPr>
                <w:highlight w:val="none"/>
              </w:rPr>
            </w:pPr>
          </w:p>
          <w:p w14:paraId="206A0841">
            <w:pPr>
              <w:pStyle w:val="32"/>
              <w:shd w:val="clear"/>
              <w:ind w:left="0" w:leftChars="0" w:firstLine="0" w:firstLineChars="0"/>
              <w:rPr>
                <w:highlight w:val="none"/>
              </w:rPr>
            </w:pPr>
          </w:p>
          <w:p w14:paraId="6E9D6E05">
            <w:pPr>
              <w:pStyle w:val="32"/>
              <w:shd w:val="clear"/>
              <w:ind w:left="0" w:leftChars="0" w:firstLine="0" w:firstLineChars="0"/>
              <w:rPr>
                <w:highlight w:val="none"/>
              </w:rPr>
            </w:pPr>
          </w:p>
          <w:p w14:paraId="76DE4876">
            <w:pPr>
              <w:pStyle w:val="32"/>
              <w:shd w:val="clear"/>
              <w:ind w:left="0" w:leftChars="0" w:firstLine="0" w:firstLineChars="0"/>
              <w:rPr>
                <w:highlight w:val="none"/>
              </w:rPr>
            </w:pPr>
          </w:p>
          <w:p w14:paraId="0F52DF1B">
            <w:pPr>
              <w:pStyle w:val="32"/>
              <w:shd w:val="clear"/>
              <w:ind w:left="0" w:leftChars="0" w:firstLine="0" w:firstLineChars="0"/>
              <w:rPr>
                <w:highlight w:val="none"/>
              </w:rPr>
            </w:pPr>
          </w:p>
        </w:tc>
      </w:tr>
    </w:tbl>
    <w:p w14:paraId="473A5731">
      <w:pPr>
        <w:shd w:val="clear"/>
        <w:outlineLvl w:val="0"/>
        <w:rPr>
          <w:sz w:val="30"/>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242FDE40">
      <w:pPr>
        <w:pStyle w:val="28"/>
        <w:shd w:val="clear"/>
        <w:spacing w:before="0" w:beforeAutospacing="0" w:after="0" w:afterAutospacing="0"/>
        <w:jc w:val="center"/>
        <w:outlineLvl w:val="0"/>
        <w:rPr>
          <w:rFonts w:ascii="Times New Roman" w:hAnsi="Times New Roman"/>
          <w:snapToGrid w:val="0"/>
          <w:sz w:val="30"/>
          <w:szCs w:val="30"/>
          <w:highlight w:val="none"/>
        </w:rPr>
      </w:pPr>
      <w:bookmarkStart w:id="19" w:name="_Toc27696"/>
      <w:bookmarkStart w:id="20" w:name="_Toc18191"/>
      <w:bookmarkStart w:id="21" w:name="_Toc9091"/>
      <w:bookmarkStart w:id="22" w:name="_Toc20797"/>
      <w:r>
        <w:rPr>
          <w:rFonts w:ascii="Times New Roman" w:hAnsi="Times New Roman"/>
          <w:snapToGrid w:val="0"/>
          <w:sz w:val="30"/>
          <w:szCs w:val="30"/>
          <w:highlight w:val="none"/>
        </w:rPr>
        <w:t>二、建设内容</w:t>
      </w:r>
      <w:bookmarkEnd w:id="19"/>
      <w:bookmarkEnd w:id="20"/>
      <w:bookmarkEnd w:id="21"/>
      <w:bookmarkEnd w:id="22"/>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5"/>
      </w:tblGrid>
      <w:tr w14:paraId="53588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14:paraId="5B6E02DB">
            <w:pPr>
              <w:shd w:val="clear"/>
              <w:ind w:firstLine="0" w:firstLineChars="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地理位置</w:t>
            </w:r>
          </w:p>
        </w:tc>
        <w:tc>
          <w:tcPr>
            <w:tcW w:w="8065" w:type="dxa"/>
            <w:vAlign w:val="center"/>
          </w:tcPr>
          <w:p w14:paraId="267081F2">
            <w:pPr>
              <w:shd w:val="clear"/>
              <w:autoSpaceDE w:val="0"/>
              <w:autoSpaceDN w:val="0"/>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升压站</w:t>
            </w:r>
          </w:p>
          <w:p w14:paraId="4535FA74">
            <w:pPr>
              <w:shd w:val="clear"/>
              <w:ind w:firstLine="48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110kV升压站</w:t>
            </w:r>
            <w:r>
              <w:rPr>
                <w:rFonts w:hint="eastAsia" w:cs="Times New Roman"/>
                <w:color w:val="000000" w:themeColor="text1"/>
                <w:highlight w:val="none"/>
                <w:lang w:eastAsia="zh-CN"/>
                <w14:textFill>
                  <w14:solidFill>
                    <w14:schemeClr w14:val="tx1"/>
                  </w14:solidFill>
                </w14:textFill>
              </w:rPr>
              <w:t>位于</w:t>
            </w:r>
            <w:r>
              <w:rPr>
                <w:rFonts w:hint="default" w:ascii="Times New Roman" w:hAnsi="Times New Roman" w:cs="Times New Roman"/>
                <w:color w:val="000000" w:themeColor="text1"/>
                <w:highlight w:val="none"/>
                <w14:textFill>
                  <w14:solidFill>
                    <w14:schemeClr w14:val="tx1"/>
                  </w14:solidFill>
                </w14:textFill>
              </w:rPr>
              <w:t>新疆巴州尉犁县光伏产业园内、X243县道14公里处东侧，</w:t>
            </w:r>
            <w:r>
              <w:rPr>
                <w:rFonts w:hint="eastAsia" w:cs="Times New Roman"/>
                <w:color w:val="000000" w:themeColor="text1"/>
                <w:highlight w:val="none"/>
                <w:lang w:val="en-US" w:eastAsia="zh-CN"/>
                <w14:textFill>
                  <w14:solidFill>
                    <w14:schemeClr w14:val="tx1"/>
                  </w14:solidFill>
                </w14:textFill>
              </w:rPr>
              <w:t>升压站</w:t>
            </w:r>
            <w:r>
              <w:rPr>
                <w:rFonts w:hint="default" w:ascii="Times New Roman" w:hAnsi="Times New Roman" w:cs="Times New Roman"/>
                <w:color w:val="000000" w:themeColor="text1"/>
                <w:highlight w:val="none"/>
                <w:lang w:val="en-US" w:eastAsia="zh-CN"/>
                <w14:textFill>
                  <w14:solidFill>
                    <w14:schemeClr w14:val="tx1"/>
                  </w14:solidFill>
                </w14:textFill>
              </w:rPr>
              <w:t>中心坐标为</w:t>
            </w:r>
            <w:r>
              <w:rPr>
                <w:rFonts w:hint="eastAsia"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lang w:val="en-US" w:eastAsia="zh-CN"/>
                <w14:textFill>
                  <w14:solidFill>
                    <w14:schemeClr w14:val="tx1"/>
                  </w14:solidFill>
                </w14:textFill>
              </w:rPr>
              <w:t>东经86°24′34.645″，北纬41°21′20.404″</w:t>
            </w:r>
            <w:r>
              <w:rPr>
                <w:rFonts w:hint="eastAsia" w:ascii="Times New Roman" w:hAnsi="Times New Roman" w:cs="Times New Roman"/>
                <w:color w:val="000000" w:themeColor="text1"/>
                <w:highlight w:val="none"/>
                <w:lang w:val="en-US" w:eastAsia="zh-CN"/>
                <w14:textFill>
                  <w14:solidFill>
                    <w14:schemeClr w14:val="tx1"/>
                  </w14:solidFill>
                </w14:textFill>
              </w:rPr>
              <w:t>。</w:t>
            </w:r>
          </w:p>
          <w:p w14:paraId="42D6104D">
            <w:pPr>
              <w:shd w:val="clear"/>
              <w:autoSpaceDE w:val="0"/>
              <w:autoSpaceDN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（2）输电线路</w:t>
            </w:r>
          </w:p>
          <w:p w14:paraId="293C43D9">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本项目输电线路起点为新建储能站—终点为110kV塔里木光伏站，输出线路起点坐标：东经85°24′32.620″，北纬41°45′35.760″，终点坐标：东经85°23′26.645″北纬41°46′53.799″。</w:t>
            </w:r>
          </w:p>
          <w:p w14:paraId="0803A890">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表2-1                    塔基中心坐标一览表</w:t>
            </w:r>
          </w:p>
          <w:tbl>
            <w:tblPr>
              <w:tblStyle w:val="3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913"/>
              <w:gridCol w:w="2390"/>
              <w:gridCol w:w="2391"/>
            </w:tblGrid>
            <w:tr w14:paraId="2B35B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0F664FCB">
                  <w:pPr>
                    <w:widowControl/>
                    <w:shd w:val="clear"/>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序号</w:t>
                  </w:r>
                </w:p>
              </w:tc>
              <w:tc>
                <w:tcPr>
                  <w:tcW w:w="1911" w:type="dxa"/>
                  <w:tcBorders>
                    <w:tl2br w:val="nil"/>
                    <w:tr2bl w:val="nil"/>
                  </w:tcBorders>
                  <w:vAlign w:val="center"/>
                </w:tcPr>
                <w:p w14:paraId="630FCA0E">
                  <w:pPr>
                    <w:widowControl/>
                    <w:shd w:val="clear"/>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塔杆编号</w:t>
                  </w:r>
                </w:p>
              </w:tc>
              <w:tc>
                <w:tcPr>
                  <w:tcW w:w="2388" w:type="dxa"/>
                  <w:tcBorders>
                    <w:tl2br w:val="nil"/>
                    <w:tr2bl w:val="nil"/>
                  </w:tcBorders>
                  <w:vAlign w:val="center"/>
                </w:tcPr>
                <w:p w14:paraId="6FC75479">
                  <w:pPr>
                    <w:widowControl/>
                    <w:shd w:val="clear"/>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纬度</w:t>
                  </w:r>
                </w:p>
              </w:tc>
              <w:tc>
                <w:tcPr>
                  <w:tcW w:w="2388" w:type="dxa"/>
                  <w:tcBorders>
                    <w:tl2br w:val="nil"/>
                    <w:tr2bl w:val="nil"/>
                  </w:tcBorders>
                  <w:vAlign w:val="center"/>
                </w:tcPr>
                <w:p w14:paraId="4D009A8C">
                  <w:pPr>
                    <w:widowControl/>
                    <w:shd w:val="clear"/>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b/>
                      <w:bCs/>
                      <w:color w:val="000000" w:themeColor="text1"/>
                      <w:kern w:val="0"/>
                      <w:sz w:val="21"/>
                      <w:szCs w:val="21"/>
                      <w:highlight w:val="none"/>
                      <w:lang w:bidi="ar"/>
                      <w14:textFill>
                        <w14:solidFill>
                          <w14:schemeClr w14:val="tx1"/>
                        </w14:solidFill>
                      </w14:textFill>
                    </w:rPr>
                    <w:t>经度</w:t>
                  </w:r>
                </w:p>
              </w:tc>
            </w:tr>
            <w:tr w14:paraId="31A13A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46F82B03">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w:t>
                  </w:r>
                </w:p>
              </w:tc>
              <w:tc>
                <w:tcPr>
                  <w:tcW w:w="1911" w:type="dxa"/>
                  <w:tcBorders>
                    <w:tl2br w:val="nil"/>
                    <w:tr2bl w:val="nil"/>
                  </w:tcBorders>
                  <w:vAlign w:val="center"/>
                </w:tcPr>
                <w:p w14:paraId="3996F2F9">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w:t>
                  </w:r>
                </w:p>
              </w:tc>
              <w:tc>
                <w:tcPr>
                  <w:tcW w:w="2388" w:type="dxa"/>
                  <w:tcBorders>
                    <w:tl2br w:val="nil"/>
                    <w:tr2bl w:val="nil"/>
                  </w:tcBorders>
                  <w:vAlign w:val="center"/>
                </w:tcPr>
                <w:p w14:paraId="6EF40EF9">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41°21′16.17″</w:t>
                  </w:r>
                </w:p>
              </w:tc>
              <w:tc>
                <w:tcPr>
                  <w:tcW w:w="2388" w:type="dxa"/>
                  <w:tcBorders>
                    <w:tl2br w:val="nil"/>
                    <w:tr2bl w:val="nil"/>
                  </w:tcBorders>
                  <w:vAlign w:val="center"/>
                </w:tcPr>
                <w:p w14:paraId="23EF6277">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86°24′33.84″</w:t>
                  </w:r>
                </w:p>
              </w:tc>
            </w:tr>
            <w:tr w14:paraId="0F469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1149A290">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w:t>
                  </w:r>
                </w:p>
              </w:tc>
              <w:tc>
                <w:tcPr>
                  <w:tcW w:w="1911" w:type="dxa"/>
                  <w:tcBorders>
                    <w:tl2br w:val="nil"/>
                    <w:tr2bl w:val="nil"/>
                  </w:tcBorders>
                  <w:vAlign w:val="center"/>
                </w:tcPr>
                <w:p w14:paraId="50EE2370">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2#</w:t>
                  </w:r>
                </w:p>
              </w:tc>
              <w:tc>
                <w:tcPr>
                  <w:tcW w:w="2388" w:type="dxa"/>
                  <w:tcBorders>
                    <w:tl2br w:val="nil"/>
                    <w:tr2bl w:val="nil"/>
                  </w:tcBorders>
                  <w:vAlign w:val="center"/>
                </w:tcPr>
                <w:p w14:paraId="5AD25135">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41°21′12.50″</w:t>
                  </w:r>
                </w:p>
              </w:tc>
              <w:tc>
                <w:tcPr>
                  <w:tcW w:w="2388" w:type="dxa"/>
                  <w:tcBorders>
                    <w:tl2br w:val="nil"/>
                    <w:tr2bl w:val="nil"/>
                  </w:tcBorders>
                  <w:vAlign w:val="center"/>
                </w:tcPr>
                <w:p w14:paraId="51825012">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86°24′31.32″</w:t>
                  </w:r>
                </w:p>
              </w:tc>
            </w:tr>
            <w:tr w14:paraId="0D8634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2268ACBB">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3</w:t>
                  </w:r>
                </w:p>
              </w:tc>
              <w:tc>
                <w:tcPr>
                  <w:tcW w:w="1911" w:type="dxa"/>
                  <w:tcBorders>
                    <w:tl2br w:val="nil"/>
                    <w:tr2bl w:val="nil"/>
                  </w:tcBorders>
                  <w:vAlign w:val="center"/>
                </w:tcPr>
                <w:p w14:paraId="24B754F5">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3#</w:t>
                  </w:r>
                </w:p>
              </w:tc>
              <w:tc>
                <w:tcPr>
                  <w:tcW w:w="2388" w:type="dxa"/>
                  <w:tcBorders>
                    <w:tl2br w:val="nil"/>
                    <w:tr2bl w:val="nil"/>
                  </w:tcBorders>
                  <w:vAlign w:val="center"/>
                </w:tcPr>
                <w:p w14:paraId="2842F85F">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41°21′03.93″</w:t>
                  </w:r>
                </w:p>
              </w:tc>
              <w:tc>
                <w:tcPr>
                  <w:tcW w:w="2388" w:type="dxa"/>
                  <w:tcBorders>
                    <w:tl2br w:val="nil"/>
                    <w:tr2bl w:val="nil"/>
                  </w:tcBorders>
                  <w:vAlign w:val="center"/>
                </w:tcPr>
                <w:p w14:paraId="2C3F2549">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86°24′41.36″</w:t>
                  </w:r>
                </w:p>
              </w:tc>
            </w:tr>
            <w:tr w14:paraId="61E426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708656C4">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w:t>
                  </w:r>
                </w:p>
              </w:tc>
              <w:tc>
                <w:tcPr>
                  <w:tcW w:w="1911" w:type="dxa"/>
                  <w:tcBorders>
                    <w:tl2br w:val="nil"/>
                    <w:tr2bl w:val="nil"/>
                  </w:tcBorders>
                  <w:vAlign w:val="center"/>
                </w:tcPr>
                <w:p w14:paraId="6CBB8AD2">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w:t>
                  </w:r>
                </w:p>
              </w:tc>
              <w:tc>
                <w:tcPr>
                  <w:tcW w:w="2388" w:type="dxa"/>
                  <w:tcBorders>
                    <w:tl2br w:val="nil"/>
                    <w:tr2bl w:val="nil"/>
                  </w:tcBorders>
                  <w:vAlign w:val="center"/>
                </w:tcPr>
                <w:p w14:paraId="71C99099">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41°20′55.56″</w:t>
                  </w:r>
                </w:p>
              </w:tc>
              <w:tc>
                <w:tcPr>
                  <w:tcW w:w="2388" w:type="dxa"/>
                  <w:tcBorders>
                    <w:tl2br w:val="nil"/>
                    <w:tr2bl w:val="nil"/>
                  </w:tcBorders>
                  <w:vAlign w:val="center"/>
                </w:tcPr>
                <w:p w14:paraId="5CBD3697">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86°24′47.79″</w:t>
                  </w:r>
                </w:p>
              </w:tc>
            </w:tr>
            <w:tr w14:paraId="628C9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08999F10">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5</w:t>
                  </w:r>
                </w:p>
              </w:tc>
              <w:tc>
                <w:tcPr>
                  <w:tcW w:w="1911" w:type="dxa"/>
                  <w:tcBorders>
                    <w:tl2br w:val="nil"/>
                    <w:tr2bl w:val="nil"/>
                  </w:tcBorders>
                  <w:vAlign w:val="center"/>
                </w:tcPr>
                <w:p w14:paraId="0877CEF4">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5#</w:t>
                  </w:r>
                </w:p>
              </w:tc>
              <w:tc>
                <w:tcPr>
                  <w:tcW w:w="2388" w:type="dxa"/>
                  <w:tcBorders>
                    <w:tl2br w:val="nil"/>
                    <w:tr2bl w:val="nil"/>
                  </w:tcBorders>
                  <w:vAlign w:val="center"/>
                </w:tcPr>
                <w:p w14:paraId="774B2B92">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41°20′46.90″</w:t>
                  </w:r>
                </w:p>
              </w:tc>
              <w:tc>
                <w:tcPr>
                  <w:tcW w:w="2388" w:type="dxa"/>
                  <w:tcBorders>
                    <w:tl2br w:val="nil"/>
                    <w:tr2bl w:val="nil"/>
                  </w:tcBorders>
                  <w:vAlign w:val="center"/>
                </w:tcPr>
                <w:p w14:paraId="19D38471">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86°25′01.93″</w:t>
                  </w:r>
                </w:p>
              </w:tc>
            </w:tr>
            <w:tr w14:paraId="46D339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463E0D4D">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6</w:t>
                  </w:r>
                </w:p>
              </w:tc>
              <w:tc>
                <w:tcPr>
                  <w:tcW w:w="1911" w:type="dxa"/>
                  <w:tcBorders>
                    <w:tl2br w:val="nil"/>
                    <w:tr2bl w:val="nil"/>
                  </w:tcBorders>
                  <w:vAlign w:val="center"/>
                </w:tcPr>
                <w:p w14:paraId="5591220E">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6#</w:t>
                  </w:r>
                </w:p>
              </w:tc>
              <w:tc>
                <w:tcPr>
                  <w:tcW w:w="2388" w:type="dxa"/>
                  <w:tcBorders>
                    <w:tl2br w:val="nil"/>
                    <w:tr2bl w:val="nil"/>
                  </w:tcBorders>
                  <w:vAlign w:val="center"/>
                </w:tcPr>
                <w:p w14:paraId="3BD4602F">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41°20′38.52″</w:t>
                  </w:r>
                </w:p>
              </w:tc>
              <w:tc>
                <w:tcPr>
                  <w:tcW w:w="2388" w:type="dxa"/>
                  <w:tcBorders>
                    <w:tl2br w:val="nil"/>
                    <w:tr2bl w:val="nil"/>
                  </w:tcBorders>
                  <w:vAlign w:val="center"/>
                </w:tcPr>
                <w:p w14:paraId="5D7AB088">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86°25′12.22″</w:t>
                  </w:r>
                </w:p>
              </w:tc>
            </w:tr>
            <w:tr w14:paraId="0C543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305F6857">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7</w:t>
                  </w:r>
                </w:p>
              </w:tc>
              <w:tc>
                <w:tcPr>
                  <w:tcW w:w="1911" w:type="dxa"/>
                  <w:tcBorders>
                    <w:tl2br w:val="nil"/>
                    <w:tr2bl w:val="nil"/>
                  </w:tcBorders>
                  <w:vAlign w:val="center"/>
                </w:tcPr>
                <w:p w14:paraId="5732AD04">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7#</w:t>
                  </w:r>
                </w:p>
              </w:tc>
              <w:tc>
                <w:tcPr>
                  <w:tcW w:w="2388" w:type="dxa"/>
                  <w:tcBorders>
                    <w:tl2br w:val="nil"/>
                    <w:tr2bl w:val="nil"/>
                  </w:tcBorders>
                  <w:vAlign w:val="center"/>
                </w:tcPr>
                <w:p w14:paraId="4E24635F">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41°20′30.10″</w:t>
                  </w:r>
                </w:p>
              </w:tc>
              <w:tc>
                <w:tcPr>
                  <w:tcW w:w="2388" w:type="dxa"/>
                  <w:tcBorders>
                    <w:tl2br w:val="nil"/>
                    <w:tr2bl w:val="nil"/>
                  </w:tcBorders>
                  <w:vAlign w:val="center"/>
                </w:tcPr>
                <w:p w14:paraId="65050315">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86°25′22.31″</w:t>
                  </w:r>
                </w:p>
              </w:tc>
            </w:tr>
            <w:tr w14:paraId="6DD1A0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161ECF85">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w:t>
                  </w:r>
                </w:p>
              </w:tc>
              <w:tc>
                <w:tcPr>
                  <w:tcW w:w="1911" w:type="dxa"/>
                  <w:tcBorders>
                    <w:tl2br w:val="nil"/>
                    <w:tr2bl w:val="nil"/>
                  </w:tcBorders>
                  <w:vAlign w:val="center"/>
                </w:tcPr>
                <w:p w14:paraId="370BE294">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w:t>
                  </w:r>
                </w:p>
              </w:tc>
              <w:tc>
                <w:tcPr>
                  <w:tcW w:w="2388" w:type="dxa"/>
                  <w:tcBorders>
                    <w:tl2br w:val="nil"/>
                    <w:tr2bl w:val="nil"/>
                  </w:tcBorders>
                  <w:vAlign w:val="center"/>
                </w:tcPr>
                <w:p w14:paraId="5E00299F">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41°20′22.10″</w:t>
                  </w:r>
                </w:p>
              </w:tc>
              <w:tc>
                <w:tcPr>
                  <w:tcW w:w="2388" w:type="dxa"/>
                  <w:tcBorders>
                    <w:tl2br w:val="nil"/>
                    <w:tr2bl w:val="nil"/>
                  </w:tcBorders>
                  <w:vAlign w:val="center"/>
                </w:tcPr>
                <w:p w14:paraId="47499B24">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86°25′29.70″</w:t>
                  </w:r>
                </w:p>
              </w:tc>
            </w:tr>
            <w:tr w14:paraId="1DAB5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1E158153">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9</w:t>
                  </w:r>
                </w:p>
              </w:tc>
              <w:tc>
                <w:tcPr>
                  <w:tcW w:w="1911" w:type="dxa"/>
                  <w:tcBorders>
                    <w:tl2br w:val="nil"/>
                    <w:tr2bl w:val="nil"/>
                  </w:tcBorders>
                  <w:vAlign w:val="center"/>
                </w:tcPr>
                <w:p w14:paraId="3A0F1FCD">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9#</w:t>
                  </w:r>
                </w:p>
              </w:tc>
              <w:tc>
                <w:tcPr>
                  <w:tcW w:w="2388" w:type="dxa"/>
                  <w:tcBorders>
                    <w:tl2br w:val="nil"/>
                    <w:tr2bl w:val="nil"/>
                  </w:tcBorders>
                  <w:vAlign w:val="center"/>
                </w:tcPr>
                <w:p w14:paraId="7143BC5C">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41°20′13.17″</w:t>
                  </w:r>
                </w:p>
              </w:tc>
              <w:tc>
                <w:tcPr>
                  <w:tcW w:w="2388" w:type="dxa"/>
                  <w:tcBorders>
                    <w:tl2br w:val="nil"/>
                    <w:tr2bl w:val="nil"/>
                  </w:tcBorders>
                  <w:vAlign w:val="center"/>
                </w:tcPr>
                <w:p w14:paraId="4E9DFACD">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86°25′36.76″</w:t>
                  </w:r>
                </w:p>
              </w:tc>
            </w:tr>
            <w:tr w14:paraId="3056B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51D57283">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10</w:t>
                  </w:r>
                </w:p>
              </w:tc>
              <w:tc>
                <w:tcPr>
                  <w:tcW w:w="1911" w:type="dxa"/>
                  <w:tcBorders>
                    <w:tl2br w:val="nil"/>
                    <w:tr2bl w:val="nil"/>
                  </w:tcBorders>
                  <w:vAlign w:val="center"/>
                </w:tcPr>
                <w:p w14:paraId="0496E908">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10#</w:t>
                  </w:r>
                </w:p>
              </w:tc>
              <w:tc>
                <w:tcPr>
                  <w:tcW w:w="2388" w:type="dxa"/>
                  <w:tcBorders>
                    <w:tl2br w:val="nil"/>
                    <w:tr2bl w:val="nil"/>
                  </w:tcBorders>
                  <w:vAlign w:val="center"/>
                </w:tcPr>
                <w:p w14:paraId="2C76786D">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41°20′04.48″</w:t>
                  </w:r>
                </w:p>
              </w:tc>
              <w:tc>
                <w:tcPr>
                  <w:tcW w:w="2388" w:type="dxa"/>
                  <w:tcBorders>
                    <w:tl2br w:val="nil"/>
                    <w:tr2bl w:val="nil"/>
                  </w:tcBorders>
                  <w:vAlign w:val="center"/>
                </w:tcPr>
                <w:p w14:paraId="57F6C0FE">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86°25′47.49″</w:t>
                  </w:r>
                </w:p>
              </w:tc>
            </w:tr>
            <w:tr w14:paraId="492EF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08BD4138">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11</w:t>
                  </w:r>
                </w:p>
              </w:tc>
              <w:tc>
                <w:tcPr>
                  <w:tcW w:w="1911" w:type="dxa"/>
                  <w:tcBorders>
                    <w:tl2br w:val="nil"/>
                    <w:tr2bl w:val="nil"/>
                  </w:tcBorders>
                  <w:vAlign w:val="center"/>
                </w:tcPr>
                <w:p w14:paraId="5F7BAF59">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11#</w:t>
                  </w:r>
                </w:p>
              </w:tc>
              <w:tc>
                <w:tcPr>
                  <w:tcW w:w="2388" w:type="dxa"/>
                  <w:tcBorders>
                    <w:tl2br w:val="nil"/>
                    <w:tr2bl w:val="nil"/>
                  </w:tcBorders>
                  <w:vAlign w:val="center"/>
                </w:tcPr>
                <w:p w14:paraId="2702D767">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41°19′56.22″</w:t>
                  </w:r>
                </w:p>
              </w:tc>
              <w:tc>
                <w:tcPr>
                  <w:tcW w:w="2388" w:type="dxa"/>
                  <w:tcBorders>
                    <w:tl2br w:val="nil"/>
                    <w:tr2bl w:val="nil"/>
                  </w:tcBorders>
                  <w:vAlign w:val="center"/>
                </w:tcPr>
                <w:p w14:paraId="330E5DBD">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86°25′55.09″</w:t>
                  </w:r>
                </w:p>
              </w:tc>
            </w:tr>
            <w:tr w14:paraId="33ED25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29760235">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12</w:t>
                  </w:r>
                </w:p>
              </w:tc>
              <w:tc>
                <w:tcPr>
                  <w:tcW w:w="1911" w:type="dxa"/>
                  <w:tcBorders>
                    <w:tl2br w:val="nil"/>
                    <w:tr2bl w:val="nil"/>
                  </w:tcBorders>
                  <w:vAlign w:val="center"/>
                </w:tcPr>
                <w:p w14:paraId="2F3F7F40">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12#</w:t>
                  </w:r>
                </w:p>
              </w:tc>
              <w:tc>
                <w:tcPr>
                  <w:tcW w:w="2388" w:type="dxa"/>
                  <w:tcBorders>
                    <w:tl2br w:val="nil"/>
                    <w:tr2bl w:val="nil"/>
                  </w:tcBorders>
                  <w:vAlign w:val="center"/>
                </w:tcPr>
                <w:p w14:paraId="3201857B">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41°19′47.76″</w:t>
                  </w:r>
                </w:p>
              </w:tc>
              <w:tc>
                <w:tcPr>
                  <w:tcW w:w="2388" w:type="dxa"/>
                  <w:tcBorders>
                    <w:tl2br w:val="nil"/>
                    <w:tr2bl w:val="nil"/>
                  </w:tcBorders>
                  <w:vAlign w:val="center"/>
                </w:tcPr>
                <w:p w14:paraId="7F6A813E">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86°26′03.29″</w:t>
                  </w:r>
                </w:p>
              </w:tc>
            </w:tr>
            <w:tr w14:paraId="0B9563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2BBB00A9">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13</w:t>
                  </w:r>
                </w:p>
              </w:tc>
              <w:tc>
                <w:tcPr>
                  <w:tcW w:w="1911" w:type="dxa"/>
                  <w:tcBorders>
                    <w:tl2br w:val="nil"/>
                    <w:tr2bl w:val="nil"/>
                  </w:tcBorders>
                  <w:vAlign w:val="center"/>
                </w:tcPr>
                <w:p w14:paraId="40152943">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13#</w:t>
                  </w:r>
                </w:p>
              </w:tc>
              <w:tc>
                <w:tcPr>
                  <w:tcW w:w="2388" w:type="dxa"/>
                  <w:tcBorders>
                    <w:tl2br w:val="nil"/>
                    <w:tr2bl w:val="nil"/>
                  </w:tcBorders>
                  <w:vAlign w:val="center"/>
                </w:tcPr>
                <w:p w14:paraId="06DCCF54">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41°19′37.51″</w:t>
                  </w:r>
                </w:p>
              </w:tc>
              <w:tc>
                <w:tcPr>
                  <w:tcW w:w="2388" w:type="dxa"/>
                  <w:tcBorders>
                    <w:tl2br w:val="nil"/>
                    <w:tr2bl w:val="nil"/>
                  </w:tcBorders>
                  <w:vAlign w:val="center"/>
                </w:tcPr>
                <w:p w14:paraId="600A70C7">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86°26′12.85″</w:t>
                  </w:r>
                </w:p>
              </w:tc>
            </w:tr>
            <w:tr w14:paraId="7A6DAD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7D04CA1F">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14</w:t>
                  </w:r>
                </w:p>
              </w:tc>
              <w:tc>
                <w:tcPr>
                  <w:tcW w:w="1911" w:type="dxa"/>
                  <w:tcBorders>
                    <w:tl2br w:val="nil"/>
                    <w:tr2bl w:val="nil"/>
                  </w:tcBorders>
                  <w:vAlign w:val="center"/>
                </w:tcPr>
                <w:p w14:paraId="3BCB0B83">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14#</w:t>
                  </w:r>
                </w:p>
              </w:tc>
              <w:tc>
                <w:tcPr>
                  <w:tcW w:w="2388" w:type="dxa"/>
                  <w:tcBorders>
                    <w:tl2br w:val="nil"/>
                    <w:tr2bl w:val="nil"/>
                  </w:tcBorders>
                  <w:vAlign w:val="center"/>
                </w:tcPr>
                <w:p w14:paraId="77856AFE">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41°19′26.39″</w:t>
                  </w:r>
                </w:p>
              </w:tc>
              <w:tc>
                <w:tcPr>
                  <w:tcW w:w="2388" w:type="dxa"/>
                  <w:tcBorders>
                    <w:tl2br w:val="nil"/>
                    <w:tr2bl w:val="nil"/>
                  </w:tcBorders>
                  <w:vAlign w:val="center"/>
                </w:tcPr>
                <w:p w14:paraId="54667A46">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86°26′24.00″</w:t>
                  </w:r>
                </w:p>
              </w:tc>
            </w:tr>
            <w:tr w14:paraId="4DA6A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5CB005FA">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15</w:t>
                  </w:r>
                </w:p>
              </w:tc>
              <w:tc>
                <w:tcPr>
                  <w:tcW w:w="1911" w:type="dxa"/>
                  <w:tcBorders>
                    <w:tl2br w:val="nil"/>
                    <w:tr2bl w:val="nil"/>
                  </w:tcBorders>
                  <w:vAlign w:val="center"/>
                </w:tcPr>
                <w:p w14:paraId="67E236A3">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15#</w:t>
                  </w:r>
                </w:p>
              </w:tc>
              <w:tc>
                <w:tcPr>
                  <w:tcW w:w="2388" w:type="dxa"/>
                  <w:tcBorders>
                    <w:tl2br w:val="nil"/>
                    <w:tr2bl w:val="nil"/>
                  </w:tcBorders>
                  <w:vAlign w:val="center"/>
                </w:tcPr>
                <w:p w14:paraId="6C56FDDA">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41°19′20.59″</w:t>
                  </w:r>
                </w:p>
              </w:tc>
              <w:tc>
                <w:tcPr>
                  <w:tcW w:w="2388" w:type="dxa"/>
                  <w:tcBorders>
                    <w:tl2br w:val="nil"/>
                    <w:tr2bl w:val="nil"/>
                  </w:tcBorders>
                  <w:vAlign w:val="center"/>
                </w:tcPr>
                <w:p w14:paraId="605590F3">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86°26′31.76″</w:t>
                  </w:r>
                </w:p>
              </w:tc>
            </w:tr>
            <w:tr w14:paraId="286B3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1" w:type="dxa"/>
                  <w:tcBorders>
                    <w:tl2br w:val="nil"/>
                    <w:tr2bl w:val="nil"/>
                  </w:tcBorders>
                  <w:vAlign w:val="center"/>
                </w:tcPr>
                <w:p w14:paraId="0D0B37DD">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16</w:t>
                  </w:r>
                </w:p>
              </w:tc>
              <w:tc>
                <w:tcPr>
                  <w:tcW w:w="1911" w:type="dxa"/>
                  <w:tcBorders>
                    <w:tl2br w:val="nil"/>
                    <w:tr2bl w:val="nil"/>
                  </w:tcBorders>
                  <w:vAlign w:val="center"/>
                </w:tcPr>
                <w:p w14:paraId="026AD229">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16#</w:t>
                  </w:r>
                </w:p>
              </w:tc>
              <w:tc>
                <w:tcPr>
                  <w:tcW w:w="2388" w:type="dxa"/>
                  <w:tcBorders>
                    <w:tl2br w:val="nil"/>
                    <w:tr2bl w:val="nil"/>
                  </w:tcBorders>
                  <w:vAlign w:val="center"/>
                </w:tcPr>
                <w:p w14:paraId="570D1D33">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41°19′17.07″</w:t>
                  </w:r>
                </w:p>
              </w:tc>
              <w:tc>
                <w:tcPr>
                  <w:tcW w:w="2388" w:type="dxa"/>
                  <w:tcBorders>
                    <w:tl2br w:val="nil"/>
                    <w:tr2bl w:val="nil"/>
                  </w:tcBorders>
                  <w:vAlign w:val="center"/>
                </w:tcPr>
                <w:p w14:paraId="2D26111C">
                  <w:pPr>
                    <w:widowControl/>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kern w:val="0"/>
                      <w:sz w:val="21"/>
                      <w:szCs w:val="21"/>
                      <w:highlight w:val="none"/>
                      <w:lang w:bidi="ar"/>
                      <w14:textFill>
                        <w14:solidFill>
                          <w14:schemeClr w14:val="tx1"/>
                        </w14:solidFill>
                      </w14:textFill>
                    </w:rPr>
                    <w:t>86°26′40.74″</w:t>
                  </w:r>
                </w:p>
              </w:tc>
            </w:tr>
          </w:tbl>
          <w:p w14:paraId="3476F9C3">
            <w:pPr>
              <w:widowControl/>
              <w:shd w:val="clear"/>
              <w:ind w:firstLine="480"/>
              <w:jc w:val="left"/>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升压站及送出线路位置图，见附图3、附图4。</w:t>
            </w:r>
          </w:p>
        </w:tc>
      </w:tr>
      <w:tr w14:paraId="27E04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14:paraId="0648B0AA">
            <w:pPr>
              <w:shd w:val="clear"/>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项目组成及规模</w:t>
            </w:r>
          </w:p>
        </w:tc>
        <w:tc>
          <w:tcPr>
            <w:tcW w:w="8065" w:type="dxa"/>
            <w:vAlign w:val="center"/>
          </w:tcPr>
          <w:p w14:paraId="2DAE0F26">
            <w:pPr>
              <w:pStyle w:val="3"/>
              <w:shd w:val="clear"/>
              <w:rPr>
                <w:color w:val="000000" w:themeColor="text1"/>
                <w:highlight w:val="none"/>
                <w14:textFill>
                  <w14:solidFill>
                    <w14:schemeClr w14:val="tx1"/>
                  </w14:solidFill>
                </w14:textFill>
              </w:rPr>
            </w:pPr>
            <w:bookmarkStart w:id="23" w:name="_Toc27429"/>
            <w:bookmarkStart w:id="24" w:name="_Toc12801"/>
            <w:bookmarkStart w:id="25" w:name="_Toc840"/>
            <w:r>
              <w:rPr>
                <w:color w:val="000000" w:themeColor="text1"/>
                <w:highlight w:val="none"/>
                <w14:textFill>
                  <w14:solidFill>
                    <w14:schemeClr w14:val="tx1"/>
                  </w14:solidFill>
                </w14:textFill>
              </w:rPr>
              <w:t>1、主要建设内容及规模</w:t>
            </w:r>
            <w:bookmarkEnd w:id="23"/>
            <w:bookmarkEnd w:id="24"/>
            <w:bookmarkEnd w:id="25"/>
          </w:p>
          <w:p w14:paraId="0987F0C9">
            <w:pPr>
              <w:shd w:val="clear"/>
              <w:ind w:firstLine="480"/>
              <w:jc w:val="left"/>
              <w:rPr>
                <w:rFonts w:hint="eastAsia" w:eastAsia="宋体"/>
                <w:color w:val="FF0000"/>
                <w:highlight w:val="none"/>
                <w:lang w:eastAsia="zh-CN"/>
              </w:rPr>
            </w:pPr>
            <w:r>
              <w:rPr>
                <w:color w:val="000000" w:themeColor="text1"/>
                <w:kern w:val="0"/>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巴州尉犁安丰福慧60MW/240MWh独立新型储能项目</w:t>
            </w:r>
            <w:r>
              <w:rPr>
                <w:rFonts w:hint="eastAsia"/>
                <w:color w:val="FF0000"/>
                <w:highlight w:val="none"/>
                <w:lang w:eastAsia="zh-CN"/>
              </w:rPr>
              <w:t>（输变电工程）</w:t>
            </w:r>
          </w:p>
          <w:p w14:paraId="3F2D098A">
            <w:pPr>
              <w:shd w:val="clear"/>
              <w:ind w:firstLine="480"/>
              <w:jc w:val="left"/>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建设单位： 新疆安丰福慧新能源有限公司</w:t>
            </w:r>
          </w:p>
          <w:p w14:paraId="3DD3C7A7">
            <w:pPr>
              <w:shd w:val="clear"/>
              <w:ind w:firstLine="480"/>
              <w:jc w:val="left"/>
              <w:rPr>
                <w:color w:val="000000" w:themeColor="text1"/>
                <w:spacing w:val="-6"/>
                <w:kern w:val="0"/>
                <w:sz w:val="24"/>
                <w:highlight w:val="none"/>
                <w14:textFill>
                  <w14:solidFill>
                    <w14:schemeClr w14:val="tx1"/>
                  </w14:solidFill>
                </w14:textFill>
              </w:rPr>
            </w:pPr>
            <w:r>
              <w:rPr>
                <w:color w:val="000000" w:themeColor="text1"/>
                <w:spacing w:val="-6"/>
                <w:kern w:val="0"/>
                <w:sz w:val="24"/>
                <w:highlight w:val="none"/>
                <w14:textFill>
                  <w14:solidFill>
                    <w14:schemeClr w14:val="tx1"/>
                  </w14:solidFill>
                </w14:textFill>
              </w:rPr>
              <w:t>地理位置：新疆巴州尉犁县光伏产业园内、X243县道14公里处东侧</w:t>
            </w:r>
          </w:p>
          <w:p w14:paraId="009F2751">
            <w:pPr>
              <w:shd w:val="clear"/>
              <w:ind w:firstLine="480"/>
              <w:jc w:val="left"/>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建设性质：新建</w:t>
            </w:r>
          </w:p>
          <w:p w14:paraId="74B3F323">
            <w:pPr>
              <w:shd w:val="clear"/>
              <w:ind w:firstLine="480"/>
              <w:jc w:val="left"/>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项目投资：</w:t>
            </w:r>
            <w:r>
              <w:rPr>
                <w:color w:val="000000" w:themeColor="text1"/>
                <w:highlight w:val="none"/>
                <w14:textFill>
                  <w14:solidFill>
                    <w14:schemeClr w14:val="tx1"/>
                  </w14:solidFill>
                </w14:textFill>
              </w:rPr>
              <w:t>20000</w:t>
            </w:r>
            <w:r>
              <w:rPr>
                <w:color w:val="000000" w:themeColor="text1"/>
                <w:kern w:val="0"/>
                <w:highlight w:val="none"/>
                <w14:textFill>
                  <w14:solidFill>
                    <w14:schemeClr w14:val="tx1"/>
                  </w14:solidFill>
                </w14:textFill>
              </w:rPr>
              <w:t>万元</w:t>
            </w:r>
          </w:p>
          <w:p w14:paraId="36838612">
            <w:pPr>
              <w:shd w:val="clear"/>
              <w:ind w:firstLine="480"/>
              <w:rPr>
                <w:color w:val="000000" w:themeColor="text1"/>
                <w:kern w:val="0"/>
                <w:highlight w:val="none"/>
                <w:lang w:bidi="ar"/>
                <w14:textFill>
                  <w14:solidFill>
                    <w14:schemeClr w14:val="tx1"/>
                  </w14:solidFill>
                </w14:textFill>
              </w:rPr>
            </w:pPr>
            <w:r>
              <w:rPr>
                <w:color w:val="000000" w:themeColor="text1"/>
                <w:kern w:val="0"/>
                <w:highlight w:val="none"/>
                <w:lang w:bidi="ar"/>
                <w14:textFill>
                  <w14:solidFill>
                    <w14:schemeClr w14:val="tx1"/>
                  </w14:solidFill>
                </w14:textFill>
              </w:rPr>
              <w:t>本项目储能总容量为60MW/240MWh，新建一座110kV升压站，站内配置一台</w:t>
            </w:r>
            <w:r>
              <w:rPr>
                <w:rFonts w:hint="eastAsia"/>
                <w:color w:val="000000" w:themeColor="text1"/>
                <w:kern w:val="0"/>
                <w:highlight w:val="none"/>
                <w:lang w:eastAsia="zh-CN" w:bidi="ar"/>
                <w14:textFill>
                  <w14:solidFill>
                    <w14:schemeClr w14:val="tx1"/>
                  </w14:solidFill>
                </w14:textFill>
              </w:rPr>
              <w:t>63MVA</w:t>
            </w:r>
            <w:r>
              <w:rPr>
                <w:color w:val="000000" w:themeColor="text1"/>
                <w:kern w:val="0"/>
                <w:highlight w:val="none"/>
                <w:lang w:bidi="ar"/>
                <w14:textFill>
                  <w14:solidFill>
                    <w14:schemeClr w14:val="tx1"/>
                  </w14:solidFill>
                </w14:textFill>
              </w:rPr>
              <w:t>主变压器，一台SVG，110kV母线配置一个线变组间隔，以一回110kV线路接入110kV塔里木光伏站。</w:t>
            </w:r>
          </w:p>
          <w:p w14:paraId="6EBB2565">
            <w:pPr>
              <w:widowControl/>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项目主要建设内容见表2-</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p>
          <w:p w14:paraId="1C969120">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 xml:space="preserve">                  项目工程组成一览表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716"/>
              <w:gridCol w:w="620"/>
              <w:gridCol w:w="6117"/>
            </w:tblGrid>
            <w:tr w14:paraId="2A7F0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vAlign w:val="center"/>
                </w:tcPr>
                <w:p w14:paraId="574A2ECC">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工程</w:t>
                  </w:r>
                </w:p>
                <w:p w14:paraId="53F22E76">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组成</w:t>
                  </w:r>
                </w:p>
              </w:tc>
              <w:tc>
                <w:tcPr>
                  <w:tcW w:w="724" w:type="dxa"/>
                  <w:tcBorders>
                    <w:tl2br w:val="nil"/>
                    <w:tr2bl w:val="nil"/>
                  </w:tcBorders>
                  <w:vAlign w:val="center"/>
                </w:tcPr>
                <w:p w14:paraId="0CED435B">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项目</w:t>
                  </w:r>
                </w:p>
              </w:tc>
              <w:tc>
                <w:tcPr>
                  <w:tcW w:w="6491" w:type="dxa"/>
                  <w:gridSpan w:val="2"/>
                  <w:tcBorders>
                    <w:tl2br w:val="nil"/>
                    <w:tr2bl w:val="nil"/>
                  </w:tcBorders>
                  <w:vAlign w:val="center"/>
                </w:tcPr>
                <w:p w14:paraId="053DAF69">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内容</w:t>
                  </w:r>
                </w:p>
              </w:tc>
            </w:tr>
            <w:tr w14:paraId="250C0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677749B4">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主体</w:t>
                  </w:r>
                </w:p>
                <w:p w14:paraId="66537C58">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工程</w:t>
                  </w:r>
                </w:p>
              </w:tc>
              <w:tc>
                <w:tcPr>
                  <w:tcW w:w="724" w:type="dxa"/>
                  <w:vMerge w:val="restart"/>
                  <w:tcBorders>
                    <w:tl2br w:val="nil"/>
                    <w:tr2bl w:val="nil"/>
                  </w:tcBorders>
                  <w:vAlign w:val="center"/>
                </w:tcPr>
                <w:p w14:paraId="2BD622C6">
                  <w:pPr>
                    <w:pStyle w:val="10"/>
                    <w:shd w:val="clea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升压站</w:t>
                  </w:r>
                </w:p>
              </w:tc>
              <w:tc>
                <w:tcPr>
                  <w:tcW w:w="6491" w:type="dxa"/>
                  <w:gridSpan w:val="2"/>
                  <w:tcBorders>
                    <w:tl2br w:val="nil"/>
                    <w:tr2bl w:val="nil"/>
                  </w:tcBorders>
                  <w:vAlign w:val="center"/>
                </w:tcPr>
                <w:p w14:paraId="5100C17F">
                  <w:pPr>
                    <w:pStyle w:val="10"/>
                    <w:shd w:val="clear"/>
                    <w:rPr>
                      <w:color w:val="000000" w:themeColor="text1"/>
                      <w:sz w:val="18"/>
                      <w:szCs w:val="18"/>
                      <w:highlight w:val="none"/>
                      <w14:textFill>
                        <w14:solidFill>
                          <w14:schemeClr w14:val="tx1"/>
                        </w14:solidFill>
                      </w14:textFill>
                    </w:rPr>
                  </w:pPr>
                  <w:r>
                    <w:rPr>
                      <w:color w:val="FF0000"/>
                      <w:sz w:val="18"/>
                      <w:szCs w:val="18"/>
                      <w:highlight w:val="none"/>
                    </w:rPr>
                    <w:t>新建110kV升压站1座</w:t>
                  </w:r>
                  <w:r>
                    <w:rPr>
                      <w:rFonts w:hint="eastAsia"/>
                      <w:color w:val="FF0000"/>
                      <w:sz w:val="18"/>
                      <w:szCs w:val="18"/>
                      <w:highlight w:val="none"/>
                      <w:lang w:eastAsia="zh-CN"/>
                    </w:rPr>
                    <w:t>，</w:t>
                  </w:r>
                  <w:r>
                    <w:rPr>
                      <w:rFonts w:hint="eastAsia"/>
                      <w:color w:val="FF0000"/>
                      <w:sz w:val="18"/>
                      <w:szCs w:val="18"/>
                      <w:highlight w:val="none"/>
                      <w:lang w:val="en-US" w:eastAsia="zh-CN"/>
                    </w:rPr>
                    <w:t>规划建设1台</w:t>
                  </w:r>
                  <w:r>
                    <w:rPr>
                      <w:color w:val="FF0000"/>
                      <w:sz w:val="18"/>
                      <w:szCs w:val="18"/>
                      <w:highlight w:val="none"/>
                    </w:rPr>
                    <w:t>主变容量</w:t>
                  </w:r>
                  <w:r>
                    <w:rPr>
                      <w:rFonts w:hint="eastAsia"/>
                      <w:color w:val="FF0000"/>
                      <w:sz w:val="18"/>
                      <w:szCs w:val="18"/>
                      <w:highlight w:val="none"/>
                      <w:lang w:val="en-US" w:eastAsia="zh-CN"/>
                    </w:rPr>
                    <w:t>为</w:t>
                  </w:r>
                  <w:r>
                    <w:rPr>
                      <w:color w:val="FF0000"/>
                      <w:sz w:val="18"/>
                      <w:szCs w:val="18"/>
                      <w:highlight w:val="none"/>
                    </w:rPr>
                    <w:t>63MVA</w:t>
                  </w:r>
                  <w:r>
                    <w:rPr>
                      <w:rFonts w:hint="eastAsia"/>
                      <w:color w:val="FF0000"/>
                      <w:sz w:val="18"/>
                      <w:szCs w:val="18"/>
                      <w:highlight w:val="none"/>
                      <w:lang w:val="en-US" w:eastAsia="zh-CN"/>
                    </w:rPr>
                    <w:t>的变压器，本次一次性建成。</w:t>
                  </w:r>
                </w:p>
              </w:tc>
            </w:tr>
            <w:tr w14:paraId="5B0434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5A9493B8">
                  <w:pPr>
                    <w:pStyle w:val="10"/>
                    <w:shd w:val="clear"/>
                    <w:rPr>
                      <w:color w:val="000000" w:themeColor="text1"/>
                      <w:sz w:val="18"/>
                      <w:szCs w:val="18"/>
                      <w:highlight w:val="none"/>
                      <w14:textFill>
                        <w14:solidFill>
                          <w14:schemeClr w14:val="tx1"/>
                        </w14:solidFill>
                      </w14:textFill>
                    </w:rPr>
                  </w:pPr>
                </w:p>
              </w:tc>
              <w:tc>
                <w:tcPr>
                  <w:tcW w:w="724" w:type="dxa"/>
                  <w:vMerge w:val="continue"/>
                  <w:tcBorders>
                    <w:tl2br w:val="nil"/>
                    <w:tr2bl w:val="nil"/>
                  </w:tcBorders>
                  <w:vAlign w:val="center"/>
                </w:tcPr>
                <w:p w14:paraId="10F3F089">
                  <w:pPr>
                    <w:pStyle w:val="10"/>
                    <w:shd w:val="clear"/>
                    <w:rPr>
                      <w:color w:val="000000" w:themeColor="text1"/>
                      <w:sz w:val="18"/>
                      <w:szCs w:val="18"/>
                      <w:highlight w:val="none"/>
                      <w14:textFill>
                        <w14:solidFill>
                          <w14:schemeClr w14:val="tx1"/>
                        </w14:solidFill>
                      </w14:textFill>
                    </w:rPr>
                  </w:pPr>
                </w:p>
              </w:tc>
              <w:tc>
                <w:tcPr>
                  <w:tcW w:w="6491" w:type="dxa"/>
                  <w:gridSpan w:val="2"/>
                  <w:tcBorders>
                    <w:tl2br w:val="nil"/>
                    <w:tr2bl w:val="nil"/>
                  </w:tcBorders>
                  <w:vAlign w:val="center"/>
                </w:tcPr>
                <w:p w14:paraId="795F6074">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出线规模：110kV侧按线变组接线，1回主变进出线，接入110kV塔里木光伏站，35kV侧按线变组接线设计，规划1段母线，共3回出线。</w:t>
                  </w:r>
                </w:p>
              </w:tc>
            </w:tr>
            <w:tr w14:paraId="7E598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4B52B43C">
                  <w:pPr>
                    <w:pStyle w:val="10"/>
                    <w:shd w:val="clear"/>
                    <w:rPr>
                      <w:color w:val="000000" w:themeColor="text1"/>
                      <w:sz w:val="18"/>
                      <w:szCs w:val="18"/>
                      <w:highlight w:val="none"/>
                      <w14:textFill>
                        <w14:solidFill>
                          <w14:schemeClr w14:val="tx1"/>
                        </w14:solidFill>
                      </w14:textFill>
                    </w:rPr>
                  </w:pPr>
                </w:p>
              </w:tc>
              <w:tc>
                <w:tcPr>
                  <w:tcW w:w="724" w:type="dxa"/>
                  <w:vMerge w:val="continue"/>
                  <w:tcBorders>
                    <w:tl2br w:val="nil"/>
                    <w:tr2bl w:val="nil"/>
                  </w:tcBorders>
                  <w:vAlign w:val="center"/>
                </w:tcPr>
                <w:p w14:paraId="3ED92E60">
                  <w:pPr>
                    <w:pStyle w:val="10"/>
                    <w:shd w:val="clear"/>
                    <w:rPr>
                      <w:color w:val="000000" w:themeColor="text1"/>
                      <w:sz w:val="18"/>
                      <w:szCs w:val="18"/>
                      <w:highlight w:val="none"/>
                      <w14:textFill>
                        <w14:solidFill>
                          <w14:schemeClr w14:val="tx1"/>
                        </w14:solidFill>
                      </w14:textFill>
                    </w:rPr>
                  </w:pPr>
                </w:p>
              </w:tc>
              <w:tc>
                <w:tcPr>
                  <w:tcW w:w="6491" w:type="dxa"/>
                  <w:gridSpan w:val="2"/>
                  <w:tcBorders>
                    <w:tl2br w:val="nil"/>
                    <w:tr2bl w:val="nil"/>
                  </w:tcBorders>
                  <w:vAlign w:val="center"/>
                </w:tcPr>
                <w:p w14:paraId="2CD4E4C7">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无功补偿：本站装设SVG无功补偿装置，装设1套容量为±20MVar的设备；</w:t>
                  </w:r>
                </w:p>
              </w:tc>
            </w:tr>
            <w:tr w14:paraId="15EFB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2B6CAA13">
                  <w:pPr>
                    <w:pStyle w:val="10"/>
                    <w:shd w:val="clear"/>
                    <w:rPr>
                      <w:color w:val="000000" w:themeColor="text1"/>
                      <w:sz w:val="18"/>
                      <w:szCs w:val="18"/>
                      <w:highlight w:val="none"/>
                      <w14:textFill>
                        <w14:solidFill>
                          <w14:schemeClr w14:val="tx1"/>
                        </w14:solidFill>
                      </w14:textFill>
                    </w:rPr>
                  </w:pPr>
                </w:p>
              </w:tc>
              <w:tc>
                <w:tcPr>
                  <w:tcW w:w="724" w:type="dxa"/>
                  <w:vMerge w:val="continue"/>
                  <w:tcBorders>
                    <w:tl2br w:val="nil"/>
                    <w:tr2bl w:val="nil"/>
                  </w:tcBorders>
                  <w:vAlign w:val="center"/>
                </w:tcPr>
                <w:p w14:paraId="5415F42F">
                  <w:pPr>
                    <w:pStyle w:val="10"/>
                    <w:shd w:val="clear"/>
                    <w:rPr>
                      <w:color w:val="000000" w:themeColor="text1"/>
                      <w:sz w:val="18"/>
                      <w:szCs w:val="18"/>
                      <w:highlight w:val="none"/>
                      <w14:textFill>
                        <w14:solidFill>
                          <w14:schemeClr w14:val="tx1"/>
                        </w14:solidFill>
                      </w14:textFill>
                    </w:rPr>
                  </w:pPr>
                </w:p>
              </w:tc>
              <w:tc>
                <w:tcPr>
                  <w:tcW w:w="6491" w:type="dxa"/>
                  <w:gridSpan w:val="2"/>
                  <w:tcBorders>
                    <w:tl2br w:val="nil"/>
                    <w:tr2bl w:val="nil"/>
                  </w:tcBorders>
                  <w:vAlign w:val="center"/>
                </w:tcPr>
                <w:p w14:paraId="7415B9B9">
                  <w:pPr>
                    <w:pStyle w:val="10"/>
                    <w:shd w:val="clear"/>
                    <w:rPr>
                      <w:rFonts w:hint="default" w:eastAsia="宋体"/>
                      <w:color w:val="000000" w:themeColor="text1"/>
                      <w:sz w:val="18"/>
                      <w:szCs w:val="18"/>
                      <w:highlight w:val="none"/>
                      <w:lang w:val="en-US" w:eastAsia="zh-CN"/>
                      <w14:textFill>
                        <w14:solidFill>
                          <w14:schemeClr w14:val="tx1"/>
                        </w14:solidFill>
                      </w14:textFill>
                    </w:rPr>
                  </w:pPr>
                  <w:r>
                    <w:rPr>
                      <w:rFonts w:hint="eastAsia"/>
                      <w:color w:val="FF0000"/>
                      <w:sz w:val="18"/>
                      <w:szCs w:val="18"/>
                      <w:highlight w:val="none"/>
                      <w:lang w:val="en-US" w:eastAsia="zh-CN"/>
                    </w:rPr>
                    <w:t>配套建设进站道路、一次设备仓、二次设备仓、消防泵房</w:t>
                  </w:r>
                </w:p>
              </w:tc>
            </w:tr>
            <w:tr w14:paraId="151F1F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10BA0F3">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4F57AB89">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储能站</w:t>
                  </w:r>
                </w:p>
              </w:tc>
              <w:tc>
                <w:tcPr>
                  <w:tcW w:w="6491" w:type="dxa"/>
                  <w:gridSpan w:val="2"/>
                  <w:tcBorders>
                    <w:tl2br w:val="nil"/>
                    <w:tr2bl w:val="nil"/>
                  </w:tcBorders>
                  <w:vAlign w:val="center"/>
                </w:tcPr>
                <w:p w14:paraId="715C7C56">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储能系统：本项目采用集中式储能，储能电池采用预制舱式。储能系统由12套5MW储能单元组成构网型储能。储能子单元采用一体化设计方案，由12个5MW/20MWh储能单元，每个储能单元包含1台5MW升压变流一体机，4台5MWh储能电池预制舱。</w:t>
                  </w:r>
                </w:p>
                <w:p w14:paraId="041AD9B8">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5MW升压变流一体机：考虑按4台功率2500kW的储能变流器PCS、1台5250kVA双绕组干式变压器（型号：SCB14-5250/37±2×2.5%），集成于一体机内。5MWh储能电池预制舱，每台电池预制舱暂考虑按1台汇流控制柜（含BMS总控BAMS）、1套5MWh电池系统、1套消防监测及自动灭火系统、1套液冷冷却系统，1套工业除湿机，集成于21.5或20尺预制舱内。</w:t>
                  </w:r>
                </w:p>
              </w:tc>
            </w:tr>
            <w:tr w14:paraId="7B78E6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660EA2F5">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5A8E87EA">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送出线路</w:t>
                  </w:r>
                </w:p>
              </w:tc>
              <w:tc>
                <w:tcPr>
                  <w:tcW w:w="6491" w:type="dxa"/>
                  <w:gridSpan w:val="2"/>
                  <w:tcBorders>
                    <w:tl2br w:val="nil"/>
                    <w:tr2bl w:val="nil"/>
                  </w:tcBorders>
                  <w:vAlign w:val="center"/>
                </w:tcPr>
                <w:p w14:paraId="2900FFF7">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本项目以一回110kV线路接入110kV塔里木光伏站，线路长度约5.26km。</w:t>
                  </w:r>
                </w:p>
                <w:p w14:paraId="2668660C">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线路自储能电站向西方向出线跨越X243县道，在X243县道南侧沿路向东南方向走向至110kV塔里木光伏站西侧，线路左转跨越X243县道接入110kV塔里木光伏站，输出线路其中架空线路4.9km，地埋线览0.36km。</w:t>
                  </w:r>
                </w:p>
                <w:p w14:paraId="0E1FA07F">
                  <w:pPr>
                    <w:pStyle w:val="10"/>
                    <w:shd w:val="clear"/>
                    <w:rPr>
                      <w:color w:val="4F81BD" w:themeColor="accent1"/>
                      <w:sz w:val="18"/>
                      <w:szCs w:val="18"/>
                      <w:highlight w:val="none"/>
                      <w14:textFill>
                        <w14:solidFill>
                          <w14:schemeClr w14:val="accent1"/>
                        </w14:solidFill>
                      </w14:textFill>
                    </w:rPr>
                  </w:pPr>
                  <w:r>
                    <w:rPr>
                      <w:color w:val="4F81BD" w:themeColor="accent1"/>
                      <w:sz w:val="18"/>
                      <w:szCs w:val="18"/>
                      <w:highlight w:val="none"/>
                      <w14:textFill>
                        <w14:solidFill>
                          <w14:schemeClr w14:val="accent1"/>
                        </w14:solidFill>
                      </w14:textFill>
                    </w:rPr>
                    <w:t>导线采用</w:t>
                  </w:r>
                  <w:r>
                    <w:rPr>
                      <w:rFonts w:hint="eastAsia"/>
                      <w:color w:val="4F81BD" w:themeColor="accent1"/>
                      <w:sz w:val="18"/>
                      <w:szCs w:val="18"/>
                      <w:highlight w:val="none"/>
                      <w14:textFill>
                        <w14:solidFill>
                          <w14:schemeClr w14:val="accent1"/>
                        </w14:solidFill>
                      </w14:textFill>
                    </w:rPr>
                    <w:t>JL/G1A-240/40</w:t>
                  </w:r>
                  <w:r>
                    <w:rPr>
                      <w:color w:val="4F81BD" w:themeColor="accent1"/>
                      <w:sz w:val="18"/>
                      <w:szCs w:val="18"/>
                      <w:highlight w:val="none"/>
                      <w14:textFill>
                        <w14:solidFill>
                          <w14:schemeClr w14:val="accent1"/>
                        </w14:solidFill>
                      </w14:textFill>
                    </w:rPr>
                    <w:t>铝包钢芯铝绞线，地线2根采用</w:t>
                  </w:r>
                  <w:r>
                    <w:rPr>
                      <w:rFonts w:hint="eastAsia"/>
                      <w:color w:val="4F81BD" w:themeColor="accent1"/>
                      <w:sz w:val="18"/>
                      <w:szCs w:val="18"/>
                      <w:highlight w:val="none"/>
                      <w14:textFill>
                        <w14:solidFill>
                          <w14:schemeClr w14:val="accent1"/>
                        </w14:solidFill>
                      </w14:textFill>
                    </w:rPr>
                    <w:t>OPGW-24B1-80</w:t>
                  </w:r>
                  <w:r>
                    <w:rPr>
                      <w:color w:val="4F81BD" w:themeColor="accent1"/>
                      <w:sz w:val="18"/>
                      <w:szCs w:val="18"/>
                      <w:highlight w:val="none"/>
                      <w14:textFill>
                        <w14:solidFill>
                          <w14:schemeClr w14:val="accent1"/>
                        </w14:solidFill>
                      </w14:textFill>
                    </w:rPr>
                    <w:t>型复合光缆，地线逐基接地。</w:t>
                  </w:r>
                </w:p>
                <w:p w14:paraId="7AC50AAC">
                  <w:pPr>
                    <w:pStyle w:val="10"/>
                    <w:shd w:val="clear"/>
                    <w:jc w:val="both"/>
                    <w:rPr>
                      <w:rFonts w:hint="eastAsia" w:eastAsia="宋体"/>
                      <w:color w:val="FF0000"/>
                      <w:sz w:val="18"/>
                      <w:szCs w:val="18"/>
                      <w:highlight w:val="none"/>
                      <w:vertAlign w:val="baseline"/>
                      <w:lang w:eastAsia="zh-CN"/>
                    </w:rPr>
                  </w:pPr>
                  <w:r>
                    <w:rPr>
                      <w:rFonts w:hint="eastAsia"/>
                      <w:color w:val="FF0000"/>
                      <w:sz w:val="18"/>
                      <w:szCs w:val="18"/>
                      <w:highlight w:val="none"/>
                      <w:lang w:val="en-US" w:eastAsia="zh-CN"/>
                    </w:rPr>
                    <w:t>地埋</w:t>
                  </w:r>
                  <w:r>
                    <w:rPr>
                      <w:rFonts w:hint="eastAsia"/>
                      <w:color w:val="FF0000"/>
                      <w:sz w:val="18"/>
                      <w:szCs w:val="18"/>
                      <w:highlight w:val="none"/>
                    </w:rPr>
                    <w:t>电缆选用阻燃型交联聚乙烯绝缘皱纹铝套聚乙烯护套电力电缆</w:t>
                  </w:r>
                  <w:r>
                    <w:rPr>
                      <w:rFonts w:hint="eastAsia"/>
                      <w:color w:val="FF0000"/>
                      <w:sz w:val="18"/>
                      <w:szCs w:val="18"/>
                      <w:highlight w:val="none"/>
                      <w:lang w:eastAsia="zh-CN"/>
                    </w:rPr>
                    <w:t>，</w:t>
                  </w:r>
                  <w:r>
                    <w:rPr>
                      <w:rFonts w:hint="eastAsia"/>
                      <w:color w:val="FF0000"/>
                      <w:sz w:val="18"/>
                      <w:szCs w:val="18"/>
                      <w:highlight w:val="none"/>
                      <w:lang w:val="en-US" w:eastAsia="zh-CN"/>
                    </w:rPr>
                    <w:t>型号为</w:t>
                  </w:r>
                  <w:r>
                    <w:rPr>
                      <w:rFonts w:hint="eastAsia"/>
                      <w:color w:val="FF0000"/>
                      <w:sz w:val="18"/>
                      <w:szCs w:val="18"/>
                      <w:highlight w:val="none"/>
                    </w:rPr>
                    <w:t>ZC-YJLW03-64/110-1</w:t>
                  </w:r>
                  <w:r>
                    <w:rPr>
                      <w:rFonts w:hint="eastAsia"/>
                      <w:color w:val="FF0000"/>
                      <w:sz w:val="18"/>
                      <w:szCs w:val="18"/>
                      <w:highlight w:val="none"/>
                      <w:vertAlign w:val="baseline"/>
                      <w:lang w:val="en-US" w:eastAsia="zh-CN"/>
                    </w:rPr>
                    <w:t>。</w:t>
                  </w:r>
                </w:p>
                <w:p w14:paraId="6E5CDC36">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杆塔采用110-D021D模块，共使用杆塔16基，直线角钢塔8基，转角角钢塔8基，平均档距30m。</w:t>
                  </w:r>
                </w:p>
              </w:tc>
            </w:tr>
            <w:tr w14:paraId="1461B2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6836336B">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辅助工程</w:t>
                  </w:r>
                </w:p>
              </w:tc>
              <w:tc>
                <w:tcPr>
                  <w:tcW w:w="724" w:type="dxa"/>
                  <w:tcBorders>
                    <w:tl2br w:val="nil"/>
                    <w:tr2bl w:val="nil"/>
                  </w:tcBorders>
                  <w:vAlign w:val="center"/>
                </w:tcPr>
                <w:p w14:paraId="025F6F1C">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辅助用房</w:t>
                  </w:r>
                </w:p>
              </w:tc>
              <w:tc>
                <w:tcPr>
                  <w:tcW w:w="6491" w:type="dxa"/>
                  <w:gridSpan w:val="2"/>
                  <w:tcBorders>
                    <w:tl2br w:val="nil"/>
                    <w:tr2bl w:val="nil"/>
                  </w:tcBorders>
                  <w:vAlign w:val="center"/>
                </w:tcPr>
                <w:p w14:paraId="2236337B">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辅助房布置有卫生间、办公室和厨房餐厅，上部采用预制舱形式，基础采用箱型筏板基础，总面积468m</w:t>
                  </w:r>
                  <w:r>
                    <w:rPr>
                      <w:color w:val="000000" w:themeColor="text1"/>
                      <w:sz w:val="18"/>
                      <w:szCs w:val="18"/>
                      <w:highlight w:val="none"/>
                      <w:vertAlign w:val="superscript"/>
                      <w14:textFill>
                        <w14:solidFill>
                          <w14:schemeClr w14:val="tx1"/>
                        </w14:solidFill>
                      </w14:textFill>
                    </w:rPr>
                    <w:t>2</w:t>
                  </w:r>
                  <w:r>
                    <w:rPr>
                      <w:color w:val="000000" w:themeColor="text1"/>
                      <w:sz w:val="18"/>
                      <w:szCs w:val="18"/>
                      <w:highlight w:val="none"/>
                      <w14:textFill>
                        <w14:solidFill>
                          <w14:schemeClr w14:val="tx1"/>
                        </w14:solidFill>
                      </w14:textFill>
                    </w:rPr>
                    <w:t>。</w:t>
                  </w:r>
                </w:p>
              </w:tc>
            </w:tr>
            <w:tr w14:paraId="72F08B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031921C3">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7630E125">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危险废物贮存库</w:t>
                  </w:r>
                </w:p>
              </w:tc>
              <w:tc>
                <w:tcPr>
                  <w:tcW w:w="6491" w:type="dxa"/>
                  <w:gridSpan w:val="2"/>
                  <w:tcBorders>
                    <w:tl2br w:val="nil"/>
                    <w:tr2bl w:val="nil"/>
                  </w:tcBorders>
                  <w:vAlign w:val="center"/>
                </w:tcPr>
                <w:p w14:paraId="4C3A4832">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危险废物贮存库上部采用预制舱形式，基础采用箱型筏板基础，建筑面积50m</w:t>
                  </w:r>
                  <w:r>
                    <w:rPr>
                      <w:color w:val="000000" w:themeColor="text1"/>
                      <w:sz w:val="18"/>
                      <w:szCs w:val="18"/>
                      <w:highlight w:val="none"/>
                      <w:vertAlign w:val="superscript"/>
                      <w14:textFill>
                        <w14:solidFill>
                          <w14:schemeClr w14:val="tx1"/>
                        </w14:solidFill>
                      </w14:textFill>
                    </w:rPr>
                    <w:t>2</w:t>
                  </w:r>
                </w:p>
              </w:tc>
            </w:tr>
            <w:tr w14:paraId="3B6BF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11206461">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公用</w:t>
                  </w:r>
                </w:p>
                <w:p w14:paraId="22B7AA31">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工程</w:t>
                  </w:r>
                </w:p>
              </w:tc>
              <w:tc>
                <w:tcPr>
                  <w:tcW w:w="724" w:type="dxa"/>
                  <w:tcBorders>
                    <w:tl2br w:val="nil"/>
                    <w:tr2bl w:val="nil"/>
                  </w:tcBorders>
                  <w:vAlign w:val="center"/>
                </w:tcPr>
                <w:p w14:paraId="7B08E22E">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供电</w:t>
                  </w:r>
                </w:p>
              </w:tc>
              <w:tc>
                <w:tcPr>
                  <w:tcW w:w="6491" w:type="dxa"/>
                  <w:gridSpan w:val="2"/>
                  <w:tcBorders>
                    <w:tl2br w:val="nil"/>
                    <w:tr2bl w:val="nil"/>
                  </w:tcBorders>
                  <w:vAlign w:val="center"/>
                </w:tcPr>
                <w:p w14:paraId="1ED9EA63">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施工期用电接国家电网；</w:t>
                  </w:r>
                </w:p>
                <w:p w14:paraId="29018C31">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运营期用电采用自供电辅助变压器降压后使用；</w:t>
                  </w:r>
                </w:p>
              </w:tc>
            </w:tr>
            <w:tr w14:paraId="41FDA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390C9881">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33435ED6">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供水</w:t>
                  </w:r>
                </w:p>
              </w:tc>
              <w:tc>
                <w:tcPr>
                  <w:tcW w:w="6491" w:type="dxa"/>
                  <w:gridSpan w:val="2"/>
                  <w:tcBorders>
                    <w:tl2br w:val="nil"/>
                    <w:tr2bl w:val="nil"/>
                  </w:tcBorders>
                  <w:vAlign w:val="center"/>
                </w:tcPr>
                <w:p w14:paraId="3A9A06A4">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依托市政给水管网</w:t>
                  </w:r>
                </w:p>
              </w:tc>
            </w:tr>
            <w:tr w14:paraId="40DB7F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3AC9F7D3">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71353DE7">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供暖</w:t>
                  </w:r>
                </w:p>
              </w:tc>
              <w:tc>
                <w:tcPr>
                  <w:tcW w:w="6491" w:type="dxa"/>
                  <w:gridSpan w:val="2"/>
                  <w:tcBorders>
                    <w:tl2br w:val="nil"/>
                    <w:tr2bl w:val="nil"/>
                  </w:tcBorders>
                  <w:vAlign w:val="center"/>
                </w:tcPr>
                <w:p w14:paraId="2294C879">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生活区采用电力供暖</w:t>
                  </w:r>
                </w:p>
              </w:tc>
            </w:tr>
            <w:tr w14:paraId="77369C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3FBE191E">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7AD664BE">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排水</w:t>
                  </w:r>
                </w:p>
              </w:tc>
              <w:tc>
                <w:tcPr>
                  <w:tcW w:w="6491" w:type="dxa"/>
                  <w:gridSpan w:val="2"/>
                  <w:tcBorders>
                    <w:tl2br w:val="nil"/>
                    <w:tr2bl w:val="nil"/>
                  </w:tcBorders>
                  <w:vAlign w:val="center"/>
                </w:tcPr>
                <w:p w14:paraId="0DE3CCDB">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生活污水经隔油池+一体化污水处理设施（A/O工艺，处理能力2m</w:t>
                  </w:r>
                  <w:r>
                    <w:rPr>
                      <w:color w:val="000000" w:themeColor="text1"/>
                      <w:sz w:val="18"/>
                      <w:szCs w:val="18"/>
                      <w:highlight w:val="none"/>
                      <w:vertAlign w:val="superscript"/>
                      <w14:textFill>
                        <w14:solidFill>
                          <w14:schemeClr w14:val="tx1"/>
                        </w14:solidFill>
                      </w14:textFill>
                    </w:rPr>
                    <w:t>3</w:t>
                  </w:r>
                  <w:r>
                    <w:rPr>
                      <w:color w:val="000000" w:themeColor="text1"/>
                      <w:sz w:val="18"/>
                      <w:szCs w:val="18"/>
                      <w:highlight w:val="none"/>
                      <w14:textFill>
                        <w14:solidFill>
                          <w14:schemeClr w14:val="tx1"/>
                        </w14:solidFill>
                      </w14:textFill>
                    </w:rPr>
                    <w:t>/d）处理后排入</w:t>
                  </w:r>
                  <w:r>
                    <w:rPr>
                      <w:rFonts w:hint="eastAsia"/>
                      <w:color w:val="000000" w:themeColor="text1"/>
                      <w:sz w:val="18"/>
                      <w:szCs w:val="18"/>
                      <w:highlight w:val="none"/>
                      <w:lang w:eastAsia="zh-CN"/>
                      <w14:textFill>
                        <w14:solidFill>
                          <w14:schemeClr w14:val="tx1"/>
                        </w14:solidFill>
                      </w14:textFill>
                    </w:rPr>
                    <w:t>集水池</w:t>
                  </w:r>
                  <w:r>
                    <w:rPr>
                      <w:color w:val="000000" w:themeColor="text1"/>
                      <w:sz w:val="18"/>
                      <w:szCs w:val="18"/>
                      <w:highlight w:val="none"/>
                      <w14:textFill>
                        <w14:solidFill>
                          <w14:schemeClr w14:val="tx1"/>
                        </w14:solidFill>
                      </w14:textFill>
                    </w:rPr>
                    <w:t>（40m</w:t>
                  </w:r>
                  <w:r>
                    <w:rPr>
                      <w:color w:val="000000" w:themeColor="text1"/>
                      <w:sz w:val="18"/>
                      <w:szCs w:val="18"/>
                      <w:highlight w:val="none"/>
                      <w:vertAlign w:val="superscript"/>
                      <w14:textFill>
                        <w14:solidFill>
                          <w14:schemeClr w14:val="tx1"/>
                        </w14:solidFill>
                      </w14:textFill>
                    </w:rPr>
                    <w:t>3</w:t>
                  </w:r>
                  <w:r>
                    <w:rPr>
                      <w:color w:val="000000" w:themeColor="text1"/>
                      <w:sz w:val="18"/>
                      <w:szCs w:val="18"/>
                      <w:highlight w:val="none"/>
                      <w14:textFill>
                        <w14:solidFill>
                          <w14:schemeClr w14:val="tx1"/>
                        </w14:solidFill>
                      </w14:textFill>
                    </w:rPr>
                    <w:t>），用于冬季储水，夏季用于站区周边荒漠灌溉。</w:t>
                  </w:r>
                </w:p>
              </w:tc>
            </w:tr>
            <w:tr w14:paraId="24F09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Borders>
                    <w:tl2br w:val="nil"/>
                    <w:tr2bl w:val="nil"/>
                  </w:tcBorders>
                  <w:vAlign w:val="center"/>
                </w:tcPr>
                <w:p w14:paraId="05202FB4">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环保</w:t>
                  </w:r>
                </w:p>
                <w:p w14:paraId="3ED2D0A7">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工程</w:t>
                  </w:r>
                </w:p>
              </w:tc>
              <w:tc>
                <w:tcPr>
                  <w:tcW w:w="724" w:type="dxa"/>
                  <w:tcBorders>
                    <w:tl2br w:val="nil"/>
                    <w:tr2bl w:val="nil"/>
                  </w:tcBorders>
                  <w:vAlign w:val="center"/>
                </w:tcPr>
                <w:p w14:paraId="389B5C5A">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生态保护</w:t>
                  </w:r>
                </w:p>
              </w:tc>
              <w:tc>
                <w:tcPr>
                  <w:tcW w:w="6491" w:type="dxa"/>
                  <w:gridSpan w:val="2"/>
                  <w:tcBorders>
                    <w:tl2br w:val="nil"/>
                    <w:tr2bl w:val="nil"/>
                  </w:tcBorders>
                  <w:vAlign w:val="center"/>
                </w:tcPr>
                <w:p w14:paraId="3B32BFB0">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限制施工作业范围，不超出工程占地范围，减少施工开挖面积；施工结束后拆除临时建筑，进行土地平整，恢复至原有土地利用功能；场区各个功能区，进行适当绿化工程。</w:t>
                  </w:r>
                </w:p>
              </w:tc>
            </w:tr>
            <w:tr w14:paraId="3526BB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3D11B798">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6BBD2892">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废水</w:t>
                  </w:r>
                </w:p>
              </w:tc>
              <w:tc>
                <w:tcPr>
                  <w:tcW w:w="6491" w:type="dxa"/>
                  <w:gridSpan w:val="2"/>
                  <w:tcBorders>
                    <w:tl2br w:val="nil"/>
                    <w:tr2bl w:val="nil"/>
                  </w:tcBorders>
                  <w:vAlign w:val="center"/>
                </w:tcPr>
                <w:p w14:paraId="52CA4786">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施工期废水设防渗沉淀池，可回用于施工区洒水降尘；施工期</w:t>
                  </w:r>
                  <w:r>
                    <w:rPr>
                      <w:rFonts w:hint="eastAsia"/>
                      <w:color w:val="000000" w:themeColor="text1"/>
                      <w:sz w:val="18"/>
                      <w:szCs w:val="18"/>
                      <w:highlight w:val="none"/>
                      <w:lang w:val="en-US" w:eastAsia="zh-CN"/>
                      <w14:textFill>
                        <w14:solidFill>
                          <w14:schemeClr w14:val="tx1"/>
                        </w14:solidFill>
                      </w14:textFill>
                    </w:rPr>
                    <w:t>设施</w:t>
                  </w:r>
                  <w:r>
                    <w:rPr>
                      <w:rFonts w:hint="eastAsia"/>
                      <w:color w:val="FF0000"/>
                      <w:sz w:val="18"/>
                      <w:szCs w:val="18"/>
                      <w:highlight w:val="none"/>
                      <w:lang w:val="en-US" w:eastAsia="zh-CN"/>
                    </w:rPr>
                    <w:t>移动环保水冲厕</w:t>
                  </w:r>
                  <w:r>
                    <w:rPr>
                      <w:rFonts w:hint="eastAsia"/>
                      <w:color w:val="000000" w:themeColor="text1"/>
                      <w:sz w:val="18"/>
                      <w:szCs w:val="18"/>
                      <w:highlight w:val="none"/>
                      <w:lang w:val="en-US" w:eastAsia="zh-CN"/>
                      <w14:textFill>
                        <w14:solidFill>
                          <w14:schemeClr w14:val="tx1"/>
                        </w14:solidFill>
                      </w14:textFill>
                    </w:rPr>
                    <w:t>，</w:t>
                  </w:r>
                  <w:r>
                    <w:rPr>
                      <w:color w:val="000000" w:themeColor="text1"/>
                      <w:sz w:val="18"/>
                      <w:szCs w:val="18"/>
                      <w:highlight w:val="none"/>
                      <w14:textFill>
                        <w14:solidFill>
                          <w14:schemeClr w14:val="tx1"/>
                        </w14:solidFill>
                      </w14:textFill>
                    </w:rPr>
                    <w:t>生活污水集中收集至临时</w:t>
                  </w:r>
                  <w:r>
                    <w:rPr>
                      <w:rFonts w:hint="eastAsia"/>
                      <w:color w:val="000000" w:themeColor="text1"/>
                      <w:sz w:val="18"/>
                      <w:szCs w:val="18"/>
                      <w:highlight w:val="none"/>
                      <w:lang w:eastAsia="zh-CN"/>
                      <w14:textFill>
                        <w14:solidFill>
                          <w14:schemeClr w14:val="tx1"/>
                        </w14:solidFill>
                      </w14:textFill>
                    </w:rPr>
                    <w:t>防渗化粪池</w:t>
                  </w:r>
                  <w:r>
                    <w:rPr>
                      <w:color w:val="000000" w:themeColor="text1"/>
                      <w:sz w:val="18"/>
                      <w:szCs w:val="18"/>
                      <w:highlight w:val="none"/>
                      <w14:textFill>
                        <w14:solidFill>
                          <w14:schemeClr w14:val="tx1"/>
                        </w14:solidFill>
                      </w14:textFill>
                    </w:rPr>
                    <w:t>中，定期拉运至尉犁县污水处理厂处理；运营期生活污水经隔油池+一体化污水处理设施（A/O工艺，处理能力2m</w:t>
                  </w:r>
                  <w:r>
                    <w:rPr>
                      <w:color w:val="000000" w:themeColor="text1"/>
                      <w:sz w:val="18"/>
                      <w:szCs w:val="18"/>
                      <w:highlight w:val="none"/>
                      <w:vertAlign w:val="superscript"/>
                      <w14:textFill>
                        <w14:solidFill>
                          <w14:schemeClr w14:val="tx1"/>
                        </w14:solidFill>
                      </w14:textFill>
                    </w:rPr>
                    <w:t>3</w:t>
                  </w:r>
                  <w:r>
                    <w:rPr>
                      <w:color w:val="000000" w:themeColor="text1"/>
                      <w:sz w:val="18"/>
                      <w:szCs w:val="18"/>
                      <w:highlight w:val="none"/>
                      <w14:textFill>
                        <w14:solidFill>
                          <w14:schemeClr w14:val="tx1"/>
                        </w14:solidFill>
                      </w14:textFill>
                    </w:rPr>
                    <w:t>/d）处理后排入</w:t>
                  </w:r>
                  <w:r>
                    <w:rPr>
                      <w:rFonts w:hint="eastAsia"/>
                      <w:color w:val="000000" w:themeColor="text1"/>
                      <w:sz w:val="18"/>
                      <w:szCs w:val="18"/>
                      <w:highlight w:val="none"/>
                      <w:lang w:eastAsia="zh-CN"/>
                      <w14:textFill>
                        <w14:solidFill>
                          <w14:schemeClr w14:val="tx1"/>
                        </w14:solidFill>
                      </w14:textFill>
                    </w:rPr>
                    <w:t>集水池</w:t>
                  </w:r>
                  <w:r>
                    <w:rPr>
                      <w:color w:val="000000" w:themeColor="text1"/>
                      <w:sz w:val="18"/>
                      <w:szCs w:val="18"/>
                      <w:highlight w:val="none"/>
                      <w14:textFill>
                        <w14:solidFill>
                          <w14:schemeClr w14:val="tx1"/>
                        </w14:solidFill>
                      </w14:textFill>
                    </w:rPr>
                    <w:t>（40m</w:t>
                  </w:r>
                  <w:r>
                    <w:rPr>
                      <w:color w:val="000000" w:themeColor="text1"/>
                      <w:sz w:val="18"/>
                      <w:szCs w:val="18"/>
                      <w:highlight w:val="none"/>
                      <w:vertAlign w:val="superscript"/>
                      <w14:textFill>
                        <w14:solidFill>
                          <w14:schemeClr w14:val="tx1"/>
                        </w14:solidFill>
                      </w14:textFill>
                    </w:rPr>
                    <w:t>3</w:t>
                  </w:r>
                  <w:r>
                    <w:rPr>
                      <w:color w:val="000000" w:themeColor="text1"/>
                      <w:sz w:val="18"/>
                      <w:szCs w:val="18"/>
                      <w:highlight w:val="none"/>
                      <w14:textFill>
                        <w14:solidFill>
                          <w14:schemeClr w14:val="tx1"/>
                        </w14:solidFill>
                      </w14:textFill>
                    </w:rPr>
                    <w:t>），用于冬季储水，夏季用于站区周边荒漠灌溉。</w:t>
                  </w:r>
                </w:p>
              </w:tc>
            </w:tr>
            <w:tr w14:paraId="310C26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29F2B1A1">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5E952875">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噪声</w:t>
                  </w:r>
                </w:p>
              </w:tc>
              <w:tc>
                <w:tcPr>
                  <w:tcW w:w="6491" w:type="dxa"/>
                  <w:gridSpan w:val="2"/>
                  <w:tcBorders>
                    <w:tl2br w:val="nil"/>
                    <w:tr2bl w:val="nil"/>
                  </w:tcBorders>
                  <w:vAlign w:val="center"/>
                </w:tcPr>
                <w:p w14:paraId="1B3DE879">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将采取隔声、消声、隔振等措施；选用低噪声设备。</w:t>
                  </w:r>
                </w:p>
              </w:tc>
            </w:tr>
            <w:tr w14:paraId="7DF7A6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3A3C2CB4">
                  <w:pPr>
                    <w:pStyle w:val="10"/>
                    <w:shd w:val="clear"/>
                    <w:rPr>
                      <w:color w:val="000000" w:themeColor="text1"/>
                      <w:sz w:val="18"/>
                      <w:szCs w:val="18"/>
                      <w:highlight w:val="none"/>
                      <w14:textFill>
                        <w14:solidFill>
                          <w14:schemeClr w14:val="tx1"/>
                        </w14:solidFill>
                      </w14:textFill>
                    </w:rPr>
                  </w:pPr>
                </w:p>
              </w:tc>
              <w:tc>
                <w:tcPr>
                  <w:tcW w:w="724" w:type="dxa"/>
                  <w:vMerge w:val="restart"/>
                  <w:tcBorders>
                    <w:tl2br w:val="nil"/>
                    <w:tr2bl w:val="nil"/>
                  </w:tcBorders>
                  <w:vAlign w:val="center"/>
                </w:tcPr>
                <w:p w14:paraId="318BBA40">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固体废物</w:t>
                  </w:r>
                </w:p>
              </w:tc>
              <w:tc>
                <w:tcPr>
                  <w:tcW w:w="622" w:type="dxa"/>
                  <w:tcBorders>
                    <w:tl2br w:val="nil"/>
                    <w:tr2bl w:val="nil"/>
                  </w:tcBorders>
                  <w:vAlign w:val="center"/>
                </w:tcPr>
                <w:p w14:paraId="58750051">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危险废物</w:t>
                  </w:r>
                </w:p>
              </w:tc>
              <w:tc>
                <w:tcPr>
                  <w:tcW w:w="0" w:type="auto"/>
                  <w:tcBorders>
                    <w:tl2br w:val="nil"/>
                    <w:tr2bl w:val="nil"/>
                  </w:tcBorders>
                  <w:vAlign w:val="center"/>
                </w:tcPr>
                <w:p w14:paraId="1B99FFD1">
                  <w:pPr>
                    <w:pStyle w:val="10"/>
                    <w:shd w:val="clear"/>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废</w:t>
                  </w:r>
                  <w:r>
                    <w:rPr>
                      <w:color w:val="000000" w:themeColor="text1"/>
                      <w:sz w:val="18"/>
                      <w:szCs w:val="18"/>
                      <w:highlight w:val="none"/>
                      <w14:textFill>
                        <w14:solidFill>
                          <w14:schemeClr w14:val="tx1"/>
                        </w14:solidFill>
                      </w14:textFill>
                    </w:rPr>
                    <w:t>变压器油</w:t>
                  </w:r>
                  <w:r>
                    <w:rPr>
                      <w:rFonts w:hint="eastAsia"/>
                      <w:color w:val="000000" w:themeColor="text1"/>
                      <w:sz w:val="18"/>
                      <w:szCs w:val="18"/>
                      <w:highlight w:val="none"/>
                      <w:lang w:val="en-US" w:eastAsia="zh-CN"/>
                      <w14:textFill>
                        <w14:solidFill>
                          <w14:schemeClr w14:val="tx1"/>
                        </w14:solidFill>
                      </w14:textFill>
                    </w:rPr>
                    <w:t>暂存于事故油池内</w:t>
                  </w:r>
                  <w:r>
                    <w:rPr>
                      <w:color w:val="000000" w:themeColor="text1"/>
                      <w:sz w:val="18"/>
                      <w:szCs w:val="18"/>
                      <w:highlight w:val="none"/>
                      <w14:textFill>
                        <w14:solidFill>
                          <w14:schemeClr w14:val="tx1"/>
                        </w14:solidFill>
                      </w14:textFill>
                    </w:rPr>
                    <w:t>，委托有资质单位</w:t>
                  </w:r>
                  <w:r>
                    <w:rPr>
                      <w:rFonts w:hint="eastAsia"/>
                      <w:color w:val="000000" w:themeColor="text1"/>
                      <w:sz w:val="18"/>
                      <w:szCs w:val="18"/>
                      <w:highlight w:val="none"/>
                      <w:lang w:val="en-US" w:eastAsia="zh-CN"/>
                      <w14:textFill>
                        <w14:solidFill>
                          <w14:schemeClr w14:val="tx1"/>
                        </w14:solidFill>
                      </w14:textFill>
                    </w:rPr>
                    <w:t>及时清运</w:t>
                  </w:r>
                  <w:r>
                    <w:rPr>
                      <w:color w:val="000000" w:themeColor="text1"/>
                      <w:sz w:val="18"/>
                      <w:szCs w:val="18"/>
                      <w:highlight w:val="none"/>
                      <w14:textFill>
                        <w14:solidFill>
                          <w14:schemeClr w14:val="tx1"/>
                        </w14:solidFill>
                      </w14:textFill>
                    </w:rPr>
                    <w:t>处</w:t>
                  </w:r>
                  <w:r>
                    <w:rPr>
                      <w:rFonts w:hint="eastAsia"/>
                      <w:color w:val="000000" w:themeColor="text1"/>
                      <w:sz w:val="18"/>
                      <w:szCs w:val="18"/>
                      <w:highlight w:val="none"/>
                      <w:lang w:val="en-US" w:eastAsia="zh-CN"/>
                      <w14:textFill>
                        <w14:solidFill>
                          <w14:schemeClr w14:val="tx1"/>
                        </w14:solidFill>
                      </w14:textFill>
                    </w:rPr>
                    <w:t>置</w:t>
                  </w:r>
                  <w:r>
                    <w:rPr>
                      <w:color w:val="000000" w:themeColor="text1"/>
                      <w:sz w:val="18"/>
                      <w:szCs w:val="18"/>
                      <w:highlight w:val="none"/>
                      <w14:textFill>
                        <w14:solidFill>
                          <w14:schemeClr w14:val="tx1"/>
                        </w14:solidFill>
                      </w14:textFill>
                    </w:rPr>
                    <w:t>；含油抹布、手套</w:t>
                  </w:r>
                  <w:r>
                    <w:rPr>
                      <w:rFonts w:hint="eastAsia"/>
                      <w:color w:val="000000" w:themeColor="text1"/>
                      <w:sz w:val="18"/>
                      <w:szCs w:val="18"/>
                      <w:highlight w:val="none"/>
                      <w:lang w:eastAsia="zh-CN"/>
                      <w14:textFill>
                        <w14:solidFill>
                          <w14:schemeClr w14:val="tx1"/>
                        </w14:solidFill>
                      </w14:textFill>
                    </w:rPr>
                    <w:t>、</w:t>
                  </w:r>
                  <w:r>
                    <w:rPr>
                      <w:rFonts w:hint="eastAsia"/>
                      <w:color w:val="000000" w:themeColor="text1"/>
                      <w:sz w:val="18"/>
                      <w:szCs w:val="18"/>
                      <w:highlight w:val="none"/>
                      <w:lang w:val="en-US" w:eastAsia="zh-CN"/>
                      <w14:textFill>
                        <w14:solidFill>
                          <w14:schemeClr w14:val="tx1"/>
                        </w14:solidFill>
                      </w14:textFill>
                    </w:rPr>
                    <w:t>废润滑油、废油桶、</w:t>
                  </w:r>
                  <w:r>
                    <w:rPr>
                      <w:rFonts w:hint="eastAsia"/>
                      <w:color w:val="FF0000"/>
                      <w:sz w:val="18"/>
                      <w:szCs w:val="18"/>
                      <w:highlight w:val="none"/>
                      <w:lang w:val="en-US" w:eastAsia="zh-CN"/>
                    </w:rPr>
                    <w:t>废铅酸电池</w:t>
                  </w:r>
                  <w:r>
                    <w:rPr>
                      <w:color w:val="000000" w:themeColor="text1"/>
                      <w:sz w:val="18"/>
                      <w:szCs w:val="18"/>
                      <w:highlight w:val="none"/>
                      <w14:textFill>
                        <w14:solidFill>
                          <w14:schemeClr w14:val="tx1"/>
                        </w14:solidFill>
                      </w14:textFill>
                    </w:rPr>
                    <w:t>集中收集至危险废物贮存库内</w:t>
                  </w:r>
                  <w:r>
                    <w:rPr>
                      <w:rFonts w:hint="eastAsia"/>
                      <w:color w:val="000000" w:themeColor="text1"/>
                      <w:sz w:val="18"/>
                      <w:szCs w:val="18"/>
                      <w:highlight w:val="none"/>
                      <w:lang w:val="en-US" w:eastAsia="zh-CN"/>
                      <w14:textFill>
                        <w14:solidFill>
                          <w14:schemeClr w14:val="tx1"/>
                        </w14:solidFill>
                      </w14:textFill>
                    </w:rPr>
                    <w:t>暂存</w:t>
                  </w:r>
                  <w:r>
                    <w:rPr>
                      <w:color w:val="000000" w:themeColor="text1"/>
                      <w:sz w:val="18"/>
                      <w:szCs w:val="18"/>
                      <w:highlight w:val="none"/>
                      <w14:textFill>
                        <w14:solidFill>
                          <w14:schemeClr w14:val="tx1"/>
                        </w14:solidFill>
                      </w14:textFill>
                    </w:rPr>
                    <w:t>，</w:t>
                  </w:r>
                  <w:r>
                    <w:rPr>
                      <w:rFonts w:hint="eastAsia"/>
                      <w:color w:val="000000" w:themeColor="text1"/>
                      <w:sz w:val="18"/>
                      <w:szCs w:val="18"/>
                      <w:highlight w:val="none"/>
                      <w:lang w:val="en-US" w:eastAsia="zh-CN"/>
                      <w14:textFill>
                        <w14:solidFill>
                          <w14:schemeClr w14:val="tx1"/>
                        </w14:solidFill>
                      </w14:textFill>
                    </w:rPr>
                    <w:t>及时</w:t>
                  </w:r>
                  <w:r>
                    <w:rPr>
                      <w:color w:val="000000" w:themeColor="text1"/>
                      <w:sz w:val="18"/>
                      <w:szCs w:val="18"/>
                      <w:highlight w:val="none"/>
                      <w14:textFill>
                        <w14:solidFill>
                          <w14:schemeClr w14:val="tx1"/>
                        </w14:solidFill>
                      </w14:textFill>
                    </w:rPr>
                    <w:t>交由有资质单位进行处置</w:t>
                  </w:r>
                  <w:r>
                    <w:rPr>
                      <w:rFonts w:hint="eastAsia"/>
                      <w:color w:val="FF0000"/>
                      <w:sz w:val="18"/>
                      <w:szCs w:val="18"/>
                      <w:highlight w:val="none"/>
                      <w:lang w:val="en-US" w:eastAsia="zh-CN"/>
                    </w:rPr>
                    <w:t>。</w:t>
                  </w:r>
                </w:p>
              </w:tc>
            </w:tr>
            <w:tr w14:paraId="1C05D9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20CDAB8D">
                  <w:pPr>
                    <w:pStyle w:val="10"/>
                    <w:shd w:val="clear"/>
                    <w:rPr>
                      <w:color w:val="000000" w:themeColor="text1"/>
                      <w:sz w:val="18"/>
                      <w:szCs w:val="18"/>
                      <w:highlight w:val="none"/>
                      <w14:textFill>
                        <w14:solidFill>
                          <w14:schemeClr w14:val="tx1"/>
                        </w14:solidFill>
                      </w14:textFill>
                    </w:rPr>
                  </w:pPr>
                </w:p>
              </w:tc>
              <w:tc>
                <w:tcPr>
                  <w:tcW w:w="724" w:type="dxa"/>
                  <w:vMerge w:val="continue"/>
                  <w:tcBorders>
                    <w:tl2br w:val="nil"/>
                    <w:tr2bl w:val="nil"/>
                  </w:tcBorders>
                  <w:vAlign w:val="center"/>
                </w:tcPr>
                <w:p w14:paraId="0D3AF4E7">
                  <w:pPr>
                    <w:pStyle w:val="10"/>
                    <w:shd w:val="clear"/>
                    <w:rPr>
                      <w:color w:val="000000" w:themeColor="text1"/>
                      <w:sz w:val="18"/>
                      <w:szCs w:val="18"/>
                      <w:highlight w:val="none"/>
                      <w14:textFill>
                        <w14:solidFill>
                          <w14:schemeClr w14:val="tx1"/>
                        </w14:solidFill>
                      </w14:textFill>
                    </w:rPr>
                  </w:pPr>
                </w:p>
              </w:tc>
              <w:tc>
                <w:tcPr>
                  <w:tcW w:w="622" w:type="dxa"/>
                  <w:tcBorders>
                    <w:tl2br w:val="nil"/>
                    <w:tr2bl w:val="nil"/>
                  </w:tcBorders>
                  <w:vAlign w:val="center"/>
                </w:tcPr>
                <w:p w14:paraId="29D1E9A2">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一般固废</w:t>
                  </w:r>
                </w:p>
              </w:tc>
              <w:tc>
                <w:tcPr>
                  <w:tcW w:w="0" w:type="auto"/>
                  <w:tcBorders>
                    <w:tl2br w:val="nil"/>
                    <w:tr2bl w:val="nil"/>
                  </w:tcBorders>
                  <w:vAlign w:val="center"/>
                </w:tcPr>
                <w:p w14:paraId="74FCA9AA">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废磷酸铁锂电池整体更换下来直接由厂家运走，不在项目区储存，全程不落地；废电子电器设备集中收集至一般工业固废储存间（24m</w:t>
                  </w:r>
                  <w:r>
                    <w:rPr>
                      <w:color w:val="000000" w:themeColor="text1"/>
                      <w:sz w:val="18"/>
                      <w:szCs w:val="18"/>
                      <w:highlight w:val="none"/>
                      <w:vertAlign w:val="superscript"/>
                      <w14:textFill>
                        <w14:solidFill>
                          <w14:schemeClr w14:val="tx1"/>
                        </w14:solidFill>
                      </w14:textFill>
                    </w:rPr>
                    <w:t>2</w:t>
                  </w:r>
                  <w:r>
                    <w:rPr>
                      <w:color w:val="000000" w:themeColor="text1"/>
                      <w:sz w:val="18"/>
                      <w:szCs w:val="18"/>
                      <w:highlight w:val="none"/>
                      <w14:textFill>
                        <w14:solidFill>
                          <w14:schemeClr w14:val="tx1"/>
                        </w14:solidFill>
                      </w14:textFill>
                    </w:rPr>
                    <w:t>），定期外售。</w:t>
                  </w:r>
                </w:p>
              </w:tc>
            </w:tr>
            <w:tr w14:paraId="69C66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276FBEBE">
                  <w:pPr>
                    <w:pStyle w:val="10"/>
                    <w:shd w:val="clear"/>
                    <w:rPr>
                      <w:color w:val="000000" w:themeColor="text1"/>
                      <w:sz w:val="18"/>
                      <w:szCs w:val="18"/>
                      <w:highlight w:val="none"/>
                      <w14:textFill>
                        <w14:solidFill>
                          <w14:schemeClr w14:val="tx1"/>
                        </w14:solidFill>
                      </w14:textFill>
                    </w:rPr>
                  </w:pPr>
                </w:p>
              </w:tc>
              <w:tc>
                <w:tcPr>
                  <w:tcW w:w="724" w:type="dxa"/>
                  <w:vMerge w:val="continue"/>
                  <w:tcBorders>
                    <w:tl2br w:val="nil"/>
                    <w:tr2bl w:val="nil"/>
                  </w:tcBorders>
                  <w:vAlign w:val="center"/>
                </w:tcPr>
                <w:p w14:paraId="04F5343A">
                  <w:pPr>
                    <w:pStyle w:val="10"/>
                    <w:shd w:val="clear"/>
                    <w:rPr>
                      <w:color w:val="000000" w:themeColor="text1"/>
                      <w:sz w:val="18"/>
                      <w:szCs w:val="18"/>
                      <w:highlight w:val="none"/>
                      <w14:textFill>
                        <w14:solidFill>
                          <w14:schemeClr w14:val="tx1"/>
                        </w14:solidFill>
                      </w14:textFill>
                    </w:rPr>
                  </w:pPr>
                </w:p>
              </w:tc>
              <w:tc>
                <w:tcPr>
                  <w:tcW w:w="622" w:type="dxa"/>
                  <w:tcBorders>
                    <w:tl2br w:val="nil"/>
                    <w:tr2bl w:val="nil"/>
                  </w:tcBorders>
                  <w:vAlign w:val="center"/>
                </w:tcPr>
                <w:p w14:paraId="4DE14732">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生活垃圾</w:t>
                  </w:r>
                </w:p>
              </w:tc>
              <w:tc>
                <w:tcPr>
                  <w:tcW w:w="0" w:type="auto"/>
                  <w:tcBorders>
                    <w:tl2br w:val="nil"/>
                    <w:tr2bl w:val="nil"/>
                  </w:tcBorders>
                  <w:vAlign w:val="center"/>
                </w:tcPr>
                <w:p w14:paraId="567536DC">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工作人员生活垃圾集中收集至垃圾箱内，委托环卫部门定期清运。</w:t>
                  </w:r>
                </w:p>
              </w:tc>
            </w:tr>
            <w:tr w14:paraId="6B0E3B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7C4762AE">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59A1B85A">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风险措施</w:t>
                  </w:r>
                </w:p>
              </w:tc>
              <w:tc>
                <w:tcPr>
                  <w:tcW w:w="6491" w:type="dxa"/>
                  <w:gridSpan w:val="2"/>
                  <w:tcBorders>
                    <w:tl2br w:val="nil"/>
                    <w:tr2bl w:val="nil"/>
                  </w:tcBorders>
                  <w:vAlign w:val="center"/>
                </w:tcPr>
                <w:p w14:paraId="2C2A3A60">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变压器油约20t（22m</w:t>
                  </w:r>
                  <w:r>
                    <w:rPr>
                      <w:color w:val="000000" w:themeColor="text1"/>
                      <w:sz w:val="18"/>
                      <w:szCs w:val="18"/>
                      <w:highlight w:val="none"/>
                      <w:vertAlign w:val="superscript"/>
                      <w14:textFill>
                        <w14:solidFill>
                          <w14:schemeClr w14:val="tx1"/>
                        </w14:solidFill>
                      </w14:textFill>
                    </w:rPr>
                    <w:t>3</w:t>
                  </w:r>
                  <w:r>
                    <w:rPr>
                      <w:color w:val="000000" w:themeColor="text1"/>
                      <w:sz w:val="18"/>
                      <w:szCs w:val="18"/>
                      <w:highlight w:val="none"/>
                      <w14:textFill>
                        <w14:solidFill>
                          <w14:schemeClr w14:val="tx1"/>
                        </w14:solidFill>
                      </w14:textFill>
                    </w:rPr>
                    <w:t>）在变压器外壳内装有变压器油，新增1座50m</w:t>
                  </w:r>
                  <w:r>
                    <w:rPr>
                      <w:color w:val="000000" w:themeColor="text1"/>
                      <w:sz w:val="18"/>
                      <w:szCs w:val="18"/>
                      <w:highlight w:val="none"/>
                      <w:vertAlign w:val="superscript"/>
                      <w14:textFill>
                        <w14:solidFill>
                          <w14:schemeClr w14:val="tx1"/>
                        </w14:solidFill>
                      </w14:textFill>
                    </w:rPr>
                    <w:t>3</w:t>
                  </w:r>
                  <w:r>
                    <w:rPr>
                      <w:color w:val="000000" w:themeColor="text1"/>
                      <w:sz w:val="18"/>
                      <w:szCs w:val="18"/>
                      <w:highlight w:val="none"/>
                      <w14:textFill>
                        <w14:solidFill>
                          <w14:schemeClr w14:val="tx1"/>
                        </w14:solidFill>
                      </w14:textFill>
                    </w:rPr>
                    <w:t>的事故油池，油池内铺洁净卵石，其厚度不小于250mm，卵石粒径为50～80mm满足最大单台变压器100%排油量要求。设置应急物资及救援队伍，编制应急预案等。</w:t>
                  </w:r>
                  <w:r>
                    <w:rPr>
                      <w:color w:val="FF0000"/>
                      <w:sz w:val="18"/>
                      <w:szCs w:val="18"/>
                      <w:highlight w:val="none"/>
                    </w:rPr>
                    <w:t>变压器底部设地下钢筋混凝土贮油坑，坑底设有排油管，能将事故油排至事故油池中，满足事故排油要求</w:t>
                  </w:r>
                  <w:r>
                    <w:rPr>
                      <w:color w:val="000000" w:themeColor="text1"/>
                      <w:sz w:val="18"/>
                      <w:szCs w:val="18"/>
                      <w:highlight w:val="none"/>
                      <w14:textFill>
                        <w14:solidFill>
                          <w14:schemeClr w14:val="tx1"/>
                        </w14:solidFill>
                      </w14:textFill>
                    </w:rPr>
                    <w:t>。</w:t>
                  </w:r>
                </w:p>
              </w:tc>
            </w:tr>
            <w:tr w14:paraId="42175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vAlign w:val="center"/>
                </w:tcPr>
                <w:p w14:paraId="1BFA962B">
                  <w:pPr>
                    <w:pStyle w:val="10"/>
                    <w:shd w:val="clear"/>
                    <w:rPr>
                      <w:color w:val="000000" w:themeColor="text1"/>
                      <w:sz w:val="18"/>
                      <w:szCs w:val="18"/>
                      <w:highlight w:val="none"/>
                      <w14:textFill>
                        <w14:solidFill>
                          <w14:schemeClr w14:val="tx1"/>
                        </w14:solidFill>
                      </w14:textFill>
                    </w:rPr>
                  </w:pPr>
                </w:p>
              </w:tc>
              <w:tc>
                <w:tcPr>
                  <w:tcW w:w="724" w:type="dxa"/>
                  <w:tcBorders>
                    <w:tl2br w:val="nil"/>
                    <w:tr2bl w:val="nil"/>
                  </w:tcBorders>
                  <w:vAlign w:val="center"/>
                </w:tcPr>
                <w:p w14:paraId="775FAC63">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水土保持措施</w:t>
                  </w:r>
                </w:p>
              </w:tc>
              <w:tc>
                <w:tcPr>
                  <w:tcW w:w="6491" w:type="dxa"/>
                  <w:gridSpan w:val="2"/>
                  <w:tcBorders>
                    <w:tl2br w:val="nil"/>
                    <w:tr2bl w:val="nil"/>
                  </w:tcBorders>
                  <w:vAlign w:val="center"/>
                </w:tcPr>
                <w:p w14:paraId="2C6537B8">
                  <w:pPr>
                    <w:pStyle w:val="10"/>
                    <w:shd w:val="clea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采取工程措施、植物措施相结合，控制水土流失量。</w:t>
                  </w:r>
                </w:p>
              </w:tc>
            </w:tr>
          </w:tbl>
          <w:p w14:paraId="30536C49">
            <w:pPr>
              <w:keepNext/>
              <w:keepLines/>
              <w:pageBreakBefore w:val="0"/>
              <w:widowControl w:val="0"/>
              <w:shd w:val="clear"/>
              <w:kinsoku/>
              <w:wordWrap/>
              <w:overflowPunct/>
              <w:topLinePunct w:val="0"/>
              <w:autoSpaceDE/>
              <w:autoSpaceDN/>
              <w:bidi w:val="0"/>
              <w:adjustRightInd w:val="0"/>
              <w:snapToGrid w:val="0"/>
              <w:spacing w:before="157" w:beforeLines="50" w:line="240" w:lineRule="auto"/>
              <w:ind w:firstLine="482" w:firstLineChars="200"/>
              <w:textAlignment w:val="auto"/>
              <w:outlineLvl w:val="9"/>
              <w:rPr>
                <w:b/>
                <w:bCs/>
                <w:color w:val="000000" w:themeColor="text1"/>
                <w:highlight w:val="none"/>
                <w:vertAlign w:val="baseline"/>
                <w14:textFill>
                  <w14:solidFill>
                    <w14:schemeClr w14:val="tx1"/>
                  </w14:solidFill>
                </w14:textFill>
              </w:rPr>
            </w:pPr>
            <w:bookmarkStart w:id="26" w:name="_Toc8946"/>
            <w:r>
              <w:rPr>
                <w:rFonts w:hint="default"/>
                <w:b/>
                <w:bCs/>
                <w:color w:val="000000" w:themeColor="text1"/>
                <w:highlight w:val="none"/>
                <w14:textFill>
                  <w14:solidFill>
                    <w14:schemeClr w14:val="tx1"/>
                  </w14:solidFill>
                </w14:textFill>
              </w:rPr>
              <w:t>表2-</w:t>
            </w:r>
            <w:r>
              <w:rPr>
                <w:rFonts w:hint="eastAsia"/>
                <w:b/>
                <w:bCs/>
                <w:color w:val="000000" w:themeColor="text1"/>
                <w:highlight w:val="none"/>
                <w:lang w:val="en-US" w:eastAsia="zh-CN"/>
                <w14:textFill>
                  <w14:solidFill>
                    <w14:schemeClr w14:val="tx1"/>
                  </w14:solidFill>
                </w14:textFill>
              </w:rPr>
              <w:t xml:space="preserve">3       </w:t>
            </w:r>
            <w:r>
              <w:rPr>
                <w:rFonts w:hint="default"/>
                <w:b/>
                <w:bCs/>
                <w:color w:val="000000" w:themeColor="text1"/>
                <w:highlight w:val="none"/>
                <w14:textFill>
                  <w14:solidFill>
                    <w14:schemeClr w14:val="tx1"/>
                  </w14:solidFill>
                </w14:textFill>
              </w:rPr>
              <w:t xml:space="preserve"> 临时工程建设内容一览表</w:t>
            </w:r>
          </w:p>
          <w:tbl>
            <w:tblPr>
              <w:tblStyle w:val="3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839"/>
              <w:gridCol w:w="1384"/>
              <w:gridCol w:w="1218"/>
              <w:gridCol w:w="705"/>
              <w:gridCol w:w="1148"/>
              <w:gridCol w:w="2106"/>
            </w:tblGrid>
            <w:tr w14:paraId="299D93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68E551B3">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序号</w:t>
                  </w:r>
                </w:p>
              </w:tc>
              <w:tc>
                <w:tcPr>
                  <w:tcW w:w="534" w:type="pct"/>
                  <w:tcBorders>
                    <w:tl2br w:val="nil"/>
                    <w:tr2bl w:val="nil"/>
                  </w:tcBorders>
                  <w:vAlign w:val="center"/>
                </w:tcPr>
                <w:p w14:paraId="641B17B4">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临时工程名称</w:t>
                  </w:r>
                </w:p>
              </w:tc>
              <w:tc>
                <w:tcPr>
                  <w:tcW w:w="881" w:type="pct"/>
                  <w:tcBorders>
                    <w:tl2br w:val="nil"/>
                    <w:tr2bl w:val="nil"/>
                  </w:tcBorders>
                  <w:vAlign w:val="center"/>
                </w:tcPr>
                <w:p w14:paraId="13889EFA">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设置位置</w:t>
                  </w:r>
                </w:p>
              </w:tc>
              <w:tc>
                <w:tcPr>
                  <w:tcW w:w="775" w:type="pct"/>
                  <w:tcBorders>
                    <w:tl2br w:val="nil"/>
                    <w:tr2bl w:val="nil"/>
                  </w:tcBorders>
                  <w:vAlign w:val="center"/>
                </w:tcPr>
                <w:p w14:paraId="7692C73F">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占地面积（m²）</w:t>
                  </w:r>
                </w:p>
              </w:tc>
              <w:tc>
                <w:tcPr>
                  <w:tcW w:w="449" w:type="pct"/>
                  <w:tcBorders>
                    <w:tl2br w:val="nil"/>
                    <w:tr2bl w:val="nil"/>
                  </w:tcBorders>
                  <w:vAlign w:val="center"/>
                </w:tcPr>
                <w:p w14:paraId="6DE44A1F">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占地类型</w:t>
                  </w:r>
                </w:p>
              </w:tc>
              <w:tc>
                <w:tcPr>
                  <w:tcW w:w="731" w:type="pct"/>
                  <w:tcBorders>
                    <w:tl2br w:val="nil"/>
                    <w:tr2bl w:val="nil"/>
                  </w:tcBorders>
                  <w:vAlign w:val="center"/>
                </w:tcPr>
                <w:p w14:paraId="021A30C4">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主要用途</w:t>
                  </w:r>
                </w:p>
              </w:tc>
              <w:tc>
                <w:tcPr>
                  <w:tcW w:w="1340" w:type="pct"/>
                  <w:tcBorders>
                    <w:tl2br w:val="nil"/>
                    <w:tr2bl w:val="nil"/>
                  </w:tcBorders>
                  <w:vAlign w:val="center"/>
                </w:tcPr>
                <w:p w14:paraId="79CA43A9">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环保措施及恢复要求</w:t>
                  </w:r>
                </w:p>
              </w:tc>
            </w:tr>
            <w:tr w14:paraId="40AC2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3A2B3788">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1</w:t>
                  </w:r>
                </w:p>
              </w:tc>
              <w:tc>
                <w:tcPr>
                  <w:tcW w:w="534" w:type="pct"/>
                  <w:tcBorders>
                    <w:tl2br w:val="nil"/>
                    <w:tr2bl w:val="nil"/>
                  </w:tcBorders>
                  <w:vAlign w:val="center"/>
                </w:tcPr>
                <w:p w14:paraId="3649FFE9">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施工临时道路</w:t>
                  </w:r>
                </w:p>
              </w:tc>
              <w:tc>
                <w:tcPr>
                  <w:tcW w:w="881" w:type="pct"/>
                  <w:tcBorders>
                    <w:tl2br w:val="nil"/>
                    <w:tr2bl w:val="nil"/>
                  </w:tcBorders>
                  <w:vAlign w:val="center"/>
                </w:tcPr>
                <w:p w14:paraId="0EA6FCE3">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各塔基与现有县道之间连接段</w:t>
                  </w:r>
                </w:p>
              </w:tc>
              <w:tc>
                <w:tcPr>
                  <w:tcW w:w="775" w:type="pct"/>
                  <w:tcBorders>
                    <w:tl2br w:val="nil"/>
                    <w:tr2bl w:val="nil"/>
                  </w:tcBorders>
                  <w:vAlign w:val="center"/>
                </w:tcPr>
                <w:p w14:paraId="2B935A98">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0（利用现有道路）</w:t>
                  </w:r>
                </w:p>
              </w:tc>
              <w:tc>
                <w:tcPr>
                  <w:tcW w:w="449" w:type="pct"/>
                  <w:tcBorders>
                    <w:tl2br w:val="nil"/>
                    <w:tr2bl w:val="nil"/>
                  </w:tcBorders>
                  <w:vAlign w:val="center"/>
                </w:tcPr>
                <w:p w14:paraId="54E81C98">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eastAsia"/>
                      <w:b w:val="0"/>
                      <w:bCs w:val="0"/>
                      <w:color w:val="000000" w:themeColor="text1"/>
                      <w:sz w:val="18"/>
                      <w:szCs w:val="18"/>
                      <w:highlight w:val="none"/>
                      <w:lang w:val="en-US" w:eastAsia="zh-CN"/>
                      <w14:textFill>
                        <w14:solidFill>
                          <w14:schemeClr w14:val="tx1"/>
                        </w14:solidFill>
                      </w14:textFill>
                    </w:rPr>
                    <w:t>/</w:t>
                  </w:r>
                </w:p>
              </w:tc>
              <w:tc>
                <w:tcPr>
                  <w:tcW w:w="731" w:type="pct"/>
                  <w:tcBorders>
                    <w:tl2br w:val="nil"/>
                    <w:tr2bl w:val="nil"/>
                  </w:tcBorders>
                  <w:vAlign w:val="center"/>
                </w:tcPr>
                <w:p w14:paraId="7E84CD8D">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物料运输、机械进出场</w:t>
                  </w:r>
                </w:p>
              </w:tc>
              <w:tc>
                <w:tcPr>
                  <w:tcW w:w="1340" w:type="pct"/>
                  <w:tcBorders>
                    <w:tl2br w:val="nil"/>
                    <w:tr2bl w:val="nil"/>
                  </w:tcBorders>
                  <w:vAlign w:val="center"/>
                </w:tcPr>
                <w:p w14:paraId="772AD386">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优先利用现有县道；</w:t>
                  </w:r>
                </w:p>
              </w:tc>
            </w:tr>
            <w:tr w14:paraId="283F58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27B89716">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2</w:t>
                  </w:r>
                </w:p>
              </w:tc>
              <w:tc>
                <w:tcPr>
                  <w:tcW w:w="534" w:type="pct"/>
                  <w:tcBorders>
                    <w:tl2br w:val="nil"/>
                    <w:tr2bl w:val="nil"/>
                  </w:tcBorders>
                  <w:vAlign w:val="center"/>
                </w:tcPr>
                <w:p w14:paraId="16444A64">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施工生产生活区</w:t>
                  </w:r>
                </w:p>
              </w:tc>
              <w:tc>
                <w:tcPr>
                  <w:tcW w:w="881" w:type="pct"/>
                  <w:tcBorders>
                    <w:tl2br w:val="nil"/>
                    <w:tr2bl w:val="nil"/>
                  </w:tcBorders>
                  <w:vAlign w:val="center"/>
                </w:tcPr>
                <w:p w14:paraId="4021EE69">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升压站南侧（光伏区临时用地范围内）</w:t>
                  </w:r>
                </w:p>
              </w:tc>
              <w:tc>
                <w:tcPr>
                  <w:tcW w:w="775" w:type="pct"/>
                  <w:tcBorders>
                    <w:tl2br w:val="nil"/>
                    <w:tr2bl w:val="nil"/>
                  </w:tcBorders>
                  <w:vAlign w:val="center"/>
                </w:tcPr>
                <w:p w14:paraId="5B42E36B">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2000</w:t>
                  </w:r>
                </w:p>
              </w:tc>
              <w:tc>
                <w:tcPr>
                  <w:tcW w:w="449" w:type="pct"/>
                  <w:tcBorders>
                    <w:tl2br w:val="nil"/>
                    <w:tr2bl w:val="nil"/>
                  </w:tcBorders>
                  <w:vAlign w:val="center"/>
                </w:tcPr>
                <w:p w14:paraId="2B98FD74">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其他草地</w:t>
                  </w:r>
                </w:p>
              </w:tc>
              <w:tc>
                <w:tcPr>
                  <w:tcW w:w="731" w:type="pct"/>
                  <w:tcBorders>
                    <w:tl2br w:val="nil"/>
                    <w:tr2bl w:val="nil"/>
                  </w:tcBorders>
                  <w:vAlign w:val="center"/>
                </w:tcPr>
                <w:p w14:paraId="40703B08">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施工人员办公、住宿、材料加工</w:t>
                  </w:r>
                </w:p>
              </w:tc>
              <w:tc>
                <w:tcPr>
                  <w:tcW w:w="1340" w:type="pct"/>
                  <w:tcBorders>
                    <w:tl2br w:val="nil"/>
                    <w:tr2bl w:val="nil"/>
                  </w:tcBorders>
                  <w:vAlign w:val="center"/>
                </w:tcPr>
                <w:p w14:paraId="32DEA2F1">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eastAsia"/>
                      <w:b w:val="0"/>
                      <w:bCs w:val="0"/>
                      <w:color w:val="000000" w:themeColor="text1"/>
                      <w:sz w:val="18"/>
                      <w:szCs w:val="18"/>
                      <w:highlight w:val="none"/>
                      <w:lang w:val="en-US" w:eastAsia="zh-CN"/>
                      <w14:textFill>
                        <w14:solidFill>
                          <w14:schemeClr w14:val="tx1"/>
                        </w14:solidFill>
                      </w14:textFill>
                    </w:rPr>
                    <w:t>①</w:t>
                  </w:r>
                  <w:r>
                    <w:rPr>
                      <w:rFonts w:hint="default"/>
                      <w:b w:val="0"/>
                      <w:bCs w:val="0"/>
                      <w:color w:val="000000" w:themeColor="text1"/>
                      <w:sz w:val="18"/>
                      <w:szCs w:val="18"/>
                      <w:highlight w:val="none"/>
                      <w:lang w:val="en-US" w:eastAsia="zh-CN"/>
                      <w14:textFill>
                        <w14:solidFill>
                          <w14:schemeClr w14:val="tx1"/>
                        </w14:solidFill>
                      </w14:textFill>
                    </w:rPr>
                    <w:t>生活污水定期清运；②生活垃圾集中收集；③施工结束后拆除临建、平整恢复</w:t>
                  </w:r>
                </w:p>
              </w:tc>
            </w:tr>
            <w:tr w14:paraId="643070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4590084B">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3</w:t>
                  </w:r>
                </w:p>
              </w:tc>
              <w:tc>
                <w:tcPr>
                  <w:tcW w:w="534" w:type="pct"/>
                  <w:tcBorders>
                    <w:tl2br w:val="nil"/>
                    <w:tr2bl w:val="nil"/>
                  </w:tcBorders>
                  <w:vAlign w:val="center"/>
                </w:tcPr>
                <w:p w14:paraId="3AB90898">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牵张场</w:t>
                  </w:r>
                </w:p>
              </w:tc>
              <w:tc>
                <w:tcPr>
                  <w:tcW w:w="881" w:type="pct"/>
                  <w:tcBorders>
                    <w:tl2br w:val="nil"/>
                    <w:tr2bl w:val="nil"/>
                  </w:tcBorders>
                  <w:vAlign w:val="center"/>
                </w:tcPr>
                <w:p w14:paraId="741261A3">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线路中段（X243县道南侧平坦空地）</w:t>
                  </w:r>
                </w:p>
              </w:tc>
              <w:tc>
                <w:tcPr>
                  <w:tcW w:w="775" w:type="pct"/>
                  <w:tcBorders>
                    <w:tl2br w:val="nil"/>
                    <w:tr2bl w:val="nil"/>
                  </w:tcBorders>
                  <w:vAlign w:val="center"/>
                </w:tcPr>
                <w:p w14:paraId="5137D21A">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3000</w:t>
                  </w:r>
                </w:p>
              </w:tc>
              <w:tc>
                <w:tcPr>
                  <w:tcW w:w="449" w:type="pct"/>
                  <w:tcBorders>
                    <w:tl2br w:val="nil"/>
                    <w:tr2bl w:val="nil"/>
                  </w:tcBorders>
                  <w:vAlign w:val="center"/>
                </w:tcPr>
                <w:p w14:paraId="5039B0C1">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其他草地</w:t>
                  </w:r>
                </w:p>
              </w:tc>
              <w:tc>
                <w:tcPr>
                  <w:tcW w:w="731" w:type="pct"/>
                  <w:tcBorders>
                    <w:tl2br w:val="nil"/>
                    <w:tr2bl w:val="nil"/>
                  </w:tcBorders>
                  <w:vAlign w:val="center"/>
                </w:tcPr>
                <w:p w14:paraId="267233E9">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导线、地线架设（牵引场+张力场）</w:t>
                  </w:r>
                </w:p>
              </w:tc>
              <w:tc>
                <w:tcPr>
                  <w:tcW w:w="1340" w:type="pct"/>
                  <w:tcBorders>
                    <w:tl2br w:val="nil"/>
                    <w:tr2bl w:val="nil"/>
                  </w:tcBorders>
                  <w:vAlign w:val="center"/>
                </w:tcPr>
                <w:p w14:paraId="2B12D325">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①选址避开植被茂密区；②铺设彩条布减少地表扰动；③施工结束后清理场地、平整恢复</w:t>
                  </w:r>
                </w:p>
              </w:tc>
            </w:tr>
            <w:tr w14:paraId="0CB5D9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6A16FA3D">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4</w:t>
                  </w:r>
                </w:p>
              </w:tc>
              <w:tc>
                <w:tcPr>
                  <w:tcW w:w="534" w:type="pct"/>
                  <w:tcBorders>
                    <w:tl2br w:val="nil"/>
                    <w:tr2bl w:val="nil"/>
                  </w:tcBorders>
                  <w:vAlign w:val="center"/>
                </w:tcPr>
                <w:p w14:paraId="226B5960">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临时堆放场</w:t>
                  </w:r>
                </w:p>
              </w:tc>
              <w:tc>
                <w:tcPr>
                  <w:tcW w:w="881" w:type="pct"/>
                  <w:tcBorders>
                    <w:tl2br w:val="nil"/>
                    <w:tr2bl w:val="nil"/>
                  </w:tcBorders>
                  <w:vAlign w:val="center"/>
                </w:tcPr>
                <w:p w14:paraId="0660A91C">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升压站施工区内</w:t>
                  </w:r>
                </w:p>
              </w:tc>
              <w:tc>
                <w:tcPr>
                  <w:tcW w:w="775" w:type="pct"/>
                  <w:tcBorders>
                    <w:tl2br w:val="nil"/>
                    <w:tr2bl w:val="nil"/>
                  </w:tcBorders>
                  <w:vAlign w:val="center"/>
                </w:tcPr>
                <w:p w14:paraId="006B642E">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1000</w:t>
                  </w:r>
                </w:p>
              </w:tc>
              <w:tc>
                <w:tcPr>
                  <w:tcW w:w="449" w:type="pct"/>
                  <w:tcBorders>
                    <w:tl2br w:val="nil"/>
                    <w:tr2bl w:val="nil"/>
                  </w:tcBorders>
                  <w:vAlign w:val="center"/>
                </w:tcPr>
                <w:p w14:paraId="714238CC">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其他草地</w:t>
                  </w:r>
                </w:p>
              </w:tc>
              <w:tc>
                <w:tcPr>
                  <w:tcW w:w="731" w:type="pct"/>
                  <w:tcBorders>
                    <w:tl2br w:val="nil"/>
                    <w:tr2bl w:val="nil"/>
                  </w:tcBorders>
                  <w:vAlign w:val="center"/>
                </w:tcPr>
                <w:p w14:paraId="48873AE8">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土方、砂石料、建材临时堆存</w:t>
                  </w:r>
                </w:p>
              </w:tc>
              <w:tc>
                <w:tcPr>
                  <w:tcW w:w="1340" w:type="pct"/>
                  <w:tcBorders>
                    <w:tl2br w:val="nil"/>
                    <w:tr2bl w:val="nil"/>
                  </w:tcBorders>
                  <w:vAlign w:val="center"/>
                </w:tcPr>
                <w:p w14:paraId="3625717D">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①堆土采用防尘网苫盖；②四周设置临时拦挡；③施工结束后清理</w:t>
                  </w:r>
                </w:p>
              </w:tc>
            </w:tr>
            <w:tr w14:paraId="17817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6" w:type="pct"/>
                  <w:tcBorders>
                    <w:tl2br w:val="nil"/>
                    <w:tr2bl w:val="nil"/>
                  </w:tcBorders>
                  <w:vAlign w:val="center"/>
                </w:tcPr>
                <w:p w14:paraId="7984F846">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5</w:t>
                  </w:r>
                </w:p>
              </w:tc>
              <w:tc>
                <w:tcPr>
                  <w:tcW w:w="534" w:type="pct"/>
                  <w:tcBorders>
                    <w:tl2br w:val="nil"/>
                    <w:tr2bl w:val="nil"/>
                  </w:tcBorders>
                  <w:vAlign w:val="center"/>
                </w:tcPr>
                <w:p w14:paraId="79EAE5AE">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跨越场（跨越架）</w:t>
                  </w:r>
                </w:p>
              </w:tc>
              <w:tc>
                <w:tcPr>
                  <w:tcW w:w="881" w:type="pct"/>
                  <w:tcBorders>
                    <w:tl2br w:val="nil"/>
                    <w:tr2bl w:val="nil"/>
                  </w:tcBorders>
                  <w:vAlign w:val="center"/>
                </w:tcPr>
                <w:p w14:paraId="65D8343B">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X243县道跨越点两侧（共2处）</w:t>
                  </w:r>
                </w:p>
              </w:tc>
              <w:tc>
                <w:tcPr>
                  <w:tcW w:w="775" w:type="pct"/>
                  <w:tcBorders>
                    <w:tl2br w:val="nil"/>
                    <w:tr2bl w:val="nil"/>
                  </w:tcBorders>
                  <w:vAlign w:val="center"/>
                </w:tcPr>
                <w:p w14:paraId="3437CFF5">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每处约100m²，合计200m²</w:t>
                  </w:r>
                </w:p>
              </w:tc>
              <w:tc>
                <w:tcPr>
                  <w:tcW w:w="449" w:type="pct"/>
                  <w:tcBorders>
                    <w:tl2br w:val="nil"/>
                    <w:tr2bl w:val="nil"/>
                  </w:tcBorders>
                  <w:vAlign w:val="center"/>
                </w:tcPr>
                <w:p w14:paraId="36AC2DD8">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公路用地/其他草地</w:t>
                  </w:r>
                </w:p>
              </w:tc>
              <w:tc>
                <w:tcPr>
                  <w:tcW w:w="731" w:type="pct"/>
                  <w:tcBorders>
                    <w:tl2br w:val="nil"/>
                    <w:tr2bl w:val="nil"/>
                  </w:tcBorders>
                  <w:vAlign w:val="center"/>
                </w:tcPr>
                <w:p w14:paraId="2AD39CFE">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跨越公路施工时安全防护</w:t>
                  </w:r>
                </w:p>
              </w:tc>
              <w:tc>
                <w:tcPr>
                  <w:tcW w:w="1340" w:type="pct"/>
                  <w:tcBorders>
                    <w:tl2br w:val="nil"/>
                    <w:tr2bl w:val="nil"/>
                  </w:tcBorders>
                  <w:vAlign w:val="center"/>
                </w:tcPr>
                <w:p w14:paraId="1E7DA33F">
                  <w:pPr>
                    <w:keepNext/>
                    <w:keepLines/>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color w:val="000000" w:themeColor="text1"/>
                      <w:highlight w:val="none"/>
                      <w:vertAlign w:val="baseline"/>
                      <w14:textFill>
                        <w14:solidFill>
                          <w14:schemeClr w14:val="tx1"/>
                        </w14:solidFill>
                      </w14:textFill>
                    </w:rPr>
                  </w:pPr>
                  <w:r>
                    <w:rPr>
                      <w:rFonts w:hint="default"/>
                      <w:b w:val="0"/>
                      <w:bCs w:val="0"/>
                      <w:color w:val="000000" w:themeColor="text1"/>
                      <w:sz w:val="18"/>
                      <w:szCs w:val="18"/>
                      <w:highlight w:val="none"/>
                      <w:lang w:val="en-US" w:eastAsia="zh-CN"/>
                      <w14:textFill>
                        <w14:solidFill>
                          <w14:schemeClr w14:val="tx1"/>
                        </w14:solidFill>
                      </w14:textFill>
                    </w:rPr>
                    <w:t>①跨越架采用钢管搭设；②设置警示标志；③施工结束后立即拆除并恢复</w:t>
                  </w:r>
                </w:p>
              </w:tc>
            </w:tr>
          </w:tbl>
          <w:p w14:paraId="150E8BFA">
            <w:pPr>
              <w:pStyle w:val="3"/>
              <w:shd w:val="clear"/>
              <w:rPr>
                <w:color w:val="000000" w:themeColor="text1"/>
                <w:highlight w:val="none"/>
                <w14:textFill>
                  <w14:solidFill>
                    <w14:schemeClr w14:val="tx1"/>
                  </w14:solidFill>
                </w14:textFill>
              </w:rPr>
            </w:pPr>
            <w:bookmarkStart w:id="27" w:name="_Toc10571"/>
            <w:bookmarkStart w:id="28" w:name="_Toc8197"/>
            <w:r>
              <w:rPr>
                <w:color w:val="000000" w:themeColor="text1"/>
                <w:highlight w:val="none"/>
                <w14:textFill>
                  <w14:solidFill>
                    <w14:schemeClr w14:val="tx1"/>
                  </w14:solidFill>
                </w14:textFill>
              </w:rPr>
              <w:t>2、线路路径</w:t>
            </w:r>
            <w:bookmarkEnd w:id="27"/>
            <w:bookmarkEnd w:id="28"/>
          </w:p>
          <w:p w14:paraId="6A1CAAA4">
            <w:pPr>
              <w:pStyle w:val="3"/>
              <w:shd w:val="clear"/>
              <w:rPr>
                <w:color w:val="000000" w:themeColor="text1"/>
                <w:highlight w:val="none"/>
                <w14:textFill>
                  <w14:solidFill>
                    <w14:schemeClr w14:val="tx1"/>
                  </w14:solidFill>
                </w14:textFill>
              </w:rPr>
            </w:pPr>
            <w:bookmarkStart w:id="29" w:name="_Toc28109"/>
            <w:bookmarkStart w:id="30" w:name="_Toc7202"/>
            <w:r>
              <w:rPr>
                <w:color w:val="000000" w:themeColor="text1"/>
                <w:highlight w:val="none"/>
                <w14:textFill>
                  <w14:solidFill>
                    <w14:schemeClr w14:val="tx1"/>
                  </w14:solidFill>
                </w14:textFill>
              </w:rPr>
              <w:t>2.1线路路径走向</w:t>
            </w:r>
            <w:bookmarkEnd w:id="29"/>
            <w:bookmarkEnd w:id="30"/>
          </w:p>
          <w:p w14:paraId="68CB57F4">
            <w:pPr>
              <w:keepNext/>
              <w:keepLines/>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线路自储能电站向西方向出线跨越X243县道，在X243县道南侧沿路向东南方向走向至110kV塔里木光伏站西侧，线路左转跨越X243县道接入110kV塔里木光伏站，输出线路其中架空线路4.9km，地埋线览0.36km。线路总长度约5.26km。</w:t>
            </w:r>
          </w:p>
          <w:p w14:paraId="5BFA0794">
            <w:pPr>
              <w:pStyle w:val="3"/>
              <w:shd w:val="clear"/>
              <w:rPr>
                <w:color w:val="000000" w:themeColor="text1"/>
                <w:highlight w:val="none"/>
                <w14:textFill>
                  <w14:solidFill>
                    <w14:schemeClr w14:val="tx1"/>
                  </w14:solidFill>
                </w14:textFill>
              </w:rPr>
            </w:pPr>
            <w:bookmarkStart w:id="31" w:name="_Toc10515"/>
            <w:bookmarkStart w:id="32" w:name="_Toc12281"/>
            <w:r>
              <w:rPr>
                <w:color w:val="000000" w:themeColor="text1"/>
                <w:highlight w:val="none"/>
                <w14:textFill>
                  <w14:solidFill>
                    <w14:schemeClr w14:val="tx1"/>
                  </w14:solidFill>
                </w14:textFill>
              </w:rPr>
              <w:t>2.2线路跨越</w:t>
            </w:r>
            <w:bookmarkEnd w:id="31"/>
            <w:bookmarkEnd w:id="32"/>
          </w:p>
          <w:p w14:paraId="22018DBD">
            <w:pPr>
              <w:keepNext/>
              <w:keepLines/>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本项目输电线路跨越情况见表2-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p>
          <w:p w14:paraId="30A73E63">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 xml:space="preserve">        本项目新建输电线路跨越一览表</w:t>
            </w:r>
          </w:p>
          <w:tbl>
            <w:tblPr>
              <w:tblStyle w:val="3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446"/>
              <w:gridCol w:w="3365"/>
              <w:gridCol w:w="1446"/>
              <w:gridCol w:w="1589"/>
            </w:tblGrid>
            <w:tr w14:paraId="33603F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921" w:type="pct"/>
                  <w:tcBorders>
                    <w:tl2br w:val="nil"/>
                    <w:tr2bl w:val="nil"/>
                  </w:tcBorders>
                  <w:vAlign w:val="center"/>
                </w:tcPr>
                <w:p w14:paraId="1B1134AF">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33" w:name="_Toc1294"/>
                  <w:bookmarkStart w:id="34" w:name="_Toc7772"/>
                  <w:r>
                    <w:rPr>
                      <w:b w:val="0"/>
                      <w:bCs w:val="0"/>
                      <w:color w:val="000000" w:themeColor="text1"/>
                      <w:sz w:val="21"/>
                      <w:szCs w:val="21"/>
                      <w:highlight w:val="none"/>
                      <w14:textFill>
                        <w14:solidFill>
                          <w14:schemeClr w14:val="tx1"/>
                        </w14:solidFill>
                      </w14:textFill>
                    </w:rPr>
                    <w:t>序号</w:t>
                  </w:r>
                  <w:bookmarkEnd w:id="33"/>
                  <w:bookmarkEnd w:id="34"/>
                </w:p>
              </w:tc>
              <w:tc>
                <w:tcPr>
                  <w:tcW w:w="2143" w:type="pct"/>
                  <w:tcBorders>
                    <w:tl2br w:val="nil"/>
                    <w:tr2bl w:val="nil"/>
                  </w:tcBorders>
                  <w:vAlign w:val="center"/>
                </w:tcPr>
                <w:p w14:paraId="7E1ED372">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35" w:name="_Toc20016"/>
                  <w:bookmarkStart w:id="36" w:name="_Toc3883"/>
                  <w:r>
                    <w:rPr>
                      <w:b w:val="0"/>
                      <w:bCs w:val="0"/>
                      <w:color w:val="000000" w:themeColor="text1"/>
                      <w:sz w:val="21"/>
                      <w:szCs w:val="21"/>
                      <w:highlight w:val="none"/>
                      <w14:textFill>
                        <w14:solidFill>
                          <w14:schemeClr w14:val="tx1"/>
                        </w14:solidFill>
                      </w14:textFill>
                    </w:rPr>
                    <w:t>交叉跨越物</w:t>
                  </w:r>
                  <w:bookmarkEnd w:id="35"/>
                  <w:bookmarkEnd w:id="36"/>
                </w:p>
              </w:tc>
              <w:tc>
                <w:tcPr>
                  <w:tcW w:w="921" w:type="pct"/>
                  <w:tcBorders>
                    <w:tl2br w:val="nil"/>
                    <w:tr2bl w:val="nil"/>
                  </w:tcBorders>
                  <w:vAlign w:val="center"/>
                </w:tcPr>
                <w:p w14:paraId="7FA2AD41">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37" w:name="_Toc86"/>
                  <w:bookmarkStart w:id="38" w:name="_Toc9133"/>
                  <w:r>
                    <w:rPr>
                      <w:b w:val="0"/>
                      <w:bCs w:val="0"/>
                      <w:color w:val="000000" w:themeColor="text1"/>
                      <w:sz w:val="21"/>
                      <w:szCs w:val="21"/>
                      <w:highlight w:val="none"/>
                      <w14:textFill>
                        <w14:solidFill>
                          <w14:schemeClr w14:val="tx1"/>
                        </w14:solidFill>
                      </w14:textFill>
                    </w:rPr>
                    <w:t>次数</w:t>
                  </w:r>
                  <w:bookmarkEnd w:id="37"/>
                  <w:bookmarkEnd w:id="38"/>
                </w:p>
              </w:tc>
              <w:tc>
                <w:tcPr>
                  <w:tcW w:w="1012" w:type="pct"/>
                  <w:tcBorders>
                    <w:tl2br w:val="nil"/>
                    <w:tr2bl w:val="nil"/>
                  </w:tcBorders>
                  <w:vAlign w:val="center"/>
                </w:tcPr>
                <w:p w14:paraId="1EDD85BC">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39" w:name="_Toc314"/>
                  <w:bookmarkStart w:id="40" w:name="_Toc12922"/>
                  <w:r>
                    <w:rPr>
                      <w:b w:val="0"/>
                      <w:bCs w:val="0"/>
                      <w:color w:val="000000" w:themeColor="text1"/>
                      <w:sz w:val="21"/>
                      <w:szCs w:val="21"/>
                      <w:highlight w:val="none"/>
                      <w14:textFill>
                        <w14:solidFill>
                          <w14:schemeClr w14:val="tx1"/>
                        </w14:solidFill>
                      </w14:textFill>
                    </w:rPr>
                    <w:t>备注</w:t>
                  </w:r>
                  <w:bookmarkEnd w:id="39"/>
                  <w:bookmarkEnd w:id="40"/>
                </w:p>
              </w:tc>
            </w:tr>
            <w:tr w14:paraId="4A80B2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tcBorders>
                    <w:tl2br w:val="nil"/>
                    <w:tr2bl w:val="nil"/>
                  </w:tcBorders>
                  <w:vAlign w:val="center"/>
                </w:tcPr>
                <w:p w14:paraId="0E63D4C6">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41" w:name="_Toc23994"/>
                  <w:bookmarkStart w:id="42" w:name="_Toc14483"/>
                  <w:r>
                    <w:rPr>
                      <w:b w:val="0"/>
                      <w:bCs w:val="0"/>
                      <w:color w:val="000000" w:themeColor="text1"/>
                      <w:sz w:val="21"/>
                      <w:szCs w:val="21"/>
                      <w:highlight w:val="none"/>
                      <w14:textFill>
                        <w14:solidFill>
                          <w14:schemeClr w14:val="tx1"/>
                        </w14:solidFill>
                      </w14:textFill>
                    </w:rPr>
                    <w:t>1</w:t>
                  </w:r>
                  <w:bookmarkEnd w:id="41"/>
                  <w:bookmarkEnd w:id="42"/>
                </w:p>
              </w:tc>
              <w:tc>
                <w:tcPr>
                  <w:tcW w:w="2143" w:type="pct"/>
                  <w:tcBorders>
                    <w:tl2br w:val="nil"/>
                    <w:tr2bl w:val="nil"/>
                  </w:tcBorders>
                  <w:vAlign w:val="center"/>
                </w:tcPr>
                <w:p w14:paraId="26E67158">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43" w:name="_Toc1203"/>
                  <w:bookmarkStart w:id="44" w:name="_Toc32492"/>
                  <w:r>
                    <w:rPr>
                      <w:b w:val="0"/>
                      <w:bCs w:val="0"/>
                      <w:color w:val="000000" w:themeColor="text1"/>
                      <w:sz w:val="21"/>
                      <w:szCs w:val="21"/>
                      <w:highlight w:val="none"/>
                      <w14:textFill>
                        <w14:solidFill>
                          <w14:schemeClr w14:val="tx1"/>
                        </w14:solidFill>
                      </w14:textFill>
                    </w:rPr>
                    <w:t>公路</w:t>
                  </w:r>
                  <w:bookmarkEnd w:id="43"/>
                  <w:bookmarkEnd w:id="44"/>
                </w:p>
              </w:tc>
              <w:tc>
                <w:tcPr>
                  <w:tcW w:w="921" w:type="pct"/>
                  <w:tcBorders>
                    <w:tl2br w:val="nil"/>
                    <w:tr2bl w:val="nil"/>
                  </w:tcBorders>
                  <w:vAlign w:val="center"/>
                </w:tcPr>
                <w:p w14:paraId="71970665">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45" w:name="_Toc18065"/>
                  <w:bookmarkStart w:id="46" w:name="_Toc22371"/>
                  <w:r>
                    <w:rPr>
                      <w:b w:val="0"/>
                      <w:bCs w:val="0"/>
                      <w:color w:val="000000" w:themeColor="text1"/>
                      <w:sz w:val="21"/>
                      <w:szCs w:val="21"/>
                      <w:highlight w:val="none"/>
                      <w14:textFill>
                        <w14:solidFill>
                          <w14:schemeClr w14:val="tx1"/>
                        </w14:solidFill>
                      </w14:textFill>
                    </w:rPr>
                    <w:t>2次</w:t>
                  </w:r>
                  <w:bookmarkEnd w:id="45"/>
                  <w:bookmarkEnd w:id="46"/>
                </w:p>
              </w:tc>
              <w:tc>
                <w:tcPr>
                  <w:tcW w:w="1012" w:type="pct"/>
                  <w:tcBorders>
                    <w:tl2br w:val="nil"/>
                    <w:tr2bl w:val="nil"/>
                  </w:tcBorders>
                  <w:vAlign w:val="center"/>
                </w:tcPr>
                <w:p w14:paraId="49DD5131">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47" w:name="_Toc2506"/>
                  <w:bookmarkStart w:id="48" w:name="_Toc14693"/>
                  <w:r>
                    <w:rPr>
                      <w:b w:val="0"/>
                      <w:bCs w:val="0"/>
                      <w:color w:val="000000" w:themeColor="text1"/>
                      <w:sz w:val="21"/>
                      <w:szCs w:val="21"/>
                      <w:highlight w:val="none"/>
                      <w14:textFill>
                        <w14:solidFill>
                          <w14:schemeClr w14:val="tx1"/>
                        </w14:solidFill>
                      </w14:textFill>
                    </w:rPr>
                    <w:t>X243</w:t>
                  </w:r>
                  <w:bookmarkEnd w:id="47"/>
                  <w:bookmarkEnd w:id="48"/>
                </w:p>
              </w:tc>
            </w:tr>
            <w:tr w14:paraId="6BDC42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tcBorders>
                    <w:tl2br w:val="nil"/>
                    <w:tr2bl w:val="nil"/>
                  </w:tcBorders>
                  <w:vAlign w:val="center"/>
                </w:tcPr>
                <w:p w14:paraId="4649A91C">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49" w:name="_Toc18264"/>
                  <w:bookmarkStart w:id="50" w:name="_Toc24084"/>
                  <w:r>
                    <w:rPr>
                      <w:b w:val="0"/>
                      <w:bCs w:val="0"/>
                      <w:color w:val="000000" w:themeColor="text1"/>
                      <w:sz w:val="21"/>
                      <w:szCs w:val="21"/>
                      <w:highlight w:val="none"/>
                      <w14:textFill>
                        <w14:solidFill>
                          <w14:schemeClr w14:val="tx1"/>
                        </w14:solidFill>
                      </w14:textFill>
                    </w:rPr>
                    <w:t>2</w:t>
                  </w:r>
                  <w:bookmarkEnd w:id="49"/>
                  <w:bookmarkEnd w:id="50"/>
                </w:p>
              </w:tc>
              <w:tc>
                <w:tcPr>
                  <w:tcW w:w="2143" w:type="pct"/>
                  <w:tcBorders>
                    <w:tl2br w:val="nil"/>
                    <w:tr2bl w:val="nil"/>
                  </w:tcBorders>
                  <w:vAlign w:val="center"/>
                </w:tcPr>
                <w:p w14:paraId="12E962C7">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51" w:name="_Toc24327"/>
                  <w:bookmarkStart w:id="52" w:name="_Toc7684"/>
                  <w:r>
                    <w:rPr>
                      <w:b w:val="0"/>
                      <w:bCs w:val="0"/>
                      <w:color w:val="000000" w:themeColor="text1"/>
                      <w:sz w:val="21"/>
                      <w:szCs w:val="21"/>
                      <w:highlight w:val="none"/>
                      <w14:textFill>
                        <w14:solidFill>
                          <w14:schemeClr w14:val="tx1"/>
                        </w14:solidFill>
                      </w14:textFill>
                    </w:rPr>
                    <w:t>电力线</w:t>
                  </w:r>
                  <w:bookmarkEnd w:id="51"/>
                  <w:bookmarkEnd w:id="52"/>
                </w:p>
              </w:tc>
              <w:tc>
                <w:tcPr>
                  <w:tcW w:w="921" w:type="pct"/>
                  <w:tcBorders>
                    <w:tl2br w:val="nil"/>
                    <w:tr2bl w:val="nil"/>
                  </w:tcBorders>
                  <w:vAlign w:val="center"/>
                </w:tcPr>
                <w:p w14:paraId="1E7F2A56">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53" w:name="_Toc31512"/>
                  <w:bookmarkStart w:id="54" w:name="_Toc9145"/>
                  <w:r>
                    <w:rPr>
                      <w:b w:val="0"/>
                      <w:bCs w:val="0"/>
                      <w:color w:val="000000" w:themeColor="text1"/>
                      <w:sz w:val="21"/>
                      <w:szCs w:val="21"/>
                      <w:highlight w:val="none"/>
                      <w14:textFill>
                        <w14:solidFill>
                          <w14:schemeClr w14:val="tx1"/>
                        </w14:solidFill>
                      </w14:textFill>
                    </w:rPr>
                    <w:t>0次</w:t>
                  </w:r>
                  <w:bookmarkEnd w:id="53"/>
                  <w:bookmarkEnd w:id="54"/>
                </w:p>
              </w:tc>
              <w:tc>
                <w:tcPr>
                  <w:tcW w:w="1012" w:type="pct"/>
                  <w:tcBorders>
                    <w:tl2br w:val="nil"/>
                    <w:tr2bl w:val="nil"/>
                  </w:tcBorders>
                  <w:vAlign w:val="center"/>
                </w:tcPr>
                <w:p w14:paraId="0F87E802">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55" w:name="_Toc18044"/>
                  <w:bookmarkStart w:id="56" w:name="_Toc3643"/>
                  <w:r>
                    <w:rPr>
                      <w:b w:val="0"/>
                      <w:bCs w:val="0"/>
                      <w:color w:val="000000" w:themeColor="text1"/>
                      <w:sz w:val="21"/>
                      <w:szCs w:val="21"/>
                      <w:highlight w:val="none"/>
                      <w14:textFill>
                        <w14:solidFill>
                          <w14:schemeClr w14:val="tx1"/>
                        </w14:solidFill>
                      </w14:textFill>
                    </w:rPr>
                    <w:t>--</w:t>
                  </w:r>
                  <w:bookmarkEnd w:id="55"/>
                  <w:bookmarkEnd w:id="56"/>
                </w:p>
              </w:tc>
            </w:tr>
            <w:tr w14:paraId="4DE08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tcBorders>
                    <w:tl2br w:val="nil"/>
                    <w:tr2bl w:val="nil"/>
                  </w:tcBorders>
                  <w:vAlign w:val="center"/>
                </w:tcPr>
                <w:p w14:paraId="7BE1EF09">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57" w:name="_Toc27320"/>
                  <w:bookmarkStart w:id="58" w:name="_Toc14149"/>
                  <w:r>
                    <w:rPr>
                      <w:b w:val="0"/>
                      <w:bCs w:val="0"/>
                      <w:color w:val="000000" w:themeColor="text1"/>
                      <w:sz w:val="21"/>
                      <w:szCs w:val="21"/>
                      <w:highlight w:val="none"/>
                      <w14:textFill>
                        <w14:solidFill>
                          <w14:schemeClr w14:val="tx1"/>
                        </w14:solidFill>
                      </w14:textFill>
                    </w:rPr>
                    <w:t>3</w:t>
                  </w:r>
                  <w:bookmarkEnd w:id="57"/>
                  <w:bookmarkEnd w:id="58"/>
                </w:p>
              </w:tc>
              <w:tc>
                <w:tcPr>
                  <w:tcW w:w="2143" w:type="pct"/>
                  <w:tcBorders>
                    <w:tl2br w:val="nil"/>
                    <w:tr2bl w:val="nil"/>
                  </w:tcBorders>
                  <w:vAlign w:val="center"/>
                </w:tcPr>
                <w:p w14:paraId="259C20A3">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59" w:name="_Toc12326"/>
                  <w:bookmarkStart w:id="60" w:name="_Toc31544"/>
                  <w:r>
                    <w:rPr>
                      <w:b w:val="0"/>
                      <w:bCs w:val="0"/>
                      <w:color w:val="000000" w:themeColor="text1"/>
                      <w:sz w:val="21"/>
                      <w:szCs w:val="21"/>
                      <w:highlight w:val="none"/>
                      <w14:textFill>
                        <w14:solidFill>
                          <w14:schemeClr w14:val="tx1"/>
                        </w14:solidFill>
                      </w14:textFill>
                    </w:rPr>
                    <w:t>通信线</w:t>
                  </w:r>
                  <w:bookmarkEnd w:id="59"/>
                  <w:bookmarkEnd w:id="60"/>
                </w:p>
              </w:tc>
              <w:tc>
                <w:tcPr>
                  <w:tcW w:w="921" w:type="pct"/>
                  <w:tcBorders>
                    <w:tl2br w:val="nil"/>
                    <w:tr2bl w:val="nil"/>
                  </w:tcBorders>
                  <w:vAlign w:val="center"/>
                </w:tcPr>
                <w:p w14:paraId="719CC422">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61" w:name="_Toc8305"/>
                  <w:bookmarkStart w:id="62" w:name="_Toc24781"/>
                  <w:r>
                    <w:rPr>
                      <w:b w:val="0"/>
                      <w:bCs w:val="0"/>
                      <w:color w:val="000000" w:themeColor="text1"/>
                      <w:sz w:val="21"/>
                      <w:szCs w:val="21"/>
                      <w:highlight w:val="none"/>
                      <w14:textFill>
                        <w14:solidFill>
                          <w14:schemeClr w14:val="tx1"/>
                        </w14:solidFill>
                      </w14:textFill>
                    </w:rPr>
                    <w:t>0次</w:t>
                  </w:r>
                  <w:bookmarkEnd w:id="61"/>
                  <w:bookmarkEnd w:id="62"/>
                </w:p>
              </w:tc>
              <w:tc>
                <w:tcPr>
                  <w:tcW w:w="1012" w:type="pct"/>
                  <w:tcBorders>
                    <w:tl2br w:val="nil"/>
                    <w:tr2bl w:val="nil"/>
                  </w:tcBorders>
                  <w:vAlign w:val="center"/>
                </w:tcPr>
                <w:p w14:paraId="261D5207">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63" w:name="_Toc32450"/>
                  <w:bookmarkStart w:id="64" w:name="_Toc23034"/>
                  <w:r>
                    <w:rPr>
                      <w:b w:val="0"/>
                      <w:bCs w:val="0"/>
                      <w:color w:val="000000" w:themeColor="text1"/>
                      <w:sz w:val="21"/>
                      <w:szCs w:val="21"/>
                      <w:highlight w:val="none"/>
                      <w14:textFill>
                        <w14:solidFill>
                          <w14:schemeClr w14:val="tx1"/>
                        </w14:solidFill>
                      </w14:textFill>
                    </w:rPr>
                    <w:t>--</w:t>
                  </w:r>
                  <w:bookmarkEnd w:id="63"/>
                  <w:bookmarkEnd w:id="64"/>
                </w:p>
              </w:tc>
            </w:tr>
            <w:tr w14:paraId="3993AD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tcBorders>
                    <w:tl2br w:val="nil"/>
                    <w:tr2bl w:val="nil"/>
                  </w:tcBorders>
                  <w:vAlign w:val="center"/>
                </w:tcPr>
                <w:p w14:paraId="3A60B063">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65" w:name="_Toc15608"/>
                  <w:bookmarkStart w:id="66" w:name="_Toc31891"/>
                  <w:r>
                    <w:rPr>
                      <w:b w:val="0"/>
                      <w:bCs w:val="0"/>
                      <w:color w:val="000000" w:themeColor="text1"/>
                      <w:sz w:val="21"/>
                      <w:szCs w:val="21"/>
                      <w:highlight w:val="none"/>
                      <w14:textFill>
                        <w14:solidFill>
                          <w14:schemeClr w14:val="tx1"/>
                        </w14:solidFill>
                      </w14:textFill>
                    </w:rPr>
                    <w:t>4</w:t>
                  </w:r>
                  <w:bookmarkEnd w:id="65"/>
                  <w:bookmarkEnd w:id="66"/>
                </w:p>
              </w:tc>
              <w:tc>
                <w:tcPr>
                  <w:tcW w:w="2143" w:type="pct"/>
                  <w:tcBorders>
                    <w:tl2br w:val="nil"/>
                    <w:tr2bl w:val="nil"/>
                  </w:tcBorders>
                  <w:vAlign w:val="center"/>
                </w:tcPr>
                <w:p w14:paraId="2A5B892D">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67" w:name="_Toc7129"/>
                  <w:bookmarkStart w:id="68" w:name="_Toc28036"/>
                  <w:r>
                    <w:rPr>
                      <w:b w:val="0"/>
                      <w:bCs w:val="0"/>
                      <w:color w:val="000000" w:themeColor="text1"/>
                      <w:sz w:val="21"/>
                      <w:szCs w:val="21"/>
                      <w:highlight w:val="none"/>
                      <w14:textFill>
                        <w14:solidFill>
                          <w14:schemeClr w14:val="tx1"/>
                        </w14:solidFill>
                      </w14:textFill>
                    </w:rPr>
                    <w:t>水泥路</w:t>
                  </w:r>
                  <w:bookmarkEnd w:id="67"/>
                  <w:bookmarkEnd w:id="68"/>
                </w:p>
              </w:tc>
              <w:tc>
                <w:tcPr>
                  <w:tcW w:w="921" w:type="pct"/>
                  <w:tcBorders>
                    <w:tl2br w:val="nil"/>
                    <w:tr2bl w:val="nil"/>
                  </w:tcBorders>
                  <w:vAlign w:val="center"/>
                </w:tcPr>
                <w:p w14:paraId="14AA5A91">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69" w:name="_Toc2760"/>
                  <w:bookmarkStart w:id="70" w:name="_Toc16390"/>
                  <w:r>
                    <w:rPr>
                      <w:b w:val="0"/>
                      <w:bCs w:val="0"/>
                      <w:color w:val="000000" w:themeColor="text1"/>
                      <w:sz w:val="21"/>
                      <w:szCs w:val="21"/>
                      <w:highlight w:val="none"/>
                      <w14:textFill>
                        <w14:solidFill>
                          <w14:schemeClr w14:val="tx1"/>
                        </w14:solidFill>
                      </w14:textFill>
                    </w:rPr>
                    <w:t>0次</w:t>
                  </w:r>
                  <w:bookmarkEnd w:id="69"/>
                  <w:bookmarkEnd w:id="70"/>
                </w:p>
              </w:tc>
              <w:tc>
                <w:tcPr>
                  <w:tcW w:w="1012" w:type="pct"/>
                  <w:tcBorders>
                    <w:tl2br w:val="nil"/>
                    <w:tr2bl w:val="nil"/>
                  </w:tcBorders>
                  <w:vAlign w:val="center"/>
                </w:tcPr>
                <w:p w14:paraId="666130A2">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71" w:name="_Toc29159"/>
                  <w:bookmarkStart w:id="72" w:name="_Toc27389"/>
                  <w:r>
                    <w:rPr>
                      <w:b w:val="0"/>
                      <w:bCs w:val="0"/>
                      <w:color w:val="000000" w:themeColor="text1"/>
                      <w:sz w:val="21"/>
                      <w:szCs w:val="21"/>
                      <w:highlight w:val="none"/>
                      <w14:textFill>
                        <w14:solidFill>
                          <w14:schemeClr w14:val="tx1"/>
                        </w14:solidFill>
                      </w14:textFill>
                    </w:rPr>
                    <w:t>--</w:t>
                  </w:r>
                  <w:bookmarkEnd w:id="71"/>
                  <w:bookmarkEnd w:id="72"/>
                </w:p>
              </w:tc>
            </w:tr>
            <w:tr w14:paraId="2386FE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tcBorders>
                    <w:tl2br w:val="nil"/>
                    <w:tr2bl w:val="nil"/>
                  </w:tcBorders>
                  <w:vAlign w:val="center"/>
                </w:tcPr>
                <w:p w14:paraId="716F9670">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73" w:name="_Toc21975"/>
                  <w:bookmarkStart w:id="74" w:name="_Toc4657"/>
                  <w:r>
                    <w:rPr>
                      <w:b w:val="0"/>
                      <w:bCs w:val="0"/>
                      <w:color w:val="000000" w:themeColor="text1"/>
                      <w:sz w:val="21"/>
                      <w:szCs w:val="21"/>
                      <w:highlight w:val="none"/>
                      <w14:textFill>
                        <w14:solidFill>
                          <w14:schemeClr w14:val="tx1"/>
                        </w14:solidFill>
                      </w14:textFill>
                    </w:rPr>
                    <w:t>5</w:t>
                  </w:r>
                  <w:bookmarkEnd w:id="73"/>
                  <w:bookmarkEnd w:id="74"/>
                </w:p>
              </w:tc>
              <w:tc>
                <w:tcPr>
                  <w:tcW w:w="2143" w:type="pct"/>
                  <w:tcBorders>
                    <w:tl2br w:val="nil"/>
                    <w:tr2bl w:val="nil"/>
                  </w:tcBorders>
                  <w:vAlign w:val="center"/>
                </w:tcPr>
                <w:p w14:paraId="60EB40F8">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75" w:name="_Toc6267"/>
                  <w:bookmarkStart w:id="76" w:name="_Toc7182"/>
                  <w:r>
                    <w:rPr>
                      <w:b w:val="0"/>
                      <w:bCs w:val="0"/>
                      <w:color w:val="000000" w:themeColor="text1"/>
                      <w:sz w:val="21"/>
                      <w:szCs w:val="21"/>
                      <w:highlight w:val="none"/>
                      <w14:textFill>
                        <w14:solidFill>
                          <w14:schemeClr w14:val="tx1"/>
                        </w14:solidFill>
                      </w14:textFill>
                    </w:rPr>
                    <w:t>水渠</w:t>
                  </w:r>
                  <w:bookmarkEnd w:id="75"/>
                  <w:bookmarkEnd w:id="76"/>
                </w:p>
              </w:tc>
              <w:tc>
                <w:tcPr>
                  <w:tcW w:w="921" w:type="pct"/>
                  <w:tcBorders>
                    <w:tl2br w:val="nil"/>
                    <w:tr2bl w:val="nil"/>
                  </w:tcBorders>
                  <w:vAlign w:val="center"/>
                </w:tcPr>
                <w:p w14:paraId="3C2854B8">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77" w:name="_Toc15161"/>
                  <w:bookmarkStart w:id="78" w:name="_Toc13221"/>
                  <w:r>
                    <w:rPr>
                      <w:b w:val="0"/>
                      <w:bCs w:val="0"/>
                      <w:color w:val="000000" w:themeColor="text1"/>
                      <w:sz w:val="21"/>
                      <w:szCs w:val="21"/>
                      <w:highlight w:val="none"/>
                      <w14:textFill>
                        <w14:solidFill>
                          <w14:schemeClr w14:val="tx1"/>
                        </w14:solidFill>
                      </w14:textFill>
                    </w:rPr>
                    <w:t>0次</w:t>
                  </w:r>
                  <w:bookmarkEnd w:id="77"/>
                  <w:bookmarkEnd w:id="78"/>
                </w:p>
              </w:tc>
              <w:tc>
                <w:tcPr>
                  <w:tcW w:w="1012" w:type="pct"/>
                  <w:tcBorders>
                    <w:tl2br w:val="nil"/>
                    <w:tr2bl w:val="nil"/>
                  </w:tcBorders>
                  <w:vAlign w:val="center"/>
                </w:tcPr>
                <w:p w14:paraId="7246DC86">
                  <w:pPr>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290CA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21" w:type="pct"/>
                  <w:tcBorders>
                    <w:tl2br w:val="nil"/>
                    <w:tr2bl w:val="nil"/>
                  </w:tcBorders>
                  <w:vAlign w:val="center"/>
                </w:tcPr>
                <w:p w14:paraId="0CCC74C4">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79" w:name="_Toc28836"/>
                  <w:bookmarkStart w:id="80" w:name="_Toc13014"/>
                  <w:r>
                    <w:rPr>
                      <w:b w:val="0"/>
                      <w:bCs w:val="0"/>
                      <w:color w:val="000000" w:themeColor="text1"/>
                      <w:sz w:val="21"/>
                      <w:szCs w:val="21"/>
                      <w:highlight w:val="none"/>
                      <w14:textFill>
                        <w14:solidFill>
                          <w14:schemeClr w14:val="tx1"/>
                        </w14:solidFill>
                      </w14:textFill>
                    </w:rPr>
                    <w:t>6</w:t>
                  </w:r>
                  <w:bookmarkEnd w:id="79"/>
                  <w:bookmarkEnd w:id="80"/>
                </w:p>
              </w:tc>
              <w:tc>
                <w:tcPr>
                  <w:tcW w:w="2143" w:type="pct"/>
                  <w:tcBorders>
                    <w:tl2br w:val="nil"/>
                    <w:tr2bl w:val="nil"/>
                  </w:tcBorders>
                  <w:vAlign w:val="center"/>
                </w:tcPr>
                <w:p w14:paraId="1AA84059">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81" w:name="_Toc31752"/>
                  <w:bookmarkStart w:id="82" w:name="_Toc5478"/>
                  <w:r>
                    <w:rPr>
                      <w:b w:val="0"/>
                      <w:bCs w:val="0"/>
                      <w:color w:val="000000" w:themeColor="text1"/>
                      <w:sz w:val="21"/>
                      <w:szCs w:val="21"/>
                      <w:highlight w:val="none"/>
                      <w14:textFill>
                        <w14:solidFill>
                          <w14:schemeClr w14:val="tx1"/>
                        </w14:solidFill>
                      </w14:textFill>
                    </w:rPr>
                    <w:t>铁路</w:t>
                  </w:r>
                  <w:bookmarkEnd w:id="81"/>
                  <w:bookmarkEnd w:id="82"/>
                </w:p>
              </w:tc>
              <w:tc>
                <w:tcPr>
                  <w:tcW w:w="921" w:type="pct"/>
                  <w:tcBorders>
                    <w:tl2br w:val="nil"/>
                    <w:tr2bl w:val="nil"/>
                  </w:tcBorders>
                  <w:vAlign w:val="center"/>
                </w:tcPr>
                <w:p w14:paraId="43B95233">
                  <w:pPr>
                    <w:pStyle w:val="3"/>
                    <w:shd w:val="clear"/>
                    <w:spacing w:line="240" w:lineRule="auto"/>
                    <w:jc w:val="center"/>
                    <w:rPr>
                      <w:b w:val="0"/>
                      <w:bCs w:val="0"/>
                      <w:color w:val="000000" w:themeColor="text1"/>
                      <w:sz w:val="21"/>
                      <w:szCs w:val="21"/>
                      <w:highlight w:val="none"/>
                      <w14:textFill>
                        <w14:solidFill>
                          <w14:schemeClr w14:val="tx1"/>
                        </w14:solidFill>
                      </w14:textFill>
                    </w:rPr>
                  </w:pPr>
                  <w:bookmarkStart w:id="83" w:name="_Toc5819"/>
                  <w:bookmarkStart w:id="84" w:name="_Toc27037"/>
                  <w:r>
                    <w:rPr>
                      <w:b w:val="0"/>
                      <w:bCs w:val="0"/>
                      <w:color w:val="000000" w:themeColor="text1"/>
                      <w:sz w:val="21"/>
                      <w:szCs w:val="21"/>
                      <w:highlight w:val="none"/>
                      <w14:textFill>
                        <w14:solidFill>
                          <w14:schemeClr w14:val="tx1"/>
                        </w14:solidFill>
                      </w14:textFill>
                    </w:rPr>
                    <w:t>0次</w:t>
                  </w:r>
                  <w:bookmarkEnd w:id="83"/>
                  <w:bookmarkEnd w:id="84"/>
                </w:p>
              </w:tc>
              <w:tc>
                <w:tcPr>
                  <w:tcW w:w="1012" w:type="pct"/>
                  <w:tcBorders>
                    <w:tl2br w:val="nil"/>
                    <w:tr2bl w:val="nil"/>
                  </w:tcBorders>
                  <w:vAlign w:val="center"/>
                </w:tcPr>
                <w:p w14:paraId="37934D63">
                  <w:pPr>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bl>
          <w:p w14:paraId="65757B5A">
            <w:pPr>
              <w:pStyle w:val="3"/>
              <w:shd w:val="clear"/>
              <w:rPr>
                <w:color w:val="000000" w:themeColor="text1"/>
                <w:highlight w:val="none"/>
                <w14:textFill>
                  <w14:solidFill>
                    <w14:schemeClr w14:val="tx1"/>
                  </w14:solidFill>
                </w14:textFill>
              </w:rPr>
            </w:pPr>
            <w:bookmarkStart w:id="85" w:name="_Toc31582"/>
            <w:bookmarkStart w:id="86" w:name="_Toc31115"/>
            <w:r>
              <w:rPr>
                <w:color w:val="000000" w:themeColor="text1"/>
                <w:highlight w:val="none"/>
                <w14:textFill>
                  <w14:solidFill>
                    <w14:schemeClr w14:val="tx1"/>
                  </w14:solidFill>
                </w14:textFill>
              </w:rPr>
              <w:t>2.3跨越要求</w:t>
            </w:r>
            <w:bookmarkEnd w:id="85"/>
            <w:bookmarkEnd w:id="86"/>
          </w:p>
          <w:p w14:paraId="670A1305">
            <w:pPr>
              <w:keepNext/>
              <w:keepLines/>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本项目架空线路对地距离、交叉跨越物具有足够净空距离，其对地距离、交叉跨越物的净空距离与《110kV～750kV架空输电线路设计规范》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GB50545-2010</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对比结果见表2-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w:t>
            </w:r>
          </w:p>
          <w:p w14:paraId="0888932B">
            <w:pPr>
              <w:pStyle w:val="5"/>
              <w:shd w:val="clear"/>
              <w:ind w:firstLine="422"/>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表2-</w:t>
            </w:r>
            <w:r>
              <w:rPr>
                <w:rFonts w:hint="eastAsia"/>
                <w:color w:val="000000" w:themeColor="text1"/>
                <w:sz w:val="24"/>
                <w:szCs w:val="24"/>
                <w:highlight w:val="none"/>
                <w:lang w:val="en-US" w:eastAsia="zh-CN"/>
                <w14:textFill>
                  <w14:solidFill>
                    <w14:schemeClr w14:val="tx1"/>
                  </w14:solidFill>
                </w14:textFill>
              </w:rPr>
              <w:t>5</w:t>
            </w:r>
            <w:r>
              <w:rPr>
                <w:color w:val="000000" w:themeColor="text1"/>
                <w:sz w:val="24"/>
                <w:szCs w:val="24"/>
                <w:highlight w:val="none"/>
                <w14:textFill>
                  <w14:solidFill>
                    <w14:schemeClr w14:val="tx1"/>
                  </w14:solidFill>
                </w14:textFill>
              </w:rPr>
              <w:t xml:space="preserve">   本项目新建输电线路对地距离、交叉跨越物净空距离一览表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75"/>
              <w:gridCol w:w="1383"/>
              <w:gridCol w:w="2949"/>
              <w:gridCol w:w="2242"/>
            </w:tblGrid>
            <w:tr w14:paraId="7713D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75" w:type="dxa"/>
                  <w:tcBorders>
                    <w:tl2br w:val="nil"/>
                    <w:tr2bl w:val="nil"/>
                  </w:tcBorders>
                  <w:vAlign w:val="center"/>
                </w:tcPr>
                <w:p w14:paraId="7A827EC2">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交叉跨越物</w:t>
                  </w:r>
                </w:p>
              </w:tc>
              <w:tc>
                <w:tcPr>
                  <w:tcW w:w="1383" w:type="dxa"/>
                  <w:tcBorders>
                    <w:tl2br w:val="nil"/>
                    <w:tr2bl w:val="nil"/>
                  </w:tcBorders>
                  <w:vAlign w:val="center"/>
                </w:tcPr>
                <w:p w14:paraId="7B45C3C5">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设计距离</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m</w:t>
                  </w:r>
                  <w:r>
                    <w:rPr>
                      <w:rFonts w:hint="eastAsia"/>
                      <w:color w:val="000000" w:themeColor="text1"/>
                      <w:sz w:val="21"/>
                      <w:szCs w:val="21"/>
                      <w:highlight w:val="none"/>
                      <w:lang w:eastAsia="zh-CN"/>
                      <w14:textFill>
                        <w14:solidFill>
                          <w14:schemeClr w14:val="tx1"/>
                        </w14:solidFill>
                      </w14:textFill>
                    </w:rPr>
                    <w:t>）</w:t>
                  </w:r>
                </w:p>
              </w:tc>
              <w:tc>
                <w:tcPr>
                  <w:tcW w:w="2950" w:type="dxa"/>
                  <w:tcBorders>
                    <w:tl2br w:val="nil"/>
                    <w:tr2bl w:val="nil"/>
                  </w:tcBorders>
                  <w:vAlign w:val="center"/>
                </w:tcPr>
                <w:p w14:paraId="3E7460F7">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GB50545-2010要求距离</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m</w:t>
                  </w:r>
                  <w:r>
                    <w:rPr>
                      <w:rFonts w:hint="eastAsia"/>
                      <w:color w:val="000000" w:themeColor="text1"/>
                      <w:sz w:val="21"/>
                      <w:szCs w:val="21"/>
                      <w:highlight w:val="none"/>
                      <w:lang w:eastAsia="zh-CN"/>
                      <w14:textFill>
                        <w14:solidFill>
                          <w14:schemeClr w14:val="tx1"/>
                        </w14:solidFill>
                      </w14:textFill>
                    </w:rPr>
                    <w:t>）</w:t>
                  </w:r>
                </w:p>
              </w:tc>
              <w:tc>
                <w:tcPr>
                  <w:tcW w:w="2243" w:type="dxa"/>
                  <w:tcBorders>
                    <w:tl2br w:val="nil"/>
                    <w:tr2bl w:val="nil"/>
                  </w:tcBorders>
                  <w:vAlign w:val="center"/>
                </w:tcPr>
                <w:p w14:paraId="11B8BC13">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说   明</w:t>
                  </w:r>
                </w:p>
              </w:tc>
            </w:tr>
            <w:tr w14:paraId="3B6B78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75" w:type="dxa"/>
                  <w:tcBorders>
                    <w:tl2br w:val="nil"/>
                    <w:tr2bl w:val="nil"/>
                  </w:tcBorders>
                  <w:vAlign w:val="center"/>
                </w:tcPr>
                <w:p w14:paraId="5043E8B1">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居民区</w:t>
                  </w:r>
                </w:p>
              </w:tc>
              <w:tc>
                <w:tcPr>
                  <w:tcW w:w="1383" w:type="dxa"/>
                  <w:tcBorders>
                    <w:tl2br w:val="nil"/>
                    <w:tr2bl w:val="nil"/>
                  </w:tcBorders>
                  <w:vAlign w:val="center"/>
                </w:tcPr>
                <w:p w14:paraId="5842BB78">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w:t>
                  </w:r>
                </w:p>
              </w:tc>
              <w:tc>
                <w:tcPr>
                  <w:tcW w:w="2950" w:type="dxa"/>
                  <w:tcBorders>
                    <w:tl2br w:val="nil"/>
                    <w:tr2bl w:val="nil"/>
                  </w:tcBorders>
                  <w:vAlign w:val="center"/>
                </w:tcPr>
                <w:p w14:paraId="131EDD63">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w:t>
                  </w:r>
                </w:p>
              </w:tc>
              <w:tc>
                <w:tcPr>
                  <w:tcW w:w="2243" w:type="dxa"/>
                  <w:tcBorders>
                    <w:tl2br w:val="nil"/>
                    <w:tr2bl w:val="nil"/>
                  </w:tcBorders>
                  <w:vAlign w:val="center"/>
                </w:tcPr>
                <w:p w14:paraId="221FDCEF">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对地面</w:t>
                  </w:r>
                </w:p>
              </w:tc>
            </w:tr>
            <w:tr w14:paraId="0BF87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75" w:type="dxa"/>
                  <w:tcBorders>
                    <w:tl2br w:val="nil"/>
                    <w:tr2bl w:val="nil"/>
                  </w:tcBorders>
                  <w:vAlign w:val="center"/>
                </w:tcPr>
                <w:p w14:paraId="24FF1D4B">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非居民区</w:t>
                  </w:r>
                </w:p>
              </w:tc>
              <w:tc>
                <w:tcPr>
                  <w:tcW w:w="1383" w:type="dxa"/>
                  <w:tcBorders>
                    <w:tl2br w:val="nil"/>
                    <w:tr2bl w:val="nil"/>
                  </w:tcBorders>
                  <w:vAlign w:val="center"/>
                </w:tcPr>
                <w:p w14:paraId="6A137C31">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w:t>
                  </w:r>
                </w:p>
              </w:tc>
              <w:tc>
                <w:tcPr>
                  <w:tcW w:w="2950" w:type="dxa"/>
                  <w:tcBorders>
                    <w:tl2br w:val="nil"/>
                    <w:tr2bl w:val="nil"/>
                  </w:tcBorders>
                  <w:vAlign w:val="center"/>
                </w:tcPr>
                <w:p w14:paraId="08905B9D">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w:t>
                  </w:r>
                </w:p>
              </w:tc>
              <w:tc>
                <w:tcPr>
                  <w:tcW w:w="2243" w:type="dxa"/>
                  <w:tcBorders>
                    <w:tl2br w:val="nil"/>
                    <w:tr2bl w:val="nil"/>
                  </w:tcBorders>
                  <w:vAlign w:val="center"/>
                </w:tcPr>
                <w:p w14:paraId="25175A86">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对地面</w:t>
                  </w:r>
                </w:p>
              </w:tc>
            </w:tr>
            <w:tr w14:paraId="6F490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75" w:type="dxa"/>
                  <w:tcBorders>
                    <w:tl2br w:val="nil"/>
                    <w:tr2bl w:val="nil"/>
                  </w:tcBorders>
                  <w:vAlign w:val="center"/>
                </w:tcPr>
                <w:p w14:paraId="568FE0E9">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公路</w:t>
                  </w:r>
                </w:p>
              </w:tc>
              <w:tc>
                <w:tcPr>
                  <w:tcW w:w="1383" w:type="dxa"/>
                  <w:tcBorders>
                    <w:tl2br w:val="nil"/>
                    <w:tr2bl w:val="nil"/>
                  </w:tcBorders>
                  <w:vAlign w:val="center"/>
                </w:tcPr>
                <w:p w14:paraId="68B4212F">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w:t>
                  </w:r>
                </w:p>
              </w:tc>
              <w:tc>
                <w:tcPr>
                  <w:tcW w:w="2950" w:type="dxa"/>
                  <w:tcBorders>
                    <w:tl2br w:val="nil"/>
                    <w:tr2bl w:val="nil"/>
                  </w:tcBorders>
                  <w:vAlign w:val="center"/>
                </w:tcPr>
                <w:p w14:paraId="616A0068">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w:t>
                  </w:r>
                </w:p>
              </w:tc>
              <w:tc>
                <w:tcPr>
                  <w:tcW w:w="2243" w:type="dxa"/>
                  <w:tcBorders>
                    <w:tl2br w:val="nil"/>
                    <w:tr2bl w:val="nil"/>
                  </w:tcBorders>
                  <w:vAlign w:val="center"/>
                </w:tcPr>
                <w:p w14:paraId="3A9E8B0B">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至路面</w:t>
                  </w:r>
                </w:p>
              </w:tc>
            </w:tr>
            <w:tr w14:paraId="4C94E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75" w:type="dxa"/>
                  <w:tcBorders>
                    <w:tl2br w:val="nil"/>
                    <w:tr2bl w:val="nil"/>
                  </w:tcBorders>
                  <w:vAlign w:val="center"/>
                </w:tcPr>
                <w:p w14:paraId="5FEEF7B2">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电力线路</w:t>
                  </w:r>
                </w:p>
              </w:tc>
              <w:tc>
                <w:tcPr>
                  <w:tcW w:w="1383" w:type="dxa"/>
                  <w:tcBorders>
                    <w:tl2br w:val="nil"/>
                    <w:tr2bl w:val="nil"/>
                  </w:tcBorders>
                  <w:vAlign w:val="center"/>
                </w:tcPr>
                <w:p w14:paraId="6DA14BFE">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w:t>
                  </w:r>
                </w:p>
              </w:tc>
              <w:tc>
                <w:tcPr>
                  <w:tcW w:w="2950" w:type="dxa"/>
                  <w:tcBorders>
                    <w:tl2br w:val="nil"/>
                    <w:tr2bl w:val="nil"/>
                  </w:tcBorders>
                  <w:vAlign w:val="center"/>
                </w:tcPr>
                <w:p w14:paraId="5FED316E">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w:t>
                  </w:r>
                </w:p>
              </w:tc>
              <w:tc>
                <w:tcPr>
                  <w:tcW w:w="2243" w:type="dxa"/>
                  <w:tcBorders>
                    <w:tl2br w:val="nil"/>
                    <w:tr2bl w:val="nil"/>
                  </w:tcBorders>
                  <w:vAlign w:val="center"/>
                </w:tcPr>
                <w:p w14:paraId="298E2101">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至被（钻）跨越线路</w:t>
                  </w:r>
                </w:p>
              </w:tc>
            </w:tr>
            <w:tr w14:paraId="1D89F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75" w:type="dxa"/>
                  <w:tcBorders>
                    <w:tl2br w:val="nil"/>
                    <w:tr2bl w:val="nil"/>
                  </w:tcBorders>
                  <w:vAlign w:val="center"/>
                </w:tcPr>
                <w:p w14:paraId="07784B75">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弱电线路</w:t>
                  </w:r>
                </w:p>
              </w:tc>
              <w:tc>
                <w:tcPr>
                  <w:tcW w:w="1383" w:type="dxa"/>
                  <w:tcBorders>
                    <w:tl2br w:val="nil"/>
                    <w:tr2bl w:val="nil"/>
                  </w:tcBorders>
                  <w:vAlign w:val="center"/>
                </w:tcPr>
                <w:p w14:paraId="2CF38CBD">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cr/>
                  </w:r>
                  <w:r>
                    <w:rPr>
                      <w:color w:val="000000" w:themeColor="text1"/>
                      <w:sz w:val="21"/>
                      <w:szCs w:val="21"/>
                      <w:highlight w:val="none"/>
                      <w14:textFill>
                        <w14:solidFill>
                          <w14:schemeClr w14:val="tx1"/>
                        </w14:solidFill>
                      </w14:textFill>
                    </w:rPr>
                    <w:t>0</w:t>
                  </w:r>
                </w:p>
              </w:tc>
              <w:tc>
                <w:tcPr>
                  <w:tcW w:w="2950" w:type="dxa"/>
                  <w:tcBorders>
                    <w:tl2br w:val="nil"/>
                    <w:tr2bl w:val="nil"/>
                  </w:tcBorders>
                  <w:vAlign w:val="center"/>
                </w:tcPr>
                <w:p w14:paraId="166B0235">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r>
                    <w:rPr>
                      <w:color w:val="000000" w:themeColor="text1"/>
                      <w:sz w:val="21"/>
                      <w:szCs w:val="21"/>
                      <w:highlight w:val="none"/>
                      <w14:textFill>
                        <w14:solidFill>
                          <w14:schemeClr w14:val="tx1"/>
                        </w14:solidFill>
                      </w14:textFill>
                    </w:rPr>
                    <w:cr/>
                  </w:r>
                  <w:r>
                    <w:rPr>
                      <w:color w:val="000000" w:themeColor="text1"/>
                      <w:sz w:val="21"/>
                      <w:szCs w:val="21"/>
                      <w:highlight w:val="none"/>
                      <w14:textFill>
                        <w14:solidFill>
                          <w14:schemeClr w14:val="tx1"/>
                        </w14:solidFill>
                      </w14:textFill>
                    </w:rPr>
                    <w:t>0</w:t>
                  </w:r>
                </w:p>
              </w:tc>
              <w:tc>
                <w:tcPr>
                  <w:tcW w:w="2243" w:type="dxa"/>
                  <w:tcBorders>
                    <w:tl2br w:val="nil"/>
                    <w:tr2bl w:val="nil"/>
                  </w:tcBorders>
                  <w:vAlign w:val="center"/>
                </w:tcPr>
                <w:p w14:paraId="2240730A">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通信线</w:t>
                  </w:r>
                </w:p>
              </w:tc>
            </w:tr>
            <w:tr w14:paraId="5732A2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75" w:type="dxa"/>
                  <w:tcBorders>
                    <w:tl2br w:val="nil"/>
                    <w:tr2bl w:val="nil"/>
                  </w:tcBorders>
                  <w:vAlign w:val="center"/>
                </w:tcPr>
                <w:p w14:paraId="515E1511">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铁路</w:t>
                  </w:r>
                </w:p>
              </w:tc>
              <w:tc>
                <w:tcPr>
                  <w:tcW w:w="1383" w:type="dxa"/>
                  <w:tcBorders>
                    <w:tl2br w:val="nil"/>
                    <w:tr2bl w:val="nil"/>
                  </w:tcBorders>
                  <w:vAlign w:val="center"/>
                </w:tcPr>
                <w:p w14:paraId="215B1434">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≥7.5</w:t>
                  </w:r>
                </w:p>
              </w:tc>
              <w:tc>
                <w:tcPr>
                  <w:tcW w:w="2950" w:type="dxa"/>
                  <w:tcBorders>
                    <w:tl2br w:val="nil"/>
                    <w:tr2bl w:val="nil"/>
                  </w:tcBorders>
                  <w:vAlign w:val="center"/>
                </w:tcPr>
                <w:p w14:paraId="3E22DF5D">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≥7.5</w:t>
                  </w:r>
                </w:p>
              </w:tc>
              <w:tc>
                <w:tcPr>
                  <w:tcW w:w="2243" w:type="dxa"/>
                  <w:tcBorders>
                    <w:tl2br w:val="nil"/>
                    <w:tr2bl w:val="nil"/>
                  </w:tcBorders>
                  <w:vAlign w:val="center"/>
                </w:tcPr>
                <w:p w14:paraId="5ADFCFC5">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至轨顶</w:t>
                  </w:r>
                </w:p>
              </w:tc>
            </w:tr>
            <w:tr w14:paraId="62778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75" w:type="dxa"/>
                  <w:tcBorders>
                    <w:tl2br w:val="nil"/>
                    <w:tr2bl w:val="nil"/>
                  </w:tcBorders>
                  <w:vAlign w:val="center"/>
                </w:tcPr>
                <w:p w14:paraId="4C8BB5E8">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不通航河流</w:t>
                  </w:r>
                </w:p>
              </w:tc>
              <w:tc>
                <w:tcPr>
                  <w:tcW w:w="1383" w:type="dxa"/>
                  <w:tcBorders>
                    <w:tl2br w:val="nil"/>
                    <w:tr2bl w:val="nil"/>
                  </w:tcBorders>
                  <w:vAlign w:val="center"/>
                </w:tcPr>
                <w:p w14:paraId="26CE633E">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w:t>
                  </w:r>
                </w:p>
              </w:tc>
              <w:tc>
                <w:tcPr>
                  <w:tcW w:w="2950" w:type="dxa"/>
                  <w:tcBorders>
                    <w:tl2br w:val="nil"/>
                    <w:tr2bl w:val="nil"/>
                  </w:tcBorders>
                  <w:vAlign w:val="center"/>
                </w:tcPr>
                <w:p w14:paraId="56C212D2">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w:t>
                  </w:r>
                </w:p>
              </w:tc>
              <w:tc>
                <w:tcPr>
                  <w:tcW w:w="2243" w:type="dxa"/>
                  <w:tcBorders>
                    <w:tl2br w:val="nil"/>
                    <w:tr2bl w:val="nil"/>
                  </w:tcBorders>
                  <w:vAlign w:val="center"/>
                </w:tcPr>
                <w:p w14:paraId="6E58DF33">
                  <w:pPr>
                    <w:keepNext/>
                    <w:keepLines/>
                    <w:shd w:val="clear"/>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至百年一遇洪水位</w:t>
                  </w:r>
                </w:p>
              </w:tc>
            </w:tr>
          </w:tbl>
          <w:p w14:paraId="1F03B56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本项目输电线路与对地距离、交叉跨越物之间的设计净空距离均满足《110kV～750kV架空输电线路设计规范》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GB50545-2010</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中相关距离要求。</w:t>
            </w:r>
          </w:p>
          <w:p w14:paraId="6C52086D">
            <w:pPr>
              <w:pStyle w:val="3"/>
              <w:shd w:val="clear"/>
              <w:rPr>
                <w:color w:val="000000" w:themeColor="text1"/>
                <w:highlight w:val="none"/>
                <w14:textFill>
                  <w14:solidFill>
                    <w14:schemeClr w14:val="tx1"/>
                  </w14:solidFill>
                </w14:textFill>
              </w:rPr>
            </w:pPr>
            <w:bookmarkStart w:id="87" w:name="_Toc10370"/>
            <w:bookmarkStart w:id="88" w:name="_Toc26604"/>
            <w:r>
              <w:rPr>
                <w:color w:val="000000" w:themeColor="text1"/>
                <w:highlight w:val="none"/>
                <w14:textFill>
                  <w14:solidFill>
                    <w14:schemeClr w14:val="tx1"/>
                  </w14:solidFill>
                </w14:textFill>
              </w:rPr>
              <w:t>3、主要设备</w:t>
            </w:r>
            <w:bookmarkEnd w:id="87"/>
            <w:bookmarkEnd w:id="88"/>
          </w:p>
          <w:p w14:paraId="5F2C08FE">
            <w:pPr>
              <w:shd w:val="clear"/>
              <w:ind w:firstLine="480"/>
              <w:rPr>
                <w:rFonts w:hint="eastAsia"/>
                <w:color w:val="0070C0"/>
                <w:highlight w:val="none"/>
                <w:lang w:val="en-US" w:eastAsia="zh-CN"/>
              </w:rPr>
            </w:pPr>
            <w:r>
              <w:rPr>
                <w:rFonts w:hint="eastAsia"/>
                <w:color w:val="0070C0"/>
                <w:highlight w:val="none"/>
                <w:lang w:val="en-US" w:eastAsia="zh-CN"/>
              </w:rPr>
              <w:t>本项目主要设备见下表。</w:t>
            </w:r>
          </w:p>
          <w:p w14:paraId="626302FF">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 xml:space="preserve">                  主要设备一览表</w:t>
            </w:r>
          </w:p>
          <w:tbl>
            <w:tblPr>
              <w:tblStyle w:val="3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006"/>
              <w:gridCol w:w="1780"/>
              <w:gridCol w:w="396"/>
              <w:gridCol w:w="397"/>
              <w:gridCol w:w="3829"/>
            </w:tblGrid>
            <w:tr w14:paraId="02BFC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0B76D50B">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序号</w:t>
                  </w:r>
                </w:p>
              </w:tc>
              <w:tc>
                <w:tcPr>
                  <w:tcW w:w="750" w:type="pct"/>
                  <w:tcBorders>
                    <w:tl2br w:val="nil"/>
                    <w:tr2bl w:val="nil"/>
                  </w:tcBorders>
                  <w:vAlign w:val="center"/>
                </w:tcPr>
                <w:p w14:paraId="68D7C9C1">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设备名称</w:t>
                  </w:r>
                </w:p>
              </w:tc>
              <w:tc>
                <w:tcPr>
                  <w:tcW w:w="810" w:type="pct"/>
                  <w:tcBorders>
                    <w:tl2br w:val="nil"/>
                    <w:tr2bl w:val="nil"/>
                  </w:tcBorders>
                  <w:vAlign w:val="center"/>
                </w:tcPr>
                <w:p w14:paraId="3963EB3F">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规格</w:t>
                  </w:r>
                </w:p>
              </w:tc>
              <w:tc>
                <w:tcPr>
                  <w:tcW w:w="280" w:type="pct"/>
                  <w:tcBorders>
                    <w:tl2br w:val="nil"/>
                    <w:tr2bl w:val="nil"/>
                  </w:tcBorders>
                  <w:vAlign w:val="center"/>
                </w:tcPr>
                <w:p w14:paraId="4944AC9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数量</w:t>
                  </w:r>
                </w:p>
              </w:tc>
              <w:tc>
                <w:tcPr>
                  <w:tcW w:w="280" w:type="pct"/>
                  <w:tcBorders>
                    <w:tl2br w:val="nil"/>
                    <w:tr2bl w:val="nil"/>
                  </w:tcBorders>
                  <w:vAlign w:val="center"/>
                </w:tcPr>
                <w:p w14:paraId="6A9D515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单位</w:t>
                  </w:r>
                </w:p>
              </w:tc>
              <w:tc>
                <w:tcPr>
                  <w:tcW w:w="2576" w:type="pct"/>
                  <w:tcBorders>
                    <w:tl2br w:val="nil"/>
                    <w:tr2bl w:val="nil"/>
                  </w:tcBorders>
                  <w:vAlign w:val="center"/>
                </w:tcPr>
                <w:p w14:paraId="3045D9C2">
                  <w:pPr>
                    <w:widowControl/>
                    <w:shd w:val="clear"/>
                    <w:spacing w:line="240" w:lineRule="auto"/>
                    <w:ind w:firstLine="0" w:firstLineChars="0"/>
                    <w:jc w:val="center"/>
                    <w:rPr>
                      <w:color w:val="000000" w:themeColor="text1"/>
                      <w:kern w:val="0"/>
                      <w:sz w:val="18"/>
                      <w:szCs w:val="18"/>
                      <w:highlight w:val="none"/>
                      <w:lang w:bidi="ar"/>
                      <w14:textFill>
                        <w14:solidFill>
                          <w14:schemeClr w14:val="tx1"/>
                        </w14:solidFill>
                      </w14:textFill>
                    </w:rPr>
                  </w:pPr>
                  <w:r>
                    <w:rPr>
                      <w:color w:val="000000" w:themeColor="text1"/>
                      <w:kern w:val="0"/>
                      <w:sz w:val="18"/>
                      <w:szCs w:val="18"/>
                      <w:highlight w:val="none"/>
                      <w:lang w:bidi="ar"/>
                      <w14:textFill>
                        <w14:solidFill>
                          <w14:schemeClr w14:val="tx1"/>
                        </w14:solidFill>
                      </w14:textFill>
                    </w:rPr>
                    <w:t>备注</w:t>
                  </w:r>
                </w:p>
              </w:tc>
            </w:tr>
            <w:tr w14:paraId="1E729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11CCAD9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w:t>
                  </w:r>
                </w:p>
              </w:tc>
              <w:tc>
                <w:tcPr>
                  <w:tcW w:w="750" w:type="pct"/>
                  <w:tcBorders>
                    <w:tl2br w:val="nil"/>
                    <w:tr2bl w:val="nil"/>
                  </w:tcBorders>
                  <w:vAlign w:val="center"/>
                </w:tcPr>
                <w:p w14:paraId="742B9CA5">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电池系统</w:t>
                  </w:r>
                </w:p>
              </w:tc>
              <w:tc>
                <w:tcPr>
                  <w:tcW w:w="810" w:type="pct"/>
                  <w:tcBorders>
                    <w:tl2br w:val="nil"/>
                    <w:tr2bl w:val="nil"/>
                  </w:tcBorders>
                  <w:vAlign w:val="center"/>
                </w:tcPr>
                <w:p w14:paraId="48255848">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5.0MWh</w:t>
                  </w:r>
                </w:p>
              </w:tc>
              <w:tc>
                <w:tcPr>
                  <w:tcW w:w="280" w:type="pct"/>
                  <w:tcBorders>
                    <w:tl2br w:val="nil"/>
                    <w:tr2bl w:val="nil"/>
                  </w:tcBorders>
                  <w:vAlign w:val="center"/>
                </w:tcPr>
                <w:p w14:paraId="5BB8A330">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48</w:t>
                  </w:r>
                </w:p>
              </w:tc>
              <w:tc>
                <w:tcPr>
                  <w:tcW w:w="280" w:type="pct"/>
                  <w:tcBorders>
                    <w:tl2br w:val="nil"/>
                    <w:tr2bl w:val="nil"/>
                  </w:tcBorders>
                  <w:vAlign w:val="center"/>
                </w:tcPr>
                <w:p w14:paraId="55594AE4">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套</w:t>
                  </w:r>
                </w:p>
              </w:tc>
              <w:tc>
                <w:tcPr>
                  <w:tcW w:w="2576" w:type="pct"/>
                  <w:tcBorders>
                    <w:tl2br w:val="nil"/>
                    <w:tr2bl w:val="nil"/>
                  </w:tcBorders>
                  <w:vAlign w:val="center"/>
                </w:tcPr>
                <w:p w14:paraId="5D9B0097">
                  <w:pPr>
                    <w:widowControl/>
                    <w:shd w:val="clear"/>
                    <w:spacing w:line="240" w:lineRule="auto"/>
                    <w:ind w:firstLine="0" w:firstLineChars="0"/>
                    <w:jc w:val="center"/>
                    <w:rPr>
                      <w:color w:val="000000" w:themeColor="text1"/>
                      <w:kern w:val="0"/>
                      <w:sz w:val="18"/>
                      <w:szCs w:val="18"/>
                      <w:highlight w:val="none"/>
                      <w:lang w:bidi="ar"/>
                      <w14:textFill>
                        <w14:solidFill>
                          <w14:schemeClr w14:val="tx1"/>
                        </w14:solidFill>
                      </w14:textFill>
                    </w:rPr>
                  </w:pPr>
                </w:p>
              </w:tc>
            </w:tr>
            <w:tr w14:paraId="5317B4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2C80064E">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1.1</w:t>
                  </w:r>
                </w:p>
              </w:tc>
              <w:tc>
                <w:tcPr>
                  <w:tcW w:w="750" w:type="pct"/>
                  <w:tcBorders>
                    <w:tl2br w:val="nil"/>
                    <w:tr2bl w:val="nil"/>
                  </w:tcBorders>
                  <w:vAlign w:val="center"/>
                </w:tcPr>
                <w:p w14:paraId="467EBB19">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锂电池</w:t>
                  </w:r>
                </w:p>
              </w:tc>
              <w:tc>
                <w:tcPr>
                  <w:tcW w:w="810" w:type="pct"/>
                  <w:tcBorders>
                    <w:tl2br w:val="nil"/>
                    <w:tr2bl w:val="nil"/>
                  </w:tcBorders>
                  <w:vAlign w:val="center"/>
                </w:tcPr>
                <w:p w14:paraId="06DC82FB">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5000kWh</w:t>
                  </w:r>
                </w:p>
              </w:tc>
              <w:tc>
                <w:tcPr>
                  <w:tcW w:w="280" w:type="pct"/>
                  <w:tcBorders>
                    <w:tl2br w:val="nil"/>
                    <w:tr2bl w:val="nil"/>
                  </w:tcBorders>
                  <w:vAlign w:val="center"/>
                </w:tcPr>
                <w:p w14:paraId="549982F1">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w:t>
                  </w:r>
                </w:p>
              </w:tc>
              <w:tc>
                <w:tcPr>
                  <w:tcW w:w="280" w:type="pct"/>
                  <w:tcBorders>
                    <w:tl2br w:val="nil"/>
                    <w:tr2bl w:val="nil"/>
                  </w:tcBorders>
                  <w:vAlign w:val="center"/>
                </w:tcPr>
                <w:p w14:paraId="20413464">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套</w:t>
                  </w:r>
                </w:p>
              </w:tc>
              <w:tc>
                <w:tcPr>
                  <w:tcW w:w="2576" w:type="pct"/>
                  <w:tcBorders>
                    <w:tl2br w:val="nil"/>
                    <w:tr2bl w:val="nil"/>
                  </w:tcBorders>
                  <w:vAlign w:val="center"/>
                </w:tcPr>
                <w:p w14:paraId="008395D5">
                  <w:pPr>
                    <w:widowControl/>
                    <w:shd w:val="clear"/>
                    <w:spacing w:line="240" w:lineRule="auto"/>
                    <w:ind w:firstLine="0" w:firstLineChars="0"/>
                    <w:jc w:val="center"/>
                    <w:rPr>
                      <w:color w:val="000000" w:themeColor="text1"/>
                      <w:kern w:val="0"/>
                      <w:sz w:val="18"/>
                      <w:szCs w:val="18"/>
                      <w:highlight w:val="none"/>
                      <w:lang w:bidi="ar"/>
                      <w14:textFill>
                        <w14:solidFill>
                          <w14:schemeClr w14:val="tx1"/>
                        </w14:solidFill>
                      </w14:textFill>
                    </w:rPr>
                  </w:pPr>
                  <w:r>
                    <w:rPr>
                      <w:color w:val="000000" w:themeColor="text1"/>
                      <w:kern w:val="0"/>
                      <w:sz w:val="18"/>
                      <w:szCs w:val="18"/>
                      <w:highlight w:val="none"/>
                      <w:lang w:bidi="ar"/>
                      <w14:textFill>
                        <w14:solidFill>
                          <w14:schemeClr w14:val="tx1"/>
                        </w14:solidFill>
                      </w14:textFill>
                    </w:rPr>
                    <w:t>拟定采用（LFP,314Ah 3.2V）电芯，电池舱由12个电池簇组成，持续充放电倍率≤0.5P，含BMS系统等</w:t>
                  </w:r>
                </w:p>
              </w:tc>
            </w:tr>
            <w:tr w14:paraId="74551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4F61DAAA">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1.2</w:t>
                  </w:r>
                </w:p>
              </w:tc>
              <w:tc>
                <w:tcPr>
                  <w:tcW w:w="750" w:type="pct"/>
                  <w:tcBorders>
                    <w:tl2br w:val="nil"/>
                    <w:tr2bl w:val="nil"/>
                  </w:tcBorders>
                  <w:vAlign w:val="center"/>
                </w:tcPr>
                <w:p w14:paraId="780E8F8F">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温控系统</w:t>
                  </w:r>
                </w:p>
              </w:tc>
              <w:tc>
                <w:tcPr>
                  <w:tcW w:w="810" w:type="pct"/>
                  <w:tcBorders>
                    <w:tl2br w:val="nil"/>
                    <w:tr2bl w:val="nil"/>
                  </w:tcBorders>
                  <w:vAlign w:val="center"/>
                </w:tcPr>
                <w:p w14:paraId="61A65F0D">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w:t>
                  </w:r>
                </w:p>
              </w:tc>
              <w:tc>
                <w:tcPr>
                  <w:tcW w:w="280" w:type="pct"/>
                  <w:tcBorders>
                    <w:tl2br w:val="nil"/>
                    <w:tr2bl w:val="nil"/>
                  </w:tcBorders>
                  <w:vAlign w:val="center"/>
                </w:tcPr>
                <w:p w14:paraId="46996A89">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w:t>
                  </w:r>
                </w:p>
              </w:tc>
              <w:tc>
                <w:tcPr>
                  <w:tcW w:w="280" w:type="pct"/>
                  <w:tcBorders>
                    <w:tl2br w:val="nil"/>
                    <w:tr2bl w:val="nil"/>
                  </w:tcBorders>
                  <w:vAlign w:val="center"/>
                </w:tcPr>
                <w:p w14:paraId="0698EA6E">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套</w:t>
                  </w:r>
                </w:p>
              </w:tc>
              <w:tc>
                <w:tcPr>
                  <w:tcW w:w="2576" w:type="pct"/>
                  <w:tcBorders>
                    <w:tl2br w:val="nil"/>
                    <w:tr2bl w:val="nil"/>
                  </w:tcBorders>
                  <w:vAlign w:val="center"/>
                </w:tcPr>
                <w:p w14:paraId="33663D93">
                  <w:pPr>
                    <w:widowControl/>
                    <w:shd w:val="clear"/>
                    <w:spacing w:line="240" w:lineRule="auto"/>
                    <w:ind w:firstLine="0" w:firstLineChars="0"/>
                    <w:jc w:val="center"/>
                    <w:rPr>
                      <w:color w:val="000000" w:themeColor="text1"/>
                      <w:kern w:val="0"/>
                      <w:sz w:val="18"/>
                      <w:szCs w:val="18"/>
                      <w:highlight w:val="none"/>
                      <w:lang w:bidi="ar"/>
                      <w14:textFill>
                        <w14:solidFill>
                          <w14:schemeClr w14:val="tx1"/>
                        </w14:solidFill>
                      </w14:textFill>
                    </w:rPr>
                  </w:pPr>
                  <w:r>
                    <w:rPr>
                      <w:color w:val="000000" w:themeColor="text1"/>
                      <w:kern w:val="0"/>
                      <w:sz w:val="18"/>
                      <w:szCs w:val="18"/>
                      <w:highlight w:val="none"/>
                      <w:lang w:bidi="ar"/>
                      <w14:textFill>
                        <w14:solidFill>
                          <w14:schemeClr w14:val="tx1"/>
                        </w14:solidFill>
                      </w14:textFill>
                    </w:rPr>
                    <w:t>60kW（制冷量）液冷机组、液冷管道、冷却液；1.5kW以上（制冷量）环境空调等</w:t>
                  </w:r>
                </w:p>
              </w:tc>
            </w:tr>
            <w:tr w14:paraId="74C6E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7EB01018">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1.3</w:t>
                  </w:r>
                </w:p>
              </w:tc>
              <w:tc>
                <w:tcPr>
                  <w:tcW w:w="750" w:type="pct"/>
                  <w:tcBorders>
                    <w:tl2br w:val="nil"/>
                    <w:tr2bl w:val="nil"/>
                  </w:tcBorders>
                  <w:vAlign w:val="center"/>
                </w:tcPr>
                <w:p w14:paraId="436673B6">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消防系统</w:t>
                  </w:r>
                </w:p>
              </w:tc>
              <w:tc>
                <w:tcPr>
                  <w:tcW w:w="810" w:type="pct"/>
                  <w:tcBorders>
                    <w:tl2br w:val="nil"/>
                    <w:tr2bl w:val="nil"/>
                  </w:tcBorders>
                  <w:vAlign w:val="center"/>
                </w:tcPr>
                <w:p w14:paraId="4C71E4DC">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w:t>
                  </w:r>
                </w:p>
              </w:tc>
              <w:tc>
                <w:tcPr>
                  <w:tcW w:w="280" w:type="pct"/>
                  <w:tcBorders>
                    <w:tl2br w:val="nil"/>
                    <w:tr2bl w:val="nil"/>
                  </w:tcBorders>
                  <w:vAlign w:val="center"/>
                </w:tcPr>
                <w:p w14:paraId="48659A4C">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w:t>
                  </w:r>
                </w:p>
              </w:tc>
              <w:tc>
                <w:tcPr>
                  <w:tcW w:w="280" w:type="pct"/>
                  <w:tcBorders>
                    <w:tl2br w:val="nil"/>
                    <w:tr2bl w:val="nil"/>
                  </w:tcBorders>
                  <w:vAlign w:val="center"/>
                </w:tcPr>
                <w:p w14:paraId="7CDD2F4C">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套</w:t>
                  </w:r>
                </w:p>
              </w:tc>
              <w:tc>
                <w:tcPr>
                  <w:tcW w:w="2576" w:type="pct"/>
                  <w:tcBorders>
                    <w:tl2br w:val="nil"/>
                    <w:tr2bl w:val="nil"/>
                  </w:tcBorders>
                  <w:vAlign w:val="center"/>
                </w:tcPr>
                <w:p w14:paraId="4C6C60B5">
                  <w:pPr>
                    <w:widowControl/>
                    <w:shd w:val="clear"/>
                    <w:spacing w:line="240" w:lineRule="auto"/>
                    <w:ind w:firstLine="0" w:firstLineChars="0"/>
                    <w:jc w:val="center"/>
                    <w:rPr>
                      <w:color w:val="000000" w:themeColor="text1"/>
                      <w:kern w:val="0"/>
                      <w:sz w:val="18"/>
                      <w:szCs w:val="18"/>
                      <w:highlight w:val="none"/>
                      <w:lang w:bidi="ar"/>
                      <w14:textFill>
                        <w14:solidFill>
                          <w14:schemeClr w14:val="tx1"/>
                        </w14:solidFill>
                      </w14:textFill>
                    </w:rPr>
                  </w:pPr>
                  <w:r>
                    <w:rPr>
                      <w:color w:val="000000" w:themeColor="text1"/>
                      <w:kern w:val="0"/>
                      <w:sz w:val="18"/>
                      <w:szCs w:val="18"/>
                      <w:highlight w:val="none"/>
                      <w:lang w:bidi="ar"/>
                      <w14:textFill>
                        <w14:solidFill>
                          <w14:schemeClr w14:val="tx1"/>
                        </w14:solidFill>
                      </w14:textFill>
                    </w:rPr>
                    <w:t>PACK级浸没消防，气体消防（七氟丙烷/全氟己酮可选），水消防，排风风机、1套泄压装置</w:t>
                  </w:r>
                </w:p>
              </w:tc>
            </w:tr>
            <w:tr w14:paraId="05295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0CC16072">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1.4</w:t>
                  </w:r>
                </w:p>
              </w:tc>
              <w:tc>
                <w:tcPr>
                  <w:tcW w:w="750" w:type="pct"/>
                  <w:tcBorders>
                    <w:tl2br w:val="nil"/>
                    <w:tr2bl w:val="nil"/>
                  </w:tcBorders>
                  <w:vAlign w:val="center"/>
                </w:tcPr>
                <w:p w14:paraId="719DA1FE">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汇流柜</w:t>
                  </w:r>
                </w:p>
              </w:tc>
              <w:tc>
                <w:tcPr>
                  <w:tcW w:w="810" w:type="pct"/>
                  <w:tcBorders>
                    <w:tl2br w:val="nil"/>
                    <w:tr2bl w:val="nil"/>
                  </w:tcBorders>
                  <w:vAlign w:val="center"/>
                </w:tcPr>
                <w:p w14:paraId="475C9066">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DC1500V</w:t>
                  </w:r>
                </w:p>
              </w:tc>
              <w:tc>
                <w:tcPr>
                  <w:tcW w:w="280" w:type="pct"/>
                  <w:tcBorders>
                    <w:tl2br w:val="nil"/>
                    <w:tr2bl w:val="nil"/>
                  </w:tcBorders>
                  <w:vAlign w:val="center"/>
                </w:tcPr>
                <w:p w14:paraId="451C6E19">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w:t>
                  </w:r>
                </w:p>
              </w:tc>
              <w:tc>
                <w:tcPr>
                  <w:tcW w:w="280" w:type="pct"/>
                  <w:tcBorders>
                    <w:tl2br w:val="nil"/>
                    <w:tr2bl w:val="nil"/>
                  </w:tcBorders>
                  <w:vAlign w:val="center"/>
                </w:tcPr>
                <w:p w14:paraId="6EB8952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套</w:t>
                  </w:r>
                </w:p>
              </w:tc>
              <w:tc>
                <w:tcPr>
                  <w:tcW w:w="2576" w:type="pct"/>
                  <w:tcBorders>
                    <w:tl2br w:val="nil"/>
                    <w:tr2bl w:val="nil"/>
                  </w:tcBorders>
                  <w:vAlign w:val="center"/>
                </w:tcPr>
                <w:p w14:paraId="3A3E5AAC">
                  <w:pPr>
                    <w:widowControl/>
                    <w:shd w:val="clear"/>
                    <w:spacing w:line="240" w:lineRule="auto"/>
                    <w:ind w:firstLine="0" w:firstLineChars="0"/>
                    <w:jc w:val="center"/>
                    <w:rPr>
                      <w:color w:val="000000" w:themeColor="text1"/>
                      <w:kern w:val="0"/>
                      <w:sz w:val="18"/>
                      <w:szCs w:val="18"/>
                      <w:highlight w:val="none"/>
                      <w:lang w:bidi="ar"/>
                      <w14:textFill>
                        <w14:solidFill>
                          <w14:schemeClr w14:val="tx1"/>
                        </w14:solidFill>
                      </w14:textFill>
                    </w:rPr>
                  </w:pPr>
                  <w:r>
                    <w:rPr>
                      <w:color w:val="000000" w:themeColor="text1"/>
                      <w:kern w:val="0"/>
                      <w:sz w:val="18"/>
                      <w:szCs w:val="18"/>
                      <w:highlight w:val="none"/>
                      <w:lang w:bidi="ar"/>
                      <w14:textFill>
                        <w14:solidFill>
                          <w14:schemeClr w14:val="tx1"/>
                        </w14:solidFill>
                      </w14:textFill>
                    </w:rPr>
                    <w:t>8进1出（每4簇为1堆）</w:t>
                  </w:r>
                </w:p>
              </w:tc>
            </w:tr>
            <w:tr w14:paraId="576EF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1DB546EA">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1.5</w:t>
                  </w:r>
                </w:p>
              </w:tc>
              <w:tc>
                <w:tcPr>
                  <w:tcW w:w="750" w:type="pct"/>
                  <w:tcBorders>
                    <w:tl2br w:val="nil"/>
                    <w:tr2bl w:val="nil"/>
                  </w:tcBorders>
                  <w:vAlign w:val="center"/>
                </w:tcPr>
                <w:p w14:paraId="4E6E2EE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箱体及附件</w:t>
                  </w:r>
                </w:p>
              </w:tc>
              <w:tc>
                <w:tcPr>
                  <w:tcW w:w="810" w:type="pct"/>
                  <w:tcBorders>
                    <w:tl2br w:val="nil"/>
                    <w:tr2bl w:val="nil"/>
                  </w:tcBorders>
                  <w:vAlign w:val="center"/>
                </w:tcPr>
                <w:p w14:paraId="740996EC">
                  <w:pPr>
                    <w:widowControl/>
                    <w:shd w:val="clear"/>
                    <w:spacing w:line="240" w:lineRule="auto"/>
                    <w:ind w:firstLine="0" w:firstLineChars="0"/>
                    <w:jc w:val="center"/>
                    <w:rPr>
                      <w:color w:val="000000" w:themeColor="text1"/>
                      <w:kern w:val="0"/>
                      <w:sz w:val="18"/>
                      <w:szCs w:val="18"/>
                      <w:highlight w:val="none"/>
                      <w:lang w:bidi="ar"/>
                      <w14:textFill>
                        <w14:solidFill>
                          <w14:schemeClr w14:val="tx1"/>
                        </w14:solidFill>
                      </w14:textFill>
                    </w:rPr>
                  </w:pPr>
                  <w:r>
                    <w:rPr>
                      <w:color w:val="000000" w:themeColor="text1"/>
                      <w:kern w:val="0"/>
                      <w:sz w:val="18"/>
                      <w:szCs w:val="18"/>
                      <w:highlight w:val="none"/>
                      <w:lang w:bidi="ar"/>
                      <w14:textFill>
                        <w14:solidFill>
                          <w14:schemeClr w14:val="tx1"/>
                        </w14:solidFill>
                      </w14:textFill>
                    </w:rPr>
                    <w:t>（宽×深×高）：</w:t>
                  </w:r>
                </w:p>
                <w:p w14:paraId="2EEFE17C">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6300×2650×2986mm</w:t>
                  </w:r>
                </w:p>
              </w:tc>
              <w:tc>
                <w:tcPr>
                  <w:tcW w:w="280" w:type="pct"/>
                  <w:tcBorders>
                    <w:tl2br w:val="nil"/>
                    <w:tr2bl w:val="nil"/>
                  </w:tcBorders>
                  <w:vAlign w:val="center"/>
                </w:tcPr>
                <w:p w14:paraId="43AA0E5D">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w:t>
                  </w:r>
                </w:p>
              </w:tc>
              <w:tc>
                <w:tcPr>
                  <w:tcW w:w="280" w:type="pct"/>
                  <w:tcBorders>
                    <w:tl2br w:val="nil"/>
                    <w:tr2bl w:val="nil"/>
                  </w:tcBorders>
                  <w:vAlign w:val="center"/>
                </w:tcPr>
                <w:p w14:paraId="6DF5E817">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套</w:t>
                  </w:r>
                </w:p>
              </w:tc>
              <w:tc>
                <w:tcPr>
                  <w:tcW w:w="2576" w:type="pct"/>
                  <w:tcBorders>
                    <w:tl2br w:val="nil"/>
                    <w:tr2bl w:val="nil"/>
                  </w:tcBorders>
                  <w:vAlign w:val="center"/>
                </w:tcPr>
                <w:p w14:paraId="0DD5A030">
                  <w:pPr>
                    <w:widowControl/>
                    <w:shd w:val="clear"/>
                    <w:spacing w:line="240" w:lineRule="auto"/>
                    <w:ind w:firstLine="0" w:firstLineChars="0"/>
                    <w:jc w:val="center"/>
                    <w:rPr>
                      <w:color w:val="000000" w:themeColor="text1"/>
                      <w:kern w:val="0"/>
                      <w:sz w:val="18"/>
                      <w:szCs w:val="18"/>
                      <w:highlight w:val="none"/>
                      <w:lang w:bidi="ar"/>
                      <w14:textFill>
                        <w14:solidFill>
                          <w14:schemeClr w14:val="tx1"/>
                        </w14:solidFill>
                      </w14:textFill>
                    </w:rPr>
                  </w:pPr>
                  <w:r>
                    <w:rPr>
                      <w:color w:val="000000" w:themeColor="text1"/>
                      <w:kern w:val="0"/>
                      <w:sz w:val="18"/>
                      <w:szCs w:val="18"/>
                      <w:highlight w:val="none"/>
                      <w:lang w:bidi="ar"/>
                      <w14:textFill>
                        <w14:solidFill>
                          <w14:schemeClr w14:val="tx1"/>
                        </w14:solidFill>
                      </w14:textFill>
                    </w:rPr>
                    <w:t>含液冷系统、舱外气体浓度显示装置、舱外手动火灾报警按钮、系统级消防、防爆通风系统、普通红外摄像头、舱内配备除湿机、箱内设备间连接线缆等</w:t>
                  </w:r>
                </w:p>
              </w:tc>
            </w:tr>
            <w:tr w14:paraId="6EE874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5841E082">
                  <w:pPr>
                    <w:widowControl/>
                    <w:shd w:val="clear"/>
                    <w:spacing w:line="240" w:lineRule="auto"/>
                    <w:ind w:firstLine="0" w:firstLineChars="0"/>
                    <w:jc w:val="center"/>
                    <w:rPr>
                      <w:rFonts w:hint="eastAsia" w:eastAsia="宋体"/>
                      <w:color w:val="FF0000"/>
                      <w:kern w:val="0"/>
                      <w:sz w:val="18"/>
                      <w:szCs w:val="18"/>
                      <w:highlight w:val="none"/>
                      <w:lang w:eastAsia="zh-CN" w:bidi="ar"/>
                    </w:rPr>
                  </w:pPr>
                  <w:r>
                    <w:rPr>
                      <w:rFonts w:hint="eastAsia"/>
                      <w:color w:val="FF0000"/>
                      <w:kern w:val="0"/>
                      <w:sz w:val="18"/>
                      <w:szCs w:val="18"/>
                      <w:highlight w:val="none"/>
                      <w:lang w:val="en-US" w:eastAsia="zh-CN" w:bidi="ar"/>
                    </w:rPr>
                    <w:t>2</w:t>
                  </w:r>
                </w:p>
              </w:tc>
              <w:tc>
                <w:tcPr>
                  <w:tcW w:w="750" w:type="pct"/>
                  <w:tcBorders>
                    <w:tl2br w:val="nil"/>
                    <w:tr2bl w:val="nil"/>
                  </w:tcBorders>
                  <w:vAlign w:val="center"/>
                </w:tcPr>
                <w:p w14:paraId="724EBAE8">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变流升压系统</w:t>
                  </w:r>
                </w:p>
              </w:tc>
              <w:tc>
                <w:tcPr>
                  <w:tcW w:w="810" w:type="pct"/>
                  <w:tcBorders>
                    <w:tl2br w:val="nil"/>
                    <w:tr2bl w:val="nil"/>
                  </w:tcBorders>
                  <w:vAlign w:val="center"/>
                </w:tcPr>
                <w:p w14:paraId="516554C2">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5MW</w:t>
                  </w:r>
                </w:p>
              </w:tc>
              <w:tc>
                <w:tcPr>
                  <w:tcW w:w="280" w:type="pct"/>
                  <w:tcBorders>
                    <w:tl2br w:val="nil"/>
                    <w:tr2bl w:val="nil"/>
                  </w:tcBorders>
                  <w:vAlign w:val="center"/>
                </w:tcPr>
                <w:p w14:paraId="377187B2">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12</w:t>
                  </w:r>
                </w:p>
              </w:tc>
              <w:tc>
                <w:tcPr>
                  <w:tcW w:w="280" w:type="pct"/>
                  <w:tcBorders>
                    <w:tl2br w:val="nil"/>
                    <w:tr2bl w:val="nil"/>
                  </w:tcBorders>
                  <w:vAlign w:val="center"/>
                </w:tcPr>
                <w:p w14:paraId="196F7CC0">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套</w:t>
                  </w:r>
                </w:p>
              </w:tc>
              <w:tc>
                <w:tcPr>
                  <w:tcW w:w="2576" w:type="pct"/>
                  <w:tcBorders>
                    <w:tl2br w:val="nil"/>
                    <w:tr2bl w:val="nil"/>
                  </w:tcBorders>
                  <w:vAlign w:val="center"/>
                </w:tcPr>
                <w:p w14:paraId="6511975B">
                  <w:pPr>
                    <w:widowControl/>
                    <w:shd w:val="clear"/>
                    <w:spacing w:line="240" w:lineRule="auto"/>
                    <w:ind w:firstLine="0" w:firstLineChars="0"/>
                    <w:jc w:val="center"/>
                    <w:rPr>
                      <w:color w:val="FF0000"/>
                      <w:kern w:val="0"/>
                      <w:sz w:val="18"/>
                      <w:szCs w:val="18"/>
                      <w:highlight w:val="none"/>
                      <w:lang w:bidi="ar"/>
                    </w:rPr>
                  </w:pPr>
                </w:p>
              </w:tc>
            </w:tr>
            <w:tr w14:paraId="6DD9F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66C812F4">
                  <w:pPr>
                    <w:widowControl/>
                    <w:shd w:val="clear"/>
                    <w:spacing w:line="240" w:lineRule="auto"/>
                    <w:ind w:firstLine="0" w:firstLineChars="0"/>
                    <w:jc w:val="center"/>
                    <w:rPr>
                      <w:color w:val="FF0000"/>
                      <w:kern w:val="0"/>
                      <w:sz w:val="18"/>
                      <w:szCs w:val="18"/>
                      <w:highlight w:val="none"/>
                      <w:lang w:bidi="ar"/>
                    </w:rPr>
                  </w:pPr>
                  <w:r>
                    <w:rPr>
                      <w:rFonts w:hint="eastAsia"/>
                      <w:color w:val="FF0000"/>
                      <w:kern w:val="0"/>
                      <w:sz w:val="18"/>
                      <w:szCs w:val="18"/>
                      <w:highlight w:val="none"/>
                      <w:lang w:val="en-US" w:eastAsia="zh-CN" w:bidi="ar"/>
                    </w:rPr>
                    <w:t>2</w:t>
                  </w:r>
                  <w:r>
                    <w:rPr>
                      <w:color w:val="FF0000"/>
                      <w:kern w:val="0"/>
                      <w:sz w:val="18"/>
                      <w:szCs w:val="18"/>
                      <w:highlight w:val="none"/>
                      <w:lang w:bidi="ar"/>
                    </w:rPr>
                    <w:t>.1</w:t>
                  </w:r>
                </w:p>
              </w:tc>
              <w:tc>
                <w:tcPr>
                  <w:tcW w:w="750" w:type="pct"/>
                  <w:tcBorders>
                    <w:tl2br w:val="nil"/>
                    <w:tr2bl w:val="nil"/>
                  </w:tcBorders>
                  <w:vAlign w:val="center"/>
                </w:tcPr>
                <w:p w14:paraId="248BF6E1">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储能变流器</w:t>
                  </w:r>
                </w:p>
              </w:tc>
              <w:tc>
                <w:tcPr>
                  <w:tcW w:w="810" w:type="pct"/>
                  <w:tcBorders>
                    <w:tl2br w:val="nil"/>
                    <w:tr2bl w:val="nil"/>
                  </w:tcBorders>
                  <w:vAlign w:val="center"/>
                </w:tcPr>
                <w:p w14:paraId="288AE038">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w:t>
                  </w:r>
                </w:p>
              </w:tc>
              <w:tc>
                <w:tcPr>
                  <w:tcW w:w="280" w:type="pct"/>
                  <w:tcBorders>
                    <w:tl2br w:val="nil"/>
                    <w:tr2bl w:val="nil"/>
                  </w:tcBorders>
                  <w:vAlign w:val="center"/>
                </w:tcPr>
                <w:p w14:paraId="72C88CF2">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4</w:t>
                  </w:r>
                </w:p>
              </w:tc>
              <w:tc>
                <w:tcPr>
                  <w:tcW w:w="280" w:type="pct"/>
                  <w:tcBorders>
                    <w:tl2br w:val="nil"/>
                    <w:tr2bl w:val="nil"/>
                  </w:tcBorders>
                  <w:vAlign w:val="center"/>
                </w:tcPr>
                <w:p w14:paraId="12D4207E">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台</w:t>
                  </w:r>
                </w:p>
              </w:tc>
              <w:tc>
                <w:tcPr>
                  <w:tcW w:w="2576" w:type="pct"/>
                  <w:tcBorders>
                    <w:tl2br w:val="nil"/>
                    <w:tr2bl w:val="nil"/>
                  </w:tcBorders>
                  <w:vAlign w:val="center"/>
                </w:tcPr>
                <w:p w14:paraId="6EEF4FEC">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额定功率2500kW，交流输出</w:t>
                  </w:r>
                </w:p>
              </w:tc>
            </w:tr>
            <w:tr w14:paraId="6A6894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5EA0DD59">
                  <w:pPr>
                    <w:widowControl/>
                    <w:shd w:val="clear"/>
                    <w:spacing w:line="240" w:lineRule="auto"/>
                    <w:ind w:firstLine="0" w:firstLineChars="0"/>
                    <w:jc w:val="center"/>
                    <w:rPr>
                      <w:color w:val="FF0000"/>
                      <w:kern w:val="0"/>
                      <w:sz w:val="18"/>
                      <w:szCs w:val="18"/>
                      <w:highlight w:val="none"/>
                      <w:lang w:bidi="ar"/>
                    </w:rPr>
                  </w:pPr>
                  <w:r>
                    <w:rPr>
                      <w:rFonts w:hint="eastAsia"/>
                      <w:color w:val="FF0000"/>
                      <w:kern w:val="0"/>
                      <w:sz w:val="18"/>
                      <w:szCs w:val="18"/>
                      <w:highlight w:val="none"/>
                      <w:lang w:val="en-US" w:eastAsia="zh-CN" w:bidi="ar"/>
                    </w:rPr>
                    <w:t>2</w:t>
                  </w:r>
                  <w:r>
                    <w:rPr>
                      <w:color w:val="FF0000"/>
                      <w:kern w:val="0"/>
                      <w:sz w:val="18"/>
                      <w:szCs w:val="18"/>
                      <w:highlight w:val="none"/>
                      <w:lang w:bidi="ar"/>
                    </w:rPr>
                    <w:t>.2</w:t>
                  </w:r>
                </w:p>
              </w:tc>
              <w:tc>
                <w:tcPr>
                  <w:tcW w:w="750" w:type="pct"/>
                  <w:tcBorders>
                    <w:tl2br w:val="nil"/>
                    <w:tr2bl w:val="nil"/>
                  </w:tcBorders>
                  <w:vAlign w:val="center"/>
                </w:tcPr>
                <w:p w14:paraId="5C588DDA">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升压变压器</w:t>
                  </w:r>
                </w:p>
              </w:tc>
              <w:tc>
                <w:tcPr>
                  <w:tcW w:w="810" w:type="pct"/>
                  <w:tcBorders>
                    <w:tl2br w:val="nil"/>
                    <w:tr2bl w:val="nil"/>
                  </w:tcBorders>
                  <w:vAlign w:val="center"/>
                </w:tcPr>
                <w:p w14:paraId="4C46BAF6">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37±2×2.5%/0.69kV</w:t>
                  </w:r>
                  <w:r>
                    <w:rPr>
                      <w:rFonts w:hint="eastAsia"/>
                      <w:color w:val="FF0000"/>
                      <w:kern w:val="0"/>
                      <w:sz w:val="18"/>
                      <w:szCs w:val="18"/>
                      <w:highlight w:val="none"/>
                      <w:lang w:eastAsia="zh-CN" w:bidi="ar"/>
                    </w:rPr>
                    <w:t xml:space="preserve">, </w:t>
                  </w:r>
                  <w:r>
                    <w:rPr>
                      <w:color w:val="FF0000"/>
                      <w:kern w:val="0"/>
                      <w:sz w:val="18"/>
                      <w:szCs w:val="18"/>
                      <w:highlight w:val="none"/>
                      <w:lang w:bidi="ar"/>
                    </w:rPr>
                    <w:t>Dy11</w:t>
                  </w:r>
                  <w:r>
                    <w:rPr>
                      <w:rFonts w:hint="eastAsia"/>
                      <w:color w:val="FF0000"/>
                      <w:kern w:val="0"/>
                      <w:sz w:val="18"/>
                      <w:szCs w:val="18"/>
                      <w:highlight w:val="none"/>
                      <w:lang w:eastAsia="zh-CN" w:bidi="ar"/>
                    </w:rPr>
                    <w:t>,</w:t>
                  </w:r>
                  <w:r>
                    <w:rPr>
                      <w:color w:val="FF0000"/>
                      <w:kern w:val="0"/>
                      <w:sz w:val="18"/>
                      <w:szCs w:val="18"/>
                      <w:highlight w:val="none"/>
                      <w:lang w:bidi="ar"/>
                    </w:rPr>
                    <w:t>5250kVA</w:t>
                  </w:r>
                </w:p>
              </w:tc>
              <w:tc>
                <w:tcPr>
                  <w:tcW w:w="280" w:type="pct"/>
                  <w:tcBorders>
                    <w:tl2br w:val="nil"/>
                    <w:tr2bl w:val="nil"/>
                  </w:tcBorders>
                  <w:vAlign w:val="center"/>
                </w:tcPr>
                <w:p w14:paraId="507F563E">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1</w:t>
                  </w:r>
                </w:p>
              </w:tc>
              <w:tc>
                <w:tcPr>
                  <w:tcW w:w="280" w:type="pct"/>
                  <w:tcBorders>
                    <w:tl2br w:val="nil"/>
                    <w:tr2bl w:val="nil"/>
                  </w:tcBorders>
                  <w:vAlign w:val="center"/>
                </w:tcPr>
                <w:p w14:paraId="401C716C">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台</w:t>
                  </w:r>
                </w:p>
              </w:tc>
              <w:tc>
                <w:tcPr>
                  <w:tcW w:w="2576" w:type="pct"/>
                  <w:tcBorders>
                    <w:tl2br w:val="nil"/>
                    <w:tr2bl w:val="nil"/>
                  </w:tcBorders>
                  <w:vAlign w:val="center"/>
                </w:tcPr>
                <w:p w14:paraId="1E382177">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690V/50Hz，直流输入范围1000-1500V，三相三线；树脂浇注干式变压器，双绕组，SCB14，阻抗8%</w:t>
                  </w:r>
                </w:p>
              </w:tc>
            </w:tr>
            <w:tr w14:paraId="32B41F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4925C82C">
                  <w:pPr>
                    <w:widowControl/>
                    <w:shd w:val="clear"/>
                    <w:spacing w:line="240" w:lineRule="auto"/>
                    <w:ind w:firstLine="0" w:firstLineChars="0"/>
                    <w:jc w:val="center"/>
                    <w:rPr>
                      <w:color w:val="FF0000"/>
                      <w:kern w:val="0"/>
                      <w:sz w:val="18"/>
                      <w:szCs w:val="18"/>
                      <w:highlight w:val="none"/>
                      <w:lang w:bidi="ar"/>
                    </w:rPr>
                  </w:pPr>
                  <w:r>
                    <w:rPr>
                      <w:rFonts w:hint="eastAsia"/>
                      <w:color w:val="FF0000"/>
                      <w:kern w:val="0"/>
                      <w:sz w:val="18"/>
                      <w:szCs w:val="18"/>
                      <w:highlight w:val="none"/>
                      <w:lang w:val="en-US" w:eastAsia="zh-CN" w:bidi="ar"/>
                    </w:rPr>
                    <w:t>2</w:t>
                  </w:r>
                  <w:r>
                    <w:rPr>
                      <w:color w:val="FF0000"/>
                      <w:kern w:val="0"/>
                      <w:sz w:val="18"/>
                      <w:szCs w:val="18"/>
                      <w:highlight w:val="none"/>
                      <w:lang w:bidi="ar"/>
                    </w:rPr>
                    <w:t>.3</w:t>
                  </w:r>
                </w:p>
              </w:tc>
              <w:tc>
                <w:tcPr>
                  <w:tcW w:w="750" w:type="pct"/>
                  <w:tcBorders>
                    <w:tl2br w:val="nil"/>
                    <w:tr2bl w:val="nil"/>
                  </w:tcBorders>
                  <w:vAlign w:val="center"/>
                </w:tcPr>
                <w:p w14:paraId="497D20CB">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环网柜</w:t>
                  </w:r>
                </w:p>
              </w:tc>
              <w:tc>
                <w:tcPr>
                  <w:tcW w:w="810" w:type="pct"/>
                  <w:tcBorders>
                    <w:tl2br w:val="nil"/>
                    <w:tr2bl w:val="nil"/>
                  </w:tcBorders>
                  <w:vAlign w:val="center"/>
                </w:tcPr>
                <w:p w14:paraId="605FD94C">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40.5kV</w:t>
                  </w:r>
                </w:p>
              </w:tc>
              <w:tc>
                <w:tcPr>
                  <w:tcW w:w="280" w:type="pct"/>
                  <w:tcBorders>
                    <w:tl2br w:val="nil"/>
                    <w:tr2bl w:val="nil"/>
                  </w:tcBorders>
                  <w:vAlign w:val="center"/>
                </w:tcPr>
                <w:p w14:paraId="5820125F">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1</w:t>
                  </w:r>
                </w:p>
              </w:tc>
              <w:tc>
                <w:tcPr>
                  <w:tcW w:w="280" w:type="pct"/>
                  <w:tcBorders>
                    <w:tl2br w:val="nil"/>
                    <w:tr2bl w:val="nil"/>
                  </w:tcBorders>
                  <w:vAlign w:val="center"/>
                </w:tcPr>
                <w:p w14:paraId="616DB794">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台</w:t>
                  </w:r>
                </w:p>
              </w:tc>
              <w:tc>
                <w:tcPr>
                  <w:tcW w:w="2576" w:type="pct"/>
                  <w:tcBorders>
                    <w:tl2br w:val="nil"/>
                    <w:tr2bl w:val="nil"/>
                  </w:tcBorders>
                  <w:vAlign w:val="center"/>
                </w:tcPr>
                <w:p w14:paraId="49288647">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空气柜，断路器+隔离刀+接地刀方案</w:t>
                  </w:r>
                </w:p>
              </w:tc>
            </w:tr>
            <w:tr w14:paraId="7562AB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1" w:type="pct"/>
                  <w:tcBorders>
                    <w:tl2br w:val="nil"/>
                    <w:tr2bl w:val="nil"/>
                  </w:tcBorders>
                  <w:vAlign w:val="center"/>
                </w:tcPr>
                <w:p w14:paraId="432ECC37">
                  <w:pPr>
                    <w:widowControl/>
                    <w:shd w:val="clear"/>
                    <w:spacing w:line="240" w:lineRule="auto"/>
                    <w:ind w:firstLine="0" w:firstLineChars="0"/>
                    <w:jc w:val="center"/>
                    <w:rPr>
                      <w:color w:val="FF0000"/>
                      <w:kern w:val="0"/>
                      <w:sz w:val="18"/>
                      <w:szCs w:val="18"/>
                      <w:highlight w:val="none"/>
                      <w:lang w:bidi="ar"/>
                    </w:rPr>
                  </w:pPr>
                  <w:r>
                    <w:rPr>
                      <w:rFonts w:hint="eastAsia"/>
                      <w:color w:val="FF0000"/>
                      <w:kern w:val="0"/>
                      <w:sz w:val="18"/>
                      <w:szCs w:val="18"/>
                      <w:highlight w:val="none"/>
                      <w:lang w:val="en-US" w:eastAsia="zh-CN" w:bidi="ar"/>
                    </w:rPr>
                    <w:t>2</w:t>
                  </w:r>
                  <w:r>
                    <w:rPr>
                      <w:color w:val="FF0000"/>
                      <w:kern w:val="0"/>
                      <w:sz w:val="18"/>
                      <w:szCs w:val="18"/>
                      <w:highlight w:val="none"/>
                      <w:lang w:bidi="ar"/>
                    </w:rPr>
                    <w:t>.4</w:t>
                  </w:r>
                </w:p>
              </w:tc>
              <w:tc>
                <w:tcPr>
                  <w:tcW w:w="750" w:type="pct"/>
                  <w:tcBorders>
                    <w:tl2br w:val="nil"/>
                    <w:tr2bl w:val="nil"/>
                  </w:tcBorders>
                  <w:vAlign w:val="center"/>
                </w:tcPr>
                <w:p w14:paraId="755D3A8F">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智能控制柜</w:t>
                  </w:r>
                </w:p>
              </w:tc>
              <w:tc>
                <w:tcPr>
                  <w:tcW w:w="810" w:type="pct"/>
                  <w:tcBorders>
                    <w:tl2br w:val="nil"/>
                    <w:tr2bl w:val="nil"/>
                  </w:tcBorders>
                  <w:vAlign w:val="center"/>
                </w:tcPr>
                <w:p w14:paraId="149C8553">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SCC</w:t>
                  </w:r>
                </w:p>
              </w:tc>
              <w:tc>
                <w:tcPr>
                  <w:tcW w:w="280" w:type="pct"/>
                  <w:tcBorders>
                    <w:tl2br w:val="nil"/>
                    <w:tr2bl w:val="nil"/>
                  </w:tcBorders>
                  <w:vAlign w:val="center"/>
                </w:tcPr>
                <w:p w14:paraId="53B380EA">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1</w:t>
                  </w:r>
                </w:p>
              </w:tc>
              <w:tc>
                <w:tcPr>
                  <w:tcW w:w="280" w:type="pct"/>
                  <w:tcBorders>
                    <w:tl2br w:val="nil"/>
                    <w:tr2bl w:val="nil"/>
                  </w:tcBorders>
                  <w:vAlign w:val="center"/>
                </w:tcPr>
                <w:p w14:paraId="286580F4">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台</w:t>
                  </w:r>
                </w:p>
              </w:tc>
              <w:tc>
                <w:tcPr>
                  <w:tcW w:w="2576" w:type="pct"/>
                  <w:tcBorders>
                    <w:tl2br w:val="nil"/>
                    <w:tr2bl w:val="nil"/>
                  </w:tcBorders>
                  <w:vAlign w:val="center"/>
                </w:tcPr>
                <w:p w14:paraId="5910D25A">
                  <w:pPr>
                    <w:widowControl/>
                    <w:shd w:val="clear"/>
                    <w:spacing w:line="240" w:lineRule="auto"/>
                    <w:ind w:firstLine="0" w:firstLineChars="0"/>
                    <w:jc w:val="center"/>
                    <w:rPr>
                      <w:color w:val="FF0000"/>
                      <w:kern w:val="0"/>
                      <w:sz w:val="18"/>
                      <w:szCs w:val="18"/>
                      <w:highlight w:val="none"/>
                      <w:lang w:bidi="ar"/>
                    </w:rPr>
                  </w:pPr>
                  <w:r>
                    <w:rPr>
                      <w:color w:val="FF0000"/>
                      <w:kern w:val="0"/>
                      <w:sz w:val="18"/>
                      <w:szCs w:val="18"/>
                      <w:highlight w:val="none"/>
                      <w:lang w:bidi="ar"/>
                    </w:rPr>
                    <w:t>含LC，辅助供电等装置，UPS备电时长15min，外供电</w:t>
                  </w:r>
                </w:p>
              </w:tc>
            </w:tr>
          </w:tbl>
          <w:p w14:paraId="656D45A7">
            <w:pPr>
              <w:pStyle w:val="3"/>
              <w:shd w:val="clear"/>
              <w:rPr>
                <w:color w:val="000000" w:themeColor="text1"/>
                <w:highlight w:val="none"/>
                <w14:textFill>
                  <w14:solidFill>
                    <w14:schemeClr w14:val="tx1"/>
                  </w14:solidFill>
                </w14:textFill>
              </w:rPr>
            </w:pPr>
            <w:bookmarkStart w:id="89" w:name="_Toc4378"/>
            <w:bookmarkStart w:id="90" w:name="_Toc2488"/>
            <w:r>
              <w:rPr>
                <w:color w:val="000000" w:themeColor="text1"/>
                <w:highlight w:val="none"/>
                <w14:textFill>
                  <w14:solidFill>
                    <w14:schemeClr w14:val="tx1"/>
                  </w14:solidFill>
                </w14:textFill>
              </w:rPr>
              <w:t>4、主要经济技术指标</w:t>
            </w:r>
            <w:bookmarkEnd w:id="26"/>
            <w:bookmarkEnd w:id="89"/>
            <w:bookmarkEnd w:id="90"/>
          </w:p>
          <w:p w14:paraId="2C1606CA">
            <w:pPr>
              <w:shd w:val="clear"/>
              <w:spacing w:line="240" w:lineRule="auto"/>
              <w:ind w:firstLine="422"/>
              <w:rPr>
                <w:b/>
                <w:color w:val="000000" w:themeColor="text1"/>
                <w:sz w:val="21"/>
                <w:szCs w:val="20"/>
                <w:highlight w:val="none"/>
                <w14:textFill>
                  <w14:solidFill>
                    <w14:schemeClr w14:val="tx1"/>
                  </w14:solidFill>
                </w14:textFill>
              </w:rPr>
            </w:pPr>
            <w:r>
              <w:rPr>
                <w:b/>
                <w:color w:val="000000" w:themeColor="text1"/>
                <w:sz w:val="21"/>
                <w:szCs w:val="20"/>
                <w:highlight w:val="none"/>
                <w14:textFill>
                  <w14:solidFill>
                    <w14:schemeClr w14:val="tx1"/>
                  </w14:solidFill>
                </w14:textFill>
              </w:rPr>
              <w:t>表2-</w:t>
            </w:r>
            <w:r>
              <w:rPr>
                <w:rFonts w:hint="eastAsia"/>
                <w:b/>
                <w:color w:val="000000" w:themeColor="text1"/>
                <w:sz w:val="21"/>
                <w:szCs w:val="20"/>
                <w:highlight w:val="none"/>
                <w14:textFill>
                  <w14:solidFill>
                    <w14:schemeClr w14:val="tx1"/>
                  </w14:solidFill>
                </w14:textFill>
              </w:rPr>
              <w:t>6</w:t>
            </w:r>
            <w:r>
              <w:rPr>
                <w:b/>
                <w:color w:val="000000" w:themeColor="text1"/>
                <w:sz w:val="21"/>
                <w:szCs w:val="20"/>
                <w:highlight w:val="none"/>
                <w14:textFill>
                  <w14:solidFill>
                    <w14:schemeClr w14:val="tx1"/>
                  </w14:solidFill>
                </w14:textFill>
              </w:rPr>
              <w:t xml:space="preserve">                        主要技术经济指标一览表</w:t>
            </w:r>
          </w:p>
          <w:tbl>
            <w:tblPr>
              <w:tblStyle w:val="90"/>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50"/>
              <w:gridCol w:w="1645"/>
              <w:gridCol w:w="355"/>
              <w:gridCol w:w="685"/>
              <w:gridCol w:w="4814"/>
            </w:tblGrid>
            <w:tr w14:paraId="36779E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gridSpan w:val="5"/>
                  <w:tcBorders>
                    <w:tl2br w:val="nil"/>
                    <w:tr2bl w:val="nil"/>
                  </w:tcBorders>
                  <w:vAlign w:val="center"/>
                </w:tcPr>
                <w:p w14:paraId="640F352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bookmarkStart w:id="91" w:name="_Toc8270"/>
                  <w:r>
                    <w:rPr>
                      <w:color w:val="000000" w:themeColor="text1"/>
                      <w:kern w:val="0"/>
                      <w:sz w:val="18"/>
                      <w:szCs w:val="18"/>
                      <w:highlight w:val="none"/>
                      <w14:textFill>
                        <w14:solidFill>
                          <w14:schemeClr w14:val="tx1"/>
                        </w14:solidFill>
                      </w14:textFill>
                    </w:rPr>
                    <w:t>升压站</w:t>
                  </w:r>
                </w:p>
              </w:tc>
            </w:tr>
            <w:tr w14:paraId="436B1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26177CB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序号</w:t>
                  </w:r>
                </w:p>
              </w:tc>
              <w:tc>
                <w:tcPr>
                  <w:tcW w:w="0" w:type="auto"/>
                  <w:tcBorders>
                    <w:tl2br w:val="nil"/>
                    <w:tr2bl w:val="nil"/>
                  </w:tcBorders>
                  <w:vAlign w:val="center"/>
                </w:tcPr>
                <w:p w14:paraId="6E18B49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项目名称</w:t>
                  </w:r>
                </w:p>
              </w:tc>
              <w:tc>
                <w:tcPr>
                  <w:tcW w:w="0" w:type="auto"/>
                  <w:tcBorders>
                    <w:tl2br w:val="nil"/>
                    <w:tr2bl w:val="nil"/>
                  </w:tcBorders>
                  <w:vAlign w:val="center"/>
                </w:tcPr>
                <w:p w14:paraId="44D63BC9">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单位</w:t>
                  </w:r>
                </w:p>
              </w:tc>
              <w:tc>
                <w:tcPr>
                  <w:tcW w:w="0" w:type="auto"/>
                  <w:tcBorders>
                    <w:tl2br w:val="nil"/>
                    <w:tr2bl w:val="nil"/>
                  </w:tcBorders>
                  <w:vAlign w:val="center"/>
                </w:tcPr>
                <w:p w14:paraId="69C069F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工程量</w:t>
                  </w:r>
                </w:p>
              </w:tc>
              <w:tc>
                <w:tcPr>
                  <w:tcW w:w="0" w:type="auto"/>
                  <w:tcBorders>
                    <w:tl2br w:val="nil"/>
                    <w:tr2bl w:val="nil"/>
                  </w:tcBorders>
                  <w:vAlign w:val="center"/>
                </w:tcPr>
                <w:p w14:paraId="15ADB0F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备注</w:t>
                  </w:r>
                </w:p>
              </w:tc>
            </w:tr>
            <w:tr w14:paraId="34A4E8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restart"/>
                  <w:tcBorders>
                    <w:tl2br w:val="nil"/>
                    <w:tr2bl w:val="nil"/>
                  </w:tcBorders>
                  <w:vAlign w:val="center"/>
                </w:tcPr>
                <w:p w14:paraId="7EBFE89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c>
                <w:tcPr>
                  <w:tcW w:w="0" w:type="auto"/>
                  <w:tcBorders>
                    <w:tl2br w:val="nil"/>
                    <w:tr2bl w:val="nil"/>
                  </w:tcBorders>
                  <w:vAlign w:val="center"/>
                </w:tcPr>
                <w:p w14:paraId="234A2BA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场地平整</w:t>
                  </w:r>
                </w:p>
              </w:tc>
              <w:tc>
                <w:tcPr>
                  <w:tcW w:w="0" w:type="auto"/>
                  <w:tcBorders>
                    <w:tl2br w:val="nil"/>
                    <w:tr2bl w:val="nil"/>
                  </w:tcBorders>
                  <w:vAlign w:val="center"/>
                </w:tcPr>
                <w:p w14:paraId="6F78FD2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0F93D0E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34C2EA5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2A6A55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3567B38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6660578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清表</w:t>
                  </w:r>
                </w:p>
              </w:tc>
              <w:tc>
                <w:tcPr>
                  <w:tcW w:w="0" w:type="auto"/>
                  <w:tcBorders>
                    <w:tl2br w:val="nil"/>
                    <w:tr2bl w:val="nil"/>
                  </w:tcBorders>
                  <w:vAlign w:val="center"/>
                </w:tcPr>
                <w:p w14:paraId="190BBDE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2</w:t>
                  </w:r>
                </w:p>
              </w:tc>
              <w:tc>
                <w:tcPr>
                  <w:tcW w:w="0" w:type="auto"/>
                  <w:tcBorders>
                    <w:tl2br w:val="nil"/>
                    <w:tr2bl w:val="nil"/>
                  </w:tcBorders>
                  <w:vAlign w:val="center"/>
                </w:tcPr>
                <w:p w14:paraId="7281F0A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16817.00</w:t>
                  </w:r>
                </w:p>
              </w:tc>
              <w:tc>
                <w:tcPr>
                  <w:tcW w:w="0" w:type="auto"/>
                  <w:tcBorders>
                    <w:tl2br w:val="nil"/>
                    <w:tr2bl w:val="nil"/>
                  </w:tcBorders>
                  <w:vAlign w:val="center"/>
                </w:tcPr>
                <w:p w14:paraId="7DFB3D4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清除表面20cm厚杂填土</w:t>
                  </w:r>
                </w:p>
              </w:tc>
            </w:tr>
            <w:tr w14:paraId="228AB6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4C6CB203">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00F5F5C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挖方</w:t>
                  </w:r>
                </w:p>
              </w:tc>
              <w:tc>
                <w:tcPr>
                  <w:tcW w:w="0" w:type="auto"/>
                  <w:tcBorders>
                    <w:tl2br w:val="nil"/>
                    <w:tr2bl w:val="nil"/>
                  </w:tcBorders>
                  <w:vAlign w:val="center"/>
                </w:tcPr>
                <w:p w14:paraId="76E3BC1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3</w:t>
                  </w:r>
                </w:p>
              </w:tc>
              <w:tc>
                <w:tcPr>
                  <w:tcW w:w="0" w:type="auto"/>
                  <w:tcBorders>
                    <w:tl2br w:val="nil"/>
                    <w:tr2bl w:val="nil"/>
                  </w:tcBorders>
                  <w:vAlign w:val="center"/>
                </w:tcPr>
                <w:p w14:paraId="19B2EF63">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0</w:t>
                  </w:r>
                </w:p>
              </w:tc>
              <w:tc>
                <w:tcPr>
                  <w:tcW w:w="0" w:type="auto"/>
                  <w:tcBorders>
                    <w:tl2br w:val="nil"/>
                    <w:tr2bl w:val="nil"/>
                  </w:tcBorders>
                  <w:vAlign w:val="center"/>
                </w:tcPr>
                <w:p w14:paraId="009656C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0D705D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3E8A1EE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53D08DE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填方</w:t>
                  </w:r>
                </w:p>
              </w:tc>
              <w:tc>
                <w:tcPr>
                  <w:tcW w:w="0" w:type="auto"/>
                  <w:tcBorders>
                    <w:tl2br w:val="nil"/>
                    <w:tr2bl w:val="nil"/>
                  </w:tcBorders>
                  <w:vAlign w:val="center"/>
                </w:tcPr>
                <w:p w14:paraId="02E08A0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3</w:t>
                  </w:r>
                </w:p>
              </w:tc>
              <w:tc>
                <w:tcPr>
                  <w:tcW w:w="0" w:type="auto"/>
                  <w:tcBorders>
                    <w:tl2br w:val="nil"/>
                    <w:tr2bl w:val="nil"/>
                  </w:tcBorders>
                  <w:vAlign w:val="center"/>
                </w:tcPr>
                <w:p w14:paraId="7B1BB70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12723.5</w:t>
                  </w:r>
                </w:p>
              </w:tc>
              <w:tc>
                <w:tcPr>
                  <w:tcW w:w="0" w:type="auto"/>
                  <w:tcBorders>
                    <w:tl2br w:val="nil"/>
                    <w:tr2bl w:val="nil"/>
                  </w:tcBorders>
                  <w:vAlign w:val="center"/>
                </w:tcPr>
                <w:p w14:paraId="7148B5B9">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1301FC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2AC5118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w:t>
                  </w:r>
                </w:p>
              </w:tc>
              <w:tc>
                <w:tcPr>
                  <w:tcW w:w="0" w:type="auto"/>
                  <w:tcBorders>
                    <w:tl2br w:val="nil"/>
                    <w:tr2bl w:val="nil"/>
                  </w:tcBorders>
                  <w:vAlign w:val="center"/>
                </w:tcPr>
                <w:p w14:paraId="653F382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站区砖围墙（含基础）</w:t>
                  </w:r>
                </w:p>
              </w:tc>
              <w:tc>
                <w:tcPr>
                  <w:tcW w:w="0" w:type="auto"/>
                  <w:tcBorders>
                    <w:tl2br w:val="nil"/>
                    <w:tr2bl w:val="nil"/>
                  </w:tcBorders>
                  <w:vAlign w:val="center"/>
                </w:tcPr>
                <w:p w14:paraId="455AC3A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p>
              </w:tc>
              <w:tc>
                <w:tcPr>
                  <w:tcW w:w="0" w:type="auto"/>
                  <w:tcBorders>
                    <w:tl2br w:val="nil"/>
                    <w:tr2bl w:val="nil"/>
                  </w:tcBorders>
                  <w:vAlign w:val="center"/>
                </w:tcPr>
                <w:p w14:paraId="4611BFE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470</w:t>
                  </w:r>
                </w:p>
              </w:tc>
              <w:tc>
                <w:tcPr>
                  <w:tcW w:w="0" w:type="auto"/>
                  <w:tcBorders>
                    <w:tl2br w:val="nil"/>
                    <w:tr2bl w:val="nil"/>
                  </w:tcBorders>
                  <w:vAlign w:val="center"/>
                </w:tcPr>
                <w:p w14:paraId="31FCDF8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MU10烧结普通砖围墙240mm厚</w:t>
                  </w:r>
                  <w:r>
                    <w:rPr>
                      <w:rFonts w:hint="eastAsia"/>
                      <w:color w:val="000000" w:themeColor="text1"/>
                      <w:kern w:val="0"/>
                      <w:sz w:val="18"/>
                      <w:szCs w:val="18"/>
                      <w:highlight w:val="none"/>
                      <w:lang w:eastAsia="zh-CN"/>
                      <w14:textFill>
                        <w14:solidFill>
                          <w14:schemeClr w14:val="tx1"/>
                        </w14:solidFill>
                      </w14:textFill>
                    </w:rPr>
                    <w:t>，</w:t>
                  </w:r>
                  <w:r>
                    <w:rPr>
                      <w:color w:val="000000" w:themeColor="text1"/>
                      <w:kern w:val="0"/>
                      <w:sz w:val="18"/>
                      <w:szCs w:val="18"/>
                      <w:highlight w:val="none"/>
                      <w14:textFill>
                        <w14:solidFill>
                          <w14:schemeClr w14:val="tx1"/>
                        </w14:solidFill>
                      </w14:textFill>
                    </w:rPr>
                    <w:t>高度2.5m。</w:t>
                  </w:r>
                </w:p>
                <w:p w14:paraId="4D17541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围墙基础：M15级水泥砂浆砌MU40毛石，800mm厚，埋深1.2m</w:t>
                  </w:r>
                </w:p>
              </w:tc>
            </w:tr>
            <w:tr w14:paraId="1848D8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4E48530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w:t>
                  </w:r>
                </w:p>
              </w:tc>
              <w:tc>
                <w:tcPr>
                  <w:tcW w:w="0" w:type="auto"/>
                  <w:tcBorders>
                    <w:tl2br w:val="nil"/>
                    <w:tr2bl w:val="nil"/>
                  </w:tcBorders>
                  <w:vAlign w:val="center"/>
                </w:tcPr>
                <w:p w14:paraId="47A5A12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围栏（含基础）</w:t>
                  </w:r>
                </w:p>
              </w:tc>
              <w:tc>
                <w:tcPr>
                  <w:tcW w:w="0" w:type="auto"/>
                  <w:tcBorders>
                    <w:tl2br w:val="nil"/>
                    <w:tr2bl w:val="nil"/>
                  </w:tcBorders>
                  <w:vAlign w:val="center"/>
                </w:tcPr>
                <w:p w14:paraId="3825750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p>
              </w:tc>
              <w:tc>
                <w:tcPr>
                  <w:tcW w:w="0" w:type="auto"/>
                  <w:tcBorders>
                    <w:tl2br w:val="nil"/>
                    <w:tr2bl w:val="nil"/>
                  </w:tcBorders>
                  <w:vAlign w:val="center"/>
                </w:tcPr>
                <w:p w14:paraId="10071EB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165</w:t>
                  </w:r>
                </w:p>
              </w:tc>
              <w:tc>
                <w:tcPr>
                  <w:tcW w:w="0" w:type="auto"/>
                  <w:tcBorders>
                    <w:tl2br w:val="nil"/>
                    <w:tr2bl w:val="nil"/>
                  </w:tcBorders>
                  <w:vAlign w:val="center"/>
                </w:tcPr>
                <w:p w14:paraId="7C31A9B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096704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3DB4EBE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4</w:t>
                  </w:r>
                </w:p>
              </w:tc>
              <w:tc>
                <w:tcPr>
                  <w:tcW w:w="0" w:type="auto"/>
                  <w:tcBorders>
                    <w:tl2br w:val="nil"/>
                    <w:tr2bl w:val="nil"/>
                  </w:tcBorders>
                  <w:vAlign w:val="center"/>
                </w:tcPr>
                <w:p w14:paraId="60CAF7A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电动伸缩门</w:t>
                  </w:r>
                </w:p>
              </w:tc>
              <w:tc>
                <w:tcPr>
                  <w:tcW w:w="0" w:type="auto"/>
                  <w:tcBorders>
                    <w:tl2br w:val="nil"/>
                    <w:tr2bl w:val="nil"/>
                  </w:tcBorders>
                  <w:vAlign w:val="center"/>
                </w:tcPr>
                <w:p w14:paraId="658B895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樘</w:t>
                  </w:r>
                </w:p>
              </w:tc>
              <w:tc>
                <w:tcPr>
                  <w:tcW w:w="0" w:type="auto"/>
                  <w:tcBorders>
                    <w:tl2br w:val="nil"/>
                    <w:tr2bl w:val="nil"/>
                  </w:tcBorders>
                  <w:vAlign w:val="center"/>
                </w:tcPr>
                <w:p w14:paraId="3521FB3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w:t>
                  </w:r>
                </w:p>
              </w:tc>
              <w:tc>
                <w:tcPr>
                  <w:tcW w:w="0" w:type="auto"/>
                  <w:tcBorders>
                    <w:tl2br w:val="nil"/>
                    <w:tr2bl w:val="nil"/>
                  </w:tcBorders>
                  <w:vAlign w:val="center"/>
                </w:tcPr>
                <w:p w14:paraId="73AE866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14B9AD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5013FAA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w:t>
                  </w:r>
                </w:p>
              </w:tc>
              <w:tc>
                <w:tcPr>
                  <w:tcW w:w="0" w:type="auto"/>
                  <w:tcBorders>
                    <w:tl2br w:val="nil"/>
                    <w:tr2bl w:val="nil"/>
                  </w:tcBorders>
                  <w:vAlign w:val="center"/>
                </w:tcPr>
                <w:p w14:paraId="2984E4B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栅栏门</w:t>
                  </w:r>
                </w:p>
              </w:tc>
              <w:tc>
                <w:tcPr>
                  <w:tcW w:w="0" w:type="auto"/>
                  <w:tcBorders>
                    <w:tl2br w:val="nil"/>
                    <w:tr2bl w:val="nil"/>
                  </w:tcBorders>
                  <w:vAlign w:val="center"/>
                </w:tcPr>
                <w:p w14:paraId="6A48065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樘</w:t>
                  </w:r>
                </w:p>
              </w:tc>
              <w:tc>
                <w:tcPr>
                  <w:tcW w:w="0" w:type="auto"/>
                  <w:tcBorders>
                    <w:tl2br w:val="nil"/>
                    <w:tr2bl w:val="nil"/>
                  </w:tcBorders>
                  <w:vAlign w:val="center"/>
                </w:tcPr>
                <w:p w14:paraId="6828361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w:t>
                  </w:r>
                </w:p>
              </w:tc>
              <w:tc>
                <w:tcPr>
                  <w:tcW w:w="0" w:type="auto"/>
                  <w:tcBorders>
                    <w:tl2br w:val="nil"/>
                    <w:tr2bl w:val="nil"/>
                  </w:tcBorders>
                  <w:vAlign w:val="center"/>
                </w:tcPr>
                <w:p w14:paraId="69AFB4D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5866AC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3251D5F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6</w:t>
                  </w:r>
                </w:p>
              </w:tc>
              <w:tc>
                <w:tcPr>
                  <w:tcW w:w="0" w:type="auto"/>
                  <w:tcBorders>
                    <w:tl2br w:val="nil"/>
                    <w:tr2bl w:val="nil"/>
                  </w:tcBorders>
                  <w:vAlign w:val="center"/>
                </w:tcPr>
                <w:p w14:paraId="088ACE3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站区道路</w:t>
                  </w:r>
                </w:p>
              </w:tc>
              <w:tc>
                <w:tcPr>
                  <w:tcW w:w="0" w:type="auto"/>
                  <w:tcBorders>
                    <w:tl2br w:val="nil"/>
                    <w:tr2bl w:val="nil"/>
                  </w:tcBorders>
                  <w:vAlign w:val="center"/>
                </w:tcPr>
                <w:p w14:paraId="5015A0C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2</w:t>
                  </w:r>
                </w:p>
              </w:tc>
              <w:tc>
                <w:tcPr>
                  <w:tcW w:w="0" w:type="auto"/>
                  <w:tcBorders>
                    <w:tl2br w:val="nil"/>
                    <w:tr2bl w:val="nil"/>
                  </w:tcBorders>
                  <w:vAlign w:val="center"/>
                </w:tcPr>
                <w:p w14:paraId="68C667E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3450</w:t>
                  </w:r>
                </w:p>
              </w:tc>
              <w:tc>
                <w:tcPr>
                  <w:tcW w:w="0" w:type="auto"/>
                  <w:tcBorders>
                    <w:tl2br w:val="nil"/>
                    <w:tr2bl w:val="nil"/>
                  </w:tcBorders>
                  <w:vAlign w:val="center"/>
                </w:tcPr>
                <w:p w14:paraId="1E8D192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w:t>
                  </w:r>
                  <w:r>
                    <w:rPr>
                      <w:color w:val="000000" w:themeColor="text1"/>
                      <w:kern w:val="0"/>
                      <w:sz w:val="18"/>
                      <w:szCs w:val="18"/>
                      <w:highlight w:val="none"/>
                      <w14:textFill>
                        <w14:solidFill>
                          <w14:schemeClr w14:val="tx1"/>
                        </w14:solidFill>
                      </w14:textFill>
                    </w:rPr>
                    <w:t>1</w:t>
                  </w:r>
                  <w:r>
                    <w:rPr>
                      <w:rFonts w:hint="eastAsia"/>
                      <w:color w:val="000000" w:themeColor="text1"/>
                      <w:kern w:val="0"/>
                      <w:sz w:val="18"/>
                      <w:szCs w:val="18"/>
                      <w:highlight w:val="none"/>
                      <w:lang w:eastAsia="zh-CN"/>
                      <w14:textFill>
                        <w14:solidFill>
                          <w14:schemeClr w14:val="tx1"/>
                        </w14:solidFill>
                      </w14:textFill>
                    </w:rPr>
                    <w:t>）</w:t>
                  </w:r>
                  <w:r>
                    <w:rPr>
                      <w:color w:val="000000" w:themeColor="text1"/>
                      <w:kern w:val="0"/>
                      <w:sz w:val="18"/>
                      <w:szCs w:val="18"/>
                      <w:highlight w:val="none"/>
                      <w14:textFill>
                        <w14:solidFill>
                          <w14:schemeClr w14:val="tx1"/>
                        </w14:solidFill>
                      </w14:textFill>
                    </w:rPr>
                    <w:t>垫层150mm</w:t>
                  </w:r>
                </w:p>
                <w:p w14:paraId="260AE04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（2）</w:t>
                  </w:r>
                  <w:r>
                    <w:rPr>
                      <w:color w:val="000000" w:themeColor="text1"/>
                      <w:kern w:val="0"/>
                      <w:sz w:val="18"/>
                      <w:szCs w:val="18"/>
                      <w:highlight w:val="none"/>
                      <w14:textFill>
                        <w14:solidFill>
                          <w14:schemeClr w14:val="tx1"/>
                        </w14:solidFill>
                      </w14:textFill>
                    </w:rPr>
                    <w:t>150mm厚水泥稳定碎石基层</w:t>
                  </w:r>
                </w:p>
                <w:p w14:paraId="0A4A1DD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（3）</w:t>
                  </w:r>
                  <w:r>
                    <w:rPr>
                      <w:color w:val="000000" w:themeColor="text1"/>
                      <w:kern w:val="0"/>
                      <w:sz w:val="18"/>
                      <w:szCs w:val="18"/>
                      <w:highlight w:val="none"/>
                      <w14:textFill>
                        <w14:solidFill>
                          <w14:schemeClr w14:val="tx1"/>
                        </w14:solidFill>
                      </w14:textFill>
                    </w:rPr>
                    <w:t>230mm厚C30水泥混凝土面层。</w:t>
                  </w:r>
                </w:p>
              </w:tc>
            </w:tr>
            <w:tr w14:paraId="72B81E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75F842F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7</w:t>
                  </w:r>
                </w:p>
              </w:tc>
              <w:tc>
                <w:tcPr>
                  <w:tcW w:w="0" w:type="auto"/>
                  <w:tcBorders>
                    <w:tl2br w:val="nil"/>
                    <w:tr2bl w:val="nil"/>
                  </w:tcBorders>
                  <w:vAlign w:val="center"/>
                </w:tcPr>
                <w:p w14:paraId="502E18A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道路立缘石</w:t>
                  </w:r>
                </w:p>
              </w:tc>
              <w:tc>
                <w:tcPr>
                  <w:tcW w:w="0" w:type="auto"/>
                  <w:tcBorders>
                    <w:tl2br w:val="nil"/>
                    <w:tr2bl w:val="nil"/>
                  </w:tcBorders>
                  <w:vAlign w:val="center"/>
                </w:tcPr>
                <w:p w14:paraId="1375BD5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p>
              </w:tc>
              <w:tc>
                <w:tcPr>
                  <w:tcW w:w="0" w:type="auto"/>
                  <w:tcBorders>
                    <w:tl2br w:val="nil"/>
                    <w:tr2bl w:val="nil"/>
                  </w:tcBorders>
                  <w:vAlign w:val="center"/>
                </w:tcPr>
                <w:p w14:paraId="26ED0B7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1464.5</w:t>
                  </w:r>
                </w:p>
              </w:tc>
              <w:tc>
                <w:tcPr>
                  <w:tcW w:w="0" w:type="auto"/>
                  <w:tcBorders>
                    <w:tl2br w:val="nil"/>
                    <w:tr2bl w:val="nil"/>
                  </w:tcBorders>
                  <w:vAlign w:val="center"/>
                </w:tcPr>
                <w:p w14:paraId="6EDEC1A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300mm×100mm×495mm C30预制砼路缘石</w:t>
                  </w:r>
                </w:p>
              </w:tc>
            </w:tr>
            <w:tr w14:paraId="24F580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1C78DCD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8</w:t>
                  </w:r>
                </w:p>
              </w:tc>
              <w:tc>
                <w:tcPr>
                  <w:tcW w:w="0" w:type="auto"/>
                  <w:tcBorders>
                    <w:tl2br w:val="nil"/>
                    <w:tr2bl w:val="nil"/>
                  </w:tcBorders>
                  <w:vAlign w:val="center"/>
                </w:tcPr>
                <w:p w14:paraId="63BDFBC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混凝土硬化地坪</w:t>
                  </w:r>
                </w:p>
              </w:tc>
              <w:tc>
                <w:tcPr>
                  <w:tcW w:w="0" w:type="auto"/>
                  <w:tcBorders>
                    <w:tl2br w:val="nil"/>
                    <w:tr2bl w:val="nil"/>
                  </w:tcBorders>
                  <w:vAlign w:val="center"/>
                </w:tcPr>
                <w:p w14:paraId="0A71C86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2</w:t>
                  </w:r>
                </w:p>
              </w:tc>
              <w:tc>
                <w:tcPr>
                  <w:tcW w:w="0" w:type="auto"/>
                  <w:tcBorders>
                    <w:tl2br w:val="nil"/>
                    <w:tr2bl w:val="nil"/>
                  </w:tcBorders>
                  <w:vAlign w:val="center"/>
                </w:tcPr>
                <w:p w14:paraId="4A22FF73">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5700</w:t>
                  </w:r>
                </w:p>
              </w:tc>
              <w:tc>
                <w:tcPr>
                  <w:tcW w:w="0" w:type="auto"/>
                  <w:tcBorders>
                    <w:tl2br w:val="nil"/>
                    <w:tr2bl w:val="nil"/>
                  </w:tcBorders>
                  <w:vAlign w:val="center"/>
                </w:tcPr>
                <w:p w14:paraId="3BAEB04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w:t>
                  </w:r>
                  <w:r>
                    <w:rPr>
                      <w:color w:val="000000" w:themeColor="text1"/>
                      <w:kern w:val="0"/>
                      <w:sz w:val="18"/>
                      <w:szCs w:val="18"/>
                      <w:highlight w:val="none"/>
                      <w14:textFill>
                        <w14:solidFill>
                          <w14:schemeClr w14:val="tx1"/>
                        </w14:solidFill>
                      </w14:textFill>
                    </w:rPr>
                    <w:t>1</w:t>
                  </w:r>
                  <w:r>
                    <w:rPr>
                      <w:rFonts w:hint="eastAsia"/>
                      <w:color w:val="000000" w:themeColor="text1"/>
                      <w:kern w:val="0"/>
                      <w:sz w:val="18"/>
                      <w:szCs w:val="18"/>
                      <w:highlight w:val="none"/>
                      <w:lang w:eastAsia="zh-CN"/>
                      <w14:textFill>
                        <w14:solidFill>
                          <w14:schemeClr w14:val="tx1"/>
                        </w14:solidFill>
                      </w14:textFill>
                    </w:rPr>
                    <w:t>）</w:t>
                  </w:r>
                  <w:r>
                    <w:rPr>
                      <w:color w:val="000000" w:themeColor="text1"/>
                      <w:kern w:val="0"/>
                      <w:sz w:val="18"/>
                      <w:szCs w:val="18"/>
                      <w:highlight w:val="none"/>
                      <w14:textFill>
                        <w14:solidFill>
                          <w14:schemeClr w14:val="tx1"/>
                        </w14:solidFill>
                      </w14:textFill>
                    </w:rPr>
                    <w:t>垫层150mm</w:t>
                  </w:r>
                </w:p>
                <w:p w14:paraId="37AE456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（2）</w:t>
                  </w:r>
                  <w:r>
                    <w:rPr>
                      <w:color w:val="000000" w:themeColor="text1"/>
                      <w:kern w:val="0"/>
                      <w:sz w:val="18"/>
                      <w:szCs w:val="18"/>
                      <w:highlight w:val="none"/>
                      <w14:textFill>
                        <w14:solidFill>
                          <w14:schemeClr w14:val="tx1"/>
                        </w14:solidFill>
                      </w14:textFill>
                    </w:rPr>
                    <w:t>150mm厚水泥稳定碎石基层</w:t>
                  </w:r>
                </w:p>
                <w:p w14:paraId="33AA3D1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（3）</w:t>
                  </w:r>
                  <w:r>
                    <w:rPr>
                      <w:color w:val="000000" w:themeColor="text1"/>
                      <w:kern w:val="0"/>
                      <w:sz w:val="18"/>
                      <w:szCs w:val="18"/>
                      <w:highlight w:val="none"/>
                      <w14:textFill>
                        <w14:solidFill>
                          <w14:schemeClr w14:val="tx1"/>
                        </w14:solidFill>
                      </w14:textFill>
                    </w:rPr>
                    <w:t>230mm厚C30水泥混凝土面层。</w:t>
                  </w:r>
                </w:p>
              </w:tc>
            </w:tr>
            <w:tr w14:paraId="1A54F1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794337B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9</w:t>
                  </w:r>
                </w:p>
              </w:tc>
              <w:tc>
                <w:tcPr>
                  <w:tcW w:w="0" w:type="auto"/>
                  <w:tcBorders>
                    <w:tl2br w:val="nil"/>
                    <w:tr2bl w:val="nil"/>
                  </w:tcBorders>
                  <w:vAlign w:val="center"/>
                </w:tcPr>
                <w:p w14:paraId="22BDE4A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绝缘地坪</w:t>
                  </w:r>
                </w:p>
              </w:tc>
              <w:tc>
                <w:tcPr>
                  <w:tcW w:w="0" w:type="auto"/>
                  <w:tcBorders>
                    <w:tl2br w:val="nil"/>
                    <w:tr2bl w:val="nil"/>
                  </w:tcBorders>
                  <w:vAlign w:val="center"/>
                </w:tcPr>
                <w:p w14:paraId="69FA1E9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2</w:t>
                  </w:r>
                </w:p>
              </w:tc>
              <w:tc>
                <w:tcPr>
                  <w:tcW w:w="0" w:type="auto"/>
                  <w:tcBorders>
                    <w:tl2br w:val="nil"/>
                    <w:tr2bl w:val="nil"/>
                  </w:tcBorders>
                  <w:vAlign w:val="center"/>
                </w:tcPr>
                <w:p w14:paraId="3B74F9C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w:t>
                  </w:r>
                </w:p>
              </w:tc>
              <w:tc>
                <w:tcPr>
                  <w:tcW w:w="0" w:type="auto"/>
                  <w:tcBorders>
                    <w:tl2br w:val="nil"/>
                    <w:tr2bl w:val="nil"/>
                  </w:tcBorders>
                  <w:vAlign w:val="center"/>
                </w:tcPr>
                <w:p w14:paraId="119EF62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208421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47B83D5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w:t>
                  </w:r>
                </w:p>
              </w:tc>
              <w:tc>
                <w:tcPr>
                  <w:tcW w:w="0" w:type="auto"/>
                  <w:tcBorders>
                    <w:tl2br w:val="nil"/>
                    <w:tr2bl w:val="nil"/>
                  </w:tcBorders>
                  <w:vAlign w:val="center"/>
                </w:tcPr>
                <w:p w14:paraId="02159CE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碎石地坪</w:t>
                  </w:r>
                </w:p>
              </w:tc>
              <w:tc>
                <w:tcPr>
                  <w:tcW w:w="0" w:type="auto"/>
                  <w:tcBorders>
                    <w:tl2br w:val="nil"/>
                    <w:tr2bl w:val="nil"/>
                  </w:tcBorders>
                  <w:vAlign w:val="center"/>
                </w:tcPr>
                <w:p w14:paraId="123023A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2</w:t>
                  </w:r>
                </w:p>
              </w:tc>
              <w:tc>
                <w:tcPr>
                  <w:tcW w:w="0" w:type="auto"/>
                  <w:tcBorders>
                    <w:tl2br w:val="nil"/>
                    <w:tr2bl w:val="nil"/>
                  </w:tcBorders>
                  <w:vAlign w:val="center"/>
                </w:tcPr>
                <w:p w14:paraId="5BD4952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240</w:t>
                  </w:r>
                </w:p>
              </w:tc>
              <w:tc>
                <w:tcPr>
                  <w:tcW w:w="0" w:type="auto"/>
                  <w:tcBorders>
                    <w:tl2br w:val="nil"/>
                    <w:tr2bl w:val="nil"/>
                  </w:tcBorders>
                  <w:vAlign w:val="center"/>
                </w:tcPr>
                <w:p w14:paraId="056C22E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300mm厚度</w:t>
                  </w:r>
                </w:p>
              </w:tc>
            </w:tr>
            <w:tr w14:paraId="095248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080B074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11</w:t>
                  </w:r>
                </w:p>
              </w:tc>
              <w:tc>
                <w:tcPr>
                  <w:tcW w:w="0" w:type="auto"/>
                  <w:tcBorders>
                    <w:tl2br w:val="nil"/>
                    <w:tr2bl w:val="nil"/>
                  </w:tcBorders>
                  <w:vAlign w:val="center"/>
                </w:tcPr>
                <w:p w14:paraId="2A2367A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护坡</w:t>
                  </w:r>
                </w:p>
              </w:tc>
              <w:tc>
                <w:tcPr>
                  <w:tcW w:w="0" w:type="auto"/>
                  <w:tcBorders>
                    <w:tl2br w:val="nil"/>
                    <w:tr2bl w:val="nil"/>
                  </w:tcBorders>
                  <w:vAlign w:val="center"/>
                </w:tcPr>
                <w:p w14:paraId="2B4BDC8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3</w:t>
                  </w:r>
                </w:p>
              </w:tc>
              <w:tc>
                <w:tcPr>
                  <w:tcW w:w="0" w:type="auto"/>
                  <w:tcBorders>
                    <w:tl2br w:val="nil"/>
                    <w:tr2bl w:val="nil"/>
                  </w:tcBorders>
                  <w:vAlign w:val="center"/>
                </w:tcPr>
                <w:p w14:paraId="18586B6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待定</w:t>
                  </w:r>
                </w:p>
              </w:tc>
              <w:tc>
                <w:tcPr>
                  <w:tcW w:w="0" w:type="auto"/>
                  <w:tcBorders>
                    <w:tl2br w:val="nil"/>
                    <w:tr2bl w:val="nil"/>
                  </w:tcBorders>
                  <w:vAlign w:val="center"/>
                </w:tcPr>
                <w:p w14:paraId="131E37E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300mm厚浆砌片石护坡</w:t>
                  </w:r>
                </w:p>
              </w:tc>
            </w:tr>
            <w:tr w14:paraId="05BCBF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34C15059">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12</w:t>
                  </w:r>
                </w:p>
              </w:tc>
              <w:tc>
                <w:tcPr>
                  <w:tcW w:w="0" w:type="auto"/>
                  <w:tcBorders>
                    <w:tl2br w:val="nil"/>
                    <w:tr2bl w:val="nil"/>
                  </w:tcBorders>
                  <w:vAlign w:val="center"/>
                </w:tcPr>
                <w:p w14:paraId="773443E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排水沟</w:t>
                  </w:r>
                </w:p>
              </w:tc>
              <w:tc>
                <w:tcPr>
                  <w:tcW w:w="0" w:type="auto"/>
                  <w:tcBorders>
                    <w:tl2br w:val="nil"/>
                    <w:tr2bl w:val="nil"/>
                  </w:tcBorders>
                  <w:vAlign w:val="center"/>
                </w:tcPr>
                <w:p w14:paraId="2B1E633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3</w:t>
                  </w:r>
                </w:p>
              </w:tc>
              <w:tc>
                <w:tcPr>
                  <w:tcW w:w="0" w:type="auto"/>
                  <w:tcBorders>
                    <w:tl2br w:val="nil"/>
                    <w:tr2bl w:val="nil"/>
                  </w:tcBorders>
                  <w:vAlign w:val="center"/>
                </w:tcPr>
                <w:p w14:paraId="47D019F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800</w:t>
                  </w:r>
                </w:p>
              </w:tc>
              <w:tc>
                <w:tcPr>
                  <w:tcW w:w="0" w:type="auto"/>
                  <w:tcBorders>
                    <w:tl2br w:val="nil"/>
                    <w:tr2bl w:val="nil"/>
                  </w:tcBorders>
                  <w:vAlign w:val="center"/>
                </w:tcPr>
                <w:p w14:paraId="1580869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C25混凝土结构，壁厚200mm、截面尺寸：</w:t>
                  </w:r>
                </w:p>
                <w:p w14:paraId="7EB8771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0.5m×0.5m</w:t>
                  </w:r>
                </w:p>
              </w:tc>
            </w:tr>
            <w:tr w14:paraId="20A6FF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restart"/>
                  <w:tcBorders>
                    <w:tl2br w:val="nil"/>
                    <w:tr2bl w:val="nil"/>
                  </w:tcBorders>
                  <w:vAlign w:val="center"/>
                </w:tcPr>
                <w:p w14:paraId="34FA944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13</w:t>
                  </w:r>
                </w:p>
              </w:tc>
              <w:tc>
                <w:tcPr>
                  <w:tcW w:w="0" w:type="auto"/>
                  <w:tcBorders>
                    <w:tl2br w:val="nil"/>
                    <w:tr2bl w:val="nil"/>
                  </w:tcBorders>
                  <w:vAlign w:val="center"/>
                </w:tcPr>
                <w:p w14:paraId="0C16CB2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电缆沟</w:t>
                  </w:r>
                </w:p>
              </w:tc>
              <w:tc>
                <w:tcPr>
                  <w:tcW w:w="0" w:type="auto"/>
                  <w:tcBorders>
                    <w:tl2br w:val="nil"/>
                    <w:tr2bl w:val="nil"/>
                  </w:tcBorders>
                  <w:vAlign w:val="center"/>
                </w:tcPr>
                <w:p w14:paraId="617D21FC">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188DB9E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1022C33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138D4D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41A77CE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516F5CD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钢筋混凝土沟</w:t>
                  </w:r>
                </w:p>
              </w:tc>
              <w:tc>
                <w:tcPr>
                  <w:tcW w:w="0" w:type="auto"/>
                  <w:tcBorders>
                    <w:tl2br w:val="nil"/>
                    <w:tr2bl w:val="nil"/>
                  </w:tcBorders>
                  <w:vAlign w:val="center"/>
                </w:tcPr>
                <w:p w14:paraId="384A9E4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p>
              </w:tc>
              <w:tc>
                <w:tcPr>
                  <w:tcW w:w="0" w:type="auto"/>
                  <w:tcBorders>
                    <w:tl2br w:val="nil"/>
                    <w:tr2bl w:val="nil"/>
                  </w:tcBorders>
                  <w:vAlign w:val="center"/>
                </w:tcPr>
                <w:p w14:paraId="21A68CF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360</w:t>
                  </w:r>
                </w:p>
              </w:tc>
              <w:tc>
                <w:tcPr>
                  <w:tcW w:w="0" w:type="auto"/>
                  <w:tcBorders>
                    <w:tl2br w:val="nil"/>
                    <w:tr2bl w:val="nil"/>
                  </w:tcBorders>
                  <w:vAlign w:val="center"/>
                </w:tcPr>
                <w:p w14:paraId="0D79C52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1200mm*1200mm</w:t>
                  </w:r>
                </w:p>
              </w:tc>
            </w:tr>
            <w:tr w14:paraId="0D8809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2EE5C32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3F7CF60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电缆沟开挖</w:t>
                  </w:r>
                </w:p>
              </w:tc>
              <w:tc>
                <w:tcPr>
                  <w:tcW w:w="0" w:type="auto"/>
                  <w:tcBorders>
                    <w:tl2br w:val="nil"/>
                    <w:tr2bl w:val="nil"/>
                  </w:tcBorders>
                  <w:vAlign w:val="center"/>
                </w:tcPr>
                <w:p w14:paraId="37F7473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3</w:t>
                  </w:r>
                </w:p>
              </w:tc>
              <w:tc>
                <w:tcPr>
                  <w:tcW w:w="0" w:type="auto"/>
                  <w:tcBorders>
                    <w:tl2br w:val="nil"/>
                    <w:tr2bl w:val="nil"/>
                  </w:tcBorders>
                  <w:vAlign w:val="center"/>
                </w:tcPr>
                <w:p w14:paraId="2474705C">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800</w:t>
                  </w:r>
                </w:p>
              </w:tc>
              <w:tc>
                <w:tcPr>
                  <w:tcW w:w="0" w:type="auto"/>
                  <w:tcBorders>
                    <w:tl2br w:val="nil"/>
                    <w:tr2bl w:val="nil"/>
                  </w:tcBorders>
                  <w:vAlign w:val="center"/>
                </w:tcPr>
                <w:p w14:paraId="22074FA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不含辅材</w:t>
                  </w:r>
                </w:p>
              </w:tc>
            </w:tr>
            <w:tr w14:paraId="30D102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restart"/>
                  <w:tcBorders>
                    <w:tl2br w:val="nil"/>
                    <w:tr2bl w:val="nil"/>
                  </w:tcBorders>
                  <w:vAlign w:val="center"/>
                </w:tcPr>
                <w:p w14:paraId="36D688B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14</w:t>
                  </w:r>
                </w:p>
              </w:tc>
              <w:tc>
                <w:tcPr>
                  <w:tcW w:w="0" w:type="auto"/>
                  <w:tcBorders>
                    <w:tl2br w:val="nil"/>
                    <w:tr2bl w:val="nil"/>
                  </w:tcBorders>
                  <w:vAlign w:val="center"/>
                </w:tcPr>
                <w:p w14:paraId="5F482A2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交通工程</w:t>
                  </w:r>
                </w:p>
              </w:tc>
              <w:tc>
                <w:tcPr>
                  <w:tcW w:w="0" w:type="auto"/>
                  <w:tcBorders>
                    <w:tl2br w:val="nil"/>
                    <w:tr2bl w:val="nil"/>
                  </w:tcBorders>
                  <w:vAlign w:val="center"/>
                </w:tcPr>
                <w:p w14:paraId="6E86DBA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46A6B28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041B928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4EDEB1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5D53670C">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63A50DF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进站道路</w:t>
                  </w:r>
                </w:p>
              </w:tc>
              <w:tc>
                <w:tcPr>
                  <w:tcW w:w="0" w:type="auto"/>
                  <w:tcBorders>
                    <w:tl2br w:val="nil"/>
                    <w:tr2bl w:val="nil"/>
                  </w:tcBorders>
                  <w:vAlign w:val="center"/>
                </w:tcPr>
                <w:p w14:paraId="4E1608C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3E5AEB9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410DF0E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长100m，路面宽4.5m，路基宽5.5m</w:t>
                  </w:r>
                </w:p>
              </w:tc>
            </w:tr>
            <w:tr w14:paraId="6E9938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504B183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6BEDDF9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挖方</w:t>
                  </w:r>
                </w:p>
              </w:tc>
              <w:tc>
                <w:tcPr>
                  <w:tcW w:w="0" w:type="auto"/>
                  <w:tcBorders>
                    <w:tl2br w:val="nil"/>
                    <w:tr2bl w:val="nil"/>
                  </w:tcBorders>
                  <w:vAlign w:val="center"/>
                </w:tcPr>
                <w:p w14:paraId="1FA747E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3</w:t>
                  </w:r>
                </w:p>
              </w:tc>
              <w:tc>
                <w:tcPr>
                  <w:tcW w:w="0" w:type="auto"/>
                  <w:tcBorders>
                    <w:tl2br w:val="nil"/>
                    <w:tr2bl w:val="nil"/>
                  </w:tcBorders>
                  <w:vAlign w:val="center"/>
                </w:tcPr>
                <w:p w14:paraId="6F7E044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2000.00</w:t>
                  </w:r>
                </w:p>
              </w:tc>
              <w:tc>
                <w:tcPr>
                  <w:tcW w:w="0" w:type="auto"/>
                  <w:tcBorders>
                    <w:tl2br w:val="nil"/>
                    <w:tr2bl w:val="nil"/>
                  </w:tcBorders>
                  <w:vAlign w:val="center"/>
                </w:tcPr>
                <w:p w14:paraId="50768A0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全为土</w:t>
                  </w:r>
                </w:p>
              </w:tc>
            </w:tr>
            <w:tr w14:paraId="76D57B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0714D049">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44873B7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填方</w:t>
                  </w:r>
                </w:p>
              </w:tc>
              <w:tc>
                <w:tcPr>
                  <w:tcW w:w="0" w:type="auto"/>
                  <w:tcBorders>
                    <w:tl2br w:val="nil"/>
                    <w:tr2bl w:val="nil"/>
                  </w:tcBorders>
                  <w:vAlign w:val="center"/>
                </w:tcPr>
                <w:p w14:paraId="1302026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3</w:t>
                  </w:r>
                </w:p>
              </w:tc>
              <w:tc>
                <w:tcPr>
                  <w:tcW w:w="0" w:type="auto"/>
                  <w:tcBorders>
                    <w:tl2br w:val="nil"/>
                    <w:tr2bl w:val="nil"/>
                  </w:tcBorders>
                  <w:vAlign w:val="center"/>
                </w:tcPr>
                <w:p w14:paraId="4F22002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2000.00</w:t>
                  </w:r>
                </w:p>
              </w:tc>
              <w:tc>
                <w:tcPr>
                  <w:tcW w:w="0" w:type="auto"/>
                  <w:tcBorders>
                    <w:tl2br w:val="nil"/>
                    <w:tr2bl w:val="nil"/>
                  </w:tcBorders>
                  <w:vAlign w:val="center"/>
                </w:tcPr>
                <w:p w14:paraId="666CCBD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全为土</w:t>
                  </w:r>
                </w:p>
              </w:tc>
            </w:tr>
            <w:tr w14:paraId="5AC2F1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vMerge w:val="continue"/>
                  <w:tcBorders>
                    <w:tl2br w:val="nil"/>
                    <w:tr2bl w:val="nil"/>
                  </w:tcBorders>
                  <w:vAlign w:val="center"/>
                </w:tcPr>
                <w:p w14:paraId="76FA7EB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02DC5BB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进站道路</w:t>
                  </w:r>
                </w:p>
              </w:tc>
              <w:tc>
                <w:tcPr>
                  <w:tcW w:w="0" w:type="auto"/>
                  <w:tcBorders>
                    <w:tl2br w:val="nil"/>
                    <w:tr2bl w:val="nil"/>
                  </w:tcBorders>
                  <w:vAlign w:val="center"/>
                </w:tcPr>
                <w:p w14:paraId="5AB86E73">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r>
                    <w:rPr>
                      <w:color w:val="000000" w:themeColor="text1"/>
                      <w:kern w:val="0"/>
                      <w:sz w:val="18"/>
                      <w:szCs w:val="18"/>
                      <w:highlight w:val="none"/>
                      <w:vertAlign w:val="superscript"/>
                      <w14:textFill>
                        <w14:solidFill>
                          <w14:schemeClr w14:val="tx1"/>
                        </w14:solidFill>
                      </w14:textFill>
                    </w:rPr>
                    <w:t>2</w:t>
                  </w:r>
                </w:p>
              </w:tc>
              <w:tc>
                <w:tcPr>
                  <w:tcW w:w="0" w:type="auto"/>
                  <w:tcBorders>
                    <w:tl2br w:val="nil"/>
                    <w:tr2bl w:val="nil"/>
                  </w:tcBorders>
                  <w:vAlign w:val="center"/>
                </w:tcPr>
                <w:p w14:paraId="7072173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450.00</w:t>
                  </w:r>
                </w:p>
              </w:tc>
              <w:tc>
                <w:tcPr>
                  <w:tcW w:w="0" w:type="auto"/>
                  <w:tcBorders>
                    <w:tl2br w:val="nil"/>
                    <w:tr2bl w:val="nil"/>
                  </w:tcBorders>
                  <w:vAlign w:val="center"/>
                </w:tcPr>
                <w:p w14:paraId="63F2210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w:t>
                  </w:r>
                  <w:r>
                    <w:rPr>
                      <w:color w:val="000000" w:themeColor="text1"/>
                      <w:kern w:val="0"/>
                      <w:sz w:val="18"/>
                      <w:szCs w:val="18"/>
                      <w:highlight w:val="none"/>
                      <w14:textFill>
                        <w14:solidFill>
                          <w14:schemeClr w14:val="tx1"/>
                        </w14:solidFill>
                      </w14:textFill>
                    </w:rPr>
                    <w:t>1</w:t>
                  </w:r>
                  <w:r>
                    <w:rPr>
                      <w:rFonts w:hint="eastAsia"/>
                      <w:color w:val="000000" w:themeColor="text1"/>
                      <w:kern w:val="0"/>
                      <w:sz w:val="18"/>
                      <w:szCs w:val="18"/>
                      <w:highlight w:val="none"/>
                      <w:lang w:eastAsia="zh-CN"/>
                      <w14:textFill>
                        <w14:solidFill>
                          <w14:schemeClr w14:val="tx1"/>
                        </w14:solidFill>
                      </w14:textFill>
                    </w:rPr>
                    <w:t>）</w:t>
                  </w:r>
                  <w:r>
                    <w:rPr>
                      <w:color w:val="000000" w:themeColor="text1"/>
                      <w:kern w:val="0"/>
                      <w:sz w:val="18"/>
                      <w:szCs w:val="18"/>
                      <w:highlight w:val="none"/>
                      <w14:textFill>
                        <w14:solidFill>
                          <w14:schemeClr w14:val="tx1"/>
                        </w14:solidFill>
                      </w14:textFill>
                    </w:rPr>
                    <w:t>垫层150mm</w:t>
                  </w:r>
                </w:p>
                <w:p w14:paraId="5AE9E74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（2）</w:t>
                  </w:r>
                  <w:r>
                    <w:rPr>
                      <w:color w:val="000000" w:themeColor="text1"/>
                      <w:kern w:val="0"/>
                      <w:sz w:val="18"/>
                      <w:szCs w:val="18"/>
                      <w:highlight w:val="none"/>
                      <w14:textFill>
                        <w14:solidFill>
                          <w14:schemeClr w14:val="tx1"/>
                        </w14:solidFill>
                      </w14:textFill>
                    </w:rPr>
                    <w:t>150mm厚水泥稳定碎石基层</w:t>
                  </w:r>
                </w:p>
                <w:p w14:paraId="5A5A718C">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rFonts w:hint="eastAsia"/>
                      <w:color w:val="000000" w:themeColor="text1"/>
                      <w:kern w:val="0"/>
                      <w:sz w:val="18"/>
                      <w:szCs w:val="18"/>
                      <w:highlight w:val="none"/>
                      <w:lang w:eastAsia="zh-CN"/>
                      <w14:textFill>
                        <w14:solidFill>
                          <w14:schemeClr w14:val="tx1"/>
                        </w14:solidFill>
                      </w14:textFill>
                    </w:rPr>
                    <w:t>（3）</w:t>
                  </w:r>
                  <w:r>
                    <w:rPr>
                      <w:color w:val="000000" w:themeColor="text1"/>
                      <w:kern w:val="0"/>
                      <w:sz w:val="18"/>
                      <w:szCs w:val="18"/>
                      <w:highlight w:val="none"/>
                      <w14:textFill>
                        <w14:solidFill>
                          <w14:schemeClr w14:val="tx1"/>
                        </w14:solidFill>
                      </w14:textFill>
                    </w:rPr>
                    <w:t>230mm厚C30水泥混凝土面层。</w:t>
                  </w:r>
                </w:p>
              </w:tc>
            </w:tr>
            <w:tr w14:paraId="50F102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03A9871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15</w:t>
                  </w:r>
                </w:p>
              </w:tc>
              <w:tc>
                <w:tcPr>
                  <w:tcW w:w="0" w:type="auto"/>
                  <w:tcBorders>
                    <w:tl2br w:val="nil"/>
                    <w:tr2bl w:val="nil"/>
                  </w:tcBorders>
                  <w:vAlign w:val="center"/>
                </w:tcPr>
                <w:p w14:paraId="19AF1EE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站区标识墙</w:t>
                  </w:r>
                </w:p>
              </w:tc>
              <w:tc>
                <w:tcPr>
                  <w:tcW w:w="0" w:type="auto"/>
                  <w:tcBorders>
                    <w:tl2br w:val="nil"/>
                    <w:tr2bl w:val="nil"/>
                  </w:tcBorders>
                  <w:vAlign w:val="center"/>
                </w:tcPr>
                <w:p w14:paraId="6E4105D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座</w:t>
                  </w:r>
                </w:p>
              </w:tc>
              <w:tc>
                <w:tcPr>
                  <w:tcW w:w="0" w:type="auto"/>
                  <w:tcBorders>
                    <w:tl2br w:val="nil"/>
                    <w:tr2bl w:val="nil"/>
                  </w:tcBorders>
                  <w:vAlign w:val="center"/>
                </w:tcPr>
                <w:p w14:paraId="4F8AE4D9">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w:t>
                  </w:r>
                </w:p>
              </w:tc>
              <w:tc>
                <w:tcPr>
                  <w:tcW w:w="0" w:type="auto"/>
                  <w:tcBorders>
                    <w:tl2br w:val="nil"/>
                    <w:tr2bl w:val="nil"/>
                  </w:tcBorders>
                  <w:vAlign w:val="center"/>
                </w:tcPr>
                <w:p w14:paraId="1E7A328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5B7A0F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48F67E2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16</w:t>
                  </w:r>
                </w:p>
              </w:tc>
              <w:tc>
                <w:tcPr>
                  <w:tcW w:w="0" w:type="auto"/>
                  <w:tcBorders>
                    <w:tl2br w:val="nil"/>
                    <w:tr2bl w:val="nil"/>
                  </w:tcBorders>
                  <w:vAlign w:val="center"/>
                </w:tcPr>
                <w:p w14:paraId="3351F88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车辆阻挡装置</w:t>
                  </w:r>
                </w:p>
              </w:tc>
              <w:tc>
                <w:tcPr>
                  <w:tcW w:w="0" w:type="auto"/>
                  <w:tcBorders>
                    <w:tl2br w:val="nil"/>
                    <w:tr2bl w:val="nil"/>
                  </w:tcBorders>
                  <w:vAlign w:val="center"/>
                </w:tcPr>
                <w:p w14:paraId="6AB9326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项</w:t>
                  </w:r>
                </w:p>
              </w:tc>
              <w:tc>
                <w:tcPr>
                  <w:tcW w:w="0" w:type="auto"/>
                  <w:tcBorders>
                    <w:tl2br w:val="nil"/>
                    <w:tr2bl w:val="nil"/>
                  </w:tcBorders>
                  <w:vAlign w:val="center"/>
                </w:tcPr>
                <w:p w14:paraId="5DCEA86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1.00</w:t>
                  </w:r>
                </w:p>
              </w:tc>
              <w:tc>
                <w:tcPr>
                  <w:tcW w:w="0" w:type="auto"/>
                  <w:tcBorders>
                    <w:tl2br w:val="nil"/>
                    <w:tr2bl w:val="nil"/>
                  </w:tcBorders>
                  <w:vAlign w:val="center"/>
                </w:tcPr>
                <w:p w14:paraId="5C203AB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508B99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gridSpan w:val="5"/>
                  <w:tcBorders>
                    <w:tl2br w:val="nil"/>
                    <w:tr2bl w:val="nil"/>
                  </w:tcBorders>
                  <w:vAlign w:val="center"/>
                </w:tcPr>
                <w:p w14:paraId="74B7F6F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其他</w:t>
                  </w:r>
                </w:p>
              </w:tc>
            </w:tr>
            <w:tr w14:paraId="5A5B0B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1694A56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c>
                <w:tcPr>
                  <w:tcW w:w="0" w:type="auto"/>
                  <w:tcBorders>
                    <w:tl2br w:val="nil"/>
                    <w:tr2bl w:val="nil"/>
                  </w:tcBorders>
                  <w:vAlign w:val="center"/>
                </w:tcPr>
                <w:p w14:paraId="5F990793">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征地面积</w:t>
                  </w:r>
                </w:p>
              </w:tc>
              <w:tc>
                <w:tcPr>
                  <w:tcW w:w="0" w:type="auto"/>
                  <w:tcBorders>
                    <w:tl2br w:val="nil"/>
                    <w:tr2bl w:val="nil"/>
                  </w:tcBorders>
                  <w:vAlign w:val="center"/>
                </w:tcPr>
                <w:p w14:paraId="0CC478FC">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亩</w:t>
                  </w:r>
                </w:p>
              </w:tc>
              <w:tc>
                <w:tcPr>
                  <w:tcW w:w="0" w:type="auto"/>
                  <w:tcBorders>
                    <w:tl2br w:val="nil"/>
                    <w:tr2bl w:val="nil"/>
                  </w:tcBorders>
                  <w:vAlign w:val="center"/>
                </w:tcPr>
                <w:p w14:paraId="6862023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25.22</w:t>
                  </w:r>
                </w:p>
              </w:tc>
              <w:tc>
                <w:tcPr>
                  <w:tcW w:w="0" w:type="auto"/>
                  <w:tcBorders>
                    <w:tl2br w:val="nil"/>
                    <w:tr2bl w:val="nil"/>
                  </w:tcBorders>
                  <w:vAlign w:val="center"/>
                </w:tcPr>
                <w:p w14:paraId="12FBA0F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7D6BC7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71CCA40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w:t>
                  </w:r>
                </w:p>
              </w:tc>
              <w:tc>
                <w:tcPr>
                  <w:tcW w:w="0" w:type="auto"/>
                  <w:tcBorders>
                    <w:tl2br w:val="nil"/>
                    <w:tr2bl w:val="nil"/>
                  </w:tcBorders>
                  <w:vAlign w:val="center"/>
                </w:tcPr>
                <w:p w14:paraId="52BE207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临时租地面积</w:t>
                  </w:r>
                </w:p>
              </w:tc>
              <w:tc>
                <w:tcPr>
                  <w:tcW w:w="0" w:type="auto"/>
                  <w:tcBorders>
                    <w:tl2br w:val="nil"/>
                    <w:tr2bl w:val="nil"/>
                  </w:tcBorders>
                  <w:vAlign w:val="center"/>
                </w:tcPr>
                <w:p w14:paraId="62F1948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亩</w:t>
                  </w:r>
                </w:p>
              </w:tc>
              <w:tc>
                <w:tcPr>
                  <w:tcW w:w="0" w:type="auto"/>
                  <w:tcBorders>
                    <w:tl2br w:val="nil"/>
                    <w:tr2bl w:val="nil"/>
                  </w:tcBorders>
                  <w:vAlign w:val="center"/>
                </w:tcPr>
                <w:p w14:paraId="68DD056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w:t>
                  </w:r>
                </w:p>
              </w:tc>
              <w:tc>
                <w:tcPr>
                  <w:tcW w:w="0" w:type="auto"/>
                  <w:tcBorders>
                    <w:tl2br w:val="nil"/>
                    <w:tr2bl w:val="nil"/>
                  </w:tcBorders>
                  <w:vAlign w:val="center"/>
                </w:tcPr>
                <w:p w14:paraId="0225C10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4E4598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2ADBA55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w:t>
                  </w:r>
                </w:p>
              </w:tc>
              <w:tc>
                <w:tcPr>
                  <w:tcW w:w="0" w:type="auto"/>
                  <w:tcBorders>
                    <w:tl2br w:val="nil"/>
                    <w:tr2bl w:val="nil"/>
                  </w:tcBorders>
                  <w:vAlign w:val="center"/>
                </w:tcPr>
                <w:p w14:paraId="4761C94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施工供电工程</w:t>
                  </w:r>
                </w:p>
              </w:tc>
              <w:tc>
                <w:tcPr>
                  <w:tcW w:w="0" w:type="auto"/>
                  <w:tcBorders>
                    <w:tl2br w:val="nil"/>
                    <w:tr2bl w:val="nil"/>
                  </w:tcBorders>
                  <w:vAlign w:val="center"/>
                </w:tcPr>
                <w:p w14:paraId="0D72784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7B7C7E4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72053EC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46D292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5EE81DF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3.1</w:t>
                  </w:r>
                </w:p>
              </w:tc>
              <w:tc>
                <w:tcPr>
                  <w:tcW w:w="0" w:type="auto"/>
                  <w:tcBorders>
                    <w:tl2br w:val="nil"/>
                    <w:tr2bl w:val="nil"/>
                  </w:tcBorders>
                  <w:vAlign w:val="center"/>
                </w:tcPr>
                <w:p w14:paraId="09D3743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供电线路</w:t>
                  </w:r>
                </w:p>
              </w:tc>
              <w:tc>
                <w:tcPr>
                  <w:tcW w:w="0" w:type="auto"/>
                  <w:tcBorders>
                    <w:tl2br w:val="nil"/>
                    <w:tr2bl w:val="nil"/>
                  </w:tcBorders>
                  <w:vAlign w:val="center"/>
                </w:tcPr>
                <w:p w14:paraId="101F0F4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p>
              </w:tc>
              <w:tc>
                <w:tcPr>
                  <w:tcW w:w="0" w:type="auto"/>
                  <w:tcBorders>
                    <w:tl2br w:val="nil"/>
                    <w:tr2bl w:val="nil"/>
                  </w:tcBorders>
                  <w:vAlign w:val="center"/>
                </w:tcPr>
                <w:p w14:paraId="12998C02">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1500</w:t>
                  </w:r>
                </w:p>
              </w:tc>
              <w:tc>
                <w:tcPr>
                  <w:tcW w:w="0" w:type="auto"/>
                  <w:tcBorders>
                    <w:tl2br w:val="nil"/>
                    <w:tr2bl w:val="nil"/>
                  </w:tcBorders>
                  <w:vAlign w:val="center"/>
                </w:tcPr>
                <w:p w14:paraId="279CD63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外引电源</w:t>
                  </w:r>
                </w:p>
              </w:tc>
            </w:tr>
            <w:tr w14:paraId="7ADC5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175ABE7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3.2</w:t>
                  </w:r>
                </w:p>
              </w:tc>
              <w:tc>
                <w:tcPr>
                  <w:tcW w:w="0" w:type="auto"/>
                  <w:tcBorders>
                    <w:tl2br w:val="nil"/>
                    <w:tr2bl w:val="nil"/>
                  </w:tcBorders>
                  <w:vAlign w:val="center"/>
                </w:tcPr>
                <w:p w14:paraId="0F491866">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柴油发电机</w:t>
                  </w:r>
                </w:p>
              </w:tc>
              <w:tc>
                <w:tcPr>
                  <w:tcW w:w="0" w:type="auto"/>
                  <w:tcBorders>
                    <w:tl2br w:val="nil"/>
                    <w:tr2bl w:val="nil"/>
                  </w:tcBorders>
                  <w:vAlign w:val="center"/>
                </w:tcPr>
                <w:p w14:paraId="0239B3A3">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台</w:t>
                  </w:r>
                </w:p>
              </w:tc>
              <w:tc>
                <w:tcPr>
                  <w:tcW w:w="0" w:type="auto"/>
                  <w:tcBorders>
                    <w:tl2br w:val="nil"/>
                    <w:tr2bl w:val="nil"/>
                  </w:tcBorders>
                  <w:vAlign w:val="center"/>
                </w:tcPr>
                <w:p w14:paraId="7AAD18A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1</w:t>
                  </w:r>
                </w:p>
              </w:tc>
              <w:tc>
                <w:tcPr>
                  <w:tcW w:w="0" w:type="auto"/>
                  <w:tcBorders>
                    <w:tl2br w:val="nil"/>
                    <w:tr2bl w:val="nil"/>
                  </w:tcBorders>
                  <w:vAlign w:val="center"/>
                </w:tcPr>
                <w:p w14:paraId="5D96BCF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输出功率500KW，备用电源</w:t>
                  </w:r>
                </w:p>
              </w:tc>
            </w:tr>
            <w:tr w14:paraId="737713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71FBC99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4</w:t>
                  </w:r>
                </w:p>
              </w:tc>
              <w:tc>
                <w:tcPr>
                  <w:tcW w:w="0" w:type="auto"/>
                  <w:tcBorders>
                    <w:tl2br w:val="nil"/>
                    <w:tr2bl w:val="nil"/>
                  </w:tcBorders>
                  <w:vAlign w:val="center"/>
                </w:tcPr>
                <w:p w14:paraId="6371D09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施工供水</w:t>
                  </w:r>
                </w:p>
              </w:tc>
              <w:tc>
                <w:tcPr>
                  <w:tcW w:w="0" w:type="auto"/>
                  <w:tcBorders>
                    <w:tl2br w:val="nil"/>
                    <w:tr2bl w:val="nil"/>
                  </w:tcBorders>
                  <w:vAlign w:val="center"/>
                </w:tcPr>
                <w:p w14:paraId="205D15BE">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p>
              </w:tc>
              <w:tc>
                <w:tcPr>
                  <w:tcW w:w="0" w:type="auto"/>
                  <w:tcBorders>
                    <w:tl2br w:val="nil"/>
                    <w:tr2bl w:val="nil"/>
                  </w:tcBorders>
                  <w:vAlign w:val="center"/>
                </w:tcPr>
                <w:p w14:paraId="2E17D36C">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500</w:t>
                  </w:r>
                </w:p>
              </w:tc>
              <w:tc>
                <w:tcPr>
                  <w:tcW w:w="0" w:type="auto"/>
                  <w:tcBorders>
                    <w:tl2br w:val="nil"/>
                    <w:tr2bl w:val="nil"/>
                  </w:tcBorders>
                  <w:vAlign w:val="center"/>
                </w:tcPr>
                <w:p w14:paraId="63168EF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市政管网抽取</w:t>
                  </w:r>
                </w:p>
              </w:tc>
            </w:tr>
            <w:tr w14:paraId="7D32C3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3A3CFF1F">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w:t>
                  </w:r>
                </w:p>
              </w:tc>
              <w:tc>
                <w:tcPr>
                  <w:tcW w:w="0" w:type="auto"/>
                  <w:tcBorders>
                    <w:tl2br w:val="nil"/>
                    <w:tr2bl w:val="nil"/>
                  </w:tcBorders>
                  <w:vAlign w:val="center"/>
                </w:tcPr>
                <w:p w14:paraId="51140A6C">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施工区围挡</w:t>
                  </w:r>
                </w:p>
              </w:tc>
              <w:tc>
                <w:tcPr>
                  <w:tcW w:w="0" w:type="auto"/>
                  <w:tcBorders>
                    <w:tl2br w:val="nil"/>
                    <w:tr2bl w:val="nil"/>
                  </w:tcBorders>
                  <w:vAlign w:val="center"/>
                </w:tcPr>
                <w:p w14:paraId="08E0B9FD">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304BCFD7">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c>
                <w:tcPr>
                  <w:tcW w:w="0" w:type="auto"/>
                  <w:tcBorders>
                    <w:tl2br w:val="nil"/>
                    <w:tr2bl w:val="nil"/>
                  </w:tcBorders>
                  <w:vAlign w:val="center"/>
                </w:tcPr>
                <w:p w14:paraId="6771360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p>
              </w:tc>
            </w:tr>
            <w:tr w14:paraId="16209A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1F7C08A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5.1</w:t>
                  </w:r>
                </w:p>
              </w:tc>
              <w:tc>
                <w:tcPr>
                  <w:tcW w:w="0" w:type="auto"/>
                  <w:tcBorders>
                    <w:tl2br w:val="nil"/>
                    <w:tr2bl w:val="nil"/>
                  </w:tcBorders>
                  <w:vAlign w:val="center"/>
                </w:tcPr>
                <w:p w14:paraId="74644C20">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围挡</w:t>
                  </w:r>
                </w:p>
              </w:tc>
              <w:tc>
                <w:tcPr>
                  <w:tcW w:w="0" w:type="auto"/>
                  <w:tcBorders>
                    <w:tl2br w:val="nil"/>
                    <w:tr2bl w:val="nil"/>
                  </w:tcBorders>
                  <w:vAlign w:val="center"/>
                </w:tcPr>
                <w:p w14:paraId="46C94B94">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w:t>
                  </w:r>
                </w:p>
              </w:tc>
              <w:tc>
                <w:tcPr>
                  <w:tcW w:w="0" w:type="auto"/>
                  <w:tcBorders>
                    <w:tl2br w:val="nil"/>
                    <w:tr2bl w:val="nil"/>
                  </w:tcBorders>
                  <w:vAlign w:val="center"/>
                </w:tcPr>
                <w:p w14:paraId="3365529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520</w:t>
                  </w:r>
                </w:p>
              </w:tc>
              <w:tc>
                <w:tcPr>
                  <w:tcW w:w="0" w:type="auto"/>
                  <w:tcBorders>
                    <w:tl2br w:val="nil"/>
                    <w:tr2bl w:val="nil"/>
                  </w:tcBorders>
                  <w:vAlign w:val="center"/>
                </w:tcPr>
                <w:p w14:paraId="511E654A">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2.5m高彩钢板</w:t>
                  </w:r>
                </w:p>
              </w:tc>
            </w:tr>
            <w:tr w14:paraId="428DE3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0" w:type="auto"/>
                  <w:tcBorders>
                    <w:tl2br w:val="nil"/>
                    <w:tr2bl w:val="nil"/>
                  </w:tcBorders>
                  <w:vAlign w:val="center"/>
                </w:tcPr>
                <w:p w14:paraId="7BC3D511">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5.2</w:t>
                  </w:r>
                </w:p>
              </w:tc>
              <w:tc>
                <w:tcPr>
                  <w:tcW w:w="0" w:type="auto"/>
                  <w:tcBorders>
                    <w:tl2br w:val="nil"/>
                    <w:tr2bl w:val="nil"/>
                  </w:tcBorders>
                  <w:vAlign w:val="center"/>
                </w:tcPr>
                <w:p w14:paraId="22D1EB4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围挡基础</w:t>
                  </w:r>
                </w:p>
              </w:tc>
              <w:tc>
                <w:tcPr>
                  <w:tcW w:w="0" w:type="auto"/>
                  <w:tcBorders>
                    <w:tl2br w:val="nil"/>
                    <w:tr2bl w:val="nil"/>
                  </w:tcBorders>
                  <w:vAlign w:val="center"/>
                </w:tcPr>
                <w:p w14:paraId="6A3BF79B">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m3</w:t>
                  </w:r>
                </w:p>
              </w:tc>
              <w:tc>
                <w:tcPr>
                  <w:tcW w:w="0" w:type="auto"/>
                  <w:tcBorders>
                    <w:tl2br w:val="nil"/>
                    <w:tr2bl w:val="nil"/>
                  </w:tcBorders>
                  <w:vAlign w:val="center"/>
                </w:tcPr>
                <w:p w14:paraId="1996D5F8">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35</w:t>
                  </w:r>
                </w:p>
              </w:tc>
              <w:tc>
                <w:tcPr>
                  <w:tcW w:w="0" w:type="auto"/>
                  <w:tcBorders>
                    <w:tl2br w:val="nil"/>
                    <w:tr2bl w:val="nil"/>
                  </w:tcBorders>
                  <w:vAlign w:val="center"/>
                </w:tcPr>
                <w:p w14:paraId="4A9B4AB5">
                  <w:pPr>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14:textFill>
                        <w14:solidFill>
                          <w14:schemeClr w14:val="tx1"/>
                        </w14:solidFill>
                      </w14:textFill>
                    </w:rPr>
                    <w:t>预制C30素砼块，断面尺寸200*200mm</w:t>
                  </w:r>
                </w:p>
              </w:tc>
            </w:tr>
          </w:tbl>
          <w:p w14:paraId="586779CB">
            <w:pPr>
              <w:pStyle w:val="3"/>
              <w:shd w:val="clear"/>
              <w:rPr>
                <w:color w:val="000000" w:themeColor="text1"/>
                <w:highlight w:val="none"/>
                <w14:textFill>
                  <w14:solidFill>
                    <w14:schemeClr w14:val="tx1"/>
                  </w14:solidFill>
                </w14:textFill>
              </w:rPr>
            </w:pPr>
            <w:bookmarkStart w:id="92" w:name="_Toc17333"/>
            <w:bookmarkStart w:id="93" w:name="_Toc18234"/>
            <w:r>
              <w:rPr>
                <w:color w:val="000000" w:themeColor="text1"/>
                <w:highlight w:val="none"/>
                <w14:textFill>
                  <w14:solidFill>
                    <w14:schemeClr w14:val="tx1"/>
                  </w14:solidFill>
                </w14:textFill>
              </w:rPr>
              <w:t>5、劳动定员</w:t>
            </w:r>
            <w:bookmarkEnd w:id="91"/>
            <w:bookmarkEnd w:id="92"/>
            <w:bookmarkEnd w:id="93"/>
          </w:p>
          <w:p w14:paraId="14B8454E">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施工期：本项目施工人数为60人，施工期6个月。</w:t>
            </w:r>
          </w:p>
          <w:p w14:paraId="7C476BAB">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运营期：工作人员5人，年工作时数为365天，实行每天3班，每班8小时工作制，均在站区内食宿。</w:t>
            </w:r>
          </w:p>
          <w:p w14:paraId="5AFA7103">
            <w:pPr>
              <w:pStyle w:val="3"/>
              <w:shd w:val="clear"/>
              <w:rPr>
                <w:color w:val="000000" w:themeColor="text1"/>
                <w:highlight w:val="none"/>
                <w14:textFill>
                  <w14:solidFill>
                    <w14:schemeClr w14:val="tx1"/>
                  </w14:solidFill>
                </w14:textFill>
              </w:rPr>
            </w:pPr>
            <w:bookmarkStart w:id="94" w:name="_Toc10486"/>
            <w:bookmarkStart w:id="95" w:name="_Toc18212"/>
            <w:bookmarkStart w:id="96" w:name="_Toc29036"/>
            <w:r>
              <w:rPr>
                <w:color w:val="000000" w:themeColor="text1"/>
                <w:highlight w:val="none"/>
                <w14:textFill>
                  <w14:solidFill>
                    <w14:schemeClr w14:val="tx1"/>
                  </w14:solidFill>
                </w14:textFill>
              </w:rPr>
              <w:t>6、公用工程</w:t>
            </w:r>
            <w:bookmarkEnd w:id="94"/>
            <w:bookmarkEnd w:id="95"/>
            <w:bookmarkEnd w:id="96"/>
          </w:p>
          <w:p w14:paraId="54CE5D86">
            <w:pPr>
              <w:pStyle w:val="3"/>
              <w:shd w:val="clear"/>
              <w:rPr>
                <w:color w:val="000000" w:themeColor="text1"/>
                <w:highlight w:val="none"/>
                <w14:textFill>
                  <w14:solidFill>
                    <w14:schemeClr w14:val="tx1"/>
                  </w14:solidFill>
                </w14:textFill>
              </w:rPr>
            </w:pPr>
            <w:bookmarkStart w:id="97" w:name="_Toc14242"/>
            <w:bookmarkStart w:id="98" w:name="_Toc3665"/>
            <w:bookmarkStart w:id="99" w:name="_Toc27687"/>
            <w:r>
              <w:rPr>
                <w:color w:val="000000" w:themeColor="text1"/>
                <w:highlight w:val="none"/>
                <w14:textFill>
                  <w14:solidFill>
                    <w14:schemeClr w14:val="tx1"/>
                  </w14:solidFill>
                </w14:textFill>
              </w:rPr>
              <w:t>6.1给排水</w:t>
            </w:r>
            <w:bookmarkEnd w:id="97"/>
            <w:bookmarkEnd w:id="98"/>
            <w:bookmarkEnd w:id="99"/>
          </w:p>
          <w:p w14:paraId="0BE6CAEE">
            <w:pPr>
              <w:shd w:val="clear"/>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（1）给水</w:t>
            </w:r>
          </w:p>
          <w:p w14:paraId="3003B97F">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升压站用水主要为生活用水，生活用水依托市政给水管网。运营期劳动定员为5人，根据《新疆维吾尔自治区生活用水定额》，用水量按照每人平均80L/d计算，则站区生活用水量为0.4m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/d，146m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p w14:paraId="19EFF6FC">
            <w:pPr>
              <w:shd w:val="clear"/>
              <w:ind w:firstLine="440"/>
              <w:rPr>
                <w:color w:val="000000" w:themeColor="text1"/>
                <w:spacing w:val="-10"/>
                <w:kern w:val="0"/>
                <w:highlight w:val="none"/>
                <w14:textFill>
                  <w14:solidFill>
                    <w14:schemeClr w14:val="tx1"/>
                  </w14:solidFill>
                </w14:textFill>
              </w:rPr>
            </w:pPr>
            <w:r>
              <w:rPr>
                <w:color w:val="000000" w:themeColor="text1"/>
                <w:spacing w:val="-10"/>
                <w:kern w:val="0"/>
                <w:highlight w:val="none"/>
                <w14:textFill>
                  <w14:solidFill>
                    <w14:schemeClr w14:val="tx1"/>
                  </w14:solidFill>
                </w14:textFill>
              </w:rPr>
              <w:t>（2）排水</w:t>
            </w:r>
          </w:p>
          <w:p w14:paraId="25E2DDB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本项目生活污水排放量按用水量80%计，则生活污水排放量为0.32m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/d，116.8m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/a，生活污水排入隔油池+一体化污水处理设施（A/O工艺，处理能力2m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/d）处理后排入</w:t>
            </w:r>
            <w:r>
              <w:rPr>
                <w:rFonts w:hint="eastAsia"/>
                <w:color w:val="000000" w:themeColor="text1"/>
                <w:highlight w:val="none"/>
                <w:lang w:eastAsia="zh-CN"/>
                <w14:textFill>
                  <w14:solidFill>
                    <w14:schemeClr w14:val="tx1"/>
                  </w14:solidFill>
                </w14:textFill>
              </w:rPr>
              <w:t>集水池</w:t>
            </w:r>
            <w:r>
              <w:rPr>
                <w:color w:val="000000" w:themeColor="text1"/>
                <w:highlight w:val="none"/>
                <w14:textFill>
                  <w14:solidFill>
                    <w14:schemeClr w14:val="tx1"/>
                  </w14:solidFill>
                </w14:textFill>
              </w:rPr>
              <w:t>（40m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），用于冬季储水，夏季用于站区周边荒漠灌溉。</w:t>
            </w:r>
          </w:p>
          <w:p w14:paraId="0B6089D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本项目水平衡图详见表2-</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w:t>
            </w:r>
          </w:p>
          <w:p w14:paraId="119537E8">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 xml:space="preserve">                   供排水平衡一览表</w:t>
            </w:r>
          </w:p>
          <w:tbl>
            <w:tblPr>
              <w:tblStyle w:val="34"/>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1"/>
              <w:gridCol w:w="1310"/>
              <w:gridCol w:w="1310"/>
              <w:gridCol w:w="1456"/>
              <w:gridCol w:w="1456"/>
              <w:gridCol w:w="1456"/>
            </w:tblGrid>
            <w:tr w14:paraId="5DB68F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tcBorders>
                    <w:tl2br w:val="nil"/>
                    <w:tr2bl w:val="nil"/>
                  </w:tcBorders>
                  <w:vAlign w:val="center"/>
                </w:tcPr>
                <w:p w14:paraId="248E6C3D">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类别</w:t>
                  </w:r>
                </w:p>
              </w:tc>
              <w:tc>
                <w:tcPr>
                  <w:tcW w:w="834" w:type="pct"/>
                  <w:tcBorders>
                    <w:tl2br w:val="nil"/>
                    <w:tr2bl w:val="nil"/>
                  </w:tcBorders>
                  <w:vAlign w:val="center"/>
                </w:tcPr>
                <w:p w14:paraId="06DB396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供水（m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tc>
              <w:tc>
                <w:tcPr>
                  <w:tcW w:w="834" w:type="pct"/>
                  <w:tcBorders>
                    <w:tl2br w:val="nil"/>
                    <w:tr2bl w:val="nil"/>
                  </w:tcBorders>
                  <w:vAlign w:val="center"/>
                </w:tcPr>
                <w:p w14:paraId="2335E4B5">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损耗（m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tc>
              <w:tc>
                <w:tcPr>
                  <w:tcW w:w="927" w:type="pct"/>
                  <w:tcBorders>
                    <w:tl2br w:val="nil"/>
                    <w:tr2bl w:val="nil"/>
                  </w:tcBorders>
                  <w:vAlign w:val="center"/>
                </w:tcPr>
                <w:p w14:paraId="6593C7BF">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处理量（m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tc>
              <w:tc>
                <w:tcPr>
                  <w:tcW w:w="927" w:type="pct"/>
                  <w:tcBorders>
                    <w:tl2br w:val="nil"/>
                    <w:tr2bl w:val="nil"/>
                  </w:tcBorders>
                  <w:vAlign w:val="center"/>
                </w:tcPr>
                <w:p w14:paraId="7162DBFA">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回用量（m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tc>
              <w:tc>
                <w:tcPr>
                  <w:tcW w:w="927" w:type="pct"/>
                  <w:tcBorders>
                    <w:tl2br w:val="nil"/>
                    <w:tr2bl w:val="nil"/>
                  </w:tcBorders>
                  <w:vAlign w:val="center"/>
                </w:tcPr>
                <w:p w14:paraId="789DEDBE">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排放量（m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tc>
            </w:tr>
            <w:tr w14:paraId="61293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49" w:type="pct"/>
                  <w:tcBorders>
                    <w:tl2br w:val="nil"/>
                    <w:tr2bl w:val="nil"/>
                  </w:tcBorders>
                  <w:vAlign w:val="center"/>
                </w:tcPr>
                <w:p w14:paraId="3FB890F5">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生活用水</w:t>
                  </w:r>
                </w:p>
              </w:tc>
              <w:tc>
                <w:tcPr>
                  <w:tcW w:w="834" w:type="pct"/>
                  <w:tcBorders>
                    <w:tl2br w:val="nil"/>
                    <w:tr2bl w:val="nil"/>
                  </w:tcBorders>
                  <w:vAlign w:val="center"/>
                </w:tcPr>
                <w:p w14:paraId="269DD1C9">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146</w:t>
                  </w:r>
                </w:p>
              </w:tc>
              <w:tc>
                <w:tcPr>
                  <w:tcW w:w="834" w:type="pct"/>
                  <w:tcBorders>
                    <w:tl2br w:val="nil"/>
                    <w:tr2bl w:val="nil"/>
                  </w:tcBorders>
                  <w:vAlign w:val="center"/>
                </w:tcPr>
                <w:p w14:paraId="0F85CA23">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29.2</w:t>
                  </w:r>
                </w:p>
              </w:tc>
              <w:tc>
                <w:tcPr>
                  <w:tcW w:w="927" w:type="pct"/>
                  <w:tcBorders>
                    <w:tl2br w:val="nil"/>
                    <w:tr2bl w:val="nil"/>
                  </w:tcBorders>
                  <w:vAlign w:val="center"/>
                </w:tcPr>
                <w:p w14:paraId="1AA86A72">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116.8</w:t>
                  </w:r>
                </w:p>
              </w:tc>
              <w:tc>
                <w:tcPr>
                  <w:tcW w:w="927" w:type="pct"/>
                  <w:tcBorders>
                    <w:tl2br w:val="nil"/>
                    <w:tr2bl w:val="nil"/>
                  </w:tcBorders>
                  <w:vAlign w:val="center"/>
                </w:tcPr>
                <w:p w14:paraId="4A086710">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116.8</w:t>
                  </w:r>
                </w:p>
              </w:tc>
              <w:tc>
                <w:tcPr>
                  <w:tcW w:w="927" w:type="pct"/>
                  <w:tcBorders>
                    <w:tl2br w:val="nil"/>
                    <w:tr2bl w:val="nil"/>
                  </w:tcBorders>
                  <w:vAlign w:val="center"/>
                </w:tcPr>
                <w:p w14:paraId="3F66ADE0">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r>
            <w:tr w14:paraId="1242AF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9" w:type="pct"/>
                  <w:tcBorders>
                    <w:tl2br w:val="nil"/>
                    <w:tr2bl w:val="nil"/>
                  </w:tcBorders>
                  <w:vAlign w:val="center"/>
                </w:tcPr>
                <w:p w14:paraId="04DA9E4C">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合计</w:t>
                  </w:r>
                </w:p>
              </w:tc>
              <w:tc>
                <w:tcPr>
                  <w:tcW w:w="834" w:type="pct"/>
                  <w:tcBorders>
                    <w:tl2br w:val="nil"/>
                    <w:tr2bl w:val="nil"/>
                  </w:tcBorders>
                  <w:vAlign w:val="center"/>
                </w:tcPr>
                <w:p w14:paraId="51F78194">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146</w:t>
                  </w:r>
                </w:p>
              </w:tc>
              <w:tc>
                <w:tcPr>
                  <w:tcW w:w="834" w:type="pct"/>
                  <w:tcBorders>
                    <w:tl2br w:val="nil"/>
                    <w:tr2bl w:val="nil"/>
                  </w:tcBorders>
                  <w:vAlign w:val="center"/>
                </w:tcPr>
                <w:p w14:paraId="1F32FEE8">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29.2</w:t>
                  </w:r>
                </w:p>
              </w:tc>
              <w:tc>
                <w:tcPr>
                  <w:tcW w:w="927" w:type="pct"/>
                  <w:tcBorders>
                    <w:tl2br w:val="nil"/>
                    <w:tr2bl w:val="nil"/>
                  </w:tcBorders>
                  <w:vAlign w:val="center"/>
                </w:tcPr>
                <w:p w14:paraId="0269D29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116.8</w:t>
                  </w:r>
                </w:p>
              </w:tc>
              <w:tc>
                <w:tcPr>
                  <w:tcW w:w="927" w:type="pct"/>
                  <w:tcBorders>
                    <w:tl2br w:val="nil"/>
                    <w:tr2bl w:val="nil"/>
                  </w:tcBorders>
                  <w:vAlign w:val="center"/>
                </w:tcPr>
                <w:p w14:paraId="30C0A932">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116.8</w:t>
                  </w:r>
                </w:p>
              </w:tc>
              <w:tc>
                <w:tcPr>
                  <w:tcW w:w="927" w:type="pct"/>
                  <w:tcBorders>
                    <w:tl2br w:val="nil"/>
                    <w:tr2bl w:val="nil"/>
                  </w:tcBorders>
                  <w:vAlign w:val="center"/>
                </w:tcPr>
                <w:p w14:paraId="6A27C1CC">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r>
          </w:tbl>
          <w:p w14:paraId="235DA0F6">
            <w:pPr>
              <w:pStyle w:val="3"/>
              <w:shd w:val="clear"/>
              <w:rPr>
                <w:color w:val="000000" w:themeColor="text1"/>
                <w:highlight w:val="none"/>
                <w14:textFill>
                  <w14:solidFill>
                    <w14:schemeClr w14:val="tx1"/>
                  </w14:solidFill>
                </w14:textFill>
              </w:rPr>
            </w:pPr>
            <w:bookmarkStart w:id="100" w:name="_Toc22304"/>
            <w:bookmarkStart w:id="101" w:name="_Toc985"/>
            <w:bookmarkStart w:id="102" w:name="_Toc31854"/>
            <w:r>
              <w:rPr>
                <w:color w:val="000000" w:themeColor="text1"/>
                <w:highlight w:val="none"/>
                <w14:textFill>
                  <w14:solidFill>
                    <w14:schemeClr w14:val="tx1"/>
                  </w14:solidFill>
                </w14:textFill>
              </w:rPr>
              <w:drawing>
                <wp:inline distT="0" distB="0" distL="114300" distR="114300">
                  <wp:extent cx="4914900" cy="944245"/>
                  <wp:effectExtent l="0" t="0" r="0" b="0"/>
                  <wp:docPr id="2" name="ECB019B1-382A-4266-B25C-5B523AA43C14-4" descr="C:/Users/Administrator/AppData/Local/Temp/wps.uVZcy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4" descr="C:/Users/Administrator/AppData/Local/Temp/wps.uVZcytwps"/>
                          <pic:cNvPicPr>
                            <a:picLocks noChangeAspect="1"/>
                          </pic:cNvPicPr>
                        </pic:nvPicPr>
                        <pic:blipFill>
                          <a:blip r:embed="rId11"/>
                          <a:stretch>
                            <a:fillRect/>
                          </a:stretch>
                        </pic:blipFill>
                        <pic:spPr>
                          <a:xfrm>
                            <a:off x="0" y="0"/>
                            <a:ext cx="4914900" cy="944245"/>
                          </a:xfrm>
                          <a:prstGeom prst="rect">
                            <a:avLst/>
                          </a:prstGeom>
                          <a:noFill/>
                          <a:ln>
                            <a:noFill/>
                          </a:ln>
                        </pic:spPr>
                      </pic:pic>
                    </a:graphicData>
                  </a:graphic>
                </wp:inline>
              </w:drawing>
            </w:r>
            <w:bookmarkEnd w:id="100"/>
            <w:bookmarkEnd w:id="101"/>
            <w:bookmarkEnd w:id="102"/>
          </w:p>
          <w:p w14:paraId="59F4BE07">
            <w:pPr>
              <w:pStyle w:val="3"/>
              <w:shd w:val="clear"/>
              <w:jc w:val="center"/>
              <w:rPr>
                <w:color w:val="000000" w:themeColor="text1"/>
                <w:highlight w:val="none"/>
                <w14:textFill>
                  <w14:solidFill>
                    <w14:schemeClr w14:val="tx1"/>
                  </w14:solidFill>
                </w14:textFill>
              </w:rPr>
            </w:pPr>
            <w:bookmarkStart w:id="103" w:name="_Toc2470"/>
            <w:bookmarkStart w:id="104" w:name="_Toc17173"/>
            <w:bookmarkStart w:id="105" w:name="_Toc16820"/>
            <w:r>
              <w:rPr>
                <w:color w:val="000000" w:themeColor="text1"/>
                <w:highlight w:val="none"/>
                <w14:textFill>
                  <w14:solidFill>
                    <w14:schemeClr w14:val="tx1"/>
                  </w14:solidFill>
                </w14:textFill>
              </w:rPr>
              <w:t>图2-1 水平衡图（m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bookmarkEnd w:id="103"/>
            <w:bookmarkEnd w:id="104"/>
            <w:bookmarkEnd w:id="105"/>
          </w:p>
          <w:p w14:paraId="1D2B0962">
            <w:pPr>
              <w:pStyle w:val="3"/>
              <w:shd w:val="clear"/>
              <w:rPr>
                <w:color w:val="000000" w:themeColor="text1"/>
                <w:highlight w:val="none"/>
                <w14:textFill>
                  <w14:solidFill>
                    <w14:schemeClr w14:val="tx1"/>
                  </w14:solidFill>
                </w14:textFill>
              </w:rPr>
            </w:pPr>
            <w:bookmarkStart w:id="106" w:name="_Toc26712"/>
            <w:bookmarkStart w:id="107" w:name="_Toc32647"/>
            <w:bookmarkStart w:id="108" w:name="_Toc2178"/>
            <w:r>
              <w:rPr>
                <w:color w:val="000000" w:themeColor="text1"/>
                <w:highlight w:val="none"/>
                <w14:textFill>
                  <w14:solidFill>
                    <w14:schemeClr w14:val="tx1"/>
                  </w14:solidFill>
                </w14:textFill>
              </w:rPr>
              <w:t>6.2采暖</w:t>
            </w:r>
            <w:bookmarkEnd w:id="106"/>
            <w:bookmarkEnd w:id="107"/>
            <w:bookmarkEnd w:id="108"/>
          </w:p>
          <w:p w14:paraId="1713AB3A">
            <w:pPr>
              <w:pStyle w:val="9"/>
              <w:shd w:val="clear"/>
              <w:ind w:firstLine="504"/>
              <w:rPr>
                <w:color w:val="000000" w:themeColor="text1"/>
                <w:spacing w:val="6"/>
                <w:sz w:val="24"/>
                <w:highlight w:val="none"/>
                <w14:textFill>
                  <w14:solidFill>
                    <w14:schemeClr w14:val="tx1"/>
                  </w14:solidFill>
                </w14:textFill>
              </w:rPr>
            </w:pPr>
            <w:r>
              <w:rPr>
                <w:color w:val="000000" w:themeColor="text1"/>
                <w:spacing w:val="6"/>
                <w:sz w:val="24"/>
                <w:highlight w:val="none"/>
                <w14:textFill>
                  <w14:solidFill>
                    <w14:schemeClr w14:val="tx1"/>
                  </w14:solidFill>
                </w14:textFill>
              </w:rPr>
              <w:t>本项目冬季采用电采暖。</w:t>
            </w:r>
          </w:p>
          <w:p w14:paraId="689C9381">
            <w:pPr>
              <w:pStyle w:val="3"/>
              <w:shd w:val="clear"/>
              <w:rPr>
                <w:color w:val="000000" w:themeColor="text1"/>
                <w:highlight w:val="none"/>
                <w14:textFill>
                  <w14:solidFill>
                    <w14:schemeClr w14:val="tx1"/>
                  </w14:solidFill>
                </w14:textFill>
              </w:rPr>
            </w:pPr>
            <w:bookmarkStart w:id="109" w:name="_Toc15208"/>
            <w:bookmarkStart w:id="110" w:name="_Toc18521"/>
            <w:bookmarkStart w:id="111" w:name="_Toc32315"/>
            <w:r>
              <w:rPr>
                <w:color w:val="000000" w:themeColor="text1"/>
                <w:highlight w:val="none"/>
                <w14:textFill>
                  <w14:solidFill>
                    <w14:schemeClr w14:val="tx1"/>
                  </w14:solidFill>
                </w14:textFill>
              </w:rPr>
              <w:t>6.3供电</w:t>
            </w:r>
            <w:bookmarkEnd w:id="109"/>
            <w:bookmarkEnd w:id="110"/>
            <w:bookmarkEnd w:id="111"/>
          </w:p>
          <w:p w14:paraId="59D3A7FC">
            <w:pPr>
              <w:shd w:val="clear"/>
              <w:ind w:firstLine="480"/>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运营期用电采用自供电辅助变压器降压后使用；</w:t>
            </w:r>
          </w:p>
        </w:tc>
      </w:tr>
      <w:tr w14:paraId="44ACEC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14:paraId="62E3E886">
            <w:pPr>
              <w:shd w:val="clear"/>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总平面及现场布置</w:t>
            </w:r>
          </w:p>
        </w:tc>
        <w:tc>
          <w:tcPr>
            <w:tcW w:w="8065" w:type="dxa"/>
            <w:vAlign w:val="center"/>
          </w:tcPr>
          <w:p w14:paraId="5C5C3997">
            <w:pPr>
              <w:pStyle w:val="3"/>
              <w:shd w:val="clear"/>
              <w:rPr>
                <w:color w:val="000000" w:themeColor="text1"/>
                <w:highlight w:val="none"/>
                <w14:textFill>
                  <w14:solidFill>
                    <w14:schemeClr w14:val="tx1"/>
                  </w14:solidFill>
                </w14:textFill>
              </w:rPr>
            </w:pPr>
            <w:bookmarkStart w:id="112" w:name="_Toc18094"/>
            <w:bookmarkStart w:id="113" w:name="_Toc16006"/>
            <w:bookmarkStart w:id="114" w:name="_Toc31728"/>
            <w:r>
              <w:rPr>
                <w:color w:val="000000" w:themeColor="text1"/>
                <w:highlight w:val="none"/>
                <w14:textFill>
                  <w14:solidFill>
                    <w14:schemeClr w14:val="tx1"/>
                  </w14:solidFill>
                </w14:textFill>
              </w:rPr>
              <w:t>1、施工期平面布置图</w:t>
            </w:r>
            <w:bookmarkEnd w:id="112"/>
            <w:bookmarkEnd w:id="113"/>
            <w:bookmarkEnd w:id="114"/>
          </w:p>
          <w:p w14:paraId="591A38AF">
            <w:pPr>
              <w:pStyle w:val="3"/>
              <w:shd w:val="clear"/>
              <w:rPr>
                <w:color w:val="000000" w:themeColor="text1"/>
                <w:highlight w:val="none"/>
                <w14:textFill>
                  <w14:solidFill>
                    <w14:schemeClr w14:val="tx1"/>
                  </w14:solidFill>
                </w14:textFill>
              </w:rPr>
            </w:pPr>
            <w:bookmarkStart w:id="115" w:name="_Toc28706"/>
            <w:bookmarkStart w:id="116" w:name="_Toc1941"/>
            <w:bookmarkStart w:id="117" w:name="_Toc8475"/>
            <w:r>
              <w:rPr>
                <w:color w:val="000000" w:themeColor="text1"/>
                <w:highlight w:val="none"/>
                <w14:textFill>
                  <w14:solidFill>
                    <w14:schemeClr w14:val="tx1"/>
                  </w14:solidFill>
                </w14:textFill>
              </w:rPr>
              <w:t>1.1升压站</w:t>
            </w:r>
            <w:bookmarkEnd w:id="115"/>
            <w:bookmarkEnd w:id="116"/>
            <w:bookmarkEnd w:id="117"/>
          </w:p>
          <w:p w14:paraId="5DFD81D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施工期生活区、临时堆放场位于升压站南侧，属于光伏区临时用地范围；材料站均布置在</w:t>
            </w:r>
            <w:r>
              <w:rPr>
                <w:rFonts w:hint="eastAsia"/>
                <w:color w:val="000000" w:themeColor="text1"/>
                <w:highlight w:val="none"/>
                <w:lang w:val="en-US" w:eastAsia="zh-CN"/>
                <w14:textFill>
                  <w14:solidFill>
                    <w14:schemeClr w14:val="tx1"/>
                  </w14:solidFill>
                </w14:textFill>
              </w:rPr>
              <w:t>储能站</w:t>
            </w:r>
            <w:r>
              <w:rPr>
                <w:color w:val="000000" w:themeColor="text1"/>
                <w:highlight w:val="none"/>
                <w14:textFill>
                  <w14:solidFill>
                    <w14:schemeClr w14:val="tx1"/>
                  </w14:solidFill>
                </w14:textFill>
              </w:rPr>
              <w:t>内，可满足本项目施工生产生活需求。</w:t>
            </w:r>
          </w:p>
          <w:p w14:paraId="616A0C82">
            <w:pPr>
              <w:pStyle w:val="3"/>
              <w:shd w:val="clear"/>
              <w:rPr>
                <w:color w:val="000000" w:themeColor="text1"/>
                <w:szCs w:val="24"/>
                <w:highlight w:val="none"/>
                <w14:textFill>
                  <w14:solidFill>
                    <w14:schemeClr w14:val="tx1"/>
                  </w14:solidFill>
                </w14:textFill>
              </w:rPr>
            </w:pPr>
            <w:bookmarkStart w:id="118" w:name="_Toc26117"/>
            <w:bookmarkStart w:id="119" w:name="_Toc19654"/>
            <w:bookmarkStart w:id="120" w:name="_Toc3169"/>
            <w:r>
              <w:rPr>
                <w:color w:val="000000" w:themeColor="text1"/>
                <w:szCs w:val="24"/>
                <w:highlight w:val="none"/>
                <w14:textFill>
                  <w14:solidFill>
                    <w14:schemeClr w14:val="tx1"/>
                  </w14:solidFill>
                </w14:textFill>
              </w:rPr>
              <w:t>1.2</w:t>
            </w:r>
            <w:r>
              <w:rPr>
                <w:color w:val="000000" w:themeColor="text1"/>
                <w:highlight w:val="none"/>
                <w14:textFill>
                  <w14:solidFill>
                    <w14:schemeClr w14:val="tx1"/>
                  </w14:solidFill>
                </w14:textFill>
              </w:rPr>
              <w:t>输电线路</w:t>
            </w:r>
            <w:bookmarkEnd w:id="118"/>
            <w:bookmarkEnd w:id="119"/>
            <w:bookmarkEnd w:id="120"/>
          </w:p>
          <w:p w14:paraId="3C6ED269">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位于光伏区空地设置线路牵张场为临时施工料场及拉线场，本项目设置一处牵张场（牵引场：40m×30m；张力场：45m×40m），占地面积约3000m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，属于光伏区临时用地范围。牵张场地选择在地势平坦区域，尽可能利用现有道路或沿线空地，施工临时道路采用现有县道。</w:t>
            </w:r>
          </w:p>
          <w:p w14:paraId="028AD14D">
            <w:pPr>
              <w:pStyle w:val="3"/>
              <w:shd w:val="clear"/>
              <w:rPr>
                <w:color w:val="000000" w:themeColor="text1"/>
                <w:highlight w:val="none"/>
                <w14:textFill>
                  <w14:solidFill>
                    <w14:schemeClr w14:val="tx1"/>
                  </w14:solidFill>
                </w14:textFill>
              </w:rPr>
            </w:pPr>
            <w:bookmarkStart w:id="121" w:name="_Toc18340"/>
            <w:bookmarkStart w:id="122" w:name="_Toc32764"/>
            <w:bookmarkStart w:id="123" w:name="_Toc30185"/>
            <w:r>
              <w:rPr>
                <w:color w:val="000000" w:themeColor="text1"/>
                <w:highlight w:val="none"/>
                <w14:textFill>
                  <w14:solidFill>
                    <w14:schemeClr w14:val="tx1"/>
                  </w14:solidFill>
                </w14:textFill>
              </w:rPr>
              <w:t>2、运营期平面布置图</w:t>
            </w:r>
            <w:bookmarkEnd w:id="121"/>
            <w:bookmarkEnd w:id="122"/>
            <w:bookmarkEnd w:id="123"/>
          </w:p>
          <w:p w14:paraId="228C3192">
            <w:pPr>
              <w:shd w:val="clear"/>
              <w:ind w:firstLine="48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bookmarkStart w:id="124" w:name="_Toc9784"/>
            <w:r>
              <w:rPr>
                <w:rFonts w:ascii="Times New Roman" w:hAnsi="Times New Roman" w:eastAsia="宋体" w:cs="Times New Roman"/>
                <w:b/>
                <w:bCs/>
                <w:color w:val="000000" w:themeColor="text1"/>
                <w:highlight w:val="none"/>
                <w14:textFill>
                  <w14:solidFill>
                    <w14:schemeClr w14:val="tx1"/>
                  </w14:solidFill>
                </w14:textFill>
              </w:rPr>
              <w:t>2.1、</w:t>
            </w:r>
            <w:bookmarkEnd w:id="124"/>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储能站</w:t>
            </w:r>
          </w:p>
          <w:p w14:paraId="0F4BC474">
            <w:pPr>
              <w:shd w:val="clear"/>
              <w:ind w:firstLine="480"/>
              <w:rPr>
                <w:rFonts w:ascii="Times New Roman" w:hAnsi="Times New Roman" w:eastAsia="宋体" w:cs="Times New Roman"/>
                <w:color w:val="000000" w:themeColor="text1"/>
                <w:highlight w:val="none"/>
                <w14:textFill>
                  <w14:solidFill>
                    <w14:schemeClr w14:val="tx1"/>
                  </w14:solidFill>
                </w14:textFill>
              </w:rPr>
            </w:pPr>
            <w:bookmarkStart w:id="125" w:name="_Toc4228"/>
            <w:r>
              <w:rPr>
                <w:rFonts w:hint="default" w:ascii="Times New Roman" w:hAnsi="Times New Roman" w:eastAsia="宋体" w:cs="Times New Roman"/>
                <w:color w:val="000000" w:themeColor="text1"/>
                <w:highlight w:val="none"/>
                <w14:textFill>
                  <w14:solidFill>
                    <w14:schemeClr w14:val="tx1"/>
                  </w14:solidFill>
                </w14:textFill>
              </w:rPr>
              <w:t>项目用地大致呈矩形，采用</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功能分区、相对独立、方便运维</w:t>
            </w:r>
            <w:r>
              <w:rPr>
                <w:rFonts w:hint="eastAsia"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的总体布局原则。升压站（电气核心区） 与储能区（电池预制舱区） 之间设置物理隔离（铁艺围栏），确保运行安全和电磁环境管理清晰。具体布置如下：</w:t>
            </w:r>
          </w:p>
          <w:p w14:paraId="2D797A26">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（1）升压站（110kV GIS及主变压器区）</w:t>
            </w:r>
          </w:p>
          <w:p w14:paraId="2FB33CED">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升压区位于站区西北角（即整个场地的左上方），为户外式布置。升压区自西向东依次布置：110kV GIS设备 → 主变压器（63MVA） → 35kV预制舱；事故油池紧邻主变压器西北侧（或北侧），站用变、接地兼站用变布置于主变压器东侧。升压区是电力汇集与升压送出中心，对外通过1回110kV线路接入110kV塔里木光伏站。</w:t>
            </w:r>
          </w:p>
          <w:p w14:paraId="6D9E7F08">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（2）储能区（电池预制舱及PCS升压一体机）</w:t>
            </w:r>
          </w:p>
          <w:p w14:paraId="34EF9916">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储能区位于站区北侧及中部偏北区域（即升压站的东侧和北侧，通过铁艺围栏隔开）。储能区划分为6个储能单元，呈整齐的行列式布置。每个储能单元包含：4台5MWh磷酸铁锂电池预制舱和1台5MW升压变流一体机（内含PCS+干式变压器）。储能区通过35kV电缆与升压站内的35kV配电装置连接。该区域不设固定人员值守点。</w:t>
            </w:r>
          </w:p>
          <w:p w14:paraId="63959AE2">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（3）辅助生产区（生活及配套设施）</w:t>
            </w:r>
          </w:p>
          <w:p w14:paraId="2BE1CD7B">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辅助房和一体化泵站位于站区东南角（大门东侧），与升压站、储能区均保持一定距离。辅助房内布置有卫生间、办公室和厨房餐厅；危险废物贮存库位于辅助房附近；一体化污水处理设施及集水池（40m</w:t>
            </w:r>
            <w:r>
              <w:rPr>
                <w:rFonts w:hint="default" w:ascii="Times New Roman" w:hAnsi="Times New Roman" w:eastAsia="宋体" w:cs="Times New Roman"/>
                <w:color w:val="000000" w:themeColor="text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）布置于辅助房一侧。该区域远离主变压器等高噪声、高电磁设备，减少对人员的影响。</w:t>
            </w:r>
          </w:p>
          <w:p w14:paraId="21226B92">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（4）道路与围护设施</w:t>
            </w:r>
          </w:p>
          <w:p w14:paraId="33826C4E">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站区大门设置在场区南侧，连接进站道路。站内道路本着方便检修、巡视、消防、便于分区管理的原则，采用环形布置，城市型混凝土路面。升压站主要道路路面宽度4.0m，储能区主要道路路面宽度4m，转弯半径均为9m，满足设备运输和消防需求。全站道路面积约3450m</w:t>
            </w:r>
            <w:r>
              <w:rPr>
                <w:rFonts w:hint="default" w:ascii="Times New Roman" w:hAnsi="Times New Roman" w:eastAsia="宋体" w:cs="Times New Roman"/>
                <w:color w:val="000000" w:themeColor="text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highlight w:val="none"/>
                <w14:textFill>
                  <w14:solidFill>
                    <w14:schemeClr w14:val="tx1"/>
                  </w14:solidFill>
                </w14:textFill>
              </w:rPr>
              <w:t>。</w:t>
            </w:r>
          </w:p>
          <w:p w14:paraId="72A5A0A9">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在升压站与储能区之间设置一道铁艺围栏（非实体墙），并设独立出入口。站区四周采用2.5m高实体砖围墙，大门采用电动伸缩门。</w:t>
            </w:r>
          </w:p>
          <w:p w14:paraId="74DCE6C4">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（5）绿化布置</w:t>
            </w:r>
          </w:p>
          <w:p w14:paraId="4482C81C">
            <w:pPr>
              <w:shd w:val="clear"/>
              <w:ind w:firstLine="48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绿化主要布置在辅助房附近及道路两侧，配置低矮灌木及应季花卉，空余地采用草皮覆盖，以净化空气、降低场地辐射热、减少噪声。绿化面积占站区总面积的5%，草种选用耐践踏、再生力强的当地绿植。平面布置图详见附图。</w:t>
            </w:r>
          </w:p>
          <w:p w14:paraId="163321B9">
            <w:pPr>
              <w:pStyle w:val="3"/>
              <w:shd w:val="clear"/>
              <w:rPr>
                <w:color w:val="000000" w:themeColor="text1"/>
                <w:highlight w:val="none"/>
                <w14:textFill>
                  <w14:solidFill>
                    <w14:schemeClr w14:val="tx1"/>
                  </w14:solidFill>
                </w14:textFill>
              </w:rPr>
            </w:pPr>
            <w:bookmarkStart w:id="126" w:name="_Toc13596"/>
            <w:bookmarkStart w:id="127" w:name="_Toc9765"/>
            <w:r>
              <w:rPr>
                <w:color w:val="000000" w:themeColor="text1"/>
                <w:highlight w:val="none"/>
                <w14:textFill>
                  <w14:solidFill>
                    <w14:schemeClr w14:val="tx1"/>
                  </w14:solidFill>
                </w14:textFill>
              </w:rPr>
              <w:t>2.2、输电线路</w:t>
            </w:r>
            <w:bookmarkEnd w:id="125"/>
            <w:bookmarkEnd w:id="126"/>
            <w:bookmarkEnd w:id="127"/>
          </w:p>
          <w:p w14:paraId="42A182A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线路起于新建光伏汇集升压站构架，经终端塔1#朝西出线右转至2#，左转沿着X243县道至16#，最终经电缆终端塔16#沿着塔里木光伏站变围墙外电缆走线最终接入110kV塔里木光伏站。</w:t>
            </w:r>
          </w:p>
          <w:p w14:paraId="491D652E">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新建线路全长约5.26km，输出线路其中架空线路4.9km，地埋线览0.36km。全线采用单</w:t>
            </w:r>
            <w:r>
              <w:rPr>
                <w:rFonts w:hint="eastAsia"/>
                <w:color w:val="000000" w:themeColor="text1"/>
                <w:highlight w:val="none"/>
                <w:lang w:eastAsia="zh-CN"/>
                <w14:textFill>
                  <w14:solidFill>
                    <w14:schemeClr w14:val="tx1"/>
                  </w14:solidFill>
                </w14:textFill>
              </w:rPr>
              <w:t>回</w:t>
            </w:r>
            <w:r>
              <w:rPr>
                <w:color w:val="000000" w:themeColor="text1"/>
                <w:highlight w:val="none"/>
                <w14:textFill>
                  <w14:solidFill>
                    <w14:schemeClr w14:val="tx1"/>
                  </w14:solidFill>
                </w14:textFill>
              </w:rPr>
              <w:t>路架设，航空距离约4.9km，曲折系数1.08，详见附图。</w:t>
            </w:r>
          </w:p>
          <w:p w14:paraId="67817A55">
            <w:pPr>
              <w:shd w:val="clea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项目升压站及储能区已进行用地性质变更，并已完成了林草补偿相关内容，目前用地性质为工业用地。</w:t>
            </w:r>
          </w:p>
          <w:p w14:paraId="48DA47EB">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表2-</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 xml:space="preserve">                     工程用地一览表</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61"/>
              <w:gridCol w:w="1835"/>
              <w:gridCol w:w="1152"/>
              <w:gridCol w:w="548"/>
              <w:gridCol w:w="639"/>
              <w:gridCol w:w="2291"/>
              <w:gridCol w:w="918"/>
            </w:tblGrid>
            <w:tr w14:paraId="6636A2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461" w:type="dxa"/>
                  <w:tcBorders>
                    <w:tl2br w:val="nil"/>
                    <w:tr2bl w:val="nil"/>
                  </w:tcBorders>
                  <w:vAlign w:val="center"/>
                </w:tcPr>
                <w:p w14:paraId="0E9B1D02">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序号</w:t>
                  </w:r>
                </w:p>
              </w:tc>
              <w:tc>
                <w:tcPr>
                  <w:tcW w:w="2988" w:type="dxa"/>
                  <w:gridSpan w:val="2"/>
                  <w:tcBorders>
                    <w:tl2br w:val="nil"/>
                    <w:tr2bl w:val="nil"/>
                  </w:tcBorders>
                  <w:vAlign w:val="center"/>
                </w:tcPr>
                <w:p w14:paraId="04DF3828">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p>
              </w:tc>
              <w:tc>
                <w:tcPr>
                  <w:tcW w:w="548" w:type="dxa"/>
                  <w:tcBorders>
                    <w:tl2br w:val="nil"/>
                    <w:tr2bl w:val="nil"/>
                  </w:tcBorders>
                  <w:vAlign w:val="center"/>
                </w:tcPr>
                <w:p w14:paraId="31E3A3C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单位</w:t>
                  </w:r>
                </w:p>
              </w:tc>
              <w:tc>
                <w:tcPr>
                  <w:tcW w:w="639" w:type="dxa"/>
                  <w:tcBorders>
                    <w:tl2br w:val="nil"/>
                    <w:tr2bl w:val="nil"/>
                  </w:tcBorders>
                  <w:vAlign w:val="center"/>
                </w:tcPr>
                <w:p w14:paraId="6EEEC81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面积</w:t>
                  </w:r>
                </w:p>
              </w:tc>
              <w:tc>
                <w:tcPr>
                  <w:tcW w:w="2292" w:type="dxa"/>
                  <w:tcBorders>
                    <w:tl2br w:val="nil"/>
                    <w:tr2bl w:val="nil"/>
                  </w:tcBorders>
                  <w:vAlign w:val="center"/>
                </w:tcPr>
                <w:p w14:paraId="5EC6C6ED">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占地类型</w:t>
                  </w:r>
                </w:p>
              </w:tc>
              <w:tc>
                <w:tcPr>
                  <w:tcW w:w="918" w:type="dxa"/>
                  <w:tcBorders>
                    <w:tl2br w:val="nil"/>
                    <w:tr2bl w:val="nil"/>
                  </w:tcBorders>
                  <w:vAlign w:val="center"/>
                </w:tcPr>
                <w:p w14:paraId="28F62A26">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土地类型</w:t>
                  </w:r>
                </w:p>
              </w:tc>
            </w:tr>
            <w:tr w14:paraId="1A89A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l2br w:val="nil"/>
                    <w:tr2bl w:val="nil"/>
                  </w:tcBorders>
                  <w:vAlign w:val="center"/>
                </w:tcPr>
                <w:p w14:paraId="0C693CEA">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p>
              </w:tc>
              <w:tc>
                <w:tcPr>
                  <w:tcW w:w="2988" w:type="dxa"/>
                  <w:gridSpan w:val="2"/>
                  <w:tcBorders>
                    <w:tl2br w:val="nil"/>
                    <w:tr2bl w:val="nil"/>
                  </w:tcBorders>
                  <w:vAlign w:val="center"/>
                </w:tcPr>
                <w:p w14:paraId="1D847C4B">
                  <w:pPr>
                    <w:pStyle w:val="10"/>
                    <w:shd w:val="clear"/>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升压站及</w:t>
                  </w:r>
                  <w:r>
                    <w:rPr>
                      <w:rFonts w:hint="eastAsia"/>
                      <w:color w:val="000000" w:themeColor="text1"/>
                      <w:highlight w:val="none"/>
                      <w:lang w:val="en-US" w:eastAsia="zh-CN"/>
                      <w14:textFill>
                        <w14:solidFill>
                          <w14:schemeClr w14:val="tx1"/>
                        </w14:solidFill>
                      </w14:textFill>
                    </w:rPr>
                    <w:t>储能区</w:t>
                  </w:r>
                </w:p>
              </w:tc>
              <w:tc>
                <w:tcPr>
                  <w:tcW w:w="548" w:type="dxa"/>
                  <w:tcBorders>
                    <w:tl2br w:val="nil"/>
                    <w:tr2bl w:val="nil"/>
                  </w:tcBorders>
                  <w:vAlign w:val="center"/>
                </w:tcPr>
                <w:p w14:paraId="6EE8F87E">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2F779D8B">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1.7855</w:t>
                  </w:r>
                </w:p>
              </w:tc>
              <w:tc>
                <w:tcPr>
                  <w:tcW w:w="2292" w:type="dxa"/>
                  <w:tcBorders>
                    <w:tl2br w:val="nil"/>
                    <w:tr2bl w:val="nil"/>
                  </w:tcBorders>
                  <w:vAlign w:val="center"/>
                </w:tcPr>
                <w:p w14:paraId="2E7FB4F0">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永久占地</w:t>
                  </w:r>
                </w:p>
              </w:tc>
              <w:tc>
                <w:tcPr>
                  <w:tcW w:w="918" w:type="dxa"/>
                  <w:tcBorders>
                    <w:tl2br w:val="nil"/>
                    <w:tr2bl w:val="nil"/>
                  </w:tcBorders>
                  <w:vAlign w:val="center"/>
                </w:tcPr>
                <w:p w14:paraId="4928B0F2">
                  <w:pPr>
                    <w:pStyle w:val="10"/>
                    <w:shd w:val="clear"/>
                    <w:rPr>
                      <w:rFonts w:hint="default"/>
                      <w:color w:val="000000" w:themeColor="text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工业用地</w:t>
                  </w:r>
                </w:p>
              </w:tc>
            </w:tr>
            <w:tr w14:paraId="0EBEF5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tcBorders>
                    <w:tl2br w:val="nil"/>
                    <w:tr2bl w:val="nil"/>
                  </w:tcBorders>
                  <w:vAlign w:val="center"/>
                </w:tcPr>
                <w:p w14:paraId="05B8EDA6">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p>
              </w:tc>
              <w:tc>
                <w:tcPr>
                  <w:tcW w:w="2988" w:type="dxa"/>
                  <w:gridSpan w:val="2"/>
                  <w:tcBorders>
                    <w:tl2br w:val="nil"/>
                    <w:tr2bl w:val="nil"/>
                  </w:tcBorders>
                  <w:vAlign w:val="center"/>
                </w:tcPr>
                <w:p w14:paraId="0EDC349C">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塔基占地面积</w:t>
                  </w:r>
                </w:p>
              </w:tc>
              <w:tc>
                <w:tcPr>
                  <w:tcW w:w="548" w:type="dxa"/>
                  <w:tcBorders>
                    <w:tl2br w:val="nil"/>
                    <w:tr2bl w:val="nil"/>
                  </w:tcBorders>
                  <w:vAlign w:val="center"/>
                </w:tcPr>
                <w:p w14:paraId="2A3A55F4">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21FFCAB3">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2304</w:t>
                  </w:r>
                </w:p>
              </w:tc>
              <w:tc>
                <w:tcPr>
                  <w:tcW w:w="2292" w:type="dxa"/>
                  <w:tcBorders>
                    <w:tl2br w:val="nil"/>
                    <w:tr2bl w:val="nil"/>
                  </w:tcBorders>
                  <w:vAlign w:val="center"/>
                </w:tcPr>
                <w:p w14:paraId="787DF530">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永久占地</w:t>
                  </w:r>
                </w:p>
              </w:tc>
              <w:tc>
                <w:tcPr>
                  <w:tcW w:w="918" w:type="dxa"/>
                  <w:tcBorders>
                    <w:tl2br w:val="nil"/>
                    <w:tr2bl w:val="nil"/>
                  </w:tcBorders>
                  <w:vAlign w:val="center"/>
                </w:tcPr>
                <w:p w14:paraId="28735A43">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其他草地</w:t>
                  </w:r>
                </w:p>
              </w:tc>
            </w:tr>
            <w:tr w14:paraId="2A469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vMerge w:val="restart"/>
                  <w:tcBorders>
                    <w:tl2br w:val="nil"/>
                    <w:tr2bl w:val="nil"/>
                  </w:tcBorders>
                  <w:vAlign w:val="center"/>
                </w:tcPr>
                <w:p w14:paraId="6E4C5EA2">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p>
              </w:tc>
              <w:tc>
                <w:tcPr>
                  <w:tcW w:w="1836" w:type="dxa"/>
                  <w:vMerge w:val="restart"/>
                  <w:tcBorders>
                    <w:tl2br w:val="nil"/>
                    <w:tr2bl w:val="nil"/>
                  </w:tcBorders>
                  <w:vAlign w:val="center"/>
                </w:tcPr>
                <w:p w14:paraId="63800C45">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施工临时占地面积</w:t>
                  </w:r>
                </w:p>
              </w:tc>
              <w:tc>
                <w:tcPr>
                  <w:tcW w:w="1152" w:type="dxa"/>
                  <w:tcBorders>
                    <w:tl2br w:val="nil"/>
                    <w:tr2bl w:val="nil"/>
                  </w:tcBorders>
                  <w:vAlign w:val="center"/>
                </w:tcPr>
                <w:p w14:paraId="5F5182F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施工道路</w:t>
                  </w:r>
                </w:p>
              </w:tc>
              <w:tc>
                <w:tcPr>
                  <w:tcW w:w="548" w:type="dxa"/>
                  <w:tcBorders>
                    <w:tl2br w:val="nil"/>
                    <w:tr2bl w:val="nil"/>
                  </w:tcBorders>
                  <w:vAlign w:val="center"/>
                </w:tcPr>
                <w:p w14:paraId="702A30F6">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5A2C8845">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0</w:t>
                  </w:r>
                </w:p>
              </w:tc>
              <w:tc>
                <w:tcPr>
                  <w:tcW w:w="2292" w:type="dxa"/>
                  <w:tcBorders>
                    <w:tl2br w:val="nil"/>
                    <w:tr2bl w:val="nil"/>
                  </w:tcBorders>
                  <w:vAlign w:val="center"/>
                </w:tcPr>
                <w:p w14:paraId="36C319D6">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施工道路采用现有县道</w:t>
                  </w:r>
                </w:p>
              </w:tc>
              <w:tc>
                <w:tcPr>
                  <w:tcW w:w="918" w:type="dxa"/>
                  <w:tcBorders>
                    <w:tl2br w:val="nil"/>
                    <w:tr2bl w:val="nil"/>
                  </w:tcBorders>
                  <w:vAlign w:val="center"/>
                </w:tcPr>
                <w:p w14:paraId="3F9C64D0">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其他草地</w:t>
                  </w:r>
                </w:p>
              </w:tc>
            </w:tr>
            <w:tr w14:paraId="790ADC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vMerge w:val="continue"/>
                  <w:tcBorders>
                    <w:tl2br w:val="nil"/>
                    <w:tr2bl w:val="nil"/>
                  </w:tcBorders>
                  <w:vAlign w:val="center"/>
                </w:tcPr>
                <w:p w14:paraId="5537B8F1">
                  <w:pPr>
                    <w:pStyle w:val="10"/>
                    <w:shd w:val="clear"/>
                    <w:rPr>
                      <w:color w:val="000000" w:themeColor="text1"/>
                      <w:highlight w:val="none"/>
                      <w14:textFill>
                        <w14:solidFill>
                          <w14:schemeClr w14:val="tx1"/>
                        </w14:solidFill>
                      </w14:textFill>
                    </w:rPr>
                  </w:pPr>
                </w:p>
              </w:tc>
              <w:tc>
                <w:tcPr>
                  <w:tcW w:w="1836" w:type="dxa"/>
                  <w:vMerge w:val="continue"/>
                  <w:tcBorders>
                    <w:tl2br w:val="nil"/>
                    <w:tr2bl w:val="nil"/>
                  </w:tcBorders>
                  <w:vAlign w:val="center"/>
                </w:tcPr>
                <w:p w14:paraId="687A1731">
                  <w:pPr>
                    <w:pStyle w:val="10"/>
                    <w:shd w:val="clear"/>
                    <w:rPr>
                      <w:color w:val="000000" w:themeColor="text1"/>
                      <w:highlight w:val="none"/>
                      <w14:textFill>
                        <w14:solidFill>
                          <w14:schemeClr w14:val="tx1"/>
                        </w14:solidFill>
                      </w14:textFill>
                    </w:rPr>
                  </w:pPr>
                </w:p>
              </w:tc>
              <w:tc>
                <w:tcPr>
                  <w:tcW w:w="1152" w:type="dxa"/>
                  <w:tcBorders>
                    <w:tl2br w:val="nil"/>
                    <w:tr2bl w:val="nil"/>
                  </w:tcBorders>
                  <w:vAlign w:val="center"/>
                </w:tcPr>
                <w:p w14:paraId="7C1D2A66">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施工生活区</w:t>
                  </w:r>
                </w:p>
              </w:tc>
              <w:tc>
                <w:tcPr>
                  <w:tcW w:w="548" w:type="dxa"/>
                  <w:tcBorders>
                    <w:tl2br w:val="nil"/>
                    <w:tr2bl w:val="nil"/>
                  </w:tcBorders>
                  <w:vAlign w:val="center"/>
                </w:tcPr>
                <w:p w14:paraId="6CAEE362">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66935E56">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2000</w:t>
                  </w:r>
                </w:p>
              </w:tc>
              <w:tc>
                <w:tcPr>
                  <w:tcW w:w="2292" w:type="dxa"/>
                  <w:tcBorders>
                    <w:tl2br w:val="nil"/>
                    <w:tr2bl w:val="nil"/>
                  </w:tcBorders>
                  <w:vAlign w:val="center"/>
                </w:tcPr>
                <w:p w14:paraId="69BA2E5B">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临时占地</w:t>
                  </w:r>
                </w:p>
              </w:tc>
              <w:tc>
                <w:tcPr>
                  <w:tcW w:w="918" w:type="dxa"/>
                  <w:tcBorders>
                    <w:tl2br w:val="nil"/>
                    <w:tr2bl w:val="nil"/>
                  </w:tcBorders>
                  <w:vAlign w:val="center"/>
                </w:tcPr>
                <w:p w14:paraId="7F27C7D5">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其他草地</w:t>
                  </w:r>
                </w:p>
              </w:tc>
            </w:tr>
            <w:tr w14:paraId="587632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vMerge w:val="continue"/>
                  <w:tcBorders>
                    <w:tl2br w:val="nil"/>
                    <w:tr2bl w:val="nil"/>
                  </w:tcBorders>
                  <w:vAlign w:val="center"/>
                </w:tcPr>
                <w:p w14:paraId="2165464B">
                  <w:pPr>
                    <w:pStyle w:val="10"/>
                    <w:shd w:val="clear"/>
                    <w:rPr>
                      <w:color w:val="000000" w:themeColor="text1"/>
                      <w:highlight w:val="none"/>
                      <w14:textFill>
                        <w14:solidFill>
                          <w14:schemeClr w14:val="tx1"/>
                        </w14:solidFill>
                      </w14:textFill>
                    </w:rPr>
                  </w:pPr>
                </w:p>
              </w:tc>
              <w:tc>
                <w:tcPr>
                  <w:tcW w:w="1836" w:type="dxa"/>
                  <w:vMerge w:val="continue"/>
                  <w:tcBorders>
                    <w:tl2br w:val="nil"/>
                    <w:tr2bl w:val="nil"/>
                  </w:tcBorders>
                  <w:vAlign w:val="center"/>
                </w:tcPr>
                <w:p w14:paraId="56DA264A">
                  <w:pPr>
                    <w:pStyle w:val="10"/>
                    <w:shd w:val="clear"/>
                    <w:rPr>
                      <w:color w:val="000000" w:themeColor="text1"/>
                      <w:highlight w:val="none"/>
                      <w14:textFill>
                        <w14:solidFill>
                          <w14:schemeClr w14:val="tx1"/>
                        </w14:solidFill>
                      </w14:textFill>
                    </w:rPr>
                  </w:pPr>
                </w:p>
              </w:tc>
              <w:tc>
                <w:tcPr>
                  <w:tcW w:w="1152" w:type="dxa"/>
                  <w:tcBorders>
                    <w:tl2br w:val="nil"/>
                    <w:tr2bl w:val="nil"/>
                  </w:tcBorders>
                  <w:vAlign w:val="center"/>
                </w:tcPr>
                <w:p w14:paraId="298CBCC9">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牵张场</w:t>
                  </w:r>
                </w:p>
              </w:tc>
              <w:tc>
                <w:tcPr>
                  <w:tcW w:w="548" w:type="dxa"/>
                  <w:tcBorders>
                    <w:tl2br w:val="nil"/>
                    <w:tr2bl w:val="nil"/>
                  </w:tcBorders>
                  <w:vAlign w:val="center"/>
                </w:tcPr>
                <w:p w14:paraId="3BBAA446">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4E2725B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3000</w:t>
                  </w:r>
                </w:p>
              </w:tc>
              <w:tc>
                <w:tcPr>
                  <w:tcW w:w="2292" w:type="dxa"/>
                  <w:tcBorders>
                    <w:tl2br w:val="nil"/>
                    <w:tr2bl w:val="nil"/>
                  </w:tcBorders>
                  <w:vAlign w:val="center"/>
                </w:tcPr>
                <w:p w14:paraId="0D8AC1BF">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临时占地</w:t>
                  </w:r>
                </w:p>
              </w:tc>
              <w:tc>
                <w:tcPr>
                  <w:tcW w:w="918" w:type="dxa"/>
                  <w:tcBorders>
                    <w:tl2br w:val="nil"/>
                    <w:tr2bl w:val="nil"/>
                  </w:tcBorders>
                  <w:vAlign w:val="center"/>
                </w:tcPr>
                <w:p w14:paraId="4F0913B5">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其他草地</w:t>
                  </w:r>
                </w:p>
              </w:tc>
            </w:tr>
            <w:tr w14:paraId="67D03E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461" w:type="dxa"/>
                  <w:vMerge w:val="continue"/>
                  <w:tcBorders>
                    <w:tl2br w:val="nil"/>
                    <w:tr2bl w:val="nil"/>
                  </w:tcBorders>
                  <w:vAlign w:val="center"/>
                </w:tcPr>
                <w:p w14:paraId="350436BC">
                  <w:pPr>
                    <w:pStyle w:val="10"/>
                    <w:shd w:val="clear"/>
                    <w:rPr>
                      <w:color w:val="000000" w:themeColor="text1"/>
                      <w:highlight w:val="none"/>
                      <w14:textFill>
                        <w14:solidFill>
                          <w14:schemeClr w14:val="tx1"/>
                        </w14:solidFill>
                      </w14:textFill>
                    </w:rPr>
                  </w:pPr>
                </w:p>
              </w:tc>
              <w:tc>
                <w:tcPr>
                  <w:tcW w:w="1836" w:type="dxa"/>
                  <w:vMerge w:val="continue"/>
                  <w:tcBorders>
                    <w:tl2br w:val="nil"/>
                    <w:tr2bl w:val="nil"/>
                  </w:tcBorders>
                  <w:vAlign w:val="center"/>
                </w:tcPr>
                <w:p w14:paraId="35DD223A">
                  <w:pPr>
                    <w:pStyle w:val="10"/>
                    <w:shd w:val="clear"/>
                    <w:rPr>
                      <w:color w:val="000000" w:themeColor="text1"/>
                      <w:highlight w:val="none"/>
                      <w14:textFill>
                        <w14:solidFill>
                          <w14:schemeClr w14:val="tx1"/>
                        </w14:solidFill>
                      </w14:textFill>
                    </w:rPr>
                  </w:pPr>
                </w:p>
              </w:tc>
              <w:tc>
                <w:tcPr>
                  <w:tcW w:w="1152" w:type="dxa"/>
                  <w:tcBorders>
                    <w:tl2br w:val="nil"/>
                    <w:tr2bl w:val="nil"/>
                  </w:tcBorders>
                  <w:vAlign w:val="center"/>
                </w:tcPr>
                <w:p w14:paraId="12AC5014">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临时堆放场</w:t>
                  </w:r>
                </w:p>
              </w:tc>
              <w:tc>
                <w:tcPr>
                  <w:tcW w:w="548" w:type="dxa"/>
                  <w:tcBorders>
                    <w:tl2br w:val="nil"/>
                    <w:tr2bl w:val="nil"/>
                  </w:tcBorders>
                  <w:vAlign w:val="center"/>
                </w:tcPr>
                <w:p w14:paraId="09E23AC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4B3877C5">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1000</w:t>
                  </w:r>
                </w:p>
              </w:tc>
              <w:tc>
                <w:tcPr>
                  <w:tcW w:w="2292" w:type="dxa"/>
                  <w:tcBorders>
                    <w:tl2br w:val="nil"/>
                    <w:tr2bl w:val="nil"/>
                  </w:tcBorders>
                  <w:vAlign w:val="center"/>
                </w:tcPr>
                <w:p w14:paraId="19450466">
                  <w:pPr>
                    <w:pStyle w:val="10"/>
                    <w:shd w:val="clear"/>
                    <w:rPr>
                      <w:color w:val="000000" w:themeColor="text1"/>
                      <w:kern w:val="2"/>
                      <w:szCs w:val="24"/>
                      <w:highlight w:val="none"/>
                      <w14:textFill>
                        <w14:solidFill>
                          <w14:schemeClr w14:val="tx1"/>
                        </w14:solidFill>
                      </w14:textFill>
                    </w:rPr>
                  </w:pPr>
                  <w:r>
                    <w:rPr>
                      <w:color w:val="000000" w:themeColor="text1"/>
                      <w:highlight w:val="none"/>
                      <w14:textFill>
                        <w14:solidFill>
                          <w14:schemeClr w14:val="tx1"/>
                        </w14:solidFill>
                      </w14:textFill>
                    </w:rPr>
                    <w:t>临时占地</w:t>
                  </w:r>
                </w:p>
              </w:tc>
              <w:tc>
                <w:tcPr>
                  <w:tcW w:w="918" w:type="dxa"/>
                  <w:tcBorders>
                    <w:tl2br w:val="nil"/>
                    <w:tr2bl w:val="nil"/>
                  </w:tcBorders>
                  <w:vAlign w:val="center"/>
                </w:tcPr>
                <w:p w14:paraId="318DDA0B">
                  <w:pPr>
                    <w:pStyle w:val="10"/>
                    <w:shd w:val="clear"/>
                    <w:rPr>
                      <w:color w:val="000000" w:themeColor="text1"/>
                      <w:kern w:val="2"/>
                      <w:szCs w:val="24"/>
                      <w:highlight w:val="none"/>
                      <w14:textFill>
                        <w14:solidFill>
                          <w14:schemeClr w14:val="tx1"/>
                        </w14:solidFill>
                      </w14:textFill>
                    </w:rPr>
                  </w:pPr>
                  <w:r>
                    <w:rPr>
                      <w:color w:val="000000" w:themeColor="text1"/>
                      <w:highlight w:val="none"/>
                      <w14:textFill>
                        <w14:solidFill>
                          <w14:schemeClr w14:val="tx1"/>
                        </w14:solidFill>
                      </w14:textFill>
                    </w:rPr>
                    <w:t>其他草地</w:t>
                  </w:r>
                </w:p>
              </w:tc>
            </w:tr>
            <w:tr w14:paraId="2DFC91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49" w:type="dxa"/>
                  <w:gridSpan w:val="3"/>
                  <w:tcBorders>
                    <w:tl2br w:val="nil"/>
                    <w:tr2bl w:val="nil"/>
                  </w:tcBorders>
                  <w:vAlign w:val="center"/>
                </w:tcPr>
                <w:p w14:paraId="46F9B2C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小计</w:t>
                  </w:r>
                </w:p>
              </w:tc>
              <w:tc>
                <w:tcPr>
                  <w:tcW w:w="548" w:type="dxa"/>
                  <w:tcBorders>
                    <w:tl2br w:val="nil"/>
                    <w:tr2bl w:val="nil"/>
                  </w:tcBorders>
                  <w:vAlign w:val="center"/>
                </w:tcPr>
                <w:p w14:paraId="4D2A75BE">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26844760">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2.1059</w:t>
                  </w:r>
                </w:p>
              </w:tc>
              <w:tc>
                <w:tcPr>
                  <w:tcW w:w="2292" w:type="dxa"/>
                  <w:tcBorders>
                    <w:tl2br w:val="nil"/>
                    <w:tr2bl w:val="nil"/>
                  </w:tcBorders>
                  <w:vAlign w:val="center"/>
                </w:tcPr>
                <w:p w14:paraId="05D48187">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永久占地</w:t>
                  </w:r>
                </w:p>
              </w:tc>
              <w:tc>
                <w:tcPr>
                  <w:tcW w:w="918" w:type="dxa"/>
                  <w:tcBorders>
                    <w:tl2br w:val="nil"/>
                    <w:tr2bl w:val="nil"/>
                  </w:tcBorders>
                  <w:vAlign w:val="center"/>
                </w:tcPr>
                <w:p w14:paraId="78C2F701">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其他草地</w:t>
                  </w:r>
                </w:p>
              </w:tc>
            </w:tr>
            <w:tr w14:paraId="094DB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49" w:type="dxa"/>
                  <w:gridSpan w:val="3"/>
                  <w:tcBorders>
                    <w:tl2br w:val="nil"/>
                    <w:tr2bl w:val="nil"/>
                  </w:tcBorders>
                  <w:vAlign w:val="center"/>
                </w:tcPr>
                <w:p w14:paraId="594E88B4">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小计</w:t>
                  </w:r>
                </w:p>
              </w:tc>
              <w:tc>
                <w:tcPr>
                  <w:tcW w:w="548" w:type="dxa"/>
                  <w:tcBorders>
                    <w:tl2br w:val="nil"/>
                    <w:tr2bl w:val="nil"/>
                  </w:tcBorders>
                  <w:vAlign w:val="center"/>
                </w:tcPr>
                <w:p w14:paraId="04D19876">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6D3AE7F1">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6000</w:t>
                  </w:r>
                </w:p>
              </w:tc>
              <w:tc>
                <w:tcPr>
                  <w:tcW w:w="2292" w:type="dxa"/>
                  <w:tcBorders>
                    <w:tl2br w:val="nil"/>
                    <w:tr2bl w:val="nil"/>
                  </w:tcBorders>
                  <w:vAlign w:val="center"/>
                </w:tcPr>
                <w:p w14:paraId="1682B01D">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临时占地</w:t>
                  </w:r>
                </w:p>
              </w:tc>
              <w:tc>
                <w:tcPr>
                  <w:tcW w:w="918" w:type="dxa"/>
                  <w:tcBorders>
                    <w:tl2br w:val="nil"/>
                    <w:tr2bl w:val="nil"/>
                  </w:tcBorders>
                  <w:vAlign w:val="center"/>
                </w:tcPr>
                <w:p w14:paraId="705D01BA">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其他草地</w:t>
                  </w:r>
                </w:p>
              </w:tc>
            </w:tr>
            <w:tr w14:paraId="6F6D9D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49" w:type="dxa"/>
                  <w:gridSpan w:val="3"/>
                  <w:tcBorders>
                    <w:tl2br w:val="nil"/>
                    <w:tr2bl w:val="nil"/>
                  </w:tcBorders>
                  <w:vAlign w:val="center"/>
                </w:tcPr>
                <w:p w14:paraId="4239EC64">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合计</w:t>
                  </w:r>
                </w:p>
              </w:tc>
              <w:tc>
                <w:tcPr>
                  <w:tcW w:w="548" w:type="dxa"/>
                  <w:tcBorders>
                    <w:tl2br w:val="nil"/>
                    <w:tr2bl w:val="nil"/>
                  </w:tcBorders>
                  <w:vAlign w:val="center"/>
                </w:tcPr>
                <w:p w14:paraId="00B73880">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万m</w:t>
                  </w:r>
                  <w:r>
                    <w:rPr>
                      <w:color w:val="000000" w:themeColor="text1"/>
                      <w:highlight w:val="none"/>
                      <w:vertAlign w:val="superscript"/>
                      <w14:textFill>
                        <w14:solidFill>
                          <w14:schemeClr w14:val="tx1"/>
                        </w14:solidFill>
                      </w14:textFill>
                    </w:rPr>
                    <w:t>2</w:t>
                  </w:r>
                </w:p>
              </w:tc>
              <w:tc>
                <w:tcPr>
                  <w:tcW w:w="639" w:type="dxa"/>
                  <w:tcBorders>
                    <w:tl2br w:val="nil"/>
                    <w:tr2bl w:val="nil"/>
                  </w:tcBorders>
                  <w:vAlign w:val="center"/>
                </w:tcPr>
                <w:p w14:paraId="7C7980DE">
                  <w:pPr>
                    <w:pStyle w:val="10"/>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2.7059</w:t>
                  </w:r>
                </w:p>
              </w:tc>
              <w:tc>
                <w:tcPr>
                  <w:tcW w:w="2292" w:type="dxa"/>
                  <w:tcBorders>
                    <w:tl2br w:val="nil"/>
                    <w:tr2bl w:val="nil"/>
                  </w:tcBorders>
                  <w:vAlign w:val="center"/>
                </w:tcPr>
                <w:p w14:paraId="412BC17E">
                  <w:pPr>
                    <w:pStyle w:val="10"/>
                    <w:shd w:val="clear"/>
                    <w:rPr>
                      <w:color w:val="000000" w:themeColor="text1"/>
                      <w:highlight w:val="none"/>
                      <w14:textFill>
                        <w14:solidFill>
                          <w14:schemeClr w14:val="tx1"/>
                        </w14:solidFill>
                      </w14:textFill>
                    </w:rPr>
                  </w:pPr>
                </w:p>
              </w:tc>
              <w:tc>
                <w:tcPr>
                  <w:tcW w:w="918" w:type="dxa"/>
                  <w:tcBorders>
                    <w:tl2br w:val="nil"/>
                    <w:tr2bl w:val="nil"/>
                  </w:tcBorders>
                  <w:vAlign w:val="center"/>
                </w:tcPr>
                <w:p w14:paraId="1E7B5E1C">
                  <w:pPr>
                    <w:pStyle w:val="10"/>
                    <w:shd w:val="clear"/>
                    <w:rPr>
                      <w:color w:val="000000" w:themeColor="text1"/>
                      <w:highlight w:val="none"/>
                      <w14:textFill>
                        <w14:solidFill>
                          <w14:schemeClr w14:val="tx1"/>
                        </w14:solidFill>
                      </w14:textFill>
                    </w:rPr>
                  </w:pPr>
                </w:p>
              </w:tc>
            </w:tr>
          </w:tbl>
          <w:p w14:paraId="664A1FA5">
            <w:pPr>
              <w:pStyle w:val="24"/>
              <w:shd w:val="clear"/>
              <w:ind w:left="0" w:leftChars="0" w:firstLine="0" w:firstLineChars="0"/>
              <w:rPr>
                <w:color w:val="000000" w:themeColor="text1"/>
                <w:highlight w:val="none"/>
                <w14:textFill>
                  <w14:solidFill>
                    <w14:schemeClr w14:val="tx1"/>
                  </w14:solidFill>
                </w14:textFill>
              </w:rPr>
            </w:pPr>
          </w:p>
        </w:tc>
      </w:tr>
      <w:tr w14:paraId="67611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14:paraId="3909C425">
            <w:pPr>
              <w:shd w:val="clear"/>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施工方案</w:t>
            </w:r>
          </w:p>
        </w:tc>
        <w:tc>
          <w:tcPr>
            <w:tcW w:w="8065" w:type="dxa"/>
          </w:tcPr>
          <w:p w14:paraId="46B691F0">
            <w:pPr>
              <w:pStyle w:val="3"/>
              <w:shd w:val="clear"/>
              <w:rPr>
                <w:color w:val="000000" w:themeColor="text1"/>
                <w:highlight w:val="none"/>
                <w14:textFill>
                  <w14:solidFill>
                    <w14:schemeClr w14:val="tx1"/>
                  </w14:solidFill>
                </w14:textFill>
              </w:rPr>
            </w:pPr>
            <w:bookmarkStart w:id="128" w:name="_Toc23078"/>
            <w:bookmarkStart w:id="129" w:name="_Toc3309"/>
            <w:bookmarkStart w:id="130" w:name="_Toc24873"/>
            <w:r>
              <w:rPr>
                <w:color w:val="000000" w:themeColor="text1"/>
                <w:highlight w:val="none"/>
                <w14:textFill>
                  <w14:solidFill>
                    <w14:schemeClr w14:val="tx1"/>
                  </w14:solidFill>
                </w14:textFill>
              </w:rPr>
              <w:t>1 施工工艺及时序</w:t>
            </w:r>
            <w:bookmarkEnd w:id="128"/>
            <w:bookmarkEnd w:id="129"/>
            <w:bookmarkEnd w:id="130"/>
          </w:p>
          <w:p w14:paraId="65097D80">
            <w:pPr>
              <w:pStyle w:val="3"/>
              <w:shd w:val="clear"/>
              <w:rPr>
                <w:color w:val="000000" w:themeColor="text1"/>
                <w:highlight w:val="none"/>
                <w14:textFill>
                  <w14:solidFill>
                    <w14:schemeClr w14:val="tx1"/>
                  </w14:solidFill>
                </w14:textFill>
              </w:rPr>
            </w:pPr>
            <w:bookmarkStart w:id="131" w:name="_Toc27768"/>
            <w:bookmarkStart w:id="132" w:name="_Toc5013"/>
            <w:bookmarkStart w:id="133" w:name="_Toc13599"/>
            <w:r>
              <w:rPr>
                <w:color w:val="000000" w:themeColor="text1"/>
                <w:highlight w:val="none"/>
                <w14:textFill>
                  <w14:solidFill>
                    <w14:schemeClr w14:val="tx1"/>
                  </w14:solidFill>
                </w14:textFill>
              </w:rPr>
              <w:t>1.1 输电线路施工</w:t>
            </w:r>
            <w:bookmarkEnd w:id="131"/>
            <w:bookmarkEnd w:id="132"/>
            <w:bookmarkEnd w:id="133"/>
          </w:p>
          <w:p w14:paraId="3820851F">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（1）基坑开挖：基坑开挖前，先采用GPS卫星定位系统、全站仪及经纬仪进行复测，</w:t>
            </w:r>
            <w:r>
              <w:rPr>
                <w:color w:val="000000" w:themeColor="text1"/>
                <w:highlight w:val="none"/>
                <w:lang w:val="zh-CN"/>
                <w14:textFill>
                  <w14:solidFill>
                    <w14:schemeClr w14:val="tx1"/>
                  </w14:solidFill>
                </w14:textFill>
              </w:rPr>
              <w:t>确定位置后采用机械及人工辅助开挖</w:t>
            </w:r>
            <w:r>
              <w:rPr>
                <w:color w:val="000000" w:themeColor="text1"/>
                <w:highlight w:val="none"/>
                <w14:textFill>
                  <w14:solidFill>
                    <w14:schemeClr w14:val="tx1"/>
                  </w14:solidFill>
                </w14:textFill>
              </w:rPr>
              <w:t>。基坑开挖前要先清理基面，保证基面的平整和高差的统一。</w:t>
            </w:r>
          </w:p>
          <w:p w14:paraId="529FC62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（2）塔基建设：基坑开挖后进行</w:t>
            </w:r>
            <w:r>
              <w:rPr>
                <w:color w:val="000000" w:themeColor="text1"/>
                <w:highlight w:val="none"/>
                <w:lang w:val="zh-CN"/>
                <w14:textFill>
                  <w14:solidFill>
                    <w14:schemeClr w14:val="tx1"/>
                  </w14:solidFill>
                </w14:textFill>
              </w:rPr>
              <w:t>钢筋绑扎，混凝土采用混凝土运输车运输，现场布料浇筑，振动棒进行振捣，</w:t>
            </w:r>
            <w:r>
              <w:rPr>
                <w:color w:val="000000" w:themeColor="text1"/>
                <w:highlight w:val="none"/>
                <w14:textFill>
                  <w14:solidFill>
                    <w14:schemeClr w14:val="tx1"/>
                  </w14:solidFill>
                </w14:textFill>
              </w:rPr>
              <w:t>最后进行</w:t>
            </w:r>
            <w:r>
              <w:rPr>
                <w:color w:val="000000" w:themeColor="text1"/>
                <w:highlight w:val="none"/>
                <w:lang w:val="zh-CN"/>
                <w14:textFill>
                  <w14:solidFill>
                    <w14:schemeClr w14:val="tx1"/>
                  </w14:solidFill>
                </w14:textFill>
              </w:rPr>
              <w:t>混凝土养护及基坑回填。</w:t>
            </w:r>
          </w:p>
          <w:p w14:paraId="5680F85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（3）铁塔安装：铁塔</w:t>
            </w:r>
            <w:r>
              <w:rPr>
                <w:rFonts w:hint="eastAsia"/>
                <w:color w:val="000000" w:themeColor="text1"/>
                <w:highlight w:val="none"/>
                <w:lang w:eastAsia="zh-CN"/>
                <w14:textFill>
                  <w14:solidFill>
                    <w14:schemeClr w14:val="tx1"/>
                  </w14:solidFill>
                </w14:textFill>
              </w:rPr>
              <w:t>采用</w:t>
            </w:r>
            <w:r>
              <w:rPr>
                <w:color w:val="000000" w:themeColor="text1"/>
                <w:highlight w:val="none"/>
                <w14:textFill>
                  <w14:solidFill>
                    <w14:schemeClr w14:val="tx1"/>
                  </w14:solidFill>
                </w14:textFill>
              </w:rPr>
              <w:t>流动式起重机组立，预先将塔身组装成塔片或塔段，按吊装的顺序叠放，横担部分组装成整体，以提高起重机吊装的使用效率。</w:t>
            </w:r>
          </w:p>
          <w:p w14:paraId="2CC31FD5">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（4）输电线及地线架设：设置牵张场，导线采用张力机、牵引机</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一牵一</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张力展放，导线连接采用液压机压接。地线安装采用人力展放或汽车牵引展放，各级引绳带张力逐级牵引，导引绳转换采用小张力机、小牵引机</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一牵一</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张力展放，地线连接采用液压机压接。</w:t>
            </w:r>
          </w:p>
          <w:p w14:paraId="54A8F12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电缆敷设：排管敷设一定要预留适当数量的管孔，以便排管一次建成之后，相同路径的电缆再敷设安装时，不再重复开挖路面。电缆置于管道中，基本消除了外力机械损坏的可能性，因此其外护层可不需要铠装，一般有一层聚氯乙烯护层即可，当然这种情况只限于全部路径在排管中敷设的电缆。排管的内径一般都比电缆外径大得多，最少不得小于电缆外径的1.5倍，且不小于100mm，这样在敷设或更换电缆时都比较方便。</w:t>
            </w:r>
          </w:p>
          <w:p w14:paraId="7037C5D8">
            <w:pPr>
              <w:shd w:val="clear"/>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976495" cy="1118870"/>
                  <wp:effectExtent l="0" t="0" r="0" b="0"/>
                  <wp:docPr id="3" name="ECB019B1-382A-4266-B25C-5B523AA43C14-3"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3" descr="wps"/>
                          <pic:cNvPicPr>
                            <a:picLocks noChangeAspect="1"/>
                          </pic:cNvPicPr>
                        </pic:nvPicPr>
                        <pic:blipFill>
                          <a:blip r:embed="rId12"/>
                          <a:stretch>
                            <a:fillRect/>
                          </a:stretch>
                        </pic:blipFill>
                        <pic:spPr>
                          <a:xfrm>
                            <a:off x="0" y="0"/>
                            <a:ext cx="4976495" cy="1118870"/>
                          </a:xfrm>
                          <a:prstGeom prst="rect">
                            <a:avLst/>
                          </a:prstGeom>
                          <a:noFill/>
                          <a:ln>
                            <a:noFill/>
                          </a:ln>
                        </pic:spPr>
                      </pic:pic>
                    </a:graphicData>
                  </a:graphic>
                </wp:inline>
              </w:drawing>
            </w:r>
          </w:p>
          <w:p w14:paraId="26ADF285">
            <w:pPr>
              <w:pStyle w:val="5"/>
              <w:shd w:val="clear"/>
              <w:ind w:firstLine="2741" w:firstLineChars="13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图2-2输电线路施工工艺流程图</w:t>
            </w:r>
          </w:p>
          <w:p w14:paraId="02E5B6DB">
            <w:pPr>
              <w:pStyle w:val="3"/>
              <w:shd w:val="clear"/>
              <w:rPr>
                <w:rFonts w:hint="eastAsia"/>
                <w:color w:val="000000" w:themeColor="text1"/>
                <w:highlight w:val="none"/>
                <w:lang w:val="en-US" w:eastAsia="zh-CN"/>
                <w14:textFill>
                  <w14:solidFill>
                    <w14:schemeClr w14:val="tx1"/>
                  </w14:solidFill>
                </w14:textFill>
              </w:rPr>
            </w:pPr>
            <w:bookmarkStart w:id="134" w:name="_Toc23751"/>
            <w:bookmarkStart w:id="135" w:name="_Toc18504"/>
            <w:bookmarkStart w:id="136" w:name="_Toc29470"/>
            <w:r>
              <w:rPr>
                <w:rFonts w:hint="eastAsia"/>
                <w:color w:val="000000" w:themeColor="text1"/>
                <w:highlight w:val="none"/>
                <w:lang w:val="en-US" w:eastAsia="zh-CN"/>
                <w14:textFill>
                  <w14:solidFill>
                    <w14:schemeClr w14:val="tx1"/>
                  </w14:solidFill>
                </w14:textFill>
              </w:rPr>
              <w:t>1.2电缆线路施工</w:t>
            </w:r>
            <w:bookmarkEnd w:id="134"/>
          </w:p>
          <w:p w14:paraId="0E93D8E7">
            <w:pPr>
              <w:shd w:val="clea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电缆线路施工主要包括施工准备、材料运输、电缆敷设、安装调试等环节，主要有土石方开挖、地基夯实、回填、物料运输等施工活动，主要产生：施工噪声、扬尘、生活污水、生产废水、弃土和建筑垃圾。这些活动对生态环境产生一定的影响，但随着施工期的结束而结束。</w:t>
            </w:r>
          </w:p>
          <w:p w14:paraId="492843D0">
            <w:pPr>
              <w:pStyle w:val="3"/>
              <w:shd w:val="clear"/>
              <w:rPr>
                <w:rFonts w:hint="eastAsia"/>
                <w:color w:val="000000" w:themeColor="text1"/>
                <w:highlight w:val="none"/>
                <w:lang w:val="en-US" w:eastAsia="zh-CN"/>
                <w14:textFill>
                  <w14:solidFill>
                    <w14:schemeClr w14:val="tx1"/>
                  </w14:solidFill>
                </w14:textFill>
              </w:rPr>
            </w:pPr>
            <w:bookmarkStart w:id="137" w:name="_Toc4927"/>
            <w:r>
              <w:rPr>
                <w:rFonts w:hint="eastAsia"/>
                <w:color w:val="000000" w:themeColor="text1"/>
                <w:highlight w:val="none"/>
                <w:lang w:val="en-US" w:eastAsia="zh-CN"/>
                <w14:textFill>
                  <w14:solidFill>
                    <w14:schemeClr w14:val="tx1"/>
                  </w14:solidFill>
                </w14:textFill>
              </w:rPr>
              <w:drawing>
                <wp:inline distT="0" distB="0" distL="0" distR="0">
                  <wp:extent cx="4720590" cy="1517650"/>
                  <wp:effectExtent l="0" t="0" r="3810" b="6350"/>
                  <wp:docPr id="612024577" name="图片 61202457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24577" name="图片 612024577" descr="1"/>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4720590" cy="1517650"/>
                          </a:xfrm>
                          <a:prstGeom prst="rect">
                            <a:avLst/>
                          </a:prstGeom>
                          <a:noFill/>
                          <a:ln>
                            <a:noFill/>
                          </a:ln>
                        </pic:spPr>
                      </pic:pic>
                    </a:graphicData>
                  </a:graphic>
                </wp:inline>
              </w:drawing>
            </w:r>
            <w:bookmarkEnd w:id="137"/>
          </w:p>
          <w:p w14:paraId="31C19449">
            <w:pPr>
              <w:pStyle w:val="5"/>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图2-3     电缆输电线路施工流程及产污节点示意图</w:t>
            </w:r>
          </w:p>
          <w:p w14:paraId="7A3DA650">
            <w:pPr>
              <w:pStyle w:val="3"/>
              <w:shd w:val="clear"/>
              <w:rPr>
                <w:bCs w:val="0"/>
                <w:color w:val="000000" w:themeColor="text1"/>
                <w:szCs w:val="24"/>
                <w:highlight w:val="none"/>
                <w14:textFill>
                  <w14:solidFill>
                    <w14:schemeClr w14:val="tx1"/>
                  </w14:solidFill>
                </w14:textFill>
              </w:rPr>
            </w:pPr>
            <w:bookmarkStart w:id="138" w:name="_Toc24414"/>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 xml:space="preserve"> </w:t>
            </w:r>
            <w:r>
              <w:rPr>
                <w:bCs w:val="0"/>
                <w:color w:val="000000" w:themeColor="text1"/>
                <w:szCs w:val="24"/>
                <w:highlight w:val="none"/>
                <w14:textFill>
                  <w14:solidFill>
                    <w14:schemeClr w14:val="tx1"/>
                  </w14:solidFill>
                </w14:textFill>
              </w:rPr>
              <w:t>升压站工程施工</w:t>
            </w:r>
            <w:bookmarkEnd w:id="135"/>
            <w:bookmarkEnd w:id="136"/>
            <w:bookmarkEnd w:id="138"/>
          </w:p>
          <w:p w14:paraId="2A224EA3">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（1）场地平整：对施工场地进行平整、清理；</w:t>
            </w:r>
          </w:p>
          <w:p w14:paraId="012F9B8F">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（2）基础开挖：主要包括土方开挖、浇筑地基、地基回填等；</w:t>
            </w:r>
          </w:p>
          <w:p w14:paraId="1A6F7659">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（3）土建工程建设：为配电楼及附属用房的建设等，主要包括钢筋砼浇筑、墙体砌筑、屋面制作、门窗制作等工程；</w:t>
            </w:r>
          </w:p>
          <w:p w14:paraId="411BED0E">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（4）设备安装及调试：主要包括各设施、设备、管线的安装、调试等；</w:t>
            </w:r>
          </w:p>
          <w:p w14:paraId="67620451">
            <w:pPr>
              <w:pStyle w:val="3"/>
              <w:shd w:val="clear"/>
              <w:rPr>
                <w:color w:val="000000" w:themeColor="text1"/>
                <w:highlight w:val="none"/>
                <w14:textFill>
                  <w14:solidFill>
                    <w14:schemeClr w14:val="tx1"/>
                  </w14:solidFill>
                </w14:textFill>
              </w:rPr>
            </w:pPr>
            <w:bookmarkStart w:id="139" w:name="_Toc31579"/>
            <w:bookmarkStart w:id="140" w:name="_Toc3212"/>
            <w:bookmarkStart w:id="141" w:name="_Toc32646"/>
            <w:r>
              <w:rPr>
                <w:b w:val="0"/>
                <w:bCs w:val="0"/>
                <w:color w:val="000000" w:themeColor="text1"/>
                <w:szCs w:val="24"/>
                <w:highlight w:val="none"/>
                <w14:textFill>
                  <w14:solidFill>
                    <w14:schemeClr w14:val="tx1"/>
                  </w14:solidFill>
                </w14:textFill>
              </w:rPr>
              <w:drawing>
                <wp:inline distT="0" distB="0" distL="114300" distR="114300">
                  <wp:extent cx="4694555" cy="1145540"/>
                  <wp:effectExtent l="0" t="0" r="10795" b="17145"/>
                  <wp:docPr id="4" name="图片 2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图片1"/>
                          <pic:cNvPicPr>
                            <a:picLocks noChangeAspect="1"/>
                          </pic:cNvPicPr>
                        </pic:nvPicPr>
                        <pic:blipFill>
                          <a:blip r:embed="rId15"/>
                          <a:srcRect t="75505"/>
                          <a:stretch>
                            <a:fillRect/>
                          </a:stretch>
                        </pic:blipFill>
                        <pic:spPr>
                          <a:xfrm>
                            <a:off x="0" y="0"/>
                            <a:ext cx="4694555" cy="1145540"/>
                          </a:xfrm>
                          <a:prstGeom prst="rect">
                            <a:avLst/>
                          </a:prstGeom>
                          <a:noFill/>
                          <a:ln>
                            <a:noFill/>
                          </a:ln>
                        </pic:spPr>
                      </pic:pic>
                    </a:graphicData>
                  </a:graphic>
                </wp:inline>
              </w:drawing>
            </w:r>
            <w:bookmarkEnd w:id="139"/>
            <w:bookmarkEnd w:id="140"/>
            <w:bookmarkEnd w:id="141"/>
          </w:p>
          <w:p w14:paraId="364C91DC">
            <w:pPr>
              <w:pStyle w:val="5"/>
              <w:shd w:val="clear"/>
              <w:ind w:firstLine="2319" w:firstLineChars="11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图2-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升压站施工工艺流程图</w:t>
            </w:r>
          </w:p>
          <w:p w14:paraId="3284771F">
            <w:pPr>
              <w:pStyle w:val="3"/>
              <w:shd w:val="clear"/>
              <w:rPr>
                <w:color w:val="000000" w:themeColor="text1"/>
                <w:highlight w:val="none"/>
                <w14:textFill>
                  <w14:solidFill>
                    <w14:schemeClr w14:val="tx1"/>
                  </w14:solidFill>
                </w14:textFill>
              </w:rPr>
            </w:pPr>
            <w:bookmarkStart w:id="142" w:name="_Toc31107"/>
            <w:bookmarkStart w:id="143" w:name="_Toc12498"/>
            <w:bookmarkStart w:id="144" w:name="_Toc8339"/>
            <w:r>
              <w:rPr>
                <w:color w:val="000000" w:themeColor="text1"/>
                <w:highlight w:val="none"/>
                <w14:textFill>
                  <w14:solidFill>
                    <w14:schemeClr w14:val="tx1"/>
                  </w14:solidFill>
                </w14:textFill>
              </w:rPr>
              <w:t>2、施工时序</w:t>
            </w:r>
            <w:bookmarkEnd w:id="142"/>
            <w:bookmarkEnd w:id="143"/>
            <w:bookmarkEnd w:id="144"/>
          </w:p>
          <w:p w14:paraId="1EDA9DB5">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根据项目公司工程进度总要求，本项目总工期为6个月。工程筹建准备期1个月。</w:t>
            </w:r>
          </w:p>
          <w:p w14:paraId="43E0DA2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升压站工程施工于第1月底开始，于第5月中旬完工。工程于第6月底投产运行。</w:t>
            </w:r>
          </w:p>
          <w:p w14:paraId="241D18BB">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本项目施工控制进度：</w:t>
            </w:r>
          </w:p>
          <w:p w14:paraId="0B4A7143">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（1）道路施工</w:t>
            </w:r>
          </w:p>
          <w:p w14:paraId="41E7DB13">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（2）升压站施工</w:t>
            </w:r>
          </w:p>
          <w:p w14:paraId="76CC498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（3）送出线路施工</w:t>
            </w:r>
          </w:p>
          <w:p w14:paraId="162DDA40">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从第1月1日起到第1月30日为施工准备期，主要完成施工临建修筑。</w:t>
            </w:r>
          </w:p>
          <w:p w14:paraId="781A75D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从第2月1日起到第4月30日完成升压站及进站道路的修筑。</w:t>
            </w:r>
          </w:p>
          <w:p w14:paraId="2A27492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从第4月15日起可以先后开始升压站基础的施工，此工作可持续至第5月中旬。同期进行输电线路施工及主变扩建施工。</w:t>
            </w:r>
          </w:p>
          <w:p w14:paraId="402DBF1F">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从第5月中起开始对所有安装项目内容进行全面检查测试，到第6月底全部并网发电，投入试运行。</w:t>
            </w:r>
          </w:p>
          <w:p w14:paraId="3609E852">
            <w:pPr>
              <w:pStyle w:val="3"/>
              <w:shd w:val="clear"/>
              <w:rPr>
                <w:bCs w:val="0"/>
                <w:color w:val="000000" w:themeColor="text1"/>
                <w:szCs w:val="24"/>
                <w:highlight w:val="none"/>
                <w14:textFill>
                  <w14:solidFill>
                    <w14:schemeClr w14:val="tx1"/>
                  </w14:solidFill>
                </w14:textFill>
              </w:rPr>
            </w:pPr>
            <w:bookmarkStart w:id="145" w:name="_Toc20254"/>
            <w:bookmarkStart w:id="146" w:name="_Toc19000"/>
            <w:bookmarkStart w:id="147" w:name="_Toc3708"/>
            <w:r>
              <w:rPr>
                <w:color w:val="000000" w:themeColor="text1"/>
                <w:highlight w:val="none"/>
                <w14:textFill>
                  <w14:solidFill>
                    <w14:schemeClr w14:val="tx1"/>
                  </w14:solidFill>
                </w14:textFill>
              </w:rPr>
              <w:t>3、</w:t>
            </w:r>
            <w:r>
              <w:rPr>
                <w:bCs w:val="0"/>
                <w:color w:val="000000" w:themeColor="text1"/>
                <w:szCs w:val="24"/>
                <w:highlight w:val="none"/>
                <w14:textFill>
                  <w14:solidFill>
                    <w14:schemeClr w14:val="tx1"/>
                  </w14:solidFill>
                </w14:textFill>
              </w:rPr>
              <w:t>施工条件</w:t>
            </w:r>
            <w:bookmarkEnd w:id="145"/>
            <w:bookmarkEnd w:id="146"/>
            <w:bookmarkEnd w:id="147"/>
          </w:p>
          <w:p w14:paraId="35226662">
            <w:pPr>
              <w:pStyle w:val="3"/>
              <w:shd w:val="clear"/>
              <w:rPr>
                <w:color w:val="000000" w:themeColor="text1"/>
                <w:highlight w:val="none"/>
                <w14:textFill>
                  <w14:solidFill>
                    <w14:schemeClr w14:val="tx1"/>
                  </w14:solidFill>
                </w14:textFill>
              </w:rPr>
            </w:pPr>
            <w:bookmarkStart w:id="148" w:name="_Toc16904"/>
            <w:bookmarkStart w:id="149" w:name="_Toc19140"/>
            <w:bookmarkStart w:id="150" w:name="_Toc18444"/>
            <w:r>
              <w:rPr>
                <w:color w:val="000000" w:themeColor="text1"/>
                <w:highlight w:val="none"/>
                <w14:textFill>
                  <w14:solidFill>
                    <w14:schemeClr w14:val="tx1"/>
                  </w14:solidFill>
                </w14:textFill>
              </w:rPr>
              <w:t>3.1施工用水</w:t>
            </w:r>
            <w:bookmarkEnd w:id="148"/>
            <w:bookmarkEnd w:id="149"/>
            <w:bookmarkEnd w:id="150"/>
          </w:p>
          <w:p w14:paraId="03BE9A3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本项目施工用水由建筑施工用水、生活用水等组成，依托市政给水管网。</w:t>
            </w:r>
          </w:p>
          <w:p w14:paraId="422EF6F0">
            <w:pPr>
              <w:pStyle w:val="3"/>
              <w:shd w:val="clear"/>
              <w:rPr>
                <w:color w:val="000000" w:themeColor="text1"/>
                <w:highlight w:val="none"/>
                <w14:textFill>
                  <w14:solidFill>
                    <w14:schemeClr w14:val="tx1"/>
                  </w14:solidFill>
                </w14:textFill>
              </w:rPr>
            </w:pPr>
            <w:bookmarkStart w:id="151" w:name="_Toc20775"/>
            <w:bookmarkStart w:id="152" w:name="_Toc23650"/>
            <w:bookmarkStart w:id="153" w:name="_Toc6779"/>
            <w:r>
              <w:rPr>
                <w:color w:val="000000" w:themeColor="text1"/>
                <w:highlight w:val="none"/>
                <w14:textFill>
                  <w14:solidFill>
                    <w14:schemeClr w14:val="tx1"/>
                  </w14:solidFill>
                </w14:textFill>
              </w:rPr>
              <w:t>3.2施工用电</w:t>
            </w:r>
            <w:bookmarkEnd w:id="151"/>
            <w:bookmarkEnd w:id="152"/>
            <w:bookmarkEnd w:id="153"/>
          </w:p>
          <w:p w14:paraId="1EC42F8E">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施工期用电取自附近10kV线路，接入过程不新增占地，接线通过变压器接到施工作业面的配电柜供电。</w:t>
            </w:r>
          </w:p>
        </w:tc>
      </w:tr>
      <w:tr w14:paraId="40F4B3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vAlign w:val="center"/>
          </w:tcPr>
          <w:p w14:paraId="11BB899C">
            <w:pPr>
              <w:shd w:val="clear"/>
              <w:ind w:firstLine="480"/>
              <w:rPr>
                <w:color w:val="000000" w:themeColor="text1"/>
                <w:kern w:val="0"/>
                <w:highlight w:val="none"/>
                <w14:textFill>
                  <w14:solidFill>
                    <w14:schemeClr w14:val="tx1"/>
                  </w14:solidFill>
                </w14:textFill>
              </w:rPr>
            </w:pPr>
          </w:p>
          <w:p w14:paraId="629AD028">
            <w:pPr>
              <w:shd w:val="clear"/>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其他</w:t>
            </w:r>
          </w:p>
        </w:tc>
        <w:tc>
          <w:tcPr>
            <w:tcW w:w="8065" w:type="dxa"/>
          </w:tcPr>
          <w:p w14:paraId="683067FE">
            <w:pPr>
              <w:shd w:val="clear"/>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  无</w:t>
            </w:r>
          </w:p>
          <w:p w14:paraId="241276D5">
            <w:pPr>
              <w:pStyle w:val="67"/>
              <w:shd w:val="clear"/>
              <w:ind w:left="0" w:leftChars="0" w:firstLine="0" w:firstLineChars="0"/>
              <w:rPr>
                <w:rFonts w:cs="Times New Roman"/>
                <w:color w:val="000000" w:themeColor="text1"/>
                <w:highlight w:val="none"/>
                <w14:textFill>
                  <w14:solidFill>
                    <w14:schemeClr w14:val="tx1"/>
                  </w14:solidFill>
                </w14:textFill>
              </w:rPr>
            </w:pPr>
          </w:p>
          <w:p w14:paraId="73659102">
            <w:pPr>
              <w:pStyle w:val="67"/>
              <w:shd w:val="clear"/>
              <w:ind w:left="0" w:leftChars="0" w:firstLine="0" w:firstLineChars="0"/>
              <w:rPr>
                <w:rFonts w:cs="Times New Roman"/>
                <w:color w:val="000000" w:themeColor="text1"/>
                <w:highlight w:val="none"/>
                <w14:textFill>
                  <w14:solidFill>
                    <w14:schemeClr w14:val="tx1"/>
                  </w14:solidFill>
                </w14:textFill>
              </w:rPr>
            </w:pPr>
          </w:p>
          <w:p w14:paraId="1A78EC72">
            <w:pPr>
              <w:pStyle w:val="67"/>
              <w:shd w:val="clear"/>
              <w:ind w:left="0" w:leftChars="0" w:firstLine="0" w:firstLineChars="0"/>
              <w:rPr>
                <w:rFonts w:cs="Times New Roman"/>
                <w:color w:val="000000" w:themeColor="text1"/>
                <w:highlight w:val="none"/>
                <w14:textFill>
                  <w14:solidFill>
                    <w14:schemeClr w14:val="tx1"/>
                  </w14:solidFill>
                </w14:textFill>
              </w:rPr>
            </w:pPr>
          </w:p>
          <w:p w14:paraId="2C13887D">
            <w:pPr>
              <w:pStyle w:val="67"/>
              <w:shd w:val="clear"/>
              <w:ind w:left="0" w:leftChars="0" w:firstLine="0" w:firstLineChars="0"/>
              <w:rPr>
                <w:rFonts w:cs="Times New Roman"/>
                <w:color w:val="000000" w:themeColor="text1"/>
                <w:highlight w:val="none"/>
                <w14:textFill>
                  <w14:solidFill>
                    <w14:schemeClr w14:val="tx1"/>
                  </w14:solidFill>
                </w14:textFill>
              </w:rPr>
            </w:pPr>
          </w:p>
          <w:p w14:paraId="0467EA4C">
            <w:pPr>
              <w:pStyle w:val="67"/>
              <w:shd w:val="clear"/>
              <w:ind w:left="0" w:leftChars="0" w:firstLine="0" w:firstLineChars="0"/>
              <w:rPr>
                <w:rFonts w:cs="Times New Roman"/>
                <w:color w:val="000000" w:themeColor="text1"/>
                <w:highlight w:val="none"/>
                <w14:textFill>
                  <w14:solidFill>
                    <w14:schemeClr w14:val="tx1"/>
                  </w14:solidFill>
                </w14:textFill>
              </w:rPr>
            </w:pPr>
          </w:p>
          <w:p w14:paraId="219412A5">
            <w:pPr>
              <w:pStyle w:val="67"/>
              <w:shd w:val="clear"/>
              <w:ind w:left="0" w:leftChars="0" w:firstLine="0" w:firstLineChars="0"/>
              <w:rPr>
                <w:rFonts w:cs="Times New Roman"/>
                <w:color w:val="000000" w:themeColor="text1"/>
                <w:highlight w:val="none"/>
                <w14:textFill>
                  <w14:solidFill>
                    <w14:schemeClr w14:val="tx1"/>
                  </w14:solidFill>
                </w14:textFill>
              </w:rPr>
            </w:pPr>
          </w:p>
          <w:p w14:paraId="489BFDC9">
            <w:pPr>
              <w:pStyle w:val="67"/>
              <w:shd w:val="clear"/>
              <w:ind w:left="0" w:leftChars="0" w:firstLine="0" w:firstLineChars="0"/>
              <w:rPr>
                <w:rFonts w:cs="Times New Roman"/>
                <w:color w:val="000000" w:themeColor="text1"/>
                <w:highlight w:val="none"/>
                <w14:textFill>
                  <w14:solidFill>
                    <w14:schemeClr w14:val="tx1"/>
                  </w14:solidFill>
                </w14:textFill>
              </w:rPr>
            </w:pPr>
          </w:p>
          <w:p w14:paraId="2363EA8D">
            <w:pPr>
              <w:pStyle w:val="67"/>
              <w:shd w:val="clear"/>
              <w:ind w:left="0" w:leftChars="0" w:firstLine="0" w:firstLineChars="0"/>
              <w:rPr>
                <w:rFonts w:cs="Times New Roman"/>
                <w:color w:val="000000" w:themeColor="text1"/>
                <w:highlight w:val="none"/>
                <w14:textFill>
                  <w14:solidFill>
                    <w14:schemeClr w14:val="tx1"/>
                  </w14:solidFill>
                </w14:textFill>
              </w:rPr>
            </w:pPr>
          </w:p>
          <w:p w14:paraId="4B29F797">
            <w:pPr>
              <w:pStyle w:val="67"/>
              <w:shd w:val="clear"/>
              <w:ind w:left="0" w:leftChars="0" w:firstLine="0" w:firstLineChars="0"/>
              <w:rPr>
                <w:rFonts w:cs="Times New Roman"/>
                <w:color w:val="000000" w:themeColor="text1"/>
                <w:highlight w:val="none"/>
                <w14:textFill>
                  <w14:solidFill>
                    <w14:schemeClr w14:val="tx1"/>
                  </w14:solidFill>
                </w14:textFill>
              </w:rPr>
            </w:pPr>
          </w:p>
          <w:p w14:paraId="34C9E8CC">
            <w:pPr>
              <w:pStyle w:val="67"/>
              <w:shd w:val="clear"/>
              <w:ind w:left="0" w:leftChars="0" w:firstLine="0" w:firstLineChars="0"/>
              <w:rPr>
                <w:rFonts w:cs="Times New Roman"/>
                <w:color w:val="000000" w:themeColor="text1"/>
                <w:highlight w:val="none"/>
                <w14:textFill>
                  <w14:solidFill>
                    <w14:schemeClr w14:val="tx1"/>
                  </w14:solidFill>
                </w14:textFill>
              </w:rPr>
            </w:pPr>
          </w:p>
        </w:tc>
      </w:tr>
    </w:tbl>
    <w:p w14:paraId="068E641E">
      <w:pPr>
        <w:pStyle w:val="28"/>
        <w:shd w:val="clear"/>
        <w:spacing w:before="0" w:beforeAutospacing="0" w:after="0" w:afterAutospacing="0" w:line="240" w:lineRule="auto"/>
        <w:ind w:firstLine="482"/>
        <w:jc w:val="center"/>
        <w:outlineLvl w:val="0"/>
        <w:rPr>
          <w:rFonts w:ascii="Times New Roman" w:hAnsi="Times New Roman"/>
          <w:snapToGrid w:val="0"/>
          <w:sz w:val="30"/>
          <w:szCs w:val="30"/>
          <w:highlight w:val="none"/>
        </w:rPr>
      </w:pPr>
      <w:r>
        <w:rPr>
          <w:rFonts w:ascii="Times New Roman" w:hAnsi="Times New Roman"/>
          <w:b/>
          <w:bCs/>
          <w:highlight w:val="none"/>
        </w:rPr>
        <w:br w:type="page"/>
      </w:r>
      <w:bookmarkStart w:id="154" w:name="_Toc19162"/>
      <w:bookmarkStart w:id="155" w:name="_Toc16125"/>
      <w:bookmarkStart w:id="156" w:name="_Toc27658"/>
      <w:bookmarkStart w:id="157" w:name="_Toc19953"/>
      <w:r>
        <w:rPr>
          <w:rFonts w:ascii="Times New Roman" w:hAnsi="Times New Roman"/>
          <w:snapToGrid w:val="0"/>
          <w:sz w:val="30"/>
          <w:szCs w:val="30"/>
          <w:highlight w:val="none"/>
        </w:rPr>
        <w:t>三、生态环境现状、保护目标及评价标准</w:t>
      </w:r>
      <w:bookmarkEnd w:id="154"/>
      <w:bookmarkEnd w:id="155"/>
      <w:bookmarkEnd w:id="156"/>
      <w:bookmarkEnd w:id="157"/>
    </w:p>
    <w:tbl>
      <w:tblPr>
        <w:tblStyle w:val="33"/>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7774"/>
      </w:tblGrid>
      <w:tr w14:paraId="0ABEB7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1FA384A7">
            <w:pPr>
              <w:shd w:val="clear"/>
              <w:ind w:firstLine="0" w:firstLineChars="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生态环境现状</w:t>
            </w:r>
          </w:p>
        </w:tc>
        <w:tc>
          <w:tcPr>
            <w:tcW w:w="7774" w:type="dxa"/>
            <w:vAlign w:val="center"/>
          </w:tcPr>
          <w:p w14:paraId="5F24C585">
            <w:pPr>
              <w:pStyle w:val="3"/>
              <w:shd w:val="clear"/>
              <w:rPr>
                <w:color w:val="000000" w:themeColor="text1"/>
                <w:highlight w:val="none"/>
                <w14:textFill>
                  <w14:solidFill>
                    <w14:schemeClr w14:val="tx1"/>
                  </w14:solidFill>
                </w14:textFill>
              </w:rPr>
            </w:pPr>
            <w:bookmarkStart w:id="158" w:name="_Toc24681"/>
            <w:bookmarkStart w:id="159" w:name="_Toc14584"/>
            <w:bookmarkStart w:id="160" w:name="_Toc8913"/>
            <w:bookmarkStart w:id="161" w:name="_Toc19765120"/>
            <w:r>
              <w:rPr>
                <w:color w:val="000000" w:themeColor="text1"/>
                <w:highlight w:val="none"/>
                <w14:textFill>
                  <w14:solidFill>
                    <w14:schemeClr w14:val="tx1"/>
                  </w14:solidFill>
                </w14:textFill>
              </w:rPr>
              <w:t>1、生态环境质量现状</w:t>
            </w:r>
            <w:bookmarkEnd w:id="158"/>
            <w:bookmarkEnd w:id="159"/>
            <w:bookmarkEnd w:id="160"/>
          </w:p>
          <w:p w14:paraId="20BA6AC4">
            <w:pPr>
              <w:pStyle w:val="3"/>
              <w:shd w:val="clear"/>
              <w:rPr>
                <w:color w:val="000000" w:themeColor="text1"/>
                <w:highlight w:val="none"/>
                <w14:textFill>
                  <w14:solidFill>
                    <w14:schemeClr w14:val="tx1"/>
                  </w14:solidFill>
                </w14:textFill>
              </w:rPr>
            </w:pPr>
            <w:bookmarkStart w:id="162" w:name="_Toc16941"/>
            <w:bookmarkStart w:id="163" w:name="_Toc4774"/>
            <w:bookmarkStart w:id="164" w:name="_Toc9580"/>
            <w:r>
              <w:rPr>
                <w:color w:val="000000" w:themeColor="text1"/>
                <w:highlight w:val="none"/>
                <w14:textFill>
                  <w14:solidFill>
                    <w14:schemeClr w14:val="tx1"/>
                  </w14:solidFill>
                </w14:textFill>
              </w:rPr>
              <w:t>1.1主体功能区规划</w:t>
            </w:r>
            <w:bookmarkEnd w:id="162"/>
            <w:bookmarkEnd w:id="163"/>
            <w:bookmarkEnd w:id="164"/>
          </w:p>
          <w:p w14:paraId="2A9EA6D0">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根据项目区位置判断本项目属于《新疆主体功能区规划》自治区级的重点开发区域。</w:t>
            </w:r>
          </w:p>
          <w:p w14:paraId="2372499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该区域包括：天山南坡产业带地处天山南麓、塔里木盆地北缘，位。于南疆铁路和314国道发展轴。该区域包括库尔勒市主城区、焉耆回族自治县的焉耆镇、和静县的和静镇、和硕县的特吾里克镇、博湖县的博湖镇、尉犁县的尉犁镇、轮台县的轮台镇、库车县的库车镇、拜城县的拜城镇、沙雅县的沙雅镇、新和县的新和镇、阿克苏市城区、温宿县的温宿镇和阿拉尔市城区以及位于这些县市的重要工业园区。该区域的功能定位是:建成国家重要的石油天然气化工基地，新疆重要的煤炭生产和电力保障基地、装备制造基地、钢铁产业基地、农产品精深加工基地、纺织工业基地，着力增强对南疆经济的辐射带动作用。构建以和静一库尔勒一轮台、库车一沙雅-新和于贯彻实施功能凭的都阿尔点的空间格局。</w:t>
            </w:r>
          </w:p>
          <w:p w14:paraId="727DD90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--做大做强石油天然气、煤化工、盐化工、纺织、农可立口精深加工等特色优势产业，加快延伸产业链，形业集群。</w:t>
            </w:r>
          </w:p>
          <w:p w14:paraId="60FBE41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--加强城市基础设施建设，积极引导产业、人口、资金、技术向城市聚集，</w:t>
            </w:r>
            <w:r>
              <w:rPr>
                <w:rFonts w:hint="eastAsia"/>
                <w:color w:val="000000" w:themeColor="text1"/>
                <w:highlight w:val="none"/>
                <w:lang w:eastAsia="zh-CN"/>
                <w14:textFill>
                  <w14:solidFill>
                    <w14:schemeClr w14:val="tx1"/>
                  </w14:solidFill>
                </w14:textFill>
              </w:rPr>
              <w:t>增强</w:t>
            </w:r>
            <w:r>
              <w:rPr>
                <w:color w:val="000000" w:themeColor="text1"/>
                <w:highlight w:val="none"/>
                <w14:textFill>
                  <w14:solidFill>
                    <w14:schemeClr w14:val="tx1"/>
                  </w14:solidFill>
                </w14:textFill>
              </w:rPr>
              <w:t>资源要素集聚的功能。</w:t>
            </w:r>
          </w:p>
          <w:p w14:paraId="3A694A33">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合理开发利用塔里木河水资源，保护上游水环境，加强生态修复与环境整治。推进防沙治沙和生态防护林建设，实施塔克拉玛干沙漠北缘天然林封育与保护工程，加快恢复和保护湿地，保护水源地及其它生态敏感区。</w:t>
            </w:r>
          </w:p>
          <w:p w14:paraId="0A2A3E58">
            <w:pPr>
              <w:keepNext w:val="0"/>
              <w:keepLines w:val="0"/>
              <w:pageBreakBefore w:val="0"/>
              <w:widowControl w:val="0"/>
              <w:shd w:val="clear"/>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为输变电及储能项目，属于清洁能源基础设施，不属于大规模高强度工业化、城镇化开发活动，不涉及农产品主产区的限制性开发领域。项目区不涉及禁止开发区，不占用永久基本农田和耕地，符合农产品主产区</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保护耕地</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的核心要求。农产品主产区允许在资源环境可承载范围内发展包括能源基础设施在内的特色产业，本项目属于鼓励类的储能及输变电项目。</w:t>
            </w:r>
          </w:p>
          <w:p w14:paraId="58D2D327">
            <w:pPr>
              <w:keepNext w:val="0"/>
              <w:keepLines w:val="0"/>
              <w:pageBreakBefore w:val="0"/>
              <w:widowControl w:val="0"/>
              <w:shd w:val="clear"/>
              <w:kinsoku/>
              <w:wordWrap/>
              <w:overflowPunct/>
              <w:topLinePunct w:val="0"/>
              <w:autoSpaceDE/>
              <w:autoSpaceDN/>
              <w:bidi w:val="0"/>
              <w:adjustRightInd w:val="0"/>
              <w:snapToGrid w:val="0"/>
              <w:ind w:firstLine="480"/>
              <w:textAlignment w:val="auto"/>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综上，本项目建设与新疆主体功能区划相关要求相符合。</w:t>
            </w:r>
          </w:p>
          <w:p w14:paraId="4AAD6666">
            <w:pPr>
              <w:pStyle w:val="3"/>
              <w:shd w:val="clear"/>
              <w:rPr>
                <w:color w:val="000000" w:themeColor="text1"/>
                <w:highlight w:val="none"/>
                <w14:textFill>
                  <w14:solidFill>
                    <w14:schemeClr w14:val="tx1"/>
                  </w14:solidFill>
                </w14:textFill>
              </w:rPr>
            </w:pPr>
            <w:bookmarkStart w:id="165" w:name="_Toc11876"/>
            <w:bookmarkStart w:id="166" w:name="_Toc27518"/>
            <w:bookmarkStart w:id="167" w:name="_Toc12566"/>
            <w:r>
              <w:rPr>
                <w:color w:val="000000" w:themeColor="text1"/>
                <w:highlight w:val="none"/>
                <w14:textFill>
                  <w14:solidFill>
                    <w14:schemeClr w14:val="tx1"/>
                  </w14:solidFill>
                </w14:textFill>
              </w:rPr>
              <w:t>1.2生态功能区划</w:t>
            </w:r>
            <w:bookmarkEnd w:id="165"/>
            <w:bookmarkEnd w:id="166"/>
            <w:bookmarkEnd w:id="167"/>
          </w:p>
          <w:p w14:paraId="793E298C">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根据《新疆生态功能区划简表》，本项目评价区属于</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Ⅳ塔里木盆地暖温荒漠及绿洲农业生态区—Ⅳ1塔里木盆地西部、北部荒漠及绿洲农业生态亚区—54库尔勒—轮台城镇和石油基地建设生态功能区</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，该项目功能区</w:t>
            </w:r>
            <w:r>
              <w:rPr>
                <w:rFonts w:hint="eastAsia"/>
                <w:color w:val="000000" w:themeColor="text1"/>
                <w:highlight w:val="none"/>
                <w:lang w:eastAsia="zh-CN"/>
                <w14:textFill>
                  <w14:solidFill>
                    <w14:schemeClr w14:val="tx1"/>
                  </w14:solidFill>
                </w14:textFill>
              </w:rPr>
              <w:t>主要</w:t>
            </w:r>
            <w:r>
              <w:rPr>
                <w:color w:val="000000" w:themeColor="text1"/>
                <w:highlight w:val="none"/>
                <w14:textFill>
                  <w14:solidFill>
                    <w14:schemeClr w14:val="tx1"/>
                  </w14:solidFill>
                </w14:textFill>
              </w:rPr>
              <w:t>特征，见表3-1。</w:t>
            </w:r>
          </w:p>
          <w:p w14:paraId="60CCDF89">
            <w:pPr>
              <w:pStyle w:val="61"/>
              <w:shd w:val="clear"/>
              <w:ind w:firstLine="398" w:firstLineChars="200"/>
              <w:jc w:val="both"/>
              <w:rPr>
                <w:b/>
                <w:bCs/>
                <w:color w:val="000000" w:themeColor="text1"/>
                <w:spacing w:val="-6"/>
                <w:highlight w:val="none"/>
                <w14:textFill>
                  <w14:solidFill>
                    <w14:schemeClr w14:val="tx1"/>
                  </w14:solidFill>
                </w14:textFill>
              </w:rPr>
            </w:pPr>
            <w:r>
              <w:rPr>
                <w:b/>
                <w:bCs/>
                <w:color w:val="000000" w:themeColor="text1"/>
                <w:spacing w:val="-6"/>
                <w:highlight w:val="none"/>
                <w14:textFill>
                  <w14:solidFill>
                    <w14:schemeClr w14:val="tx1"/>
                  </w14:solidFill>
                </w14:textFill>
              </w:rPr>
              <w:t>表3-1                         生态功能区主要特征</w:t>
            </w:r>
          </w:p>
          <w:tbl>
            <w:tblPr>
              <w:tblStyle w:val="33"/>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5103"/>
            </w:tblGrid>
            <w:tr w14:paraId="7157C8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623" w:type="pct"/>
                  <w:tcBorders>
                    <w:tl2br w:val="single" w:color="auto" w:sz="4" w:space="0"/>
                  </w:tcBorders>
                  <w:vAlign w:val="center"/>
                </w:tcPr>
                <w:p w14:paraId="2EA8786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名称</w:t>
                  </w:r>
                </w:p>
                <w:p w14:paraId="101F643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内容</w:t>
                  </w:r>
                </w:p>
              </w:tc>
              <w:tc>
                <w:tcPr>
                  <w:tcW w:w="3376" w:type="pct"/>
                  <w:vAlign w:val="center"/>
                </w:tcPr>
                <w:p w14:paraId="1F53EA7F">
                  <w:pPr>
                    <w:pStyle w:val="10"/>
                    <w:shd w:val="clear"/>
                    <w:rPr>
                      <w:color w:val="000000" w:themeColor="text1"/>
                      <w:sz w:val="18"/>
                      <w:highlight w:val="none"/>
                      <w14:textFill>
                        <w14:solidFill>
                          <w14:schemeClr w14:val="tx1"/>
                        </w14:solidFill>
                      </w14:textFill>
                    </w:rPr>
                  </w:pPr>
                  <w:r>
                    <w:rPr>
                      <w:rFonts w:hint="eastAsia"/>
                      <w:color w:val="000000" w:themeColor="text1"/>
                      <w:sz w:val="18"/>
                      <w:highlight w:val="none"/>
                      <w:lang w:eastAsia="zh-CN"/>
                      <w14:textFill>
                        <w14:solidFill>
                          <w14:schemeClr w14:val="tx1"/>
                        </w14:solidFill>
                      </w14:textFill>
                    </w:rPr>
                    <w:t>54.</w:t>
                  </w:r>
                  <w:r>
                    <w:rPr>
                      <w:color w:val="000000" w:themeColor="text1"/>
                      <w:sz w:val="18"/>
                      <w:highlight w:val="none"/>
                      <w14:textFill>
                        <w14:solidFill>
                          <w14:schemeClr w14:val="tx1"/>
                        </w14:solidFill>
                      </w14:textFill>
                    </w:rPr>
                    <w:t>库尔勒—轮台城镇和石油基地建设生态功能区</w:t>
                  </w:r>
                </w:p>
              </w:tc>
            </w:tr>
            <w:tr w14:paraId="0E78A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3" w:type="pct"/>
                  <w:vAlign w:val="center"/>
                </w:tcPr>
                <w:p w14:paraId="4FA74F7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主要生态服务功能</w:t>
                  </w:r>
                </w:p>
              </w:tc>
              <w:tc>
                <w:tcPr>
                  <w:tcW w:w="3376" w:type="pct"/>
                  <w:vAlign w:val="center"/>
                </w:tcPr>
                <w:p w14:paraId="60A0A8C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城市人居环境、工农业产品生产、油气资源</w:t>
                  </w:r>
                </w:p>
              </w:tc>
            </w:tr>
            <w:tr w14:paraId="7713C9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3" w:type="pct"/>
                  <w:vAlign w:val="center"/>
                </w:tcPr>
                <w:p w14:paraId="453D4FC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主要生态环境问题</w:t>
                  </w:r>
                </w:p>
              </w:tc>
              <w:tc>
                <w:tcPr>
                  <w:tcW w:w="3376" w:type="pct"/>
                  <w:vAlign w:val="center"/>
                </w:tcPr>
                <w:p w14:paraId="5C2AF55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水质污染、风沙危害、土壤盐碱化、洪水灾害、浮尘天气、盲目开荒、土壤环境污染</w:t>
                  </w:r>
                </w:p>
              </w:tc>
            </w:tr>
            <w:tr w14:paraId="7A2F2E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3" w:type="pct"/>
                  <w:vAlign w:val="center"/>
                </w:tcPr>
                <w:p w14:paraId="4D2EAF5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主要生态敏感因子、敏感程度</w:t>
                  </w:r>
                </w:p>
              </w:tc>
              <w:tc>
                <w:tcPr>
                  <w:tcW w:w="3376" w:type="pct"/>
                  <w:vAlign w:val="center"/>
                </w:tcPr>
                <w:p w14:paraId="1309CDF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生物多样性及其生境中度敏感，土壤盐渍化高度敏感</w:t>
                  </w:r>
                </w:p>
              </w:tc>
            </w:tr>
            <w:tr w14:paraId="6ECF5E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3" w:type="pct"/>
                  <w:vAlign w:val="center"/>
                </w:tcPr>
                <w:p w14:paraId="7F05D6A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主要保护目标</w:t>
                  </w:r>
                </w:p>
              </w:tc>
              <w:tc>
                <w:tcPr>
                  <w:tcW w:w="3376" w:type="pct"/>
                  <w:vAlign w:val="center"/>
                </w:tcPr>
                <w:p w14:paraId="1E0988B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保护城市环境、保护基本农田、保护荒漠植被、保护河流水质、保护土壤环境质量</w:t>
                  </w:r>
                </w:p>
              </w:tc>
            </w:tr>
            <w:tr w14:paraId="51B630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3" w:type="pct"/>
                  <w:vAlign w:val="center"/>
                </w:tcPr>
                <w:p w14:paraId="2470E10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主要保护措施</w:t>
                  </w:r>
                </w:p>
              </w:tc>
              <w:tc>
                <w:tcPr>
                  <w:tcW w:w="3376" w:type="pct"/>
                  <w:vAlign w:val="center"/>
                </w:tcPr>
                <w:p w14:paraId="1975A7E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增加城市绿地面积、建设城市防护林、污水处理和资源化利用、减少农药地膜化肥污染、改良盐渍土壤</w:t>
                  </w:r>
                </w:p>
              </w:tc>
            </w:tr>
            <w:tr w14:paraId="190D9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23" w:type="pct"/>
                  <w:vAlign w:val="center"/>
                </w:tcPr>
                <w:p w14:paraId="5570004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适宜发展方向</w:t>
                  </w:r>
                </w:p>
              </w:tc>
              <w:tc>
                <w:tcPr>
                  <w:tcW w:w="3376" w:type="pct"/>
                  <w:vAlign w:val="center"/>
                </w:tcPr>
                <w:p w14:paraId="44C6C8AE">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发展生态农业，建立香梨和人工甘草基地，建成石油基地和南疆商贸中心和物资集散地</w:t>
                  </w:r>
                </w:p>
              </w:tc>
            </w:tr>
          </w:tbl>
          <w:p w14:paraId="1063909B">
            <w:pPr>
              <w:shd w:val="clear"/>
              <w:autoSpaceDE w:val="0"/>
              <w:autoSpaceDN w:val="0"/>
              <w:ind w:firstLine="480"/>
              <w:rPr>
                <w:rFonts w:hint="eastAsia"/>
                <w:color w:val="000000" w:themeColor="text1"/>
                <w:highlight w:val="none"/>
                <w14:textFill>
                  <w14:solidFill>
                    <w14:schemeClr w14:val="tx1"/>
                  </w14:solidFill>
                </w14:textFill>
              </w:rPr>
            </w:pPr>
            <w:bookmarkStart w:id="168" w:name="_Toc19991"/>
            <w:r>
              <w:rPr>
                <w:rFonts w:hint="eastAsia"/>
                <w:color w:val="000000" w:themeColor="text1"/>
                <w:highlight w:val="none"/>
                <w14:textFill>
                  <w14:solidFill>
                    <w14:schemeClr w14:val="tx1"/>
                  </w14:solidFill>
                </w14:textFill>
              </w:rPr>
              <w:t>本工程运行期不会对生态环境产生阻隔影响，对生物多样性及其生境影响较小。项目在实施过程中将按环评要求落实各项生态环境保护措施，高度重视保护植被及动物，保护地貌，维护自然生态环境。</w:t>
            </w:r>
          </w:p>
          <w:p w14:paraId="56F297C2">
            <w:pPr>
              <w:shd w:val="clear"/>
              <w:autoSpaceDE w:val="0"/>
              <w:autoSpaceDN w:val="0"/>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因此，本项目建设符合《新疆维吾尔自治区生态功能区划》，与区域生态功能的保护要求是协调的。</w:t>
            </w:r>
          </w:p>
          <w:p w14:paraId="39D3DD1E">
            <w:pPr>
              <w:pStyle w:val="3"/>
              <w:shd w:val="clear"/>
              <w:rPr>
                <w:color w:val="000000" w:themeColor="text1"/>
                <w:highlight w:val="none"/>
                <w14:textFill>
                  <w14:solidFill>
                    <w14:schemeClr w14:val="tx1"/>
                  </w14:solidFill>
                </w14:textFill>
              </w:rPr>
            </w:pPr>
            <w:bookmarkStart w:id="169" w:name="_Toc25148"/>
            <w:bookmarkStart w:id="170" w:name="_Toc8687"/>
            <w:r>
              <w:rPr>
                <w:color w:val="000000" w:themeColor="text1"/>
                <w:highlight w:val="none"/>
                <w14:textFill>
                  <w14:solidFill>
                    <w14:schemeClr w14:val="tx1"/>
                  </w14:solidFill>
                </w14:textFill>
              </w:rPr>
              <w:t>1.3土地现状利用类型</w:t>
            </w:r>
            <w:bookmarkEnd w:id="168"/>
            <w:bookmarkEnd w:id="169"/>
            <w:bookmarkEnd w:id="170"/>
          </w:p>
          <w:p w14:paraId="0FD6A616">
            <w:pPr>
              <w:shd w:val="clear"/>
              <w:autoSpaceDE w:val="0"/>
              <w:autoSpaceDN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本方案通过参照《土地利用现状分类》（GB/T 21010-2017）、第三次全国土地调查的成果，结合本项目所在区域的Google Earth影像图（影像时间为2020年）分析，并经现场调查核实，采用AUTOCAD和MAPGIS绘图软件进行内业数据处理、叠加分析和面积量算，最终获得项目区土地利用类型、面积、权属、空间分布等信息数据。</w:t>
            </w:r>
          </w:p>
          <w:p w14:paraId="38AE59D5">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土地不涉及国家自然保护区，无耕地存在，不涉及基本农田。</w:t>
            </w:r>
            <w:r>
              <w:rPr>
                <w:bCs/>
                <w:iCs/>
                <w:color w:val="000000" w:themeColor="text1"/>
                <w:highlight w:val="none"/>
                <w14:textFill>
                  <w14:solidFill>
                    <w14:schemeClr w14:val="tx1"/>
                  </w14:solidFill>
                </w14:textFill>
              </w:rPr>
              <w:t>土地利用类型见附图9。</w:t>
            </w:r>
          </w:p>
          <w:p w14:paraId="13B910EE">
            <w:pPr>
              <w:pStyle w:val="3"/>
              <w:shd w:val="clear"/>
              <w:rPr>
                <w:color w:val="000000" w:themeColor="text1"/>
                <w:highlight w:val="none"/>
                <w14:textFill>
                  <w14:solidFill>
                    <w14:schemeClr w14:val="tx1"/>
                  </w14:solidFill>
                </w14:textFill>
              </w:rPr>
            </w:pPr>
            <w:bookmarkStart w:id="171" w:name="_Toc9184"/>
            <w:bookmarkStart w:id="172" w:name="_Toc5680"/>
            <w:bookmarkStart w:id="173" w:name="_Toc1998"/>
            <w:r>
              <w:rPr>
                <w:color w:val="000000" w:themeColor="text1"/>
                <w:highlight w:val="none"/>
                <w14:textFill>
                  <w14:solidFill>
                    <w14:schemeClr w14:val="tx1"/>
                  </w14:solidFill>
                </w14:textFill>
              </w:rPr>
              <w:t>1.4植被类型分析</w:t>
            </w:r>
            <w:bookmarkEnd w:id="171"/>
            <w:bookmarkEnd w:id="172"/>
            <w:bookmarkEnd w:id="173"/>
          </w:p>
          <w:p w14:paraId="3DCB380D">
            <w:pPr>
              <w:shd w:val="clear"/>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根据新疆维吾尔自治区畜牧科学院草原研究所编制的《新疆维吾尔自治区草地类型图》和《新疆维吾尔自治区草地利用现状图》等资料进行分析汇总得出该区内植被现状。</w:t>
            </w:r>
          </w:p>
          <w:p w14:paraId="38323067">
            <w:pPr>
              <w:pStyle w:val="9"/>
              <w:shd w:val="clear"/>
              <w:ind w:firstLine="48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根据实地调查及查阅资料，项目区及附近地表绝大部分为荒漠，植被不发育，偶见刚毛柽柳、多枝柽柳等植被。地表植被属天然植被，分布不均匀，群落单一，多呈点状、簇状、片状出现，植被覆盖度不足1%，植被高度多小于30厘米，项目区无人工植被。项目区面积内植被类型属于含白刺、柽柳的芦苇、大花野麻盐生草甸，无保护植被，详见附图10、11。</w:t>
            </w:r>
          </w:p>
          <w:p w14:paraId="7877A58C">
            <w:pPr>
              <w:pStyle w:val="3"/>
              <w:shd w:val="clear"/>
              <w:rPr>
                <w:color w:val="000000" w:themeColor="text1"/>
                <w:highlight w:val="none"/>
                <w14:textFill>
                  <w14:solidFill>
                    <w14:schemeClr w14:val="tx1"/>
                  </w14:solidFill>
                </w14:textFill>
              </w:rPr>
            </w:pPr>
            <w:bookmarkStart w:id="174" w:name="_Toc14581"/>
            <w:bookmarkStart w:id="175" w:name="_Toc30311"/>
            <w:bookmarkStart w:id="176" w:name="_Toc7632"/>
            <w:r>
              <w:rPr>
                <w:color w:val="000000" w:themeColor="text1"/>
                <w:highlight w:val="none"/>
                <w14:textFill>
                  <w14:solidFill>
                    <w14:schemeClr w14:val="tx1"/>
                  </w14:solidFill>
                </w14:textFill>
              </w:rPr>
              <w:t>1.5土壤环境质量现状</w:t>
            </w:r>
            <w:bookmarkEnd w:id="174"/>
            <w:bookmarkEnd w:id="175"/>
            <w:bookmarkEnd w:id="176"/>
          </w:p>
          <w:p w14:paraId="2116ECA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根据中华人民共和国环境保护标准《环境影响评价技术导则 土壤环境（试行）》（HJ964-2018）中附录A：土壤环境影响评价项目类别可知，本项目为太阳能发电项目，属于：</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电力—其他</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项目，项目类别为Ⅳ类。</w:t>
            </w:r>
            <w:r>
              <w:rPr>
                <w:color w:val="000000" w:themeColor="text1"/>
                <w:kern w:val="0"/>
                <w:highlight w:val="none"/>
                <w:lang w:bidi="ar"/>
                <w14:textFill>
                  <w14:solidFill>
                    <w14:schemeClr w14:val="tx1"/>
                  </w14:solidFill>
                </w14:textFill>
              </w:rPr>
              <w:t>项目不涉及土壤盐化、碱化、酸化，应属土壤污染影响型项目，</w:t>
            </w:r>
            <w:r>
              <w:rPr>
                <w:color w:val="000000" w:themeColor="text1"/>
                <w:highlight w:val="none"/>
                <w14:textFill>
                  <w14:solidFill>
                    <w14:schemeClr w14:val="tx1"/>
                  </w14:solidFill>
                </w14:textFill>
              </w:rPr>
              <w:t>本项目区周边以山地为主，周边无环境敏感目标，敏感程度属于不敏感。本项目总占地面积为2.0159公顷，土壤类型为漠境盐土，详见附图12。根据《环境影响评价技术导则 土壤环境（试行）》（HJ964-2018）4.2.2中，本项目可不开展土壤环境质量现状调查。</w:t>
            </w:r>
          </w:p>
          <w:p w14:paraId="0781F287">
            <w:pPr>
              <w:pStyle w:val="3"/>
              <w:shd w:val="clear"/>
              <w:rPr>
                <w:color w:val="000000" w:themeColor="text1"/>
                <w:highlight w:val="none"/>
                <w14:textFill>
                  <w14:solidFill>
                    <w14:schemeClr w14:val="tx1"/>
                  </w14:solidFill>
                </w14:textFill>
              </w:rPr>
            </w:pPr>
            <w:bookmarkStart w:id="177" w:name="_Toc11660"/>
            <w:bookmarkStart w:id="178" w:name="_Toc9897"/>
            <w:bookmarkStart w:id="179" w:name="_Toc18672"/>
            <w:r>
              <w:rPr>
                <w:color w:val="000000" w:themeColor="text1"/>
                <w:highlight w:val="none"/>
                <w14:textFill>
                  <w14:solidFill>
                    <w14:schemeClr w14:val="tx1"/>
                  </w14:solidFill>
                </w14:textFill>
              </w:rPr>
              <w:t>1.6动物分布情况</w:t>
            </w:r>
            <w:bookmarkEnd w:id="177"/>
            <w:bookmarkEnd w:id="178"/>
            <w:bookmarkEnd w:id="179"/>
          </w:p>
          <w:p w14:paraId="1F41E46F">
            <w:pPr>
              <w:widowControl/>
              <w:shd w:val="clear"/>
              <w:ind w:firstLine="48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项目区域动物群种类和数量相对贫乏。根据环评工作人员现场调查未见大型野生动物及保护动物，根据当地野生动物调查资料，区域主要动物名录见表3-2。</w:t>
            </w:r>
          </w:p>
          <w:p w14:paraId="3DE5436D">
            <w:pPr>
              <w:shd w:val="clear"/>
              <w:spacing w:line="240" w:lineRule="auto"/>
              <w:ind w:firstLine="422"/>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表3-2                   野生动物名录表</w:t>
            </w:r>
          </w:p>
          <w:tbl>
            <w:tblPr>
              <w:tblStyle w:val="3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1088"/>
              <w:gridCol w:w="2825"/>
              <w:gridCol w:w="2826"/>
            </w:tblGrid>
            <w:tr w14:paraId="242995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pct"/>
                  <w:tcBorders>
                    <w:tl2br w:val="nil"/>
                    <w:tr2bl w:val="nil"/>
                  </w:tcBorders>
                  <w:vAlign w:val="center"/>
                </w:tcPr>
                <w:p w14:paraId="1F5882EB">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序号</w:t>
                  </w:r>
                </w:p>
              </w:tc>
              <w:tc>
                <w:tcPr>
                  <w:tcW w:w="720" w:type="pct"/>
                  <w:tcBorders>
                    <w:tl2br w:val="nil"/>
                    <w:tr2bl w:val="nil"/>
                  </w:tcBorders>
                  <w:vAlign w:val="center"/>
                </w:tcPr>
                <w:p w14:paraId="21A32E71">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名称</w:t>
                  </w:r>
                </w:p>
              </w:tc>
              <w:tc>
                <w:tcPr>
                  <w:tcW w:w="1869" w:type="pct"/>
                  <w:tcBorders>
                    <w:tl2br w:val="nil"/>
                    <w:tr2bl w:val="nil"/>
                  </w:tcBorders>
                  <w:vAlign w:val="center"/>
                </w:tcPr>
                <w:p w14:paraId="0C3959F4">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拉丁名</w:t>
                  </w:r>
                </w:p>
              </w:tc>
              <w:tc>
                <w:tcPr>
                  <w:tcW w:w="1870" w:type="pct"/>
                  <w:tcBorders>
                    <w:tl2br w:val="nil"/>
                    <w:tr2bl w:val="nil"/>
                  </w:tcBorders>
                  <w:vAlign w:val="center"/>
                </w:tcPr>
                <w:p w14:paraId="0F3CA243">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保护动物级别</w:t>
                  </w:r>
                </w:p>
              </w:tc>
            </w:tr>
            <w:tr w14:paraId="019FE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pct"/>
                  <w:tcBorders>
                    <w:tl2br w:val="nil"/>
                    <w:tr2bl w:val="nil"/>
                  </w:tcBorders>
                  <w:vAlign w:val="center"/>
                </w:tcPr>
                <w:p w14:paraId="6A646216">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w:t>
                  </w:r>
                </w:p>
              </w:tc>
              <w:tc>
                <w:tcPr>
                  <w:tcW w:w="720" w:type="pct"/>
                  <w:tcBorders>
                    <w:tl2br w:val="nil"/>
                    <w:tr2bl w:val="nil"/>
                  </w:tcBorders>
                  <w:vAlign w:val="center"/>
                </w:tcPr>
                <w:p w14:paraId="2813E1ED">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麻雀</w:t>
                  </w:r>
                </w:p>
              </w:tc>
              <w:tc>
                <w:tcPr>
                  <w:tcW w:w="1869" w:type="pct"/>
                  <w:tcBorders>
                    <w:tl2br w:val="nil"/>
                    <w:tr2bl w:val="nil"/>
                  </w:tcBorders>
                  <w:vAlign w:val="center"/>
                </w:tcPr>
                <w:p w14:paraId="1DCF0536">
                  <w:pPr>
                    <w:pStyle w:val="10"/>
                    <w:shd w:val="clear"/>
                    <w:adjustRightInd/>
                    <w:rPr>
                      <w:i/>
                      <w:iCs/>
                      <w:color w:val="000000" w:themeColor="text1"/>
                      <w:sz w:val="18"/>
                      <w:highlight w:val="none"/>
                      <w14:textFill>
                        <w14:solidFill>
                          <w14:schemeClr w14:val="tx1"/>
                        </w14:solidFill>
                      </w14:textFill>
                    </w:rPr>
                  </w:pPr>
                  <w:r>
                    <w:rPr>
                      <w:i/>
                      <w:iCs/>
                      <w:color w:val="000000" w:themeColor="text1"/>
                      <w:sz w:val="18"/>
                      <w:highlight w:val="none"/>
                      <w14:textFill>
                        <w14:solidFill>
                          <w14:schemeClr w14:val="tx1"/>
                        </w14:solidFill>
                      </w14:textFill>
                    </w:rPr>
                    <w:t>Passertmontanusstejneger</w:t>
                  </w:r>
                </w:p>
              </w:tc>
              <w:tc>
                <w:tcPr>
                  <w:tcW w:w="1870" w:type="pct"/>
                  <w:tcBorders>
                    <w:tl2br w:val="nil"/>
                    <w:tr2bl w:val="nil"/>
                  </w:tcBorders>
                  <w:vAlign w:val="center"/>
                </w:tcPr>
                <w:p w14:paraId="2A07A05E">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w:t>
                  </w:r>
                </w:p>
              </w:tc>
            </w:tr>
            <w:tr w14:paraId="5A1DA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pct"/>
                  <w:tcBorders>
                    <w:tl2br w:val="nil"/>
                    <w:tr2bl w:val="nil"/>
                  </w:tcBorders>
                  <w:vAlign w:val="center"/>
                </w:tcPr>
                <w:p w14:paraId="6FA1677C">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2</w:t>
                  </w:r>
                </w:p>
              </w:tc>
              <w:tc>
                <w:tcPr>
                  <w:tcW w:w="720" w:type="pct"/>
                  <w:tcBorders>
                    <w:tl2br w:val="nil"/>
                    <w:tr2bl w:val="nil"/>
                  </w:tcBorders>
                  <w:vAlign w:val="center"/>
                </w:tcPr>
                <w:p w14:paraId="1E0BE3A1">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燕雀</w:t>
                  </w:r>
                </w:p>
              </w:tc>
              <w:tc>
                <w:tcPr>
                  <w:tcW w:w="1869" w:type="pct"/>
                  <w:tcBorders>
                    <w:tl2br w:val="nil"/>
                    <w:tr2bl w:val="nil"/>
                  </w:tcBorders>
                  <w:vAlign w:val="center"/>
                </w:tcPr>
                <w:p w14:paraId="492865F0">
                  <w:pPr>
                    <w:pStyle w:val="10"/>
                    <w:shd w:val="clear"/>
                    <w:adjustRightInd/>
                    <w:rPr>
                      <w:i/>
                      <w:iCs/>
                      <w:color w:val="000000" w:themeColor="text1"/>
                      <w:sz w:val="18"/>
                      <w:highlight w:val="none"/>
                      <w14:textFill>
                        <w14:solidFill>
                          <w14:schemeClr w14:val="tx1"/>
                        </w14:solidFill>
                      </w14:textFill>
                    </w:rPr>
                  </w:pPr>
                  <w:r>
                    <w:rPr>
                      <w:rFonts w:hint="eastAsia"/>
                      <w:i/>
                      <w:iCs/>
                      <w:color w:val="000000" w:themeColor="text1"/>
                      <w:sz w:val="18"/>
                      <w:highlight w:val="none"/>
                      <w:lang w:eastAsia="zh-CN"/>
                      <w14:textFill>
                        <w14:solidFill>
                          <w14:schemeClr w14:val="tx1"/>
                        </w14:solidFill>
                      </w14:textFill>
                    </w:rPr>
                    <w:t>FringillaFringillaLinnaeus</w:t>
                  </w:r>
                </w:p>
              </w:tc>
              <w:tc>
                <w:tcPr>
                  <w:tcW w:w="1870" w:type="pct"/>
                  <w:tcBorders>
                    <w:tl2br w:val="nil"/>
                    <w:tr2bl w:val="nil"/>
                  </w:tcBorders>
                  <w:vAlign w:val="center"/>
                </w:tcPr>
                <w:p w14:paraId="2DDB88D9">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w:t>
                  </w:r>
                </w:p>
              </w:tc>
            </w:tr>
            <w:tr w14:paraId="61EBB8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pct"/>
                  <w:tcBorders>
                    <w:tl2br w:val="nil"/>
                    <w:tr2bl w:val="nil"/>
                  </w:tcBorders>
                  <w:vAlign w:val="center"/>
                </w:tcPr>
                <w:p w14:paraId="3F6D736C">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w:t>
                  </w:r>
                </w:p>
              </w:tc>
              <w:tc>
                <w:tcPr>
                  <w:tcW w:w="720" w:type="pct"/>
                  <w:tcBorders>
                    <w:tl2br w:val="nil"/>
                    <w:tr2bl w:val="nil"/>
                  </w:tcBorders>
                  <w:vAlign w:val="center"/>
                </w:tcPr>
                <w:p w14:paraId="64F1C030">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野兔</w:t>
                  </w:r>
                </w:p>
              </w:tc>
              <w:tc>
                <w:tcPr>
                  <w:tcW w:w="1869" w:type="pct"/>
                  <w:tcBorders>
                    <w:tl2br w:val="nil"/>
                    <w:tr2bl w:val="nil"/>
                  </w:tcBorders>
                  <w:vAlign w:val="center"/>
                </w:tcPr>
                <w:p w14:paraId="2966D5FE">
                  <w:pPr>
                    <w:pStyle w:val="10"/>
                    <w:shd w:val="clear"/>
                    <w:adjustRightInd/>
                    <w:rPr>
                      <w:i/>
                      <w:iCs/>
                      <w:color w:val="000000" w:themeColor="text1"/>
                      <w:sz w:val="18"/>
                      <w:highlight w:val="none"/>
                      <w14:textFill>
                        <w14:solidFill>
                          <w14:schemeClr w14:val="tx1"/>
                        </w14:solidFill>
                      </w14:textFill>
                    </w:rPr>
                  </w:pPr>
                  <w:r>
                    <w:rPr>
                      <w:i/>
                      <w:iCs/>
                      <w:color w:val="000000" w:themeColor="text1"/>
                      <w:sz w:val="18"/>
                      <w:highlight w:val="none"/>
                      <w14:textFill>
                        <w14:solidFill>
                          <w14:schemeClr w14:val="tx1"/>
                        </w14:solidFill>
                      </w14:textFill>
                    </w:rPr>
                    <w:t>Rabbit</w:t>
                  </w:r>
                </w:p>
              </w:tc>
              <w:tc>
                <w:tcPr>
                  <w:tcW w:w="1870" w:type="pct"/>
                  <w:tcBorders>
                    <w:tl2br w:val="nil"/>
                    <w:tr2bl w:val="nil"/>
                  </w:tcBorders>
                  <w:vAlign w:val="center"/>
                </w:tcPr>
                <w:p w14:paraId="692C41F8">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w:t>
                  </w:r>
                </w:p>
              </w:tc>
            </w:tr>
            <w:tr w14:paraId="685B5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pct"/>
                  <w:tcBorders>
                    <w:tl2br w:val="nil"/>
                    <w:tr2bl w:val="nil"/>
                  </w:tcBorders>
                  <w:vAlign w:val="center"/>
                </w:tcPr>
                <w:p w14:paraId="2B2478FC">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w:t>
                  </w:r>
                </w:p>
              </w:tc>
              <w:tc>
                <w:tcPr>
                  <w:tcW w:w="720" w:type="pct"/>
                  <w:tcBorders>
                    <w:tl2br w:val="nil"/>
                    <w:tr2bl w:val="nil"/>
                  </w:tcBorders>
                  <w:vAlign w:val="center"/>
                </w:tcPr>
                <w:p w14:paraId="3142226E">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艾鼬</w:t>
                  </w:r>
                </w:p>
              </w:tc>
              <w:tc>
                <w:tcPr>
                  <w:tcW w:w="1869" w:type="pct"/>
                  <w:tcBorders>
                    <w:tl2br w:val="nil"/>
                    <w:tr2bl w:val="nil"/>
                  </w:tcBorders>
                  <w:vAlign w:val="center"/>
                </w:tcPr>
                <w:p w14:paraId="512FA95B">
                  <w:pPr>
                    <w:pStyle w:val="10"/>
                    <w:shd w:val="clear"/>
                    <w:adjustRightInd/>
                    <w:rPr>
                      <w:i/>
                      <w:iCs/>
                      <w:color w:val="000000" w:themeColor="text1"/>
                      <w:sz w:val="18"/>
                      <w:highlight w:val="none"/>
                      <w14:textFill>
                        <w14:solidFill>
                          <w14:schemeClr w14:val="tx1"/>
                        </w14:solidFill>
                      </w14:textFill>
                    </w:rPr>
                  </w:pPr>
                  <w:r>
                    <w:rPr>
                      <w:i/>
                      <w:iCs/>
                      <w:color w:val="000000" w:themeColor="text1"/>
                      <w:sz w:val="18"/>
                      <w:highlight w:val="none"/>
                      <w14:textFill>
                        <w14:solidFill>
                          <w14:schemeClr w14:val="tx1"/>
                        </w14:solidFill>
                      </w14:textFill>
                    </w:rPr>
                    <w:t>Mustelaeversmanni</w:t>
                  </w:r>
                </w:p>
              </w:tc>
              <w:tc>
                <w:tcPr>
                  <w:tcW w:w="1870" w:type="pct"/>
                  <w:tcBorders>
                    <w:tl2br w:val="nil"/>
                    <w:tr2bl w:val="nil"/>
                  </w:tcBorders>
                  <w:vAlign w:val="center"/>
                </w:tcPr>
                <w:p w14:paraId="2C80E845">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w:t>
                  </w:r>
                </w:p>
              </w:tc>
            </w:tr>
            <w:tr w14:paraId="3E55C4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40" w:type="pct"/>
                  <w:tcBorders>
                    <w:tl2br w:val="nil"/>
                    <w:tr2bl w:val="nil"/>
                  </w:tcBorders>
                  <w:vAlign w:val="center"/>
                </w:tcPr>
                <w:p w14:paraId="13C7E12B">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w:t>
                  </w:r>
                </w:p>
              </w:tc>
              <w:tc>
                <w:tcPr>
                  <w:tcW w:w="720" w:type="pct"/>
                  <w:tcBorders>
                    <w:tl2br w:val="nil"/>
                    <w:tr2bl w:val="nil"/>
                  </w:tcBorders>
                  <w:vAlign w:val="center"/>
                </w:tcPr>
                <w:p w14:paraId="7615F653">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子午沙鼠</w:t>
                  </w:r>
                </w:p>
              </w:tc>
              <w:tc>
                <w:tcPr>
                  <w:tcW w:w="1869" w:type="pct"/>
                  <w:tcBorders>
                    <w:tl2br w:val="nil"/>
                    <w:tr2bl w:val="nil"/>
                  </w:tcBorders>
                  <w:vAlign w:val="center"/>
                </w:tcPr>
                <w:p w14:paraId="4397C7D6">
                  <w:pPr>
                    <w:pStyle w:val="10"/>
                    <w:shd w:val="clear"/>
                    <w:adjustRightInd/>
                    <w:rPr>
                      <w:i/>
                      <w:iCs/>
                      <w:color w:val="000000" w:themeColor="text1"/>
                      <w:sz w:val="18"/>
                      <w:highlight w:val="none"/>
                      <w14:textFill>
                        <w14:solidFill>
                          <w14:schemeClr w14:val="tx1"/>
                        </w14:solidFill>
                      </w14:textFill>
                    </w:rPr>
                  </w:pPr>
                  <w:r>
                    <w:rPr>
                      <w:i/>
                      <w:iCs/>
                      <w:color w:val="000000" w:themeColor="text1"/>
                      <w:sz w:val="18"/>
                      <w:highlight w:val="none"/>
                      <w14:textFill>
                        <w14:solidFill>
                          <w14:schemeClr w14:val="tx1"/>
                        </w14:solidFill>
                      </w14:textFill>
                    </w:rPr>
                    <w:t>Merionesmeridianus</w:t>
                  </w:r>
                </w:p>
              </w:tc>
              <w:tc>
                <w:tcPr>
                  <w:tcW w:w="1870" w:type="pct"/>
                  <w:tcBorders>
                    <w:tl2br w:val="nil"/>
                    <w:tr2bl w:val="nil"/>
                  </w:tcBorders>
                  <w:vAlign w:val="center"/>
                </w:tcPr>
                <w:p w14:paraId="30DA35FC">
                  <w:pPr>
                    <w:pStyle w:val="10"/>
                    <w:shd w:val="clear"/>
                    <w:adjustRightInd/>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w:t>
                  </w:r>
                </w:p>
              </w:tc>
            </w:tr>
          </w:tbl>
          <w:p w14:paraId="7B6D19BC">
            <w:pPr>
              <w:pStyle w:val="3"/>
              <w:shd w:val="clear"/>
              <w:rPr>
                <w:color w:val="000000" w:themeColor="text1"/>
                <w:highlight w:val="none"/>
                <w14:textFill>
                  <w14:solidFill>
                    <w14:schemeClr w14:val="tx1"/>
                  </w14:solidFill>
                </w14:textFill>
              </w:rPr>
            </w:pPr>
            <w:bookmarkStart w:id="180" w:name="_Toc2944"/>
            <w:bookmarkStart w:id="181" w:name="_Toc20064"/>
            <w:bookmarkStart w:id="182" w:name="_Toc15549"/>
            <w:r>
              <w:rPr>
                <w:color w:val="000000" w:themeColor="text1"/>
                <w:highlight w:val="none"/>
                <w14:textFill>
                  <w14:solidFill>
                    <w14:schemeClr w14:val="tx1"/>
                  </w14:solidFill>
                </w14:textFill>
              </w:rPr>
              <w:t>1.7土地沙化现状</w:t>
            </w:r>
            <w:bookmarkEnd w:id="180"/>
            <w:bookmarkEnd w:id="181"/>
            <w:bookmarkEnd w:id="182"/>
          </w:p>
          <w:p w14:paraId="467B2EE2">
            <w:pPr>
              <w:shd w:val="clear"/>
              <w:ind w:firstLine="480"/>
              <w:rPr>
                <w:rFonts w:hint="default"/>
                <w:b/>
                <w:bCs/>
                <w:color w:val="000000" w:themeColor="text1"/>
                <w:highlight w:val="none"/>
                <w14:textFill>
                  <w14:solidFill>
                    <w14:schemeClr w14:val="tx1"/>
                  </w14:solidFill>
                </w14:textFill>
              </w:rPr>
            </w:pPr>
            <w:bookmarkStart w:id="183" w:name="_Toc30975"/>
            <w:r>
              <w:rPr>
                <w:rFonts w:hint="default"/>
                <w:b/>
                <w:bCs/>
                <w:color w:val="000000" w:themeColor="text1"/>
                <w:highlight w:val="none"/>
                <w14:textFill>
                  <w14:solidFill>
                    <w14:schemeClr w14:val="tx1"/>
                  </w14:solidFill>
                </w14:textFill>
              </w:rPr>
              <w:t>1.7.1 区域沙化土地现状</w:t>
            </w:r>
          </w:p>
          <w:p w14:paraId="191AD193">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根据全国第六次荒漠化与沙化调查（以下简称</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第六次调查</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）数据，新疆荒漠化土地面积减少1956平方公里，沙化土地面积净减少242.8平方公里，首次实现沙化面积由增到减的历史性转变</w:t>
            </w:r>
            <w:r>
              <w:rPr>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。新疆已设立沙化土地封禁保护区46个，面积达5393平方公里，占全国封禁保护区面积的30.44%。全疆荒漠化土地和沙化土地实现面积</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双缩减</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，标志着防沙治沙工作取得阶段性突破。</w:t>
            </w:r>
          </w:p>
          <w:p w14:paraId="0B09BFA0">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项目位于新疆巴州尉犁县，地处塔克拉玛干沙漠东北缘，是全国防沙治沙的重点区域。根据全国第六次荒漠化与沙化监测数据，巴州沙化土地总面积逾3765万亩，占全州土地总面积的近53%，主要分布在尉犁县、且末县及若羌县。尉犁县77.7%的国土面积为荒漠沙地，县域内沙化土地分布广泛，是塔克拉玛干沙漠边缘阻击战的核心阵地。项目区地表绝大部分为荒漠，植被稀疏，群落单一，土地沙化是本区最主要的生态环境问题之一。根据《新疆生态功能区划简表》，本项目评价区属于</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54．库尔勒—轮台城镇和石油基地建设生态功能区</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，风沙危害是该功能区的主要生态环境问题之一，土地沙化敏感程度较高，需在项目建设中予以重点关注。</w:t>
            </w:r>
          </w:p>
          <w:p w14:paraId="773BA942">
            <w:pPr>
              <w:shd w:val="clear"/>
              <w:ind w:firstLine="48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1.7.2 沙化土地变化趋势</w:t>
            </w:r>
          </w:p>
          <w:p w14:paraId="4344D6DF">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第六次调查结果显示，新疆沙化土地面积实现了由</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沙进人退</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到</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绿进沙退</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的历史性转变。在国家</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三北</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防护林体系建设、塔里木河流域综合治理等重大生态工程的推动下，巴州及尉犁县区域沙化土地扩展趋势得到初步遏制。</w:t>
            </w:r>
          </w:p>
          <w:p w14:paraId="22BCDEFF">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尉犁县近</w:t>
            </w:r>
            <w:r>
              <w:rPr>
                <w:rFonts w:hint="eastAsia"/>
                <w:color w:val="000000" w:themeColor="text1"/>
                <w:highlight w:val="none"/>
                <w:lang w:eastAsia="zh-CN"/>
                <w14:textFill>
                  <w14:solidFill>
                    <w14:schemeClr w14:val="tx1"/>
                  </w14:solidFill>
                </w14:textFill>
              </w:rPr>
              <w:t>年来</w:t>
            </w:r>
            <w:r>
              <w:rPr>
                <w:rFonts w:hint="default"/>
                <w:color w:val="000000" w:themeColor="text1"/>
                <w:highlight w:val="none"/>
                <w14:textFill>
                  <w14:solidFill>
                    <w14:schemeClr w14:val="tx1"/>
                  </w14:solidFill>
                </w14:textFill>
              </w:rPr>
              <w:t>通过实施</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生态治理+产业投资</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创新模式，累计治理沙化土地86.4万亩，有效减缓了沙漠流动速度，成功遏制了沙漠东进北迁趋势。尉犁县在塔克拉玛干沙漠边缘规划构筑一条东西长约54公里、南北宽约17公里的生态防线，成为</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三北</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工程六期塔克拉玛干沙漠边缘阻击战的标志性项目。然而，尉犁县位于沙漠与绿洲交汇地带，受气候变化和人类活动影响，区域生态系统仍然脆弱，土地沙化风险依然较高。根据全国第六次调查的宏观数据，新疆沙化土地面积虽然首次出现净减少，但降幅相对较小（242.8平方公里），加之沙化土地转化周期较长，短期内仍难以根本逆转沙化土地的存量格局，区域土地沙化防控形势依然严峻。</w:t>
            </w:r>
          </w:p>
          <w:p w14:paraId="65B55CFB">
            <w:pPr>
              <w:shd w:val="clear"/>
              <w:ind w:firstLine="48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1.7.3 现有防沙治沙措施</w:t>
            </w:r>
          </w:p>
          <w:p w14:paraId="3BA91640">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尉犁县在防沙治沙方面已形成较为成熟的综合治理体系，主要包括以下措施：</w:t>
            </w:r>
          </w:p>
          <w:p w14:paraId="6DF91530">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生物+工程</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复合固沙。尉犁县采取</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生物固沙+工程治沙</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相结合的综合治理模式，在塔克拉玛干沙漠边缘通过铺设1m见方的芦苇草方格实施工程固沙，并在草方格内种植罗布麻、梭梭等沙生植被实施生物固沙。如尉犁县规划的2600亩沙漠生态治理工程中，涵盖罗布麻等植被种植1596亩、方草格铺设1004亩，同步配套设置高立式沙障3200米，通过系统化治理筑牢沙漠生态防护线。此类工程固沙与生物固沙相结合的措施在本地已有成熟应用，可作为本项目施工期生态保护和恢复措施的重要参考。</w:t>
            </w:r>
          </w:p>
          <w:p w14:paraId="70FF9EEA">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罗布麻资源化利用。罗布麻是耐干旱、耐盐碱、抗风沙的多年生宿根植物，防风固沙效果显著。尉犁县立足罗布麻资源优势，采取自然修复和人工种植两种模式，截至报告编制时已实施荒漠化治理、草原生态修复等防沙治沙项目，密植罗布麻30万亩。罗布麻不仅具有显著的生态固沙功能，还可产生经济收益，实现了</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沙漠增绿、产业增值</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的良性循环。本项目施工结束后在场区及周边恢复植被时，可将罗布麻作为优先选种的乡土植物之一。</w:t>
            </w:r>
          </w:p>
          <w:p w14:paraId="536A6DF8">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（3）光伏+治沙协同模式。尉犁县积极探索</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板上发电、板下种植</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的光伏治沙新模式，在光伏板下种植罗布麻等植被，成活率达80%以上，实现了生态修复与清洁能源发展的协同推进</w:t>
            </w:r>
            <w:r>
              <w:rPr>
                <w:rFonts w:hint="default"/>
                <w:color w:val="000000" w:themeColor="text1"/>
                <w:highlight w:val="none"/>
                <w14:textFill>
                  <w14:solidFill>
                    <w14:schemeClr w14:val="tx1"/>
                  </w14:solidFill>
                </w14:textFill>
              </w:rPr>
              <w:fldChar w:fldCharType="begin"/>
            </w:r>
            <w:r>
              <w:rPr>
                <w:rFonts w:hint="default"/>
                <w:color w:val="000000" w:themeColor="text1"/>
                <w:highlight w:val="none"/>
                <w14:textFill>
                  <w14:solidFill>
                    <w14:schemeClr w14:val="tx1"/>
                  </w14:solidFill>
                </w14:textFill>
              </w:rPr>
              <w:instrText xml:space="preserve"> HYPERLINK "https://www.forestry.gov.cn/c/sbj/gzdt/656661.jhtml" \t "https://chat.deepseek.com/a/chat/s/_blank" </w:instrText>
            </w:r>
            <w:r>
              <w:rPr>
                <w:rFonts w:hint="default"/>
                <w:color w:val="000000" w:themeColor="text1"/>
                <w:highlight w:val="none"/>
                <w14:textFill>
                  <w14:solidFill>
                    <w14:schemeClr w14:val="tx1"/>
                  </w14:solidFill>
                </w14:textFill>
              </w:rPr>
              <w:fldChar w:fldCharType="separate"/>
            </w:r>
            <w:r>
              <w:rPr>
                <w:rFonts w:hint="default"/>
                <w:color w:val="000000" w:themeColor="text1"/>
                <w:highlight w:val="none"/>
                <w14:textFill>
                  <w14:solidFill>
                    <w14:schemeClr w14:val="tx1"/>
                  </w14:solidFill>
                </w14:textFill>
              </w:rPr>
              <w:fldChar w:fldCharType="end"/>
            </w:r>
            <w:r>
              <w:rPr>
                <w:rFonts w:hint="default"/>
                <w:color w:val="000000" w:themeColor="text1"/>
                <w:highlight w:val="none"/>
                <w14:textFill>
                  <w14:solidFill>
                    <w14:schemeClr w14:val="tx1"/>
                  </w14:solidFill>
                </w14:textFill>
              </w:rPr>
              <w:t>。本项目为独立新型储能项目，虽不涉及光伏发电，但储能站的建设和运营同样应考虑与周边已建成光伏电站的生态协同，避免因施工扰动加剧局地沙化。</w:t>
            </w:r>
          </w:p>
          <w:p w14:paraId="0B08AAE5">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（4）生态输水与植被恢复。通过塔里木河流域生态输水工程，实施围栏封育、引洪灌溉、免耕补播等方式，促进罗布麻等荒漠植被的恢复，累计保护修复罗布麻14万亩，在塔里木河两岸织就绿色长廊。</w:t>
            </w:r>
          </w:p>
          <w:p w14:paraId="0FA416B8">
            <w:pPr>
              <w:shd w:val="clear"/>
              <w:ind w:firstLine="48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1.7.4 沙化土地演变原因分析</w:t>
            </w:r>
          </w:p>
          <w:p w14:paraId="6FAAE27F">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根据全国第六次调查及区域长期监测数据，塔里木盆地周边地区沙化土地演变受自然因素和人为活动的综合影响，主要表现为：</w:t>
            </w:r>
          </w:p>
          <w:p w14:paraId="1600C142">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①自然因素： 尉犁县地处塔克拉玛干沙漠东北缘，年降水量稀少、蒸发强烈，干燥多风的气候条件是土地沙化的首要自然驱动力。塔克拉玛干沙漠为世界第二大流动性沙漠，沙源丰富，风沙活动频繁，在无防护条件下沙漠存在自然扩张趋势，对周边绿洲及基础设施形成直接威胁。</w:t>
            </w:r>
          </w:p>
          <w:p w14:paraId="1B62798C">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②人为因素： 历史上（以20世纪70年代为代表），塔里木河流域受气候变化及人类活动影响，曾经历下游河道断流、地下水位下降、土地荒漠化加剧等危机。近</w:t>
            </w:r>
            <w:r>
              <w:rPr>
                <w:rFonts w:hint="eastAsia"/>
                <w:color w:val="000000" w:themeColor="text1"/>
                <w:highlight w:val="none"/>
                <w:lang w:eastAsia="zh-CN"/>
                <w14:textFill>
                  <w14:solidFill>
                    <w14:schemeClr w14:val="tx1"/>
                  </w14:solidFill>
                </w14:textFill>
              </w:rPr>
              <w:t>年来</w:t>
            </w:r>
            <w:r>
              <w:rPr>
                <w:rFonts w:hint="default"/>
                <w:color w:val="000000" w:themeColor="text1"/>
                <w:highlight w:val="none"/>
                <w14:textFill>
                  <w14:solidFill>
                    <w14:schemeClr w14:val="tx1"/>
                  </w14:solidFill>
                </w14:textFill>
              </w:rPr>
              <w:t>通过塔里木河流域综合治理、生态输水等工程，区域生态环境已得到显著改善，沙化土地面积出现净减少拐点，但沙化土地转化周期较长，短期内仍难以根本逆转沙化土地存量格局。</w:t>
            </w:r>
          </w:p>
          <w:p w14:paraId="7754F22D">
            <w:pPr>
              <w:shd w:val="clear"/>
              <w:ind w:firstLine="48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1.7.5 本项目对沙化土地的影响特征</w:t>
            </w:r>
          </w:p>
          <w:p w14:paraId="689FAC97">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（1）影响阶段与性质： 本项目对沙化土地的影响主要集中在施工期，主要体现在：一是塔基开挖、道路修建等工程活动直接扰动地表沙土，破坏地表稳定层，增大地表裸露面积，降低土壤抗风蚀能力；二是施工车辆碾压会破坏地表结皮，使其变紧实，加剧土地沙化风险。运营期由于施工扰动结束，地表逐步恢复，对沙化土地的影响趋于减弱。</w:t>
            </w:r>
          </w:p>
          <w:p w14:paraId="26B0C87C">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（2）影响特点： 本项目为输变电工程，具有线性分布、点状占地、施工扰动面分散等特点，总体占地面积较小（永久占地2.0159公顷，临时占地6000平方米），单个塔基扰动范围有限。但受尉犁县沙化土地分布广泛的特点影响，线位选址中难以完全避让荒漠沙地，需在施工期和运营期采取有针对性的防沙治沙措施，严格控制施工扰动范围，最大限度减小对局地沙化状态的影响。</w:t>
            </w:r>
          </w:p>
          <w:p w14:paraId="5784FB05">
            <w:pPr>
              <w:shd w:val="clear"/>
              <w:ind w:firstLine="48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1.7.6 本项目拟采取的防沙治沙措施</w:t>
            </w:r>
          </w:p>
          <w:p w14:paraId="7EF3863A">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根据《中华人民共和国防沙治沙法》第二十一条的规定，</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在沙化土地范围内从事开发建设活动的，必须事先就该项目可能对当地及相关地区生态产生的影响进行环境影响评价，依法提交环境影响报告；环境影响报告应当包括有关防沙治沙的内容</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。本项目位于尉犁县荒漠沙地分布区，需严格落实防沙治沙相关要求。</w:t>
            </w:r>
          </w:p>
          <w:p w14:paraId="13463501">
            <w:pPr>
              <w:shd w:val="clear"/>
              <w:ind w:firstLine="480"/>
              <w:rPr>
                <w:rFonts w:hint="default"/>
                <w:b/>
                <w:bCs/>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施工期防沙治沙措施：</w:t>
            </w:r>
          </w:p>
          <w:p w14:paraId="31939AC3">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①严控施工作业范围： 划定施工作业区边界，通过彩带标识和宣传牌明确活动范围，严禁施工人员和机械在划定区域外行驶和作业，最大限度减少对沙地表土的扰动，保护地表结皮及原有植被。</w:t>
            </w:r>
          </w:p>
          <w:p w14:paraId="1729A859">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②临时堆土和料场管理： 土石方堆存过程中采取密目网或防尘布苫盖，边缘用石块压实，减少风蚀起沙；塔基开挖时采取</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分层开挖、分层回填</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，表层熟土（含草籽和腐殖质的沙土）分装在编织袋内单独保存，用于施工结束后覆土，以利于植被自然恢复。</w:t>
            </w:r>
          </w:p>
          <w:p w14:paraId="14F778DC">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③防风抑尘与洒水固结： 在易起尘的施工区域和运输道路定时洒水，增加地表湿度和粘结力；大风天气（4级以上）停止土方开挖等易产生扬尘的施工作业；施工结束后对扰动地表进行洒水并适度压实，令其自然板结。</w:t>
            </w:r>
          </w:p>
          <w:p w14:paraId="2518D4FA">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④依托现有道路行驶： 施工运输车辆严格依托现有县道行驶，不随意开辟施工便道，避免对更多沙地产生碾压破坏。</w:t>
            </w:r>
          </w:p>
          <w:p w14:paraId="4F56396B">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⑤避让敏感区域： 塔基和临时占地区域经现场勘查，避让了植被相对较好的区域和野生动物活动通道，优先选择地表裸露、沙化程度较高的区域布置临时设施，减少对原有植被的破坏。</w:t>
            </w:r>
          </w:p>
          <w:p w14:paraId="15B750AE">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⑥加强施工人员教育： 对施工人员进行防沙治沙和保护生态环境的宣传教育，禁止碾压植被、随意丢弃废弃物，增强保护沙区生态环境的意识。</w:t>
            </w:r>
          </w:p>
          <w:p w14:paraId="32E933CE">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⑦施工期间的表土保护： 严格实施分层开挖，将表土层（草皮层、含腐殖质砂土层）单独剥离存放于指定区域，表面采用防尘网或彩条布覆盖，周围设置编织袋挡护，防止表土层风蚀吹失。施工结束后，将剥离保存的表土回覆于扰动区表面，为植被自然恢复提供基质条件。</w:t>
            </w:r>
          </w:p>
          <w:p w14:paraId="49430440">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运营期防沙治沙措施：</w:t>
            </w:r>
          </w:p>
          <w:p w14:paraId="44A52217">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①植被恢复： 施工结束后对塔基扰动区域、施工生产区、牵张场等临时占地进行土地平整，回覆保存的表土，并播撒适生乡土植物（优先选用罗布麻、梭梭等本地耐旱植物组合）种子以促进植被自然恢复；升压站站区采用乔灌草结合的绿化配置，周边种植耐旱乔木以阻挡风沙。</w:t>
            </w:r>
          </w:p>
          <w:p w14:paraId="552F278D">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②长期管护与巡检： 运营期定期对塔基周围的植被恢复情况和地表稳定性进行巡检，发现地表裸露或风蚀迹象时应及时采取补种植被、铺设草方格等措施进行修复。</w:t>
            </w:r>
          </w:p>
          <w:p w14:paraId="3C6970B5">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③风险防范与应急预案： 按照环评要求编制突发环境事件应急预案，将沙化土地保护纳入应急管理内容，确保项目运营不加剧区域土地沙化。</w:t>
            </w:r>
          </w:p>
          <w:p w14:paraId="0CB4D787">
            <w:pPr>
              <w:shd w:val="clear"/>
              <w:ind w:firstLine="480"/>
              <w:rPr>
                <w:rFonts w:hint="default"/>
                <w:color w:val="000000" w:themeColor="text1"/>
                <w:highlight w:val="none"/>
                <w14:textFill>
                  <w14:solidFill>
                    <w14:schemeClr w14:val="tx1"/>
                  </w14:solidFill>
                </w14:textFill>
              </w:rPr>
            </w:pPr>
            <w:r>
              <w:rPr>
                <w:rFonts w:hint="default"/>
                <w:b/>
                <w:bCs/>
                <w:color w:val="000000" w:themeColor="text1"/>
                <w:highlight w:val="none"/>
                <w14:textFill>
                  <w14:solidFill>
                    <w14:schemeClr w14:val="tx1"/>
                  </w14:solidFill>
                </w14:textFill>
              </w:rPr>
              <w:t>塔基工程防沙治沙措施：</w:t>
            </w:r>
            <w:r>
              <w:rPr>
                <w:rFonts w:hint="default"/>
                <w:color w:val="000000" w:themeColor="text1"/>
                <w:highlight w:val="none"/>
                <w14:textFill>
                  <w14:solidFill>
                    <w14:schemeClr w14:val="tx1"/>
                  </w14:solidFill>
                </w14:textFill>
              </w:rPr>
              <w:br w:type="textWrapping"/>
            </w:r>
            <w:r>
              <w:rPr>
                <w:rFonts w:hint="default"/>
                <w:color w:val="000000" w:themeColor="text1"/>
                <w:highlight w:val="none"/>
                <w14:textFill>
                  <w14:solidFill>
                    <w14:schemeClr w14:val="tx1"/>
                  </w14:solidFill>
                </w14:textFill>
              </w:rPr>
              <w:t>本项目部分塔基位于荒漠沙地区域，施工结束后拟在塔基附近及扰动区实施草方格沙障固沙措施，采用芦苇秸秆制作1m×1m规格的方格沙障，铺设在塔基周边及施工扰动区域地表。草方格沙障可有效降低地表风速、拦截风沙流、促进沙土稳定，为本项目的植被恢复创造有利条件，这是新疆荒漠区输变电工程中成熟应用的防沙治沙手段。根据尉犁县已有工程经验，草方格内可同步移栽或播种罗布麻、梭梭等本地乡土植物，形成</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工程固沙先行、生物固沙跟进</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的综合治理体系，进一步提高塔基周边的沙土稳定程度。</w:t>
            </w:r>
          </w:p>
          <w:p w14:paraId="2E8A1664">
            <w:pPr>
              <w:pStyle w:val="3"/>
              <w:shd w:val="clear"/>
              <w:rPr>
                <w:color w:val="000000" w:themeColor="text1"/>
                <w:highlight w:val="none"/>
                <w14:textFill>
                  <w14:solidFill>
                    <w14:schemeClr w14:val="tx1"/>
                  </w14:solidFill>
                </w14:textFill>
              </w:rPr>
            </w:pPr>
            <w:bookmarkStart w:id="184" w:name="_Toc3005"/>
            <w:bookmarkStart w:id="185" w:name="_Toc27682"/>
            <w:r>
              <w:rPr>
                <w:color w:val="000000" w:themeColor="text1"/>
                <w:highlight w:val="none"/>
                <w14:textFill>
                  <w14:solidFill>
                    <w14:schemeClr w14:val="tx1"/>
                  </w14:solidFill>
                </w14:textFill>
              </w:rPr>
              <w:t>2、水土流失现状</w:t>
            </w:r>
            <w:bookmarkEnd w:id="183"/>
            <w:bookmarkEnd w:id="184"/>
            <w:bookmarkEnd w:id="185"/>
          </w:p>
          <w:p w14:paraId="0289D1B3">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本项目位于尉犁县。根据《新疆维吾尔自治区2024年度水土流失动态监测年报》，2024年尉犁县水土流失面积35487.98km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，占全县土地总面积的59.89%，均为风力侵蚀。</w:t>
            </w:r>
          </w:p>
          <w:p w14:paraId="7C3E6B8F">
            <w:pPr>
              <w:shd w:val="clear"/>
              <w:spacing w:line="240" w:lineRule="auto"/>
              <w:ind w:firstLine="422"/>
              <w:outlineLvl w:val="3"/>
              <w:rPr>
                <w:b/>
                <w:bCs/>
                <w:color w:val="000000" w:themeColor="text1"/>
                <w:sz w:val="21"/>
                <w:szCs w:val="28"/>
                <w:highlight w:val="none"/>
                <w14:textFill>
                  <w14:solidFill>
                    <w14:schemeClr w14:val="tx1"/>
                  </w14:solidFill>
                </w14:textFill>
              </w:rPr>
            </w:pPr>
            <w:r>
              <w:rPr>
                <w:b/>
                <w:bCs/>
                <w:color w:val="000000" w:themeColor="text1"/>
                <w:sz w:val="21"/>
                <w:szCs w:val="28"/>
                <w:highlight w:val="none"/>
                <w14:textFill>
                  <w14:solidFill>
                    <w14:schemeClr w14:val="tx1"/>
                  </w14:solidFill>
                </w14:textFill>
              </w:rPr>
              <w:t>表3-3     2024年尉犁县土壤侵蚀分类分级面积统计表        单位：km</w:t>
            </w:r>
            <w:r>
              <w:rPr>
                <w:b/>
                <w:bCs/>
                <w:color w:val="000000" w:themeColor="text1"/>
                <w:sz w:val="21"/>
                <w:szCs w:val="28"/>
                <w:highlight w:val="none"/>
                <w:vertAlign w:val="superscript"/>
                <w14:textFill>
                  <w14:solidFill>
                    <w14:schemeClr w14:val="tx1"/>
                  </w14:solidFill>
                </w14:textFill>
              </w:rPr>
              <w:t>2</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56"/>
              <w:gridCol w:w="1057"/>
              <w:gridCol w:w="1267"/>
              <w:gridCol w:w="1057"/>
              <w:gridCol w:w="1004"/>
            </w:tblGrid>
            <w:tr w14:paraId="2F8977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pct"/>
                  <w:tcBorders>
                    <w:tl2br w:val="nil"/>
                    <w:tr2bl w:val="nil"/>
                  </w:tcBorders>
                  <w:vAlign w:val="center"/>
                </w:tcPr>
                <w:p w14:paraId="01B13B40">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侵蚀类型</w:t>
                  </w:r>
                </w:p>
              </w:tc>
              <w:tc>
                <w:tcPr>
                  <w:tcW w:w="699" w:type="pct"/>
                  <w:tcBorders>
                    <w:tl2br w:val="nil"/>
                    <w:tr2bl w:val="nil"/>
                  </w:tcBorders>
                  <w:vAlign w:val="center"/>
                </w:tcPr>
                <w:p w14:paraId="073AB8D5">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轻度侵蚀</w:t>
                  </w:r>
                </w:p>
              </w:tc>
              <w:tc>
                <w:tcPr>
                  <w:tcW w:w="699" w:type="pct"/>
                  <w:tcBorders>
                    <w:tl2br w:val="nil"/>
                    <w:tr2bl w:val="nil"/>
                  </w:tcBorders>
                  <w:vAlign w:val="center"/>
                </w:tcPr>
                <w:p w14:paraId="72D167CB">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中度侵蚀</w:t>
                  </w:r>
                </w:p>
              </w:tc>
              <w:tc>
                <w:tcPr>
                  <w:tcW w:w="699" w:type="pct"/>
                  <w:tcBorders>
                    <w:tl2br w:val="nil"/>
                    <w:tr2bl w:val="nil"/>
                  </w:tcBorders>
                  <w:vAlign w:val="center"/>
                </w:tcPr>
                <w:p w14:paraId="6687D237">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强烈侵蚀</w:t>
                  </w:r>
                </w:p>
              </w:tc>
              <w:tc>
                <w:tcPr>
                  <w:tcW w:w="838" w:type="pct"/>
                  <w:tcBorders>
                    <w:tl2br w:val="nil"/>
                    <w:tr2bl w:val="nil"/>
                  </w:tcBorders>
                  <w:vAlign w:val="center"/>
                </w:tcPr>
                <w:p w14:paraId="0398863D">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极强烈侵蚀</w:t>
                  </w:r>
                </w:p>
              </w:tc>
              <w:tc>
                <w:tcPr>
                  <w:tcW w:w="699" w:type="pct"/>
                  <w:tcBorders>
                    <w:tl2br w:val="nil"/>
                    <w:tr2bl w:val="nil"/>
                  </w:tcBorders>
                  <w:vAlign w:val="center"/>
                </w:tcPr>
                <w:p w14:paraId="0D62881D">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剧烈侵蚀</w:t>
                  </w:r>
                </w:p>
              </w:tc>
              <w:tc>
                <w:tcPr>
                  <w:tcW w:w="664" w:type="pct"/>
                  <w:tcBorders>
                    <w:tl2br w:val="nil"/>
                    <w:tr2bl w:val="nil"/>
                  </w:tcBorders>
                  <w:vAlign w:val="center"/>
                </w:tcPr>
                <w:p w14:paraId="180C6B9F">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合计</w:t>
                  </w:r>
                </w:p>
              </w:tc>
            </w:tr>
            <w:tr w14:paraId="4A4C4C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pct"/>
                  <w:tcBorders>
                    <w:tl2br w:val="nil"/>
                    <w:tr2bl w:val="nil"/>
                  </w:tcBorders>
                  <w:vAlign w:val="center"/>
                </w:tcPr>
                <w:p w14:paraId="47B0867A">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水力侵蚀</w:t>
                  </w:r>
                </w:p>
              </w:tc>
              <w:tc>
                <w:tcPr>
                  <w:tcW w:w="699" w:type="pct"/>
                  <w:tcBorders>
                    <w:tl2br w:val="nil"/>
                    <w:tr2bl w:val="nil"/>
                  </w:tcBorders>
                  <w:vAlign w:val="center"/>
                </w:tcPr>
                <w:p w14:paraId="5A23C0F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0</w:t>
                  </w:r>
                </w:p>
              </w:tc>
              <w:tc>
                <w:tcPr>
                  <w:tcW w:w="699" w:type="pct"/>
                  <w:tcBorders>
                    <w:tl2br w:val="nil"/>
                    <w:tr2bl w:val="nil"/>
                  </w:tcBorders>
                  <w:vAlign w:val="center"/>
                </w:tcPr>
                <w:p w14:paraId="28AE00D2">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0</w:t>
                  </w:r>
                </w:p>
              </w:tc>
              <w:tc>
                <w:tcPr>
                  <w:tcW w:w="699" w:type="pct"/>
                  <w:tcBorders>
                    <w:tl2br w:val="nil"/>
                    <w:tr2bl w:val="nil"/>
                  </w:tcBorders>
                  <w:vAlign w:val="center"/>
                </w:tcPr>
                <w:p w14:paraId="36624A4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0</w:t>
                  </w:r>
                </w:p>
              </w:tc>
              <w:tc>
                <w:tcPr>
                  <w:tcW w:w="838" w:type="pct"/>
                  <w:tcBorders>
                    <w:tl2br w:val="nil"/>
                    <w:tr2bl w:val="nil"/>
                  </w:tcBorders>
                  <w:vAlign w:val="center"/>
                </w:tcPr>
                <w:p w14:paraId="73C7BB3D">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0</w:t>
                  </w:r>
                </w:p>
              </w:tc>
              <w:tc>
                <w:tcPr>
                  <w:tcW w:w="699" w:type="pct"/>
                  <w:tcBorders>
                    <w:tl2br w:val="nil"/>
                    <w:tr2bl w:val="nil"/>
                  </w:tcBorders>
                  <w:vAlign w:val="center"/>
                </w:tcPr>
                <w:p w14:paraId="5066F744">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0</w:t>
                  </w:r>
                </w:p>
              </w:tc>
              <w:tc>
                <w:tcPr>
                  <w:tcW w:w="664" w:type="pct"/>
                  <w:tcBorders>
                    <w:tl2br w:val="nil"/>
                    <w:tr2bl w:val="nil"/>
                  </w:tcBorders>
                  <w:vAlign w:val="center"/>
                </w:tcPr>
                <w:p w14:paraId="1928B8F5">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0</w:t>
                  </w:r>
                </w:p>
              </w:tc>
            </w:tr>
            <w:tr w14:paraId="3C4C21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pct"/>
                  <w:tcBorders>
                    <w:tl2br w:val="nil"/>
                    <w:tr2bl w:val="nil"/>
                  </w:tcBorders>
                  <w:vAlign w:val="center"/>
                </w:tcPr>
                <w:p w14:paraId="6C2EC860">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风力侵蚀</w:t>
                  </w:r>
                </w:p>
              </w:tc>
              <w:tc>
                <w:tcPr>
                  <w:tcW w:w="699" w:type="pct"/>
                  <w:tcBorders>
                    <w:tl2br w:val="nil"/>
                    <w:tr2bl w:val="nil"/>
                  </w:tcBorders>
                  <w:vAlign w:val="center"/>
                </w:tcPr>
                <w:p w14:paraId="59CA0D40">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5753.82</w:t>
                  </w:r>
                </w:p>
              </w:tc>
              <w:tc>
                <w:tcPr>
                  <w:tcW w:w="699" w:type="pct"/>
                  <w:tcBorders>
                    <w:tl2br w:val="nil"/>
                    <w:tr2bl w:val="nil"/>
                  </w:tcBorders>
                  <w:vAlign w:val="center"/>
                </w:tcPr>
                <w:p w14:paraId="376B2C30">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21217.99</w:t>
                  </w:r>
                </w:p>
              </w:tc>
              <w:tc>
                <w:tcPr>
                  <w:tcW w:w="699" w:type="pct"/>
                  <w:tcBorders>
                    <w:tl2br w:val="nil"/>
                    <w:tr2bl w:val="nil"/>
                  </w:tcBorders>
                  <w:vAlign w:val="center"/>
                </w:tcPr>
                <w:p w14:paraId="258B0268">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6192.79</w:t>
                  </w:r>
                </w:p>
              </w:tc>
              <w:tc>
                <w:tcPr>
                  <w:tcW w:w="838" w:type="pct"/>
                  <w:tcBorders>
                    <w:tl2br w:val="nil"/>
                    <w:tr2bl w:val="nil"/>
                  </w:tcBorders>
                  <w:vAlign w:val="center"/>
                </w:tcPr>
                <w:p w14:paraId="60E828DF">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1925.74</w:t>
                  </w:r>
                </w:p>
              </w:tc>
              <w:tc>
                <w:tcPr>
                  <w:tcW w:w="699" w:type="pct"/>
                  <w:tcBorders>
                    <w:tl2br w:val="nil"/>
                    <w:tr2bl w:val="nil"/>
                  </w:tcBorders>
                  <w:vAlign w:val="center"/>
                </w:tcPr>
                <w:p w14:paraId="4574CBBA">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397.64</w:t>
                  </w:r>
                </w:p>
              </w:tc>
              <w:tc>
                <w:tcPr>
                  <w:tcW w:w="664" w:type="pct"/>
                  <w:tcBorders>
                    <w:tl2br w:val="nil"/>
                    <w:tr2bl w:val="nil"/>
                  </w:tcBorders>
                  <w:vAlign w:val="center"/>
                </w:tcPr>
                <w:p w14:paraId="2CB87ACF">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35487.98</w:t>
                  </w:r>
                </w:p>
              </w:tc>
            </w:tr>
            <w:tr w14:paraId="636C07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pct"/>
                  <w:tcBorders>
                    <w:tl2br w:val="nil"/>
                    <w:tr2bl w:val="nil"/>
                  </w:tcBorders>
                  <w:vAlign w:val="center"/>
                </w:tcPr>
                <w:p w14:paraId="4FB4D8D1">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水土流失</w:t>
                  </w:r>
                </w:p>
              </w:tc>
              <w:tc>
                <w:tcPr>
                  <w:tcW w:w="699" w:type="pct"/>
                  <w:tcBorders>
                    <w:tl2br w:val="nil"/>
                    <w:tr2bl w:val="nil"/>
                  </w:tcBorders>
                  <w:vAlign w:val="center"/>
                </w:tcPr>
                <w:p w14:paraId="67EEA42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5753.82</w:t>
                  </w:r>
                </w:p>
              </w:tc>
              <w:tc>
                <w:tcPr>
                  <w:tcW w:w="699" w:type="pct"/>
                  <w:tcBorders>
                    <w:tl2br w:val="nil"/>
                    <w:tr2bl w:val="nil"/>
                  </w:tcBorders>
                  <w:vAlign w:val="center"/>
                </w:tcPr>
                <w:p w14:paraId="491BC73A">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21217.99</w:t>
                  </w:r>
                </w:p>
              </w:tc>
              <w:tc>
                <w:tcPr>
                  <w:tcW w:w="699" w:type="pct"/>
                  <w:tcBorders>
                    <w:tl2br w:val="nil"/>
                    <w:tr2bl w:val="nil"/>
                  </w:tcBorders>
                  <w:vAlign w:val="center"/>
                </w:tcPr>
                <w:p w14:paraId="49B6E738">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6192.79</w:t>
                  </w:r>
                </w:p>
              </w:tc>
              <w:tc>
                <w:tcPr>
                  <w:tcW w:w="838" w:type="pct"/>
                  <w:tcBorders>
                    <w:tl2br w:val="nil"/>
                    <w:tr2bl w:val="nil"/>
                  </w:tcBorders>
                  <w:vAlign w:val="center"/>
                </w:tcPr>
                <w:p w14:paraId="08D11F72">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1925.74</w:t>
                  </w:r>
                </w:p>
              </w:tc>
              <w:tc>
                <w:tcPr>
                  <w:tcW w:w="699" w:type="pct"/>
                  <w:tcBorders>
                    <w:tl2br w:val="nil"/>
                    <w:tr2bl w:val="nil"/>
                  </w:tcBorders>
                  <w:vAlign w:val="center"/>
                </w:tcPr>
                <w:p w14:paraId="59B0128F">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397.64</w:t>
                  </w:r>
                </w:p>
              </w:tc>
              <w:tc>
                <w:tcPr>
                  <w:tcW w:w="664" w:type="pct"/>
                  <w:tcBorders>
                    <w:tl2br w:val="nil"/>
                    <w:tr2bl w:val="nil"/>
                  </w:tcBorders>
                  <w:vAlign w:val="center"/>
                </w:tcPr>
                <w:p w14:paraId="52C4CFFD">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35487.98</w:t>
                  </w:r>
                </w:p>
              </w:tc>
            </w:tr>
          </w:tbl>
          <w:p w14:paraId="425B791A">
            <w:pPr>
              <w:keepNext w:val="0"/>
              <w:keepLines w:val="0"/>
              <w:pageBreakBefore w:val="0"/>
              <w:widowControl w:val="0"/>
              <w:shd w:val="clear"/>
              <w:kinsoku/>
              <w:wordWrap/>
              <w:overflowPunct/>
              <w:topLinePunct w:val="0"/>
              <w:autoSpaceDE/>
              <w:autoSpaceDN/>
              <w:bidi w:val="0"/>
              <w:adjustRightInd w:val="0"/>
              <w:snapToGrid w:val="0"/>
              <w:spacing w:before="157" w:beforeLines="50" w:line="240" w:lineRule="auto"/>
              <w:ind w:firstLine="422"/>
              <w:textAlignment w:val="auto"/>
              <w:outlineLvl w:val="3"/>
              <w:rPr>
                <w:b/>
                <w:bCs/>
                <w:color w:val="000000" w:themeColor="text1"/>
                <w:sz w:val="21"/>
                <w:szCs w:val="28"/>
                <w:highlight w:val="none"/>
                <w14:textFill>
                  <w14:solidFill>
                    <w14:schemeClr w14:val="tx1"/>
                  </w14:solidFill>
                </w14:textFill>
              </w:rPr>
            </w:pPr>
            <w:r>
              <w:rPr>
                <w:b/>
                <w:bCs/>
                <w:color w:val="000000" w:themeColor="text1"/>
                <w:sz w:val="21"/>
                <w:szCs w:val="28"/>
                <w:highlight w:val="none"/>
                <w14:textFill>
                  <w14:solidFill>
                    <w14:schemeClr w14:val="tx1"/>
                  </w14:solidFill>
                </w14:textFill>
              </w:rPr>
              <w:t>表3-4      2024 年尉犁县水土流失动态变化表               单位：km</w:t>
            </w:r>
            <w:r>
              <w:rPr>
                <w:b/>
                <w:bCs/>
                <w:color w:val="000000" w:themeColor="text1"/>
                <w:sz w:val="21"/>
                <w:szCs w:val="28"/>
                <w:highlight w:val="none"/>
                <w:vertAlign w:val="superscript"/>
                <w14:textFill>
                  <w14:solidFill>
                    <w14:schemeClr w14:val="tx1"/>
                  </w14:solidFill>
                </w14:textFill>
              </w:rPr>
              <w:t>2</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03"/>
              <w:gridCol w:w="1056"/>
              <w:gridCol w:w="1057"/>
              <w:gridCol w:w="1057"/>
              <w:gridCol w:w="1267"/>
              <w:gridCol w:w="1057"/>
            </w:tblGrid>
            <w:tr w14:paraId="6B9FBC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pct"/>
                  <w:tcBorders>
                    <w:tl2br w:val="nil"/>
                    <w:tr2bl w:val="nil"/>
                  </w:tcBorders>
                  <w:vAlign w:val="center"/>
                </w:tcPr>
                <w:p w14:paraId="4A419FAE">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年度</w:t>
                  </w:r>
                </w:p>
              </w:tc>
              <w:tc>
                <w:tcPr>
                  <w:tcW w:w="664" w:type="pct"/>
                  <w:tcBorders>
                    <w:tl2br w:val="nil"/>
                    <w:tr2bl w:val="nil"/>
                  </w:tcBorders>
                  <w:vAlign w:val="center"/>
                </w:tcPr>
                <w:p w14:paraId="5297A9C1">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合计</w:t>
                  </w:r>
                </w:p>
              </w:tc>
              <w:tc>
                <w:tcPr>
                  <w:tcW w:w="699" w:type="pct"/>
                  <w:tcBorders>
                    <w:tl2br w:val="nil"/>
                    <w:tr2bl w:val="nil"/>
                  </w:tcBorders>
                  <w:vAlign w:val="center"/>
                </w:tcPr>
                <w:p w14:paraId="1F583F4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轻度侵蚀</w:t>
                  </w:r>
                </w:p>
              </w:tc>
              <w:tc>
                <w:tcPr>
                  <w:tcW w:w="699" w:type="pct"/>
                  <w:tcBorders>
                    <w:tl2br w:val="nil"/>
                    <w:tr2bl w:val="nil"/>
                  </w:tcBorders>
                  <w:vAlign w:val="center"/>
                </w:tcPr>
                <w:p w14:paraId="177FA145">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中度侵蚀</w:t>
                  </w:r>
                </w:p>
              </w:tc>
              <w:tc>
                <w:tcPr>
                  <w:tcW w:w="699" w:type="pct"/>
                  <w:tcBorders>
                    <w:tl2br w:val="nil"/>
                    <w:tr2bl w:val="nil"/>
                  </w:tcBorders>
                  <w:vAlign w:val="center"/>
                </w:tcPr>
                <w:p w14:paraId="165A82D3">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强烈侵蚀</w:t>
                  </w:r>
                </w:p>
              </w:tc>
              <w:tc>
                <w:tcPr>
                  <w:tcW w:w="838" w:type="pct"/>
                  <w:tcBorders>
                    <w:tl2br w:val="nil"/>
                    <w:tr2bl w:val="nil"/>
                  </w:tcBorders>
                  <w:vAlign w:val="center"/>
                </w:tcPr>
                <w:p w14:paraId="29599951">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极强烈侵蚀</w:t>
                  </w:r>
                </w:p>
              </w:tc>
              <w:tc>
                <w:tcPr>
                  <w:tcW w:w="699" w:type="pct"/>
                  <w:tcBorders>
                    <w:tl2br w:val="nil"/>
                    <w:tr2bl w:val="nil"/>
                  </w:tcBorders>
                  <w:vAlign w:val="center"/>
                </w:tcPr>
                <w:p w14:paraId="6D5B88E5">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剧烈侵蚀</w:t>
                  </w:r>
                </w:p>
              </w:tc>
            </w:tr>
            <w:tr w14:paraId="566AB5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9" w:type="pct"/>
                  <w:tcBorders>
                    <w:tl2br w:val="nil"/>
                    <w:tr2bl w:val="nil"/>
                  </w:tcBorders>
                  <w:vAlign w:val="center"/>
                </w:tcPr>
                <w:p w14:paraId="6A10E401">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2024 年</w:t>
                  </w:r>
                </w:p>
              </w:tc>
              <w:tc>
                <w:tcPr>
                  <w:tcW w:w="664" w:type="pct"/>
                  <w:tcBorders>
                    <w:tl2br w:val="nil"/>
                    <w:tr2bl w:val="nil"/>
                  </w:tcBorders>
                  <w:vAlign w:val="center"/>
                </w:tcPr>
                <w:p w14:paraId="2507ED88">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35487.98</w:t>
                  </w:r>
                </w:p>
              </w:tc>
              <w:tc>
                <w:tcPr>
                  <w:tcW w:w="699" w:type="pct"/>
                  <w:tcBorders>
                    <w:tl2br w:val="nil"/>
                    <w:tr2bl w:val="nil"/>
                  </w:tcBorders>
                  <w:vAlign w:val="center"/>
                </w:tcPr>
                <w:p w14:paraId="3C3034DA">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5753.82</w:t>
                  </w:r>
                </w:p>
              </w:tc>
              <w:tc>
                <w:tcPr>
                  <w:tcW w:w="699" w:type="pct"/>
                  <w:tcBorders>
                    <w:tl2br w:val="nil"/>
                    <w:tr2bl w:val="nil"/>
                  </w:tcBorders>
                  <w:vAlign w:val="center"/>
                </w:tcPr>
                <w:p w14:paraId="20685CC0">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21217.99</w:t>
                  </w:r>
                </w:p>
              </w:tc>
              <w:tc>
                <w:tcPr>
                  <w:tcW w:w="699" w:type="pct"/>
                  <w:tcBorders>
                    <w:tl2br w:val="nil"/>
                    <w:tr2bl w:val="nil"/>
                  </w:tcBorders>
                  <w:vAlign w:val="center"/>
                </w:tcPr>
                <w:p w14:paraId="5EBAE526">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6192.79</w:t>
                  </w:r>
                </w:p>
              </w:tc>
              <w:tc>
                <w:tcPr>
                  <w:tcW w:w="838" w:type="pct"/>
                  <w:tcBorders>
                    <w:tl2br w:val="nil"/>
                    <w:tr2bl w:val="nil"/>
                  </w:tcBorders>
                  <w:vAlign w:val="center"/>
                </w:tcPr>
                <w:p w14:paraId="42F5D3DF">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1925.74</w:t>
                  </w:r>
                </w:p>
              </w:tc>
              <w:tc>
                <w:tcPr>
                  <w:tcW w:w="699" w:type="pct"/>
                  <w:tcBorders>
                    <w:tl2br w:val="nil"/>
                    <w:tr2bl w:val="nil"/>
                  </w:tcBorders>
                  <w:vAlign w:val="center"/>
                </w:tcPr>
                <w:p w14:paraId="6BCDEF85">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397.64</w:t>
                  </w:r>
                </w:p>
              </w:tc>
            </w:tr>
            <w:tr w14:paraId="3BFA2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99" w:type="pct"/>
                  <w:tcBorders>
                    <w:tl2br w:val="nil"/>
                    <w:tr2bl w:val="nil"/>
                  </w:tcBorders>
                  <w:vAlign w:val="center"/>
                </w:tcPr>
                <w:p w14:paraId="56C2F1C1">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2023 年</w:t>
                  </w:r>
                </w:p>
              </w:tc>
              <w:tc>
                <w:tcPr>
                  <w:tcW w:w="664" w:type="pct"/>
                  <w:tcBorders>
                    <w:tl2br w:val="nil"/>
                    <w:tr2bl w:val="nil"/>
                  </w:tcBorders>
                  <w:vAlign w:val="center"/>
                </w:tcPr>
                <w:p w14:paraId="0FC160AB">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35497.99</w:t>
                  </w:r>
                </w:p>
              </w:tc>
              <w:tc>
                <w:tcPr>
                  <w:tcW w:w="699" w:type="pct"/>
                  <w:tcBorders>
                    <w:tl2br w:val="nil"/>
                    <w:tr2bl w:val="nil"/>
                  </w:tcBorders>
                  <w:vAlign w:val="center"/>
                </w:tcPr>
                <w:p w14:paraId="08A634A6">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5749.41</w:t>
                  </w:r>
                </w:p>
              </w:tc>
              <w:tc>
                <w:tcPr>
                  <w:tcW w:w="699" w:type="pct"/>
                  <w:tcBorders>
                    <w:tl2br w:val="nil"/>
                    <w:tr2bl w:val="nil"/>
                  </w:tcBorders>
                  <w:vAlign w:val="center"/>
                </w:tcPr>
                <w:p w14:paraId="6B3E8471">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21075.68</w:t>
                  </w:r>
                </w:p>
              </w:tc>
              <w:tc>
                <w:tcPr>
                  <w:tcW w:w="699" w:type="pct"/>
                  <w:tcBorders>
                    <w:tl2br w:val="nil"/>
                    <w:tr2bl w:val="nil"/>
                  </w:tcBorders>
                  <w:vAlign w:val="center"/>
                </w:tcPr>
                <w:p w14:paraId="586BCF79">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6325.01</w:t>
                  </w:r>
                </w:p>
              </w:tc>
              <w:tc>
                <w:tcPr>
                  <w:tcW w:w="838" w:type="pct"/>
                  <w:tcBorders>
                    <w:tl2br w:val="nil"/>
                    <w:tr2bl w:val="nil"/>
                  </w:tcBorders>
                  <w:vAlign w:val="center"/>
                </w:tcPr>
                <w:p w14:paraId="3B032881">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1947.53</w:t>
                  </w:r>
                </w:p>
              </w:tc>
              <w:tc>
                <w:tcPr>
                  <w:tcW w:w="699" w:type="pct"/>
                  <w:tcBorders>
                    <w:tl2br w:val="nil"/>
                    <w:tr2bl w:val="nil"/>
                  </w:tcBorders>
                  <w:vAlign w:val="center"/>
                </w:tcPr>
                <w:p w14:paraId="0335A4A6">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400.36</w:t>
                  </w:r>
                </w:p>
              </w:tc>
            </w:tr>
            <w:tr w14:paraId="70865B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9" w:type="pct"/>
                  <w:tcBorders>
                    <w:tl2br w:val="nil"/>
                    <w:tr2bl w:val="nil"/>
                  </w:tcBorders>
                  <w:vAlign w:val="center"/>
                </w:tcPr>
                <w:p w14:paraId="06E6348F">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动态变化</w:t>
                  </w:r>
                </w:p>
              </w:tc>
              <w:tc>
                <w:tcPr>
                  <w:tcW w:w="664" w:type="pct"/>
                  <w:tcBorders>
                    <w:tl2br w:val="nil"/>
                    <w:tr2bl w:val="nil"/>
                  </w:tcBorders>
                  <w:vAlign w:val="center"/>
                </w:tcPr>
                <w:p w14:paraId="487B0340">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-10.01</w:t>
                  </w:r>
                </w:p>
              </w:tc>
              <w:tc>
                <w:tcPr>
                  <w:tcW w:w="699" w:type="pct"/>
                  <w:tcBorders>
                    <w:tl2br w:val="nil"/>
                    <w:tr2bl w:val="nil"/>
                  </w:tcBorders>
                  <w:vAlign w:val="center"/>
                </w:tcPr>
                <w:p w14:paraId="32389C05">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4.41</w:t>
                  </w:r>
                </w:p>
              </w:tc>
              <w:tc>
                <w:tcPr>
                  <w:tcW w:w="699" w:type="pct"/>
                  <w:tcBorders>
                    <w:tl2br w:val="nil"/>
                    <w:tr2bl w:val="nil"/>
                  </w:tcBorders>
                  <w:vAlign w:val="center"/>
                </w:tcPr>
                <w:p w14:paraId="40C649A0">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142.31</w:t>
                  </w:r>
                </w:p>
              </w:tc>
              <w:tc>
                <w:tcPr>
                  <w:tcW w:w="699" w:type="pct"/>
                  <w:tcBorders>
                    <w:tl2br w:val="nil"/>
                    <w:tr2bl w:val="nil"/>
                  </w:tcBorders>
                  <w:vAlign w:val="center"/>
                </w:tcPr>
                <w:p w14:paraId="120368DA">
                  <w:pPr>
                    <w:widowControl/>
                    <w:shd w:val="clear"/>
                    <w:spacing w:line="240" w:lineRule="auto"/>
                    <w:ind w:firstLine="0" w:firstLineChars="0"/>
                    <w:jc w:val="center"/>
                    <w:rPr>
                      <w:color w:val="000000" w:themeColor="text1"/>
                      <w:kern w:val="0"/>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-132.22</w:t>
                  </w:r>
                </w:p>
              </w:tc>
              <w:tc>
                <w:tcPr>
                  <w:tcW w:w="838" w:type="pct"/>
                  <w:tcBorders>
                    <w:tl2br w:val="nil"/>
                    <w:tr2bl w:val="nil"/>
                  </w:tcBorders>
                  <w:vAlign w:val="center"/>
                </w:tcPr>
                <w:p w14:paraId="27DA31FD">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-21.79</w:t>
                  </w:r>
                </w:p>
              </w:tc>
              <w:tc>
                <w:tcPr>
                  <w:tcW w:w="699" w:type="pct"/>
                  <w:tcBorders>
                    <w:tl2br w:val="nil"/>
                    <w:tr2bl w:val="nil"/>
                  </w:tcBorders>
                  <w:vAlign w:val="center"/>
                </w:tcPr>
                <w:p w14:paraId="78BC72A0">
                  <w:pPr>
                    <w:widowControl/>
                    <w:shd w:val="clear"/>
                    <w:spacing w:line="240" w:lineRule="auto"/>
                    <w:ind w:firstLine="0" w:firstLineChars="0"/>
                    <w:jc w:val="center"/>
                    <w:rPr>
                      <w:color w:val="000000" w:themeColor="text1"/>
                      <w:sz w:val="18"/>
                      <w:szCs w:val="18"/>
                      <w:highlight w:val="none"/>
                      <w14:textFill>
                        <w14:solidFill>
                          <w14:schemeClr w14:val="tx1"/>
                        </w14:solidFill>
                      </w14:textFill>
                    </w:rPr>
                  </w:pPr>
                  <w:r>
                    <w:rPr>
                      <w:color w:val="000000" w:themeColor="text1"/>
                      <w:kern w:val="0"/>
                      <w:sz w:val="18"/>
                      <w:szCs w:val="18"/>
                      <w:highlight w:val="none"/>
                      <w:lang w:bidi="ar"/>
                      <w14:textFill>
                        <w14:solidFill>
                          <w14:schemeClr w14:val="tx1"/>
                        </w14:solidFill>
                      </w14:textFill>
                    </w:rPr>
                    <w:t>-2.72</w:t>
                  </w:r>
                </w:p>
              </w:tc>
            </w:tr>
          </w:tbl>
          <w:p w14:paraId="4307F861">
            <w:pPr>
              <w:shd w:val="clear"/>
              <w:ind w:firstLine="480"/>
              <w:rPr>
                <w:rFonts w:hint="eastAsia" w:eastAsia="宋体"/>
                <w:color w:val="000000" w:themeColor="text1"/>
                <w:highlight w:val="none"/>
                <w:lang w:eastAsia="zh-CN"/>
                <w14:textFill>
                  <w14:solidFill>
                    <w14:schemeClr w14:val="tx1"/>
                  </w14:solidFill>
                </w14:textFill>
              </w:rPr>
            </w:pPr>
            <w:bookmarkStart w:id="186" w:name="_Toc12200"/>
            <w:r>
              <w:rPr>
                <w:color w:val="000000" w:themeColor="text1"/>
                <w:highlight w:val="none"/>
                <w14:textFill>
                  <w14:solidFill>
                    <w14:schemeClr w14:val="tx1"/>
                  </w14:solidFill>
                </w14:textFill>
              </w:rPr>
              <w:t>根据表3-4动态变化数据，2024年尉犁县水土流失总面积较2023年减少10.01km</w:t>
            </w:r>
            <w:r>
              <w:rPr>
                <w:rFonts w:hint="eastAsia"/>
                <w:color w:val="000000" w:themeColor="text1"/>
                <w:highlight w:val="none"/>
                <w:vertAlign w:val="superscript"/>
                <w:lang w:val="en-US" w:eastAsia="zh-CN"/>
                <w14:textFill>
                  <w14:solidFill>
                    <w14:schemeClr w14:val="tx1"/>
                  </w14:solidFill>
                </w14:textFill>
              </w:rPr>
              <w:t>2</w:t>
            </w:r>
            <w:r>
              <w:rPr>
                <w:color w:val="000000" w:themeColor="text1"/>
                <w:highlight w:val="none"/>
                <w14:textFill>
                  <w14:solidFill>
                    <w14:schemeClr w14:val="tx1"/>
                  </w14:solidFill>
                </w14:textFill>
              </w:rPr>
              <w:t>，表明区域水土流失总体呈改善趋势。但由于近年来区域内光伏等新能源项目集中建设，地表扰动活动增多，局部水土流失风险仍不容忽视。尉犁县水土流失以中度风力侵蚀为主，中度侵蚀面积占总水土流失面积的59.79%，是全国水土流失动态监测的重点区域</w:t>
            </w:r>
            <w:r>
              <w:rPr>
                <w:rFonts w:hint="default"/>
                <w:color w:val="000000" w:themeColor="text1"/>
                <w:highlight w:val="none"/>
                <w14:textFill>
                  <w14:solidFill>
                    <w14:schemeClr w14:val="tx1"/>
                  </w14:solidFill>
                </w14:textFill>
              </w:rPr>
              <w:t>。据尉犁县水利局公告，尉犁县被划入塔里木河流域重点治理区，水土流失防治执行一级标准</w:t>
            </w:r>
            <w:r>
              <w:rPr>
                <w:rFonts w:hint="eastAsia"/>
                <w:color w:val="000000" w:themeColor="text1"/>
                <w:highlight w:val="none"/>
                <w:lang w:eastAsia="zh-CN"/>
                <w14:textFill>
                  <w14:solidFill>
                    <w14:schemeClr w14:val="tx1"/>
                  </w14:solidFill>
                </w14:textFill>
              </w:rPr>
              <w:t>。</w:t>
            </w:r>
          </w:p>
          <w:p w14:paraId="7923143B">
            <w:pPr>
              <w:pStyle w:val="3"/>
              <w:shd w:val="clear"/>
              <w:rPr>
                <w:color w:val="000000" w:themeColor="text1"/>
                <w:highlight w:val="none"/>
                <w14:textFill>
                  <w14:solidFill>
                    <w14:schemeClr w14:val="tx1"/>
                  </w14:solidFill>
                </w14:textFill>
              </w:rPr>
            </w:pPr>
            <w:bookmarkStart w:id="187" w:name="_Toc280"/>
            <w:bookmarkStart w:id="188" w:name="_Toc5359"/>
          </w:p>
          <w:p w14:paraId="6D6DAB93">
            <w:pPr>
              <w:pStyle w:val="3"/>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3、大气环境质量现状</w:t>
            </w:r>
            <w:bookmarkEnd w:id="186"/>
            <w:bookmarkEnd w:id="187"/>
            <w:bookmarkEnd w:id="188"/>
          </w:p>
          <w:bookmarkEnd w:id="161"/>
          <w:p w14:paraId="0AF9D9AE">
            <w:pPr>
              <w:shd w:val="clear"/>
              <w:ind w:firstLine="480"/>
              <w:rPr>
                <w:rFonts w:hint="eastAsia"/>
                <w:color w:val="0000FF"/>
                <w:highlight w:val="none"/>
              </w:rPr>
            </w:pPr>
            <w:r>
              <w:rPr>
                <w:rFonts w:hint="default" w:ascii="Times New Roman" w:hAnsi="Times New Roman" w:eastAsia="宋体" w:cs="Times New Roman"/>
                <w:color w:val="0000FF"/>
                <w:sz w:val="24"/>
                <w:szCs w:val="24"/>
                <w:highlight w:val="none"/>
              </w:rPr>
              <w:t>项目区位于新疆巴州</w:t>
            </w:r>
            <w:r>
              <w:rPr>
                <w:rFonts w:hint="eastAsia" w:ascii="Times New Roman" w:hAnsi="Times New Roman" w:eastAsia="宋体" w:cs="Times New Roman"/>
                <w:color w:val="0000FF"/>
                <w:sz w:val="24"/>
                <w:szCs w:val="24"/>
                <w:highlight w:val="none"/>
                <w:lang w:val="en-US" w:eastAsia="zh-CN"/>
              </w:rPr>
              <w:t>尉犁县</w:t>
            </w:r>
            <w:r>
              <w:rPr>
                <w:rFonts w:hint="default" w:ascii="Times New Roman" w:hAnsi="Times New Roman" w:eastAsia="宋体" w:cs="Times New Roman"/>
                <w:color w:val="0000FF"/>
                <w:sz w:val="24"/>
                <w:szCs w:val="24"/>
                <w:highlight w:val="none"/>
              </w:rPr>
              <w:t>境内，</w:t>
            </w:r>
            <w:r>
              <w:rPr>
                <w:rFonts w:hint="default" w:ascii="Times New Roman" w:hAnsi="Times New Roman" w:cs="Times New Roman"/>
                <w:color w:val="0000FF"/>
                <w:highlight w:val="none"/>
              </w:rPr>
              <w:t>根据《建设项目环境影响报告表编制技术指南（</w:t>
            </w:r>
            <w:r>
              <w:rPr>
                <w:rFonts w:hint="eastAsia" w:ascii="Times New Roman" w:hAnsi="Times New Roman" w:cs="Times New Roman"/>
                <w:color w:val="0000FF"/>
                <w:highlight w:val="none"/>
                <w:lang w:val="en-US" w:eastAsia="zh-CN"/>
              </w:rPr>
              <w:t>生态</w:t>
            </w:r>
            <w:r>
              <w:rPr>
                <w:rFonts w:hint="default" w:ascii="Times New Roman" w:hAnsi="Times New Roman" w:cs="Times New Roman"/>
                <w:color w:val="0000FF"/>
                <w:highlight w:val="none"/>
              </w:rPr>
              <w:t>影响类）（试行）》</w:t>
            </w:r>
            <w:r>
              <w:rPr>
                <w:rFonts w:hint="default" w:ascii="Times New Roman" w:hAnsi="Times New Roman" w:cs="Times New Roman"/>
                <w:color w:val="0000FF"/>
                <w:highlight w:val="none"/>
                <w:lang w:val="en-US" w:eastAsia="zh-CN"/>
              </w:rPr>
              <w:t>中</w:t>
            </w:r>
            <w:r>
              <w:rPr>
                <w:rFonts w:hint="default" w:ascii="Times New Roman" w:hAnsi="Times New Roman" w:cs="Times New Roman"/>
                <w:color w:val="0000FF"/>
                <w:highlight w:val="none"/>
              </w:rPr>
              <w:t>对环境质量现状数据的要求</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lang w:val="en-US" w:eastAsia="zh-CN"/>
              </w:rPr>
              <w:t>不开展专项评价的环境要素，引用与项目距离近的有效数据和调查资料，包括符合时限要求的规划环境影响评价监测数据和调查资料，国家、地方环境质量监测网数据或生态环境主管部门公开发布的生态环境质量数据等</w:t>
            </w:r>
            <w:r>
              <w:rPr>
                <w:rFonts w:hint="default" w:ascii="Times New Roman" w:hAnsi="Times New Roman" w:cs="Times New Roman"/>
                <w:color w:val="0000FF"/>
                <w:highlight w:val="none"/>
                <w:lang w:eastAsia="zh-CN"/>
              </w:rPr>
              <w:t>”</w:t>
            </w:r>
            <w:r>
              <w:rPr>
                <w:rFonts w:hint="default" w:ascii="Times New Roman" w:hAnsi="Times New Roman" w:cs="Times New Roman"/>
                <w:color w:val="0000FF"/>
                <w:highlight w:val="none"/>
              </w:rPr>
              <w:t>，</w:t>
            </w:r>
            <w:r>
              <w:rPr>
                <w:rFonts w:hint="eastAsia"/>
                <w:color w:val="0000FF"/>
                <w:highlight w:val="none"/>
                <w:lang w:val="en-US" w:eastAsia="zh-CN"/>
              </w:rPr>
              <w:t>根据巴州生态环境局发布的《巴音郭楞蒙古自治州2025年生态环境状况公报》：</w:t>
            </w:r>
            <w:r>
              <w:rPr>
                <w:rFonts w:hint="eastAsia"/>
                <w:color w:val="0000FF"/>
                <w:highlight w:val="none"/>
              </w:rPr>
              <w:t>2025年，全州空气质量综合指数为6.31，较2024年上升20.69%，空气质量有所下降。PM</w:t>
            </w:r>
            <w:r>
              <w:rPr>
                <w:rFonts w:hint="eastAsia"/>
                <w:color w:val="0000FF"/>
                <w:highlight w:val="none"/>
                <w:vertAlign w:val="subscript"/>
              </w:rPr>
              <w:t>10</w:t>
            </w:r>
            <w:r>
              <w:rPr>
                <w:rFonts w:hint="eastAsia"/>
                <w:color w:val="0000FF"/>
                <w:highlight w:val="none"/>
              </w:rPr>
              <w:t>为首要污染物，未出现PM</w:t>
            </w:r>
            <w:r>
              <w:rPr>
                <w:rFonts w:hint="eastAsia"/>
                <w:color w:val="0000FF"/>
                <w:highlight w:val="none"/>
                <w:vertAlign w:val="subscript"/>
              </w:rPr>
              <w:t>2.5</w:t>
            </w:r>
            <w:r>
              <w:rPr>
                <w:rFonts w:hint="eastAsia"/>
                <w:color w:val="0000FF"/>
                <w:highlight w:val="none"/>
              </w:rPr>
              <w:t>、O</w:t>
            </w:r>
            <w:r>
              <w:rPr>
                <w:rFonts w:hint="eastAsia"/>
                <w:color w:val="0000FF"/>
                <w:highlight w:val="none"/>
                <w:vertAlign w:val="subscript"/>
              </w:rPr>
              <w:t>3－8</w:t>
            </w:r>
            <w:r>
              <w:rPr>
                <w:rFonts w:hint="eastAsia"/>
                <w:color w:val="0000FF"/>
                <w:highlight w:val="none"/>
                <w:vertAlign w:val="subscript"/>
                <w:lang w:val="en-US" w:eastAsia="zh-CN"/>
              </w:rPr>
              <w:t>h</w:t>
            </w:r>
            <w:r>
              <w:rPr>
                <w:rFonts w:hint="eastAsia"/>
                <w:color w:val="0000FF"/>
                <w:highlight w:val="none"/>
              </w:rPr>
              <w:t>、SO</w:t>
            </w:r>
            <w:r>
              <w:rPr>
                <w:rFonts w:hint="eastAsia"/>
                <w:color w:val="0000FF"/>
                <w:highlight w:val="none"/>
                <w:vertAlign w:val="subscript"/>
              </w:rPr>
              <w:t>2</w:t>
            </w:r>
            <w:r>
              <w:rPr>
                <w:rFonts w:hint="eastAsia"/>
                <w:color w:val="0000FF"/>
                <w:highlight w:val="none"/>
              </w:rPr>
              <w:t>、NO</w:t>
            </w:r>
            <w:r>
              <w:rPr>
                <w:rFonts w:hint="eastAsia"/>
                <w:color w:val="0000FF"/>
                <w:highlight w:val="none"/>
                <w:vertAlign w:val="subscript"/>
              </w:rPr>
              <w:t>2</w:t>
            </w:r>
            <w:r>
              <w:rPr>
                <w:rFonts w:hint="eastAsia"/>
                <w:color w:val="0000FF"/>
                <w:highlight w:val="none"/>
              </w:rPr>
              <w:t>、CO为首要污染物的超标天。</w:t>
            </w:r>
          </w:p>
          <w:p w14:paraId="4B386DEE">
            <w:pPr>
              <w:shd w:val="clear"/>
              <w:ind w:firstLine="480"/>
              <w:rPr>
                <w:color w:val="0000FF"/>
                <w:highlight w:val="none"/>
              </w:rPr>
            </w:pPr>
            <w:r>
              <w:rPr>
                <w:color w:val="0000FF"/>
                <w:highlight w:val="none"/>
              </w:rPr>
              <w:t>因此判断本项目所在区域为不达标区域。</w:t>
            </w:r>
          </w:p>
          <w:p w14:paraId="4EDE3115">
            <w:pPr>
              <w:pStyle w:val="3"/>
              <w:shd w:val="clear"/>
              <w:rPr>
                <w:color w:val="000000" w:themeColor="text1"/>
                <w:highlight w:val="none"/>
                <w14:textFill>
                  <w14:solidFill>
                    <w14:schemeClr w14:val="tx1"/>
                  </w14:solidFill>
                </w14:textFill>
              </w:rPr>
            </w:pPr>
            <w:bookmarkStart w:id="189" w:name="_Toc3726"/>
            <w:bookmarkStart w:id="190" w:name="_Toc12466"/>
            <w:bookmarkStart w:id="191" w:name="_Toc30345"/>
            <w:r>
              <w:rPr>
                <w:color w:val="000000" w:themeColor="text1"/>
                <w:highlight w:val="none"/>
                <w14:textFill>
                  <w14:solidFill>
                    <w14:schemeClr w14:val="tx1"/>
                  </w14:solidFill>
                </w14:textFill>
              </w:rPr>
              <w:t>4、地表水环境质量</w:t>
            </w:r>
            <w:bookmarkEnd w:id="189"/>
            <w:bookmarkEnd w:id="190"/>
            <w:bookmarkEnd w:id="191"/>
          </w:p>
          <w:p w14:paraId="3D0DC281">
            <w:pPr>
              <w:shd w:val="clear"/>
              <w:ind w:firstLine="480"/>
              <w:jc w:val="both"/>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根据《202</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年巴音郭楞蒙古自治州生态环境状况公报》可知：2025年，全州地表水监测的31个考核断面（点位）中，Ⅰ~Ⅲ类优良水质断面占比96.8%。6条主要河流19个监测断面Ⅰ~Ⅲ类优良水质占100%；3个重要湖泊（水库）12个监测点位Ⅰ~Ⅲ类优良水质占91.7%，无劣Ⅴ类水体。</w:t>
            </w:r>
          </w:p>
          <w:p w14:paraId="53EB9A77">
            <w:pPr>
              <w:shd w:val="clear"/>
              <w:ind w:firstLine="480"/>
              <w:jc w:val="left"/>
              <w:rPr>
                <w:color w:val="000000" w:themeColor="text1"/>
                <w:highlight w:val="none"/>
                <w14:textFill>
                  <w14:solidFill>
                    <w14:schemeClr w14:val="tx1"/>
                  </w14:solidFill>
                </w14:textFill>
              </w:rPr>
            </w:pPr>
            <w:bookmarkStart w:id="192" w:name="_Toc22953"/>
            <w:r>
              <w:rPr>
                <w:color w:val="000000" w:themeColor="text1"/>
                <w:highlight w:val="none"/>
                <w14:textFill>
                  <w14:solidFill>
                    <w14:schemeClr w14:val="tx1"/>
                  </w14:solidFill>
                </w14:textFill>
              </w:rPr>
              <w:t>项目区最近地表水体为库塔干渠位于项目区东侧2.8km处，属于孔雀河支流。根据《巴音郭楞蒙古自治州环境功能区划》库塔干渠为Ⅲ类水体，其水质可满足可达到《地表水环境质量标准》（GB3838-2002）中Ⅲ类标准限值要求。</w:t>
            </w:r>
          </w:p>
          <w:p w14:paraId="1091ABA3">
            <w:pPr>
              <w:pStyle w:val="3"/>
              <w:shd w:val="clear"/>
              <w:rPr>
                <w:color w:val="000000" w:themeColor="text1"/>
                <w:highlight w:val="none"/>
                <w14:textFill>
                  <w14:solidFill>
                    <w14:schemeClr w14:val="tx1"/>
                  </w14:solidFill>
                </w14:textFill>
              </w:rPr>
            </w:pPr>
            <w:bookmarkStart w:id="193" w:name="_Toc27364"/>
            <w:bookmarkStart w:id="194" w:name="_Toc18773"/>
            <w:r>
              <w:rPr>
                <w:color w:val="000000" w:themeColor="text1"/>
                <w:highlight w:val="none"/>
                <w14:textFill>
                  <w14:solidFill>
                    <w14:schemeClr w14:val="tx1"/>
                  </w14:solidFill>
                </w14:textFill>
              </w:rPr>
              <w:t>5、地下水环境质量</w:t>
            </w:r>
            <w:bookmarkEnd w:id="192"/>
            <w:bookmarkEnd w:id="193"/>
            <w:bookmarkEnd w:id="194"/>
          </w:p>
          <w:p w14:paraId="3F724EF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地下水环境》（HJ610-2016）附录A，本项目行业类别为：E电力，35、送（输）变电工程，地下水环境影响评价项目类别为Ⅳ类。</w:t>
            </w:r>
          </w:p>
          <w:p w14:paraId="1F4CA09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根据中华人民共和国国家环境保护标准（HJ610-2016）《环境影响评价技术导则地下水环境》4.1一般性原则，Ⅳ类建设项目不开展地下水环境影响评价，故本项目不对地下水进行环境影响评价。</w:t>
            </w:r>
          </w:p>
          <w:p w14:paraId="59B99D8A">
            <w:pPr>
              <w:pStyle w:val="3"/>
              <w:shd w:val="clear"/>
              <w:rPr>
                <w:color w:val="000000" w:themeColor="text1"/>
                <w:highlight w:val="none"/>
                <w14:textFill>
                  <w14:solidFill>
                    <w14:schemeClr w14:val="tx1"/>
                  </w14:solidFill>
                </w14:textFill>
              </w:rPr>
            </w:pPr>
            <w:bookmarkStart w:id="195" w:name="_Toc12197"/>
            <w:bookmarkStart w:id="196" w:name="_Toc25597"/>
            <w:bookmarkStart w:id="197" w:name="_Toc23700"/>
            <w:r>
              <w:rPr>
                <w:color w:val="000000" w:themeColor="text1"/>
                <w:highlight w:val="none"/>
                <w14:textFill>
                  <w14:solidFill>
                    <w14:schemeClr w14:val="tx1"/>
                  </w14:solidFill>
                </w14:textFill>
              </w:rPr>
              <w:t>6、声环境质量</w:t>
            </w:r>
            <w:bookmarkEnd w:id="195"/>
            <w:bookmarkEnd w:id="196"/>
            <w:bookmarkEnd w:id="197"/>
          </w:p>
          <w:p w14:paraId="40DDAB6C">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（1）监测因子</w:t>
            </w:r>
          </w:p>
          <w:p w14:paraId="1306247B">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等效声级，L</w:t>
            </w:r>
            <w:r>
              <w:rPr>
                <w:color w:val="000000" w:themeColor="text1"/>
                <w:highlight w:val="none"/>
                <w:vertAlign w:val="subscript"/>
                <w14:textFill>
                  <w14:solidFill>
                    <w14:schemeClr w14:val="tx1"/>
                  </w14:solidFill>
                </w14:textFill>
              </w:rPr>
              <w:t>eq</w:t>
            </w:r>
          </w:p>
          <w:p w14:paraId="6DB238C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（2）监测方法及布点</w:t>
            </w:r>
          </w:p>
          <w:p w14:paraId="6939300A">
            <w:pPr>
              <w:shd w:val="clear"/>
              <w:autoSpaceDE w:val="0"/>
              <w:autoSpaceDN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监测方法：《声环境质量标准》（GB3096-2008）。</w:t>
            </w:r>
          </w:p>
          <w:p w14:paraId="51F4D250">
            <w:pPr>
              <w:shd w:val="clear"/>
              <w:autoSpaceDE w:val="0"/>
              <w:autoSpaceDN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布点原则：根据《环境影响评价技术导则 声环境》（HJ2.4-2009）的要求，共设置5个现状监测点，距地面1.2m处监测。具体点位布置见附图13。</w:t>
            </w:r>
          </w:p>
          <w:p w14:paraId="3835295F">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（3）监测单位及监测时间</w:t>
            </w:r>
          </w:p>
          <w:p w14:paraId="6A80E0F9">
            <w:pPr>
              <w:shd w:val="clear"/>
              <w:autoSpaceDE w:val="0"/>
              <w:autoSpaceDN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监测单位：乌鲁木齐星辰汇峰环保科技有限公司</w:t>
            </w:r>
          </w:p>
          <w:p w14:paraId="6D43AAE3">
            <w:pPr>
              <w:shd w:val="clear"/>
              <w:autoSpaceDE w:val="0"/>
              <w:autoSpaceDN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监测时间：2026年5月9日</w:t>
            </w:r>
          </w:p>
          <w:p w14:paraId="42810005">
            <w:pPr>
              <w:shd w:val="clear"/>
              <w:ind w:firstLine="480"/>
              <w:rPr>
                <w:rFonts w:hint="eastAsia"/>
                <w:color w:val="FF0000"/>
                <w:highlight w:val="none"/>
                <w:lang w:val="en-US" w:eastAsia="zh-CN"/>
              </w:rPr>
            </w:pPr>
            <w:r>
              <w:rPr>
                <w:color w:val="FF0000"/>
                <w:highlight w:val="none"/>
              </w:rPr>
              <w:t xml:space="preserve">（4） </w:t>
            </w:r>
            <w:r>
              <w:rPr>
                <w:rFonts w:hint="eastAsia"/>
                <w:color w:val="FF0000"/>
                <w:highlight w:val="none"/>
                <w:lang w:val="en-US" w:eastAsia="zh-CN"/>
              </w:rPr>
              <w:t>监测仪器</w:t>
            </w:r>
          </w:p>
          <w:p w14:paraId="12835D06">
            <w:pPr>
              <w:pStyle w:val="5"/>
              <w:shd w:val="clear"/>
              <w:ind w:firstLine="422"/>
              <w:rPr>
                <w:rFonts w:hint="eastAsia"/>
                <w:color w:val="FF0000"/>
                <w:highlight w:val="none"/>
                <w:lang w:val="en-US" w:eastAsia="zh-CN"/>
              </w:rPr>
            </w:pPr>
            <w:r>
              <w:rPr>
                <w:rFonts w:hint="eastAsia"/>
                <w:color w:val="FF0000"/>
                <w:highlight w:val="none"/>
                <w:lang w:val="en-US" w:eastAsia="zh-CN"/>
              </w:rPr>
              <w:t>表3-5          监测设备一览表</w:t>
            </w:r>
          </w:p>
          <w:tbl>
            <w:tblPr>
              <w:tblStyle w:val="34"/>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396"/>
              <w:gridCol w:w="1188"/>
              <w:gridCol w:w="1096"/>
              <w:gridCol w:w="1176"/>
              <w:gridCol w:w="1286"/>
              <w:gridCol w:w="1617"/>
              <w:gridCol w:w="397"/>
            </w:tblGrid>
            <w:tr w14:paraId="2CD50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9" w:type="pct"/>
                  <w:tcBorders>
                    <w:tl2br w:val="nil"/>
                    <w:tr2bl w:val="nil"/>
                  </w:tcBorders>
                  <w:vAlign w:val="center"/>
                </w:tcPr>
                <w:p w14:paraId="6240B8E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序号</w:t>
                  </w:r>
                </w:p>
              </w:tc>
              <w:tc>
                <w:tcPr>
                  <w:tcW w:w="239" w:type="pct"/>
                  <w:tcBorders>
                    <w:tl2br w:val="nil"/>
                    <w:tr2bl w:val="nil"/>
                  </w:tcBorders>
                  <w:vAlign w:val="center"/>
                </w:tcPr>
                <w:p w14:paraId="130FC49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仪器名称</w:t>
                  </w:r>
                </w:p>
              </w:tc>
              <w:tc>
                <w:tcPr>
                  <w:tcW w:w="800" w:type="pct"/>
                  <w:tcBorders>
                    <w:tl2br w:val="nil"/>
                    <w:tr2bl w:val="nil"/>
                  </w:tcBorders>
                  <w:vAlign w:val="center"/>
                </w:tcPr>
                <w:p w14:paraId="2682AB2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仪器型号</w:t>
                  </w:r>
                </w:p>
              </w:tc>
              <w:tc>
                <w:tcPr>
                  <w:tcW w:w="739" w:type="pct"/>
                  <w:tcBorders>
                    <w:tl2br w:val="nil"/>
                    <w:tr2bl w:val="nil"/>
                  </w:tcBorders>
                  <w:vAlign w:val="center"/>
                </w:tcPr>
                <w:p w14:paraId="57FB2BFA">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仪器编号</w:t>
                  </w:r>
                </w:p>
              </w:tc>
              <w:tc>
                <w:tcPr>
                  <w:tcW w:w="792" w:type="pct"/>
                  <w:tcBorders>
                    <w:tl2br w:val="nil"/>
                    <w:tr2bl w:val="nil"/>
                  </w:tcBorders>
                  <w:vAlign w:val="center"/>
                </w:tcPr>
                <w:p w14:paraId="721945C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仪器参数</w:t>
                  </w:r>
                </w:p>
              </w:tc>
              <w:tc>
                <w:tcPr>
                  <w:tcW w:w="864" w:type="pct"/>
                  <w:tcBorders>
                    <w:tl2br w:val="nil"/>
                    <w:tr2bl w:val="nil"/>
                  </w:tcBorders>
                  <w:vAlign w:val="center"/>
                </w:tcPr>
                <w:p w14:paraId="4A43247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计量单位/证书编号</w:t>
                  </w:r>
                </w:p>
              </w:tc>
              <w:tc>
                <w:tcPr>
                  <w:tcW w:w="1083" w:type="pct"/>
                  <w:tcBorders>
                    <w:tl2br w:val="nil"/>
                    <w:tr2bl w:val="nil"/>
                  </w:tcBorders>
                  <w:vAlign w:val="center"/>
                </w:tcPr>
                <w:p w14:paraId="2095294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有效日期</w:t>
                  </w:r>
                </w:p>
              </w:tc>
              <w:tc>
                <w:tcPr>
                  <w:tcW w:w="240" w:type="pct"/>
                  <w:tcBorders>
                    <w:tl2br w:val="nil"/>
                    <w:tr2bl w:val="nil"/>
                  </w:tcBorders>
                  <w:vAlign w:val="center"/>
                </w:tcPr>
                <w:p w14:paraId="3C1CF59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是否租用/借用</w:t>
                  </w:r>
                </w:p>
              </w:tc>
            </w:tr>
            <w:tr w14:paraId="35398E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9" w:type="pct"/>
                  <w:tcBorders>
                    <w:tl2br w:val="nil"/>
                    <w:tr2bl w:val="nil"/>
                  </w:tcBorders>
                  <w:vAlign w:val="center"/>
                </w:tcPr>
                <w:p w14:paraId="1DFF36BB">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eastAsia" w:ascii="Times New Roman" w:hAnsi="Times New Roman" w:cs="Times New Roman"/>
                      <w:b w:val="0"/>
                      <w:bCs w:val="0"/>
                      <w:color w:val="FF0000"/>
                      <w:sz w:val="18"/>
                      <w:szCs w:val="18"/>
                      <w:highlight w:val="none"/>
                      <w:vertAlign w:val="baseline"/>
                      <w:lang w:val="en-US" w:eastAsia="zh-CN"/>
                    </w:rPr>
                    <w:t>1</w:t>
                  </w:r>
                </w:p>
              </w:tc>
              <w:tc>
                <w:tcPr>
                  <w:tcW w:w="239" w:type="pct"/>
                  <w:tcBorders>
                    <w:tl2br w:val="nil"/>
                    <w:tr2bl w:val="nil"/>
                  </w:tcBorders>
                  <w:vAlign w:val="center"/>
                </w:tcPr>
                <w:p w14:paraId="3AFC2C16">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多功能声级计</w:t>
                  </w:r>
                </w:p>
              </w:tc>
              <w:tc>
                <w:tcPr>
                  <w:tcW w:w="800" w:type="pct"/>
                  <w:tcBorders>
                    <w:tl2br w:val="nil"/>
                    <w:tr2bl w:val="nil"/>
                  </w:tcBorders>
                  <w:vAlign w:val="center"/>
                </w:tcPr>
                <w:p w14:paraId="50FB240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AWA6228+</w:t>
                  </w:r>
                </w:p>
              </w:tc>
              <w:tc>
                <w:tcPr>
                  <w:tcW w:w="739" w:type="pct"/>
                  <w:tcBorders>
                    <w:tl2br w:val="nil"/>
                    <w:tr2bl w:val="nil"/>
                  </w:tcBorders>
                  <w:vAlign w:val="center"/>
                </w:tcPr>
                <w:p w14:paraId="27B287AD">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XCJC-YQ-009</w:t>
                  </w:r>
                </w:p>
              </w:tc>
              <w:tc>
                <w:tcPr>
                  <w:tcW w:w="792" w:type="pct"/>
                  <w:tcBorders>
                    <w:tl2br w:val="nil"/>
                    <w:tr2bl w:val="nil"/>
                  </w:tcBorders>
                  <w:vAlign w:val="center"/>
                </w:tcPr>
                <w:p w14:paraId="5C839DD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量程：20～142dB；频率范围：10Hz～20kHz；标配灵敏度级：-28dB</w:t>
                  </w:r>
                </w:p>
              </w:tc>
              <w:tc>
                <w:tcPr>
                  <w:tcW w:w="864" w:type="pct"/>
                  <w:tcBorders>
                    <w:tl2br w:val="nil"/>
                    <w:tr2bl w:val="nil"/>
                  </w:tcBorders>
                  <w:vAlign w:val="center"/>
                </w:tcPr>
                <w:p w14:paraId="4707E963">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新疆维吾尔自治区计量测试研究院JV字26030112号</w:t>
                  </w:r>
                </w:p>
              </w:tc>
              <w:tc>
                <w:tcPr>
                  <w:tcW w:w="1083" w:type="pct"/>
                  <w:tcBorders>
                    <w:tl2br w:val="nil"/>
                    <w:tr2bl w:val="nil"/>
                  </w:tcBorders>
                  <w:vAlign w:val="center"/>
                </w:tcPr>
                <w:p w14:paraId="6193B3A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2026.02.25~2027.02.24</w:t>
                  </w:r>
                </w:p>
              </w:tc>
              <w:tc>
                <w:tcPr>
                  <w:tcW w:w="240" w:type="pct"/>
                  <w:tcBorders>
                    <w:tl2br w:val="nil"/>
                    <w:tr2bl w:val="nil"/>
                  </w:tcBorders>
                  <w:vAlign w:val="center"/>
                </w:tcPr>
                <w:p w14:paraId="10DEAFC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否</w:t>
                  </w:r>
                </w:p>
              </w:tc>
            </w:tr>
            <w:tr w14:paraId="5FAC11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9" w:type="pct"/>
                  <w:tcBorders>
                    <w:tl2br w:val="nil"/>
                    <w:tr2bl w:val="nil"/>
                  </w:tcBorders>
                  <w:vAlign w:val="center"/>
                </w:tcPr>
                <w:p w14:paraId="30B5C55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eastAsia" w:ascii="Times New Roman" w:hAnsi="Times New Roman" w:cs="Times New Roman"/>
                      <w:b w:val="0"/>
                      <w:bCs w:val="0"/>
                      <w:color w:val="FF0000"/>
                      <w:sz w:val="18"/>
                      <w:szCs w:val="18"/>
                      <w:highlight w:val="none"/>
                      <w:vertAlign w:val="baseline"/>
                      <w:lang w:val="en-US" w:eastAsia="zh-CN"/>
                    </w:rPr>
                    <w:t>2</w:t>
                  </w:r>
                </w:p>
              </w:tc>
              <w:tc>
                <w:tcPr>
                  <w:tcW w:w="239" w:type="pct"/>
                  <w:tcBorders>
                    <w:tl2br w:val="nil"/>
                    <w:tr2bl w:val="nil"/>
                  </w:tcBorders>
                  <w:vAlign w:val="center"/>
                </w:tcPr>
                <w:p w14:paraId="0DE068C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声校准器</w:t>
                  </w:r>
                </w:p>
              </w:tc>
              <w:tc>
                <w:tcPr>
                  <w:tcW w:w="800" w:type="pct"/>
                  <w:tcBorders>
                    <w:tl2br w:val="nil"/>
                    <w:tr2bl w:val="nil"/>
                  </w:tcBorders>
                  <w:vAlign w:val="center"/>
                </w:tcPr>
                <w:p w14:paraId="7AD5926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AWA6021A</w:t>
                  </w:r>
                </w:p>
              </w:tc>
              <w:tc>
                <w:tcPr>
                  <w:tcW w:w="739" w:type="pct"/>
                  <w:tcBorders>
                    <w:tl2br w:val="nil"/>
                    <w:tr2bl w:val="nil"/>
                  </w:tcBorders>
                  <w:vAlign w:val="center"/>
                </w:tcPr>
                <w:p w14:paraId="1E8ABAE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XCJC-YQ-010</w:t>
                  </w:r>
                </w:p>
              </w:tc>
              <w:tc>
                <w:tcPr>
                  <w:tcW w:w="792" w:type="pct"/>
                  <w:tcBorders>
                    <w:tl2br w:val="nil"/>
                    <w:tr2bl w:val="nil"/>
                  </w:tcBorders>
                  <w:vAlign w:val="center"/>
                </w:tcPr>
                <w:p w14:paraId="457DCD90">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声压级：94.0dB和114.0dB(以2×10⁻⁵Pa为参考)；声压级误差：±0.25dB；频率：1000.0±1Hz</w:t>
                  </w:r>
                </w:p>
              </w:tc>
              <w:tc>
                <w:tcPr>
                  <w:tcW w:w="864" w:type="pct"/>
                  <w:tcBorders>
                    <w:tl2br w:val="nil"/>
                    <w:tr2bl w:val="nil"/>
                  </w:tcBorders>
                  <w:vAlign w:val="center"/>
                </w:tcPr>
                <w:p w14:paraId="5C9C9EE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深圳中计计量测试技术有限公司ZD202601091294</w:t>
                  </w:r>
                </w:p>
              </w:tc>
              <w:tc>
                <w:tcPr>
                  <w:tcW w:w="1083" w:type="pct"/>
                  <w:tcBorders>
                    <w:tl2br w:val="nil"/>
                    <w:tr2bl w:val="nil"/>
                  </w:tcBorders>
                  <w:vAlign w:val="center"/>
                </w:tcPr>
                <w:p w14:paraId="39F1B31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2026.01.09~2027.01.08</w:t>
                  </w:r>
                </w:p>
              </w:tc>
              <w:tc>
                <w:tcPr>
                  <w:tcW w:w="240" w:type="pct"/>
                  <w:tcBorders>
                    <w:tl2br w:val="nil"/>
                    <w:tr2bl w:val="nil"/>
                  </w:tcBorders>
                  <w:vAlign w:val="center"/>
                </w:tcPr>
                <w:p w14:paraId="32E738C1">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否</w:t>
                  </w:r>
                </w:p>
              </w:tc>
            </w:tr>
            <w:tr w14:paraId="48165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39" w:type="pct"/>
                  <w:tcBorders>
                    <w:tl2br w:val="nil"/>
                    <w:tr2bl w:val="nil"/>
                  </w:tcBorders>
                  <w:vAlign w:val="center"/>
                </w:tcPr>
                <w:p w14:paraId="37FF3318">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eastAsia" w:ascii="Times New Roman" w:hAnsi="Times New Roman" w:cs="Times New Roman"/>
                      <w:b w:val="0"/>
                      <w:bCs w:val="0"/>
                      <w:color w:val="FF0000"/>
                      <w:sz w:val="18"/>
                      <w:szCs w:val="18"/>
                      <w:highlight w:val="none"/>
                      <w:vertAlign w:val="baseline"/>
                      <w:lang w:val="en-US" w:eastAsia="zh-CN"/>
                    </w:rPr>
                    <w:t>3</w:t>
                  </w:r>
                </w:p>
              </w:tc>
              <w:tc>
                <w:tcPr>
                  <w:tcW w:w="239" w:type="pct"/>
                  <w:tcBorders>
                    <w:tl2br w:val="nil"/>
                    <w:tr2bl w:val="nil"/>
                  </w:tcBorders>
                  <w:vAlign w:val="center"/>
                </w:tcPr>
                <w:p w14:paraId="3A4144A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风速仪</w:t>
                  </w:r>
                </w:p>
              </w:tc>
              <w:tc>
                <w:tcPr>
                  <w:tcW w:w="800" w:type="pct"/>
                  <w:tcBorders>
                    <w:tl2br w:val="nil"/>
                    <w:tr2bl w:val="nil"/>
                  </w:tcBorders>
                  <w:vAlign w:val="center"/>
                </w:tcPr>
                <w:p w14:paraId="39FFFDB2">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HT-856</w:t>
                  </w:r>
                </w:p>
              </w:tc>
              <w:tc>
                <w:tcPr>
                  <w:tcW w:w="739" w:type="pct"/>
                  <w:tcBorders>
                    <w:tl2br w:val="nil"/>
                    <w:tr2bl w:val="nil"/>
                  </w:tcBorders>
                  <w:vAlign w:val="center"/>
                </w:tcPr>
                <w:p w14:paraId="4CE4F48F">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XCJC-YQ-015</w:t>
                  </w:r>
                </w:p>
              </w:tc>
              <w:tc>
                <w:tcPr>
                  <w:tcW w:w="792" w:type="pct"/>
                  <w:tcBorders>
                    <w:tl2br w:val="nil"/>
                    <w:tr2bl w:val="nil"/>
                  </w:tcBorders>
                  <w:vAlign w:val="center"/>
                </w:tcPr>
                <w:p w14:paraId="1DC866DC">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测量范围：0.4～30.0m/s；分辨率：0.1m/s；准确度：±（3%+0.3m/s）</w:t>
                  </w:r>
                </w:p>
              </w:tc>
              <w:tc>
                <w:tcPr>
                  <w:tcW w:w="864" w:type="pct"/>
                  <w:tcBorders>
                    <w:tl2br w:val="nil"/>
                    <w:tr2bl w:val="nil"/>
                  </w:tcBorders>
                  <w:vAlign w:val="center"/>
                </w:tcPr>
                <w:p w14:paraId="6A6B70B7">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安正计量检测有限公司YY20256879351</w:t>
                  </w:r>
                </w:p>
              </w:tc>
              <w:tc>
                <w:tcPr>
                  <w:tcW w:w="1083" w:type="pct"/>
                  <w:tcBorders>
                    <w:tl2br w:val="nil"/>
                    <w:tr2bl w:val="nil"/>
                  </w:tcBorders>
                  <w:vAlign w:val="center"/>
                </w:tcPr>
                <w:p w14:paraId="713CF53E">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2025.10.29~2026.10.28</w:t>
                  </w:r>
                </w:p>
              </w:tc>
              <w:tc>
                <w:tcPr>
                  <w:tcW w:w="240" w:type="pct"/>
                  <w:tcBorders>
                    <w:tl2br w:val="nil"/>
                    <w:tr2bl w:val="nil"/>
                  </w:tcBorders>
                  <w:vAlign w:val="center"/>
                </w:tcPr>
                <w:p w14:paraId="51F08675">
                  <w:pPr>
                    <w:keepNext w:val="0"/>
                    <w:keepLines w:val="0"/>
                    <w:pageBreakBefore w:val="0"/>
                    <w:widowControl/>
                    <w:suppressLineNumbers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val="0"/>
                      <w:color w:val="FF0000"/>
                      <w:sz w:val="18"/>
                      <w:szCs w:val="18"/>
                      <w:highlight w:val="none"/>
                      <w:vertAlign w:val="baseline"/>
                      <w:lang w:val="en-US" w:eastAsia="zh-CN"/>
                    </w:rPr>
                  </w:pPr>
                  <w:r>
                    <w:rPr>
                      <w:rFonts w:hint="default" w:ascii="Times New Roman" w:hAnsi="Times New Roman" w:eastAsia="宋体" w:cs="Times New Roman"/>
                      <w:b w:val="0"/>
                      <w:bCs w:val="0"/>
                      <w:color w:val="FF0000"/>
                      <w:kern w:val="0"/>
                      <w:sz w:val="18"/>
                      <w:szCs w:val="18"/>
                      <w:lang w:val="en-US" w:eastAsia="zh-CN" w:bidi="ar"/>
                    </w:rPr>
                    <w:t>否</w:t>
                  </w:r>
                </w:p>
              </w:tc>
            </w:tr>
          </w:tbl>
          <w:p w14:paraId="772432E7">
            <w:pPr>
              <w:shd w:val="clea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（5）环境条件</w:t>
            </w:r>
          </w:p>
          <w:p w14:paraId="35668E63">
            <w:pPr>
              <w:pStyle w:val="5"/>
              <w:shd w:val="clear"/>
              <w:ind w:firstLine="422"/>
              <w:rPr>
                <w:rFonts w:hint="default"/>
                <w:color w:val="4F81BD" w:themeColor="accent1"/>
                <w:highlight w:val="none"/>
                <w:lang w:val="en-US" w:eastAsia="zh-CN"/>
                <w14:textFill>
                  <w14:solidFill>
                    <w14:schemeClr w14:val="accent1"/>
                  </w14:solidFill>
                </w14:textFill>
              </w:rPr>
            </w:pPr>
            <w:r>
              <w:rPr>
                <w:rFonts w:hint="eastAsia"/>
                <w:color w:val="4F81BD" w:themeColor="accent1"/>
                <w:highlight w:val="none"/>
                <w:lang w:val="en-US" w:eastAsia="zh-CN"/>
                <w14:textFill>
                  <w14:solidFill>
                    <w14:schemeClr w14:val="accent1"/>
                  </w14:solidFill>
                </w14:textFill>
              </w:rPr>
              <w:t>表3-6            监测时的环境状况</w:t>
            </w:r>
          </w:p>
          <w:tbl>
            <w:tblPr>
              <w:tblStyle w:val="3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903"/>
              <w:gridCol w:w="2283"/>
              <w:gridCol w:w="573"/>
              <w:gridCol w:w="868"/>
              <w:gridCol w:w="1166"/>
              <w:gridCol w:w="1193"/>
            </w:tblGrid>
            <w:tr w14:paraId="4CE1BF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tcBorders>
                    <w:tl2br w:val="nil"/>
                    <w:tr2bl w:val="nil"/>
                  </w:tcBorders>
                  <w:vAlign w:val="center"/>
                </w:tcPr>
                <w:p w14:paraId="21BD5778">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序号</w:t>
                  </w:r>
                </w:p>
              </w:tc>
              <w:tc>
                <w:tcPr>
                  <w:tcW w:w="597" w:type="pct"/>
                  <w:tcBorders>
                    <w:tl2br w:val="nil"/>
                    <w:tr2bl w:val="nil"/>
                  </w:tcBorders>
                  <w:vAlign w:val="center"/>
                </w:tcPr>
                <w:p w14:paraId="5638A2A2">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监测因子</w:t>
                  </w:r>
                </w:p>
              </w:tc>
              <w:tc>
                <w:tcPr>
                  <w:tcW w:w="1510" w:type="pct"/>
                  <w:tcBorders>
                    <w:tl2br w:val="nil"/>
                    <w:tr2bl w:val="nil"/>
                  </w:tcBorders>
                  <w:vAlign w:val="center"/>
                </w:tcPr>
                <w:p w14:paraId="59FFEA16">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监测时间</w:t>
                  </w:r>
                </w:p>
              </w:tc>
              <w:tc>
                <w:tcPr>
                  <w:tcW w:w="379" w:type="pct"/>
                  <w:tcBorders>
                    <w:tl2br w:val="nil"/>
                    <w:tr2bl w:val="nil"/>
                  </w:tcBorders>
                  <w:vAlign w:val="center"/>
                </w:tcPr>
                <w:p w14:paraId="52C272B2">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天气</w:t>
                  </w:r>
                </w:p>
              </w:tc>
              <w:tc>
                <w:tcPr>
                  <w:tcW w:w="574" w:type="pct"/>
                  <w:tcBorders>
                    <w:tl2br w:val="nil"/>
                    <w:tr2bl w:val="nil"/>
                  </w:tcBorders>
                  <w:vAlign w:val="center"/>
                </w:tcPr>
                <w:p w14:paraId="36C25CAF">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气温(℃)</w:t>
                  </w:r>
                </w:p>
              </w:tc>
              <w:tc>
                <w:tcPr>
                  <w:tcW w:w="771" w:type="pct"/>
                  <w:tcBorders>
                    <w:tl2br w:val="nil"/>
                    <w:tr2bl w:val="nil"/>
                  </w:tcBorders>
                  <w:vAlign w:val="center"/>
                </w:tcPr>
                <w:p w14:paraId="4C14DD25">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相对湿度(%)</w:t>
                  </w:r>
                </w:p>
              </w:tc>
              <w:tc>
                <w:tcPr>
                  <w:tcW w:w="789" w:type="pct"/>
                  <w:tcBorders>
                    <w:tl2br w:val="nil"/>
                    <w:tr2bl w:val="nil"/>
                  </w:tcBorders>
                  <w:vAlign w:val="center"/>
                </w:tcPr>
                <w:p w14:paraId="3120D053">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风速（m/s）</w:t>
                  </w:r>
                </w:p>
              </w:tc>
            </w:tr>
            <w:tr w14:paraId="37C79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tcBorders>
                    <w:tl2br w:val="nil"/>
                    <w:tr2bl w:val="nil"/>
                  </w:tcBorders>
                  <w:vAlign w:val="center"/>
                </w:tcPr>
                <w:p w14:paraId="08461508">
                  <w:pPr>
                    <w:pStyle w:val="10"/>
                    <w:shd w:val="clear"/>
                    <w:jc w:val="center"/>
                    <w:rPr>
                      <w:rFonts w:hint="default"/>
                      <w:color w:val="4F81BD" w:themeColor="accent1"/>
                      <w:sz w:val="18"/>
                      <w:highlight w:val="none"/>
                      <w:lang w:val="en-US" w:eastAsia="zh-CN"/>
                      <w14:textFill>
                        <w14:solidFill>
                          <w14:schemeClr w14:val="accent1"/>
                        </w14:solidFill>
                      </w14:textFill>
                    </w:rPr>
                  </w:pPr>
                  <w:r>
                    <w:rPr>
                      <w:rFonts w:hint="eastAsia"/>
                      <w:color w:val="4F81BD" w:themeColor="accent1"/>
                      <w:sz w:val="18"/>
                      <w:highlight w:val="none"/>
                      <w:lang w:val="en-US" w:eastAsia="zh-CN"/>
                      <w14:textFill>
                        <w14:solidFill>
                          <w14:schemeClr w14:val="accent1"/>
                        </w14:solidFill>
                      </w14:textFill>
                    </w:rPr>
                    <w:t>1</w:t>
                  </w:r>
                </w:p>
              </w:tc>
              <w:tc>
                <w:tcPr>
                  <w:tcW w:w="597" w:type="pct"/>
                  <w:tcBorders>
                    <w:tl2br w:val="nil"/>
                    <w:tr2bl w:val="nil"/>
                  </w:tcBorders>
                  <w:vAlign w:val="center"/>
                </w:tcPr>
                <w:p w14:paraId="0E39AF66">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噪声</w:t>
                  </w:r>
                </w:p>
              </w:tc>
              <w:tc>
                <w:tcPr>
                  <w:tcW w:w="1510" w:type="pct"/>
                  <w:tcBorders>
                    <w:tl2br w:val="nil"/>
                    <w:tr2bl w:val="nil"/>
                  </w:tcBorders>
                  <w:vAlign w:val="center"/>
                </w:tcPr>
                <w:p w14:paraId="463380D8">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2026年05月09日（昼间）</w:t>
                  </w:r>
                </w:p>
              </w:tc>
              <w:tc>
                <w:tcPr>
                  <w:tcW w:w="379" w:type="pct"/>
                  <w:tcBorders>
                    <w:tl2br w:val="nil"/>
                    <w:tr2bl w:val="nil"/>
                  </w:tcBorders>
                  <w:vAlign w:val="center"/>
                </w:tcPr>
                <w:p w14:paraId="028A3AF4">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晴</w:t>
                  </w:r>
                </w:p>
              </w:tc>
              <w:tc>
                <w:tcPr>
                  <w:tcW w:w="574" w:type="pct"/>
                  <w:tcBorders>
                    <w:tl2br w:val="nil"/>
                    <w:tr2bl w:val="nil"/>
                  </w:tcBorders>
                  <w:vAlign w:val="center"/>
                </w:tcPr>
                <w:p w14:paraId="620A0AE3">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32.7</w:t>
                  </w:r>
                </w:p>
              </w:tc>
              <w:tc>
                <w:tcPr>
                  <w:tcW w:w="771" w:type="pct"/>
                  <w:tcBorders>
                    <w:tl2br w:val="nil"/>
                    <w:tr2bl w:val="nil"/>
                  </w:tcBorders>
                  <w:vAlign w:val="center"/>
                </w:tcPr>
                <w:p w14:paraId="791BE542">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12.6</w:t>
                  </w:r>
                </w:p>
              </w:tc>
              <w:tc>
                <w:tcPr>
                  <w:tcW w:w="789" w:type="pct"/>
                  <w:tcBorders>
                    <w:tl2br w:val="nil"/>
                    <w:tr2bl w:val="nil"/>
                  </w:tcBorders>
                  <w:vAlign w:val="center"/>
                </w:tcPr>
                <w:p w14:paraId="4C5022C9">
                  <w:pPr>
                    <w:pStyle w:val="10"/>
                    <w:shd w:val="clear"/>
                    <w:jc w:val="center"/>
                    <w:rPr>
                      <w:rFonts w:hint="default"/>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4.1</w:t>
                  </w:r>
                </w:p>
              </w:tc>
            </w:tr>
            <w:tr w14:paraId="5440D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78" w:type="pct"/>
                  <w:tcBorders>
                    <w:tl2br w:val="nil"/>
                    <w:tr2bl w:val="nil"/>
                  </w:tcBorders>
                  <w:vAlign w:val="center"/>
                </w:tcPr>
                <w:p w14:paraId="2D7225A8">
                  <w:pPr>
                    <w:pStyle w:val="10"/>
                    <w:shd w:val="clear"/>
                    <w:jc w:val="center"/>
                    <w:rPr>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2</w:t>
                  </w:r>
                </w:p>
              </w:tc>
              <w:tc>
                <w:tcPr>
                  <w:tcW w:w="597" w:type="pct"/>
                  <w:tcBorders>
                    <w:tl2br w:val="nil"/>
                    <w:tr2bl w:val="nil"/>
                  </w:tcBorders>
                  <w:vAlign w:val="center"/>
                </w:tcPr>
                <w:p w14:paraId="0A0B5C8C">
                  <w:pPr>
                    <w:pStyle w:val="10"/>
                    <w:shd w:val="clear"/>
                    <w:jc w:val="center"/>
                    <w:rPr>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噪声</w:t>
                  </w:r>
                </w:p>
              </w:tc>
              <w:tc>
                <w:tcPr>
                  <w:tcW w:w="1510" w:type="pct"/>
                  <w:tcBorders>
                    <w:tl2br w:val="nil"/>
                    <w:tr2bl w:val="nil"/>
                  </w:tcBorders>
                  <w:vAlign w:val="center"/>
                </w:tcPr>
                <w:p w14:paraId="17FA30B0">
                  <w:pPr>
                    <w:pStyle w:val="10"/>
                    <w:shd w:val="clear"/>
                    <w:jc w:val="center"/>
                    <w:rPr>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2026年05月09日（夜间）</w:t>
                  </w:r>
                </w:p>
              </w:tc>
              <w:tc>
                <w:tcPr>
                  <w:tcW w:w="379" w:type="pct"/>
                  <w:tcBorders>
                    <w:tl2br w:val="nil"/>
                    <w:tr2bl w:val="nil"/>
                  </w:tcBorders>
                  <w:vAlign w:val="center"/>
                </w:tcPr>
                <w:p w14:paraId="6A71DBC5">
                  <w:pPr>
                    <w:pStyle w:val="10"/>
                    <w:shd w:val="clear"/>
                    <w:jc w:val="center"/>
                    <w:rPr>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晴</w:t>
                  </w:r>
                </w:p>
              </w:tc>
              <w:tc>
                <w:tcPr>
                  <w:tcW w:w="574" w:type="pct"/>
                  <w:tcBorders>
                    <w:tl2br w:val="nil"/>
                    <w:tr2bl w:val="nil"/>
                  </w:tcBorders>
                  <w:vAlign w:val="center"/>
                </w:tcPr>
                <w:p w14:paraId="113E38D7">
                  <w:pPr>
                    <w:pStyle w:val="10"/>
                    <w:shd w:val="clear"/>
                    <w:jc w:val="center"/>
                    <w:rPr>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23.1</w:t>
                  </w:r>
                </w:p>
              </w:tc>
              <w:tc>
                <w:tcPr>
                  <w:tcW w:w="771" w:type="pct"/>
                  <w:tcBorders>
                    <w:tl2br w:val="nil"/>
                    <w:tr2bl w:val="nil"/>
                  </w:tcBorders>
                  <w:vAlign w:val="center"/>
                </w:tcPr>
                <w:p w14:paraId="5AFA7072">
                  <w:pPr>
                    <w:pStyle w:val="10"/>
                    <w:shd w:val="clear"/>
                    <w:jc w:val="center"/>
                    <w:rPr>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15.4</w:t>
                  </w:r>
                </w:p>
              </w:tc>
              <w:tc>
                <w:tcPr>
                  <w:tcW w:w="789" w:type="pct"/>
                  <w:tcBorders>
                    <w:tl2br w:val="nil"/>
                    <w:tr2bl w:val="nil"/>
                  </w:tcBorders>
                  <w:vAlign w:val="center"/>
                </w:tcPr>
                <w:p w14:paraId="44CD3D5B">
                  <w:pPr>
                    <w:pStyle w:val="10"/>
                    <w:shd w:val="clear"/>
                    <w:jc w:val="center"/>
                    <w:rPr>
                      <w:color w:val="4F81BD" w:themeColor="accent1"/>
                      <w:sz w:val="18"/>
                      <w:highlight w:val="none"/>
                      <w:lang w:val="en-US" w:eastAsia="zh-CN"/>
                      <w14:textFill>
                        <w14:solidFill>
                          <w14:schemeClr w14:val="accent1"/>
                        </w14:solidFill>
                      </w14:textFill>
                    </w:rPr>
                  </w:pPr>
                  <w:r>
                    <w:rPr>
                      <w:color w:val="4F81BD" w:themeColor="accent1"/>
                      <w:sz w:val="18"/>
                      <w:highlight w:val="none"/>
                      <w:lang w:val="en-US" w:eastAsia="zh-CN"/>
                      <w14:textFill>
                        <w14:solidFill>
                          <w14:schemeClr w14:val="accent1"/>
                        </w14:solidFill>
                      </w14:textFill>
                    </w:rPr>
                    <w:t>2.5</w:t>
                  </w:r>
                </w:p>
              </w:tc>
            </w:tr>
          </w:tbl>
          <w:p w14:paraId="57FFBF06">
            <w:pPr>
              <w:shd w:val="clea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监测结果</w:t>
            </w:r>
          </w:p>
          <w:p w14:paraId="00E757F3">
            <w:pPr>
              <w:pStyle w:val="5"/>
              <w:shd w:val="clear"/>
              <w:ind w:firstLine="422"/>
              <w:rPr>
                <w:color w:val="000000" w:themeColor="text1"/>
                <w:highlight w:val="none"/>
                <w14:textFill>
                  <w14:solidFill>
                    <w14:schemeClr w14:val="tx1"/>
                  </w14:solidFill>
                </w14:textFill>
              </w:rPr>
            </w:pPr>
          </w:p>
          <w:p w14:paraId="09502D10">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表3-</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 xml:space="preserve">                    声环境现状监测结果</w:t>
            </w:r>
          </w:p>
          <w:tbl>
            <w:tblPr>
              <w:tblStyle w:val="33"/>
              <w:tblW w:w="4991" w:type="pct"/>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777"/>
              <w:gridCol w:w="1176"/>
              <w:gridCol w:w="1153"/>
              <w:gridCol w:w="1192"/>
              <w:gridCol w:w="1138"/>
            </w:tblGrid>
            <w:tr w14:paraId="4E311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34" w:type="pct"/>
                  <w:vMerge w:val="restart"/>
                  <w:tcBorders>
                    <w:tl2br w:val="nil"/>
                    <w:tr2bl w:val="nil"/>
                  </w:tcBorders>
                  <w:vAlign w:val="center"/>
                </w:tcPr>
                <w:p w14:paraId="63DD772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监测点位编号</w:t>
                  </w:r>
                </w:p>
              </w:tc>
              <w:tc>
                <w:tcPr>
                  <w:tcW w:w="1177" w:type="pct"/>
                  <w:vMerge w:val="restart"/>
                  <w:tcBorders>
                    <w:tl2br w:val="nil"/>
                    <w:tr2bl w:val="nil"/>
                  </w:tcBorders>
                  <w:vAlign w:val="center"/>
                </w:tcPr>
                <w:p w14:paraId="42312A2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测点描述</w:t>
                  </w:r>
                </w:p>
              </w:tc>
              <w:tc>
                <w:tcPr>
                  <w:tcW w:w="1543" w:type="pct"/>
                  <w:gridSpan w:val="2"/>
                  <w:tcBorders>
                    <w:tl2br w:val="nil"/>
                    <w:tr2bl w:val="nil"/>
                  </w:tcBorders>
                  <w:vAlign w:val="center"/>
                </w:tcPr>
                <w:p w14:paraId="732ACDDE">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监测数值（dB(A</w:t>
                  </w:r>
                  <w:r>
                    <w:rPr>
                      <w:rFonts w:hint="eastAsia"/>
                      <w:color w:val="000000" w:themeColor="text1"/>
                      <w:sz w:val="18"/>
                      <w:highlight w:val="none"/>
                      <w:lang w:eastAsia="zh-CN"/>
                      <w14:textFill>
                        <w14:solidFill>
                          <w14:schemeClr w14:val="tx1"/>
                        </w14:solidFill>
                      </w14:textFill>
                    </w:rPr>
                    <w:t>）</w:t>
                  </w:r>
                  <w:r>
                    <w:rPr>
                      <w:color w:val="000000" w:themeColor="text1"/>
                      <w:sz w:val="18"/>
                      <w:highlight w:val="none"/>
                      <w14:textFill>
                        <w14:solidFill>
                          <w14:schemeClr w14:val="tx1"/>
                        </w14:solidFill>
                      </w14:textFill>
                    </w:rPr>
                    <w:t>）</w:t>
                  </w:r>
                </w:p>
              </w:tc>
              <w:tc>
                <w:tcPr>
                  <w:tcW w:w="1544" w:type="pct"/>
                  <w:gridSpan w:val="2"/>
                  <w:tcBorders>
                    <w:tl2br w:val="nil"/>
                    <w:tr2bl w:val="nil"/>
                  </w:tcBorders>
                  <w:vAlign w:val="center"/>
                </w:tcPr>
                <w:p w14:paraId="4C28A43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功能区类别限值（dB(A)</w:t>
                  </w:r>
                  <w:r>
                    <w:rPr>
                      <w:rFonts w:hint="eastAsia"/>
                      <w:color w:val="000000" w:themeColor="text1"/>
                      <w:sz w:val="18"/>
                      <w:highlight w:val="none"/>
                      <w:lang w:eastAsia="zh-CN"/>
                      <w14:textFill>
                        <w14:solidFill>
                          <w14:schemeClr w14:val="tx1"/>
                        </w14:solidFill>
                      </w14:textFill>
                    </w:rPr>
                    <w:t>）</w:t>
                  </w:r>
                </w:p>
              </w:tc>
            </w:tr>
            <w:tr w14:paraId="47E21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734" w:type="pct"/>
                  <w:vMerge w:val="continue"/>
                  <w:tcBorders>
                    <w:tl2br w:val="nil"/>
                    <w:tr2bl w:val="nil"/>
                  </w:tcBorders>
                  <w:vAlign w:val="center"/>
                </w:tcPr>
                <w:p w14:paraId="4B92F84D">
                  <w:pPr>
                    <w:pStyle w:val="10"/>
                    <w:shd w:val="clear"/>
                    <w:rPr>
                      <w:color w:val="000000" w:themeColor="text1"/>
                      <w:sz w:val="18"/>
                      <w:highlight w:val="none"/>
                      <w14:textFill>
                        <w14:solidFill>
                          <w14:schemeClr w14:val="tx1"/>
                        </w14:solidFill>
                      </w14:textFill>
                    </w:rPr>
                  </w:pPr>
                </w:p>
              </w:tc>
              <w:tc>
                <w:tcPr>
                  <w:tcW w:w="1177" w:type="pct"/>
                  <w:vMerge w:val="continue"/>
                  <w:tcBorders>
                    <w:tl2br w:val="nil"/>
                    <w:tr2bl w:val="nil"/>
                  </w:tcBorders>
                  <w:vAlign w:val="center"/>
                </w:tcPr>
                <w:p w14:paraId="604C8567">
                  <w:pPr>
                    <w:pStyle w:val="10"/>
                    <w:shd w:val="clear"/>
                    <w:rPr>
                      <w:color w:val="000000" w:themeColor="text1"/>
                      <w:sz w:val="18"/>
                      <w:highlight w:val="none"/>
                      <w14:textFill>
                        <w14:solidFill>
                          <w14:schemeClr w14:val="tx1"/>
                        </w14:solidFill>
                      </w14:textFill>
                    </w:rPr>
                  </w:pPr>
                </w:p>
              </w:tc>
              <w:tc>
                <w:tcPr>
                  <w:tcW w:w="779" w:type="pct"/>
                  <w:tcBorders>
                    <w:tl2br w:val="nil"/>
                    <w:tr2bl w:val="nil"/>
                  </w:tcBorders>
                  <w:vAlign w:val="center"/>
                </w:tcPr>
                <w:p w14:paraId="72A69BAE">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昼间</w:t>
                  </w:r>
                </w:p>
              </w:tc>
              <w:tc>
                <w:tcPr>
                  <w:tcW w:w="764" w:type="pct"/>
                  <w:tcBorders>
                    <w:tl2br w:val="nil"/>
                    <w:tr2bl w:val="nil"/>
                  </w:tcBorders>
                  <w:vAlign w:val="center"/>
                </w:tcPr>
                <w:p w14:paraId="7CAF453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夜间</w:t>
                  </w:r>
                </w:p>
              </w:tc>
              <w:tc>
                <w:tcPr>
                  <w:tcW w:w="790" w:type="pct"/>
                  <w:tcBorders>
                    <w:tl2br w:val="nil"/>
                    <w:tr2bl w:val="nil"/>
                  </w:tcBorders>
                  <w:vAlign w:val="center"/>
                </w:tcPr>
                <w:p w14:paraId="6AFE40B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昼间</w:t>
                  </w:r>
                </w:p>
              </w:tc>
              <w:tc>
                <w:tcPr>
                  <w:tcW w:w="754" w:type="pct"/>
                  <w:tcBorders>
                    <w:tl2br w:val="nil"/>
                    <w:tr2bl w:val="nil"/>
                  </w:tcBorders>
                  <w:vAlign w:val="center"/>
                </w:tcPr>
                <w:p w14:paraId="3704A2B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夜间</w:t>
                  </w:r>
                </w:p>
              </w:tc>
            </w:tr>
            <w:tr w14:paraId="7EFC0D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pct"/>
                  <w:tcBorders>
                    <w:tl2br w:val="nil"/>
                    <w:tr2bl w:val="nil"/>
                  </w:tcBorders>
                  <w:vAlign w:val="center"/>
                </w:tcPr>
                <w:p w14:paraId="46E9CD4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1#监测点</w:t>
                  </w:r>
                </w:p>
              </w:tc>
              <w:tc>
                <w:tcPr>
                  <w:tcW w:w="1177" w:type="pct"/>
                  <w:tcBorders>
                    <w:tl2br w:val="nil"/>
                    <w:tr2bl w:val="nil"/>
                  </w:tcBorders>
                  <w:vAlign w:val="center"/>
                </w:tcPr>
                <w:p w14:paraId="12758D1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升压站西侧</w:t>
                  </w:r>
                </w:p>
              </w:tc>
              <w:tc>
                <w:tcPr>
                  <w:tcW w:w="779" w:type="pct"/>
                  <w:tcBorders>
                    <w:tl2br w:val="nil"/>
                    <w:tr2bl w:val="nil"/>
                  </w:tcBorders>
                  <w:vAlign w:val="center"/>
                </w:tcPr>
                <w:p w14:paraId="42B272D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43</w:t>
                  </w:r>
                </w:p>
              </w:tc>
              <w:tc>
                <w:tcPr>
                  <w:tcW w:w="764" w:type="pct"/>
                  <w:tcBorders>
                    <w:tl2br w:val="nil"/>
                    <w:tr2bl w:val="nil"/>
                  </w:tcBorders>
                  <w:vAlign w:val="center"/>
                </w:tcPr>
                <w:p w14:paraId="52EC608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38</w:t>
                  </w:r>
                </w:p>
              </w:tc>
              <w:tc>
                <w:tcPr>
                  <w:tcW w:w="790" w:type="pct"/>
                  <w:tcBorders>
                    <w:tl2br w:val="nil"/>
                    <w:tr2bl w:val="nil"/>
                  </w:tcBorders>
                  <w:vAlign w:val="center"/>
                </w:tcPr>
                <w:p w14:paraId="513FB3E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60</w:t>
                  </w:r>
                </w:p>
              </w:tc>
              <w:tc>
                <w:tcPr>
                  <w:tcW w:w="754" w:type="pct"/>
                  <w:tcBorders>
                    <w:tl2br w:val="nil"/>
                    <w:tr2bl w:val="nil"/>
                  </w:tcBorders>
                  <w:vAlign w:val="center"/>
                </w:tcPr>
                <w:p w14:paraId="13E623E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50</w:t>
                  </w:r>
                </w:p>
              </w:tc>
            </w:tr>
            <w:tr w14:paraId="2BFB99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pct"/>
                  <w:tcBorders>
                    <w:tl2br w:val="nil"/>
                    <w:tr2bl w:val="nil"/>
                  </w:tcBorders>
                  <w:vAlign w:val="center"/>
                </w:tcPr>
                <w:p w14:paraId="268FF43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2#监测点</w:t>
                  </w:r>
                </w:p>
              </w:tc>
              <w:tc>
                <w:tcPr>
                  <w:tcW w:w="1177" w:type="pct"/>
                  <w:tcBorders>
                    <w:tl2br w:val="nil"/>
                    <w:tr2bl w:val="nil"/>
                  </w:tcBorders>
                  <w:vAlign w:val="center"/>
                </w:tcPr>
                <w:p w14:paraId="7B98C45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升压站南侧</w:t>
                  </w:r>
                </w:p>
              </w:tc>
              <w:tc>
                <w:tcPr>
                  <w:tcW w:w="779" w:type="pct"/>
                  <w:tcBorders>
                    <w:tl2br w:val="nil"/>
                    <w:tr2bl w:val="nil"/>
                  </w:tcBorders>
                  <w:vAlign w:val="center"/>
                </w:tcPr>
                <w:p w14:paraId="2EB1EA3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44</w:t>
                  </w:r>
                </w:p>
              </w:tc>
              <w:tc>
                <w:tcPr>
                  <w:tcW w:w="764" w:type="pct"/>
                  <w:tcBorders>
                    <w:tl2br w:val="nil"/>
                    <w:tr2bl w:val="nil"/>
                  </w:tcBorders>
                  <w:vAlign w:val="center"/>
                </w:tcPr>
                <w:p w14:paraId="7A73364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39</w:t>
                  </w:r>
                </w:p>
              </w:tc>
              <w:tc>
                <w:tcPr>
                  <w:tcW w:w="790" w:type="pct"/>
                  <w:tcBorders>
                    <w:tl2br w:val="nil"/>
                    <w:tr2bl w:val="nil"/>
                  </w:tcBorders>
                  <w:vAlign w:val="center"/>
                </w:tcPr>
                <w:p w14:paraId="30F6ADD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60</w:t>
                  </w:r>
                </w:p>
              </w:tc>
              <w:tc>
                <w:tcPr>
                  <w:tcW w:w="754" w:type="pct"/>
                  <w:tcBorders>
                    <w:tl2br w:val="nil"/>
                    <w:tr2bl w:val="nil"/>
                  </w:tcBorders>
                  <w:vAlign w:val="center"/>
                </w:tcPr>
                <w:p w14:paraId="02770B5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50</w:t>
                  </w:r>
                </w:p>
              </w:tc>
            </w:tr>
            <w:tr w14:paraId="04403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pct"/>
                  <w:tcBorders>
                    <w:tl2br w:val="nil"/>
                    <w:tr2bl w:val="nil"/>
                  </w:tcBorders>
                  <w:vAlign w:val="center"/>
                </w:tcPr>
                <w:p w14:paraId="6E3C652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3#监测点</w:t>
                  </w:r>
                </w:p>
              </w:tc>
              <w:tc>
                <w:tcPr>
                  <w:tcW w:w="1177" w:type="pct"/>
                  <w:tcBorders>
                    <w:tl2br w:val="nil"/>
                    <w:tr2bl w:val="nil"/>
                  </w:tcBorders>
                  <w:vAlign w:val="center"/>
                </w:tcPr>
                <w:p w14:paraId="1E011C4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升压站东侧</w:t>
                  </w:r>
                </w:p>
              </w:tc>
              <w:tc>
                <w:tcPr>
                  <w:tcW w:w="779" w:type="pct"/>
                  <w:tcBorders>
                    <w:tl2br w:val="nil"/>
                    <w:tr2bl w:val="nil"/>
                  </w:tcBorders>
                  <w:vAlign w:val="center"/>
                </w:tcPr>
                <w:p w14:paraId="2BA68F8F">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45</w:t>
                  </w:r>
                </w:p>
              </w:tc>
              <w:tc>
                <w:tcPr>
                  <w:tcW w:w="764" w:type="pct"/>
                  <w:tcBorders>
                    <w:tl2br w:val="nil"/>
                    <w:tr2bl w:val="nil"/>
                  </w:tcBorders>
                  <w:vAlign w:val="center"/>
                </w:tcPr>
                <w:p w14:paraId="2FDE2A8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37</w:t>
                  </w:r>
                </w:p>
              </w:tc>
              <w:tc>
                <w:tcPr>
                  <w:tcW w:w="790" w:type="pct"/>
                  <w:tcBorders>
                    <w:tl2br w:val="nil"/>
                    <w:tr2bl w:val="nil"/>
                  </w:tcBorders>
                  <w:vAlign w:val="center"/>
                </w:tcPr>
                <w:p w14:paraId="7912651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60</w:t>
                  </w:r>
                </w:p>
              </w:tc>
              <w:tc>
                <w:tcPr>
                  <w:tcW w:w="754" w:type="pct"/>
                  <w:tcBorders>
                    <w:tl2br w:val="nil"/>
                    <w:tr2bl w:val="nil"/>
                  </w:tcBorders>
                  <w:vAlign w:val="center"/>
                </w:tcPr>
                <w:p w14:paraId="51BE1533">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50</w:t>
                  </w:r>
                </w:p>
              </w:tc>
            </w:tr>
            <w:tr w14:paraId="040673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pct"/>
                  <w:tcBorders>
                    <w:tl2br w:val="nil"/>
                    <w:tr2bl w:val="nil"/>
                  </w:tcBorders>
                  <w:vAlign w:val="center"/>
                </w:tcPr>
                <w:p w14:paraId="2E53048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4#监测点</w:t>
                  </w:r>
                </w:p>
              </w:tc>
              <w:tc>
                <w:tcPr>
                  <w:tcW w:w="1177" w:type="pct"/>
                  <w:tcBorders>
                    <w:tl2br w:val="nil"/>
                    <w:tr2bl w:val="nil"/>
                  </w:tcBorders>
                  <w:vAlign w:val="center"/>
                </w:tcPr>
                <w:p w14:paraId="41E2035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升压站北侧</w:t>
                  </w:r>
                </w:p>
              </w:tc>
              <w:tc>
                <w:tcPr>
                  <w:tcW w:w="779" w:type="pct"/>
                  <w:tcBorders>
                    <w:tl2br w:val="nil"/>
                    <w:tr2bl w:val="nil"/>
                  </w:tcBorders>
                  <w:vAlign w:val="center"/>
                </w:tcPr>
                <w:p w14:paraId="16A6047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44</w:t>
                  </w:r>
                </w:p>
              </w:tc>
              <w:tc>
                <w:tcPr>
                  <w:tcW w:w="764" w:type="pct"/>
                  <w:tcBorders>
                    <w:tl2br w:val="nil"/>
                    <w:tr2bl w:val="nil"/>
                  </w:tcBorders>
                  <w:vAlign w:val="center"/>
                </w:tcPr>
                <w:p w14:paraId="7A05C1A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38</w:t>
                  </w:r>
                </w:p>
              </w:tc>
              <w:tc>
                <w:tcPr>
                  <w:tcW w:w="790" w:type="pct"/>
                  <w:tcBorders>
                    <w:tl2br w:val="nil"/>
                    <w:tr2bl w:val="nil"/>
                  </w:tcBorders>
                  <w:vAlign w:val="center"/>
                </w:tcPr>
                <w:p w14:paraId="49E3635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60</w:t>
                  </w:r>
                </w:p>
              </w:tc>
              <w:tc>
                <w:tcPr>
                  <w:tcW w:w="754" w:type="pct"/>
                  <w:tcBorders>
                    <w:tl2br w:val="nil"/>
                    <w:tr2bl w:val="nil"/>
                  </w:tcBorders>
                  <w:vAlign w:val="center"/>
                </w:tcPr>
                <w:p w14:paraId="3366A64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50</w:t>
                  </w:r>
                </w:p>
              </w:tc>
            </w:tr>
            <w:tr w14:paraId="0D1B9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4" w:type="pct"/>
                  <w:tcBorders>
                    <w:tl2br w:val="nil"/>
                    <w:tr2bl w:val="nil"/>
                  </w:tcBorders>
                  <w:vAlign w:val="center"/>
                </w:tcPr>
                <w:p w14:paraId="067A567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5#监测点</w:t>
                  </w:r>
                </w:p>
              </w:tc>
              <w:tc>
                <w:tcPr>
                  <w:tcW w:w="1177" w:type="pct"/>
                  <w:tcBorders>
                    <w:tl2br w:val="nil"/>
                    <w:tr2bl w:val="nil"/>
                  </w:tcBorders>
                  <w:vAlign w:val="center"/>
                </w:tcPr>
                <w:p w14:paraId="1E5482B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线路5#监测点位</w:t>
                  </w:r>
                </w:p>
              </w:tc>
              <w:tc>
                <w:tcPr>
                  <w:tcW w:w="779" w:type="pct"/>
                  <w:tcBorders>
                    <w:tl2br w:val="nil"/>
                    <w:tr2bl w:val="nil"/>
                  </w:tcBorders>
                  <w:vAlign w:val="center"/>
                </w:tcPr>
                <w:p w14:paraId="2B26FAF3">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46</w:t>
                  </w:r>
                </w:p>
              </w:tc>
              <w:tc>
                <w:tcPr>
                  <w:tcW w:w="764" w:type="pct"/>
                  <w:tcBorders>
                    <w:tl2br w:val="nil"/>
                    <w:tr2bl w:val="nil"/>
                  </w:tcBorders>
                  <w:vAlign w:val="center"/>
                </w:tcPr>
                <w:p w14:paraId="117601A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40</w:t>
                  </w:r>
                </w:p>
              </w:tc>
              <w:tc>
                <w:tcPr>
                  <w:tcW w:w="790" w:type="pct"/>
                  <w:tcBorders>
                    <w:tl2br w:val="nil"/>
                    <w:tr2bl w:val="nil"/>
                  </w:tcBorders>
                  <w:vAlign w:val="center"/>
                </w:tcPr>
                <w:p w14:paraId="772A91E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60</w:t>
                  </w:r>
                </w:p>
              </w:tc>
              <w:tc>
                <w:tcPr>
                  <w:tcW w:w="754" w:type="pct"/>
                  <w:tcBorders>
                    <w:tl2br w:val="nil"/>
                    <w:tr2bl w:val="nil"/>
                  </w:tcBorders>
                  <w:vAlign w:val="center"/>
                </w:tcPr>
                <w:p w14:paraId="372B244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50</w:t>
                  </w:r>
                </w:p>
              </w:tc>
            </w:tr>
          </w:tbl>
          <w:p w14:paraId="75DCC37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由表3-7分析可知，升压站外及线路的各监测点监测结果均满足《声环境质量标准》（GB3096-2008）中的2类标准（昼间60dB(A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、夜间50dB(A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）的要求。</w:t>
            </w:r>
          </w:p>
          <w:p w14:paraId="31431D52">
            <w:pPr>
              <w:pStyle w:val="3"/>
              <w:shd w:val="clear"/>
              <w:rPr>
                <w:color w:val="000000" w:themeColor="text1"/>
                <w:highlight w:val="none"/>
                <w14:textFill>
                  <w14:solidFill>
                    <w14:schemeClr w14:val="tx1"/>
                  </w14:solidFill>
                </w14:textFill>
              </w:rPr>
            </w:pPr>
            <w:bookmarkStart w:id="198" w:name="_Toc14745"/>
            <w:bookmarkStart w:id="199" w:name="_Toc31675"/>
            <w:bookmarkStart w:id="200" w:name="_Toc26784"/>
            <w:r>
              <w:rPr>
                <w:color w:val="000000" w:themeColor="text1"/>
                <w:highlight w:val="none"/>
                <w14:textFill>
                  <w14:solidFill>
                    <w14:schemeClr w14:val="tx1"/>
                  </w14:solidFill>
                </w14:textFill>
              </w:rPr>
              <w:t>7、电磁</w:t>
            </w:r>
            <w:bookmarkEnd w:id="198"/>
            <w:bookmarkEnd w:id="199"/>
            <w:bookmarkEnd w:id="200"/>
          </w:p>
          <w:p w14:paraId="76C8A715">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本项目升压站周围、线路及进线端扩建间隔处各监测点电磁环境背景值均可满足《电磁环境控制限值》（GB 8702-2014）中的（电场强度≤4000V/m；磁感应强度≤100μT）公众曝露控制限值要求。详见电磁环境影响专题评价。</w:t>
            </w:r>
          </w:p>
        </w:tc>
      </w:tr>
      <w:tr w14:paraId="69BFC3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519B5860">
            <w:pPr>
              <w:shd w:val="clear"/>
              <w:spacing w:line="240" w:lineRule="auto"/>
              <w:ind w:firstLine="0" w:firstLineChars="0"/>
              <w:rPr>
                <w:color w:val="000000" w:themeColor="text1"/>
                <w:kern w:val="0"/>
                <w:highlight w:val="none"/>
                <w14:textFill>
                  <w14:solidFill>
                    <w14:schemeClr w14:val="tx1"/>
                  </w14:solidFill>
                </w14:textFill>
              </w:rPr>
            </w:pPr>
            <w:r>
              <w:rPr>
                <w:bCs/>
                <w:color w:val="000000" w:themeColor="text1"/>
                <w:highlight w:val="none"/>
                <w14:textFill>
                  <w14:solidFill>
                    <w14:schemeClr w14:val="tx1"/>
                  </w14:solidFill>
                </w14:textFill>
              </w:rPr>
              <w:t>与项目有关的原有环境污染和生态破坏问题</w:t>
            </w:r>
          </w:p>
        </w:tc>
        <w:tc>
          <w:tcPr>
            <w:tcW w:w="7774" w:type="dxa"/>
          </w:tcPr>
          <w:p w14:paraId="4F9A33BD">
            <w:pPr>
              <w:shd w:val="clear"/>
              <w:ind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本项目为新建项目，不存在与本项目有关的原有污染情况及主要环境问题。</w:t>
            </w:r>
          </w:p>
        </w:tc>
      </w:tr>
      <w:tr w14:paraId="197220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7CC8AAFA">
            <w:pPr>
              <w:shd w:val="clear"/>
              <w:spacing w:line="240" w:lineRule="auto"/>
              <w:ind w:firstLine="0" w:firstLineChars="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生态环境保护目标</w:t>
            </w:r>
          </w:p>
        </w:tc>
        <w:tc>
          <w:tcPr>
            <w:tcW w:w="7774" w:type="dxa"/>
            <w:vAlign w:val="center"/>
          </w:tcPr>
          <w:p w14:paraId="3954288A">
            <w:pPr>
              <w:pStyle w:val="3"/>
              <w:shd w:val="clear"/>
              <w:rPr>
                <w:color w:val="000000" w:themeColor="text1"/>
                <w:highlight w:val="none"/>
                <w14:textFill>
                  <w14:solidFill>
                    <w14:schemeClr w14:val="tx1"/>
                  </w14:solidFill>
                </w14:textFill>
              </w:rPr>
            </w:pPr>
            <w:bookmarkStart w:id="201" w:name="_Toc3646"/>
            <w:bookmarkStart w:id="202" w:name="_Toc24492"/>
            <w:bookmarkStart w:id="203" w:name="_Toc30995"/>
            <w:r>
              <w:rPr>
                <w:color w:val="000000" w:themeColor="text1"/>
                <w:highlight w:val="none"/>
                <w14:textFill>
                  <w14:solidFill>
                    <w14:schemeClr w14:val="tx1"/>
                  </w14:solidFill>
                </w14:textFill>
              </w:rPr>
              <w:t>1、大气环境</w:t>
            </w:r>
            <w:bookmarkEnd w:id="201"/>
            <w:bookmarkEnd w:id="202"/>
            <w:bookmarkEnd w:id="203"/>
          </w:p>
          <w:p w14:paraId="6CA40960">
            <w:pPr>
              <w:shd w:val="clear"/>
              <w:adjustRightInd/>
              <w:snapToGrid/>
              <w:ind w:firstLine="480"/>
              <w:rPr>
                <w:color w:val="000000" w:themeColor="text1"/>
                <w:highlight w:val="none"/>
                <w14:textFill>
                  <w14:solidFill>
                    <w14:schemeClr w14:val="tx1"/>
                  </w14:solidFill>
                </w14:textFill>
              </w:rPr>
            </w:pPr>
            <w:r>
              <w:rPr>
                <w:bCs/>
                <w:color w:val="000000" w:themeColor="text1"/>
                <w:highlight w:val="none"/>
                <w14:textFill>
                  <w14:solidFill>
                    <w14:schemeClr w14:val="tx1"/>
                  </w14:solidFill>
                </w14:textFill>
              </w:rPr>
              <w:t>本项目场界外500m范围内无自然保护区、风景名胜区、居住区、文化区和农村地区中人群较集中的区域等大气环境保护目标。</w:t>
            </w:r>
          </w:p>
          <w:p w14:paraId="6C08A082">
            <w:pPr>
              <w:pStyle w:val="3"/>
              <w:shd w:val="clear"/>
              <w:rPr>
                <w:color w:val="000000" w:themeColor="text1"/>
                <w:highlight w:val="none"/>
                <w14:textFill>
                  <w14:solidFill>
                    <w14:schemeClr w14:val="tx1"/>
                  </w14:solidFill>
                </w14:textFill>
              </w:rPr>
            </w:pPr>
            <w:bookmarkStart w:id="204" w:name="_Toc1881"/>
            <w:bookmarkStart w:id="205" w:name="_Toc3628"/>
            <w:bookmarkStart w:id="206" w:name="_Toc22569"/>
            <w:r>
              <w:rPr>
                <w:color w:val="000000" w:themeColor="text1"/>
                <w:highlight w:val="none"/>
                <w14:textFill>
                  <w14:solidFill>
                    <w14:schemeClr w14:val="tx1"/>
                  </w14:solidFill>
                </w14:textFill>
              </w:rPr>
              <w:t>2、声环境</w:t>
            </w:r>
            <w:bookmarkEnd w:id="204"/>
            <w:bookmarkEnd w:id="205"/>
            <w:bookmarkEnd w:id="206"/>
          </w:p>
          <w:p w14:paraId="22028627">
            <w:pPr>
              <w:shd w:val="clear"/>
              <w:adjustRightInd/>
              <w:snapToGrid/>
              <w:ind w:firstLine="48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声环境》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HJ2.4-2021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，声环境敏感目标指医院、学校、机关、科研单位、住宅、自然保护区等对噪声敏感的建筑物或区域。</w:t>
            </w:r>
            <w:r>
              <w:rPr>
                <w:bCs/>
                <w:color w:val="000000" w:themeColor="text1"/>
                <w:highlight w:val="none"/>
                <w14:textFill>
                  <w14:solidFill>
                    <w14:schemeClr w14:val="tx1"/>
                  </w14:solidFill>
                </w14:textFill>
              </w:rPr>
              <w:t>本项目升压站200m范围内无声环境保护目标。</w:t>
            </w:r>
          </w:p>
          <w:p w14:paraId="55E1416F">
            <w:pPr>
              <w:pStyle w:val="3"/>
              <w:shd w:val="clear"/>
              <w:rPr>
                <w:color w:val="000000" w:themeColor="text1"/>
                <w:highlight w:val="none"/>
                <w14:textFill>
                  <w14:solidFill>
                    <w14:schemeClr w14:val="tx1"/>
                  </w14:solidFill>
                </w14:textFill>
              </w:rPr>
            </w:pPr>
            <w:bookmarkStart w:id="207" w:name="_Toc4246"/>
            <w:bookmarkStart w:id="208" w:name="_Toc28130"/>
            <w:bookmarkStart w:id="209" w:name="_Toc16138"/>
            <w:r>
              <w:rPr>
                <w:color w:val="000000" w:themeColor="text1"/>
                <w:highlight w:val="none"/>
                <w14:textFill>
                  <w14:solidFill>
                    <w14:schemeClr w14:val="tx1"/>
                  </w14:solidFill>
                </w14:textFill>
              </w:rPr>
              <w:t>3、水环境</w:t>
            </w:r>
            <w:bookmarkEnd w:id="207"/>
            <w:bookmarkEnd w:id="208"/>
            <w:bookmarkEnd w:id="209"/>
          </w:p>
          <w:p w14:paraId="3D98332A">
            <w:pPr>
              <w:pStyle w:val="32"/>
              <w:shd w:val="clear"/>
              <w:adjustRightInd/>
              <w:snapToGrid/>
              <w:spacing w:after="0"/>
              <w:ind w:left="0" w:leftChars="0" w:firstLine="480"/>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本项目厂界外2000m范围内无地表水体，500m范围内无地下水集中式饮用水水源和热水、矿泉水、温泉等特殊地下水资源。</w:t>
            </w:r>
          </w:p>
          <w:p w14:paraId="12EFA50F">
            <w:pPr>
              <w:pStyle w:val="3"/>
              <w:shd w:val="clear"/>
              <w:rPr>
                <w:color w:val="000000" w:themeColor="text1"/>
                <w:highlight w:val="none"/>
                <w14:textFill>
                  <w14:solidFill>
                    <w14:schemeClr w14:val="tx1"/>
                  </w14:solidFill>
                </w14:textFill>
              </w:rPr>
            </w:pPr>
            <w:bookmarkStart w:id="210" w:name="_Toc7595"/>
            <w:bookmarkStart w:id="211" w:name="_Toc13196"/>
            <w:bookmarkStart w:id="212" w:name="_Toc18974"/>
            <w:r>
              <w:rPr>
                <w:color w:val="000000" w:themeColor="text1"/>
                <w:highlight w:val="none"/>
                <w14:textFill>
                  <w14:solidFill>
                    <w14:schemeClr w14:val="tx1"/>
                  </w14:solidFill>
                </w14:textFill>
              </w:rPr>
              <w:t>4、生态环境</w:t>
            </w:r>
            <w:bookmarkEnd w:id="210"/>
            <w:bookmarkEnd w:id="211"/>
            <w:bookmarkEnd w:id="212"/>
          </w:p>
          <w:p w14:paraId="0E9BD8E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根据《建设项目环境影响评价分类管理名录（2021年版）》，输变电类项目环境敏感区为：</w:t>
            </w:r>
          </w:p>
          <w:p w14:paraId="0BDD3FC9">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（一）类，国家公园、自然保护区、风景名胜区、世界文化和自然遗产地、海洋特别保护区、饮用水水源保护区；</w:t>
            </w:r>
          </w:p>
          <w:p w14:paraId="41E4AD0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（三）分类，以居住、医疗卫生、文化教育、科研、行政办公等为主要功能的区域。</w:t>
            </w:r>
          </w:p>
          <w:p w14:paraId="7CCEC96B">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本项目不涉及国家公园、自然保护区、风景名胜区、世界文化和自然遗产地、海洋特别保护区、饮用水水源保护区等环境敏感区。</w:t>
            </w:r>
          </w:p>
          <w:p w14:paraId="241212F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根据对工程所在区域的现场踏勘，本项目</w:t>
            </w:r>
            <w:r>
              <w:rPr>
                <w:rFonts w:hint="eastAsia"/>
                <w:color w:val="000000" w:themeColor="text1"/>
                <w:highlight w:val="none"/>
                <w:lang w:eastAsia="zh-CN"/>
                <w14:textFill>
                  <w14:solidFill>
                    <w14:schemeClr w14:val="tx1"/>
                  </w14:solidFill>
                </w14:textFill>
              </w:rPr>
              <w:t>升压站</w:t>
            </w:r>
            <w:r>
              <w:rPr>
                <w:color w:val="000000" w:themeColor="text1"/>
                <w:highlight w:val="none"/>
                <w14:textFill>
                  <w14:solidFill>
                    <w14:schemeClr w14:val="tx1"/>
                  </w14:solidFill>
                </w14:textFill>
              </w:rPr>
              <w:t>围墙外500m、输电线路边导线地面投影外两侧各300m评价范围内不涉及《环境影响评价技术导则 生态影响》（HJ 19-2022）中定义的生态敏感区，不涉及国家及自治区珍稀濒危</w:t>
            </w:r>
            <w:r>
              <w:rPr>
                <w:rFonts w:hint="eastAsia"/>
                <w:color w:val="000000" w:themeColor="text1"/>
                <w:highlight w:val="none"/>
                <w:lang w:eastAsia="zh-CN"/>
                <w14:textFill>
                  <w14:solidFill>
                    <w14:schemeClr w14:val="tx1"/>
                  </w14:solidFill>
                </w14:textFill>
              </w:rPr>
              <w:t>重点保护野生</w:t>
            </w:r>
            <w:r>
              <w:rPr>
                <w:color w:val="000000" w:themeColor="text1"/>
                <w:highlight w:val="none"/>
                <w14:textFill>
                  <w14:solidFill>
                    <w14:schemeClr w14:val="tx1"/>
                  </w14:solidFill>
                </w14:textFill>
              </w:rPr>
              <w:t>动植物物种。</w:t>
            </w:r>
          </w:p>
          <w:p w14:paraId="646D982B">
            <w:pPr>
              <w:shd w:val="clear"/>
              <w:ind w:firstLine="0" w:firstLineChars="0"/>
              <w:rPr>
                <w:color w:val="000000" w:themeColor="text1"/>
                <w:highlight w:val="none"/>
                <w14:textFill>
                  <w14:solidFill>
                    <w14:schemeClr w14:val="tx1"/>
                  </w14:solidFill>
                </w14:textFill>
              </w:rPr>
            </w:pPr>
            <w:r>
              <w:rPr>
                <w:b/>
                <w:bCs/>
                <w:color w:val="000000" w:themeColor="text1"/>
                <w:szCs w:val="32"/>
                <w:highlight w:val="none"/>
                <w14:textFill>
                  <w14:solidFill>
                    <w14:schemeClr w14:val="tx1"/>
                  </w14:solidFill>
                </w14:textFill>
              </w:rPr>
              <w:t>5、电磁环境</w:t>
            </w:r>
          </w:p>
          <w:p w14:paraId="5B7383AF">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输变电》（HJ 24-2020），电磁环境敏感目标为电磁环境影响评价需重点关注的对象，包括住宅、学校、医院、办公楼、工厂等有公众居住，工作或学习的建筑物。根据《环境影响评价技术导则 声环境》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HJ2.4-2021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，声环境保护目标指依据法律、法规、标准政策等确定的需要保持安静的建筑物及建筑物集中区（《中华人民共和国噪声污染防治法》定义的</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以用于居住、科学研究、医疗卫生、文化教育、机关团体办公、社会福利等的建筑物为主的区域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p>
          <w:p w14:paraId="798FB726">
            <w:pPr>
              <w:shd w:val="clear"/>
              <w:ind w:firstLine="480"/>
              <w:rPr>
                <w:color w:val="000000" w:themeColor="text1"/>
                <w:kern w:val="0"/>
                <w:szCs w:val="21"/>
                <w:highlight w:val="none"/>
                <w14:textFill>
                  <w14:solidFill>
                    <w14:schemeClr w14:val="tx1"/>
                  </w14:solidFill>
                </w14:textFill>
              </w:rPr>
            </w:pPr>
            <w:r>
              <w:rPr>
                <w:color w:val="000000" w:themeColor="text1"/>
                <w:highlight w:val="none"/>
                <w14:textFill>
                  <w14:solidFill>
                    <w14:schemeClr w14:val="tx1"/>
                  </w14:solidFill>
                </w14:textFill>
              </w:rPr>
              <w:t>根据现场勘查，本项目评价范围内不涉及电磁环境敏感目标和声环境保护目标。</w:t>
            </w:r>
          </w:p>
        </w:tc>
      </w:tr>
      <w:tr w14:paraId="4E153A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4A49ED83">
            <w:pPr>
              <w:shd w:val="clear"/>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评价</w:t>
            </w:r>
          </w:p>
          <w:p w14:paraId="1129A225">
            <w:pPr>
              <w:shd w:val="clear"/>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标准</w:t>
            </w:r>
          </w:p>
        </w:tc>
        <w:tc>
          <w:tcPr>
            <w:tcW w:w="7774" w:type="dxa"/>
            <w:vAlign w:val="center"/>
          </w:tcPr>
          <w:p w14:paraId="053E19F8">
            <w:pPr>
              <w:pStyle w:val="3"/>
              <w:shd w:val="clear"/>
              <w:rPr>
                <w:color w:val="000000" w:themeColor="text1"/>
                <w:highlight w:val="none"/>
                <w14:textFill>
                  <w14:solidFill>
                    <w14:schemeClr w14:val="tx1"/>
                  </w14:solidFill>
                </w14:textFill>
              </w:rPr>
            </w:pPr>
            <w:bookmarkStart w:id="213" w:name="_Toc10476"/>
            <w:bookmarkStart w:id="214" w:name="_Toc221"/>
            <w:bookmarkStart w:id="215" w:name="_Toc17654"/>
            <w:r>
              <w:rPr>
                <w:color w:val="000000" w:themeColor="text1"/>
                <w:highlight w:val="none"/>
                <w14:textFill>
                  <w14:solidFill>
                    <w14:schemeClr w14:val="tx1"/>
                  </w14:solidFill>
                </w14:textFill>
              </w:rPr>
              <w:t>1、环境质量标准</w:t>
            </w:r>
            <w:bookmarkEnd w:id="213"/>
            <w:bookmarkEnd w:id="214"/>
            <w:bookmarkEnd w:id="215"/>
          </w:p>
          <w:p w14:paraId="3A76FF3C">
            <w:pPr>
              <w:pStyle w:val="3"/>
              <w:shd w:val="clear"/>
              <w:rPr>
                <w:color w:val="000000" w:themeColor="text1"/>
                <w:highlight w:val="none"/>
                <w14:textFill>
                  <w14:solidFill>
                    <w14:schemeClr w14:val="tx1"/>
                  </w14:solidFill>
                </w14:textFill>
              </w:rPr>
            </w:pPr>
            <w:bookmarkStart w:id="216" w:name="_Toc10383"/>
            <w:bookmarkStart w:id="217" w:name="_Toc12009"/>
            <w:bookmarkStart w:id="218" w:name="_Toc2005"/>
            <w:r>
              <w:rPr>
                <w:color w:val="000000" w:themeColor="text1"/>
                <w:highlight w:val="none"/>
                <w14:textFill>
                  <w14:solidFill>
                    <w14:schemeClr w14:val="tx1"/>
                  </w14:solidFill>
                </w14:textFill>
              </w:rPr>
              <w:t>1.1大气环境</w:t>
            </w:r>
            <w:bookmarkEnd w:id="216"/>
            <w:bookmarkEnd w:id="217"/>
            <w:bookmarkEnd w:id="218"/>
          </w:p>
          <w:p w14:paraId="022A66DC">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满足《环境空气质量标准》</w:t>
            </w:r>
            <w:r>
              <w:rPr>
                <w:color w:val="000000" w:themeColor="text1"/>
                <w:kern w:val="0"/>
                <w:highlight w:val="none"/>
                <w14:textFill>
                  <w14:solidFill>
                    <w14:schemeClr w14:val="tx1"/>
                  </w14:solidFill>
                </w14:textFill>
              </w:rPr>
              <w:t>（</w:t>
            </w:r>
            <w:r>
              <w:rPr>
                <w:color w:val="000000" w:themeColor="text1"/>
                <w:highlight w:val="none"/>
                <w14:textFill>
                  <w14:solidFill>
                    <w14:schemeClr w14:val="tx1"/>
                  </w14:solidFill>
                </w14:textFill>
              </w:rPr>
              <w:t>GB3095-2026）表1过渡阶段二级标准；</w:t>
            </w:r>
          </w:p>
          <w:p w14:paraId="2FB8B308">
            <w:pPr>
              <w:pStyle w:val="3"/>
              <w:shd w:val="clear"/>
              <w:rPr>
                <w:color w:val="000000" w:themeColor="text1"/>
                <w:highlight w:val="none"/>
                <w14:textFill>
                  <w14:solidFill>
                    <w14:schemeClr w14:val="tx1"/>
                  </w14:solidFill>
                </w14:textFill>
              </w:rPr>
            </w:pPr>
            <w:bookmarkStart w:id="219" w:name="_Toc16961"/>
            <w:bookmarkStart w:id="220" w:name="_Toc25107"/>
            <w:bookmarkStart w:id="221" w:name="_Toc3620"/>
            <w:r>
              <w:rPr>
                <w:color w:val="000000" w:themeColor="text1"/>
                <w:highlight w:val="none"/>
                <w14:textFill>
                  <w14:solidFill>
                    <w14:schemeClr w14:val="tx1"/>
                  </w14:solidFill>
                </w14:textFill>
              </w:rPr>
              <w:t>1.2声环境</w:t>
            </w:r>
            <w:bookmarkEnd w:id="219"/>
            <w:bookmarkEnd w:id="220"/>
            <w:bookmarkEnd w:id="221"/>
          </w:p>
          <w:p w14:paraId="5BB8FAB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依据《声环境功能区划分技术规范》</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GB/T 15190-2014)</w:t>
            </w:r>
          </w:p>
          <w:p w14:paraId="62775A4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8.2.3 符合下列条件之一的划为2类声环境功能区：</w:t>
            </w:r>
          </w:p>
          <w:p w14:paraId="17CE61A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a)城市用地现状已形成一定规模或近期规划已明确主要功能的区域，其用地性质符合4.3条规定的区域；</w:t>
            </w:r>
          </w:p>
          <w:p w14:paraId="63852F0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b)划定的0、1、3类声环境功能区以外居住、商业、工业混杂区域。本项目所处功能区为2类区。</w:t>
            </w:r>
          </w:p>
          <w:p w14:paraId="076A77A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升压站及输变电线路声环境《声环境质量标准》（GB3096-2008）中的2类区标准限值；即昼间60dB(A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，夜间50dB(A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p>
          <w:p w14:paraId="1A7C7C5D">
            <w:pPr>
              <w:pStyle w:val="3"/>
              <w:shd w:val="clear"/>
              <w:rPr>
                <w:color w:val="000000" w:themeColor="text1"/>
                <w:highlight w:val="none"/>
                <w14:textFill>
                  <w14:solidFill>
                    <w14:schemeClr w14:val="tx1"/>
                  </w14:solidFill>
                </w14:textFill>
              </w:rPr>
            </w:pPr>
            <w:bookmarkStart w:id="222" w:name="_Toc9867"/>
            <w:bookmarkStart w:id="223" w:name="_Toc9101"/>
            <w:bookmarkStart w:id="224" w:name="_Toc14421"/>
            <w:r>
              <w:rPr>
                <w:color w:val="000000" w:themeColor="text1"/>
                <w:highlight w:val="none"/>
                <w14:textFill>
                  <w14:solidFill>
                    <w14:schemeClr w14:val="tx1"/>
                  </w14:solidFill>
                </w14:textFill>
              </w:rPr>
              <w:t>1.3电磁</w:t>
            </w:r>
            <w:bookmarkEnd w:id="222"/>
            <w:bookmarkEnd w:id="223"/>
            <w:bookmarkEnd w:id="224"/>
          </w:p>
          <w:p w14:paraId="34BBAE96">
            <w:pPr>
              <w:shd w:val="clear"/>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工频电场强度、工频磁感应强度满足《电磁环境控制限值》（GB 8702-2014）中的（电场强度≤4000V/m；磁感应强度≤100μT）。依据《电磁环境控制限值》（GB 8702-2014）表1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公众曝露控制限值</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规定，电磁环境敏感目标（即为住宅、学校、医院、办公楼、工厂等有公众居住、工作或学习的建筑物）工频50Hz的电场强度控制限值为4000V/m、磁感应强度控制限值为100μT。</w:t>
            </w:r>
          </w:p>
          <w:p w14:paraId="1F25902E">
            <w:pPr>
              <w:shd w:val="clear"/>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架空输电线路线下的耕地、园地、牧草地、畜禽饲养地、养殖水面、道路等场所，其频率50Hz的电场强度控制限值为10kV/m，且应给出警示和防护指示标志。</w:t>
            </w:r>
          </w:p>
          <w:p w14:paraId="7F18E676">
            <w:pPr>
              <w:pStyle w:val="3"/>
              <w:shd w:val="clear"/>
              <w:rPr>
                <w:color w:val="000000" w:themeColor="text1"/>
                <w:highlight w:val="none"/>
                <w14:textFill>
                  <w14:solidFill>
                    <w14:schemeClr w14:val="tx1"/>
                  </w14:solidFill>
                </w14:textFill>
              </w:rPr>
            </w:pPr>
            <w:bookmarkStart w:id="225" w:name="_Toc23295"/>
            <w:bookmarkStart w:id="226" w:name="_Toc27720"/>
            <w:bookmarkStart w:id="227" w:name="_Toc30196"/>
            <w:r>
              <w:rPr>
                <w:color w:val="000000" w:themeColor="text1"/>
                <w:highlight w:val="none"/>
                <w14:textFill>
                  <w14:solidFill>
                    <w14:schemeClr w14:val="tx1"/>
                  </w14:solidFill>
                </w14:textFill>
              </w:rPr>
              <w:t>2、污染物排放标准</w:t>
            </w:r>
            <w:bookmarkEnd w:id="225"/>
            <w:bookmarkEnd w:id="226"/>
            <w:bookmarkEnd w:id="227"/>
          </w:p>
          <w:p w14:paraId="794E2E15">
            <w:pPr>
              <w:pStyle w:val="3"/>
              <w:shd w:val="clear"/>
              <w:rPr>
                <w:color w:val="000000" w:themeColor="text1"/>
                <w:highlight w:val="none"/>
                <w14:textFill>
                  <w14:solidFill>
                    <w14:schemeClr w14:val="tx1"/>
                  </w14:solidFill>
                </w14:textFill>
              </w:rPr>
            </w:pPr>
            <w:bookmarkStart w:id="228" w:name="_Toc17789"/>
            <w:bookmarkStart w:id="229" w:name="_Toc779"/>
            <w:bookmarkStart w:id="230" w:name="_Toc28435"/>
            <w:r>
              <w:rPr>
                <w:color w:val="000000" w:themeColor="text1"/>
                <w:highlight w:val="none"/>
                <w14:textFill>
                  <w14:solidFill>
                    <w14:schemeClr w14:val="tx1"/>
                  </w14:solidFill>
                </w14:textFill>
              </w:rPr>
              <w:t>2.1废气</w:t>
            </w:r>
            <w:bookmarkEnd w:id="228"/>
            <w:bookmarkEnd w:id="229"/>
            <w:bookmarkEnd w:id="230"/>
          </w:p>
          <w:p w14:paraId="474AC727">
            <w:pPr>
              <w:shd w:val="clear"/>
              <w:ind w:firstLine="480"/>
              <w:rPr>
                <w:bCs/>
                <w:color w:val="000000" w:themeColor="text1"/>
                <w:kern w:val="0"/>
                <w:highlight w:val="none"/>
                <w14:textFill>
                  <w14:solidFill>
                    <w14:schemeClr w14:val="tx1"/>
                  </w14:solidFill>
                </w14:textFill>
              </w:rPr>
            </w:pPr>
            <w:r>
              <w:rPr>
                <w:bCs/>
                <w:color w:val="000000" w:themeColor="text1"/>
                <w:kern w:val="0"/>
                <w:highlight w:val="none"/>
                <w14:textFill>
                  <w14:solidFill>
                    <w14:schemeClr w14:val="tx1"/>
                  </w14:solidFill>
                </w14:textFill>
              </w:rPr>
              <w:t>施工期废气执行《大气污染物综合排放标准》（GB16297-1996）表2中颗粒物无组织排放限值要求，详见表3-</w:t>
            </w:r>
            <w:r>
              <w:rPr>
                <w:rFonts w:hint="eastAsia"/>
                <w:bCs/>
                <w:color w:val="000000" w:themeColor="text1"/>
                <w:kern w:val="0"/>
                <w:highlight w:val="none"/>
                <w:lang w:val="en-US" w:eastAsia="zh-CN"/>
                <w14:textFill>
                  <w14:solidFill>
                    <w14:schemeClr w14:val="tx1"/>
                  </w14:solidFill>
                </w14:textFill>
              </w:rPr>
              <w:t>8</w:t>
            </w:r>
            <w:r>
              <w:rPr>
                <w:bCs/>
                <w:color w:val="000000" w:themeColor="text1"/>
                <w:kern w:val="0"/>
                <w:highlight w:val="none"/>
                <w14:textFill>
                  <w14:solidFill>
                    <w14:schemeClr w14:val="tx1"/>
                  </w14:solidFill>
                </w14:textFill>
              </w:rPr>
              <w:t>。</w:t>
            </w:r>
          </w:p>
          <w:p w14:paraId="1AC6EFD2">
            <w:pPr>
              <w:pStyle w:val="5"/>
              <w:shd w:val="clear"/>
              <w:ind w:firstLine="422"/>
              <w:rPr>
                <w:b w:val="0"/>
                <w:color w:val="000000" w:themeColor="text1"/>
                <w:sz w:val="24"/>
                <w:highlight w:val="none"/>
                <w14:textFill>
                  <w14:solidFill>
                    <w14:schemeClr w14:val="tx1"/>
                  </w14:solidFill>
                </w14:textFill>
              </w:rPr>
            </w:pPr>
            <w:r>
              <w:rPr>
                <w:color w:val="000000" w:themeColor="text1"/>
                <w:szCs w:val="21"/>
                <w:highlight w:val="none"/>
                <w14:textFill>
                  <w14:solidFill>
                    <w14:schemeClr w14:val="tx1"/>
                  </w14:solidFill>
                </w14:textFill>
              </w:rPr>
              <w:t>表3-</w:t>
            </w:r>
            <w:r>
              <w:rPr>
                <w:rFonts w:hint="eastAsia"/>
                <w:color w:val="000000" w:themeColor="text1"/>
                <w:szCs w:val="21"/>
                <w:highlight w:val="none"/>
                <w:lang w:val="en-US" w:eastAsia="zh-CN"/>
                <w14:textFill>
                  <w14:solidFill>
                    <w14:schemeClr w14:val="tx1"/>
                  </w14:solidFill>
                </w14:textFill>
              </w:rPr>
              <w:t>8</w:t>
            </w:r>
            <w:r>
              <w:rPr>
                <w:color w:val="000000" w:themeColor="text1"/>
                <w:szCs w:val="21"/>
                <w:highlight w:val="none"/>
                <w14:textFill>
                  <w14:solidFill>
                    <w14:schemeClr w14:val="tx1"/>
                  </w14:solidFill>
                </w14:textFill>
              </w:rPr>
              <w:t xml:space="preserve">         新污染源大气污染物排放限值                单位mg/m</w:t>
            </w:r>
            <w:r>
              <w:rPr>
                <w:color w:val="000000" w:themeColor="text1"/>
                <w:szCs w:val="21"/>
                <w:highlight w:val="none"/>
                <w:vertAlign w:val="superscript"/>
                <w14:textFill>
                  <w14:solidFill>
                    <w14:schemeClr w14:val="tx1"/>
                  </w14:solidFill>
                </w14:textFill>
              </w:rPr>
              <w:t>3</w:t>
            </w:r>
          </w:p>
          <w:tbl>
            <w:tblPr>
              <w:tblStyle w:val="33"/>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03"/>
              <w:gridCol w:w="2780"/>
              <w:gridCol w:w="3573"/>
            </w:tblGrid>
            <w:tr w14:paraId="4F409A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tcBorders>
                    <w:tl2br w:val="nil"/>
                    <w:tr2bl w:val="nil"/>
                  </w:tcBorders>
                  <w:vAlign w:val="center"/>
                </w:tcPr>
                <w:p w14:paraId="5CEB1E2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污染物</w:t>
                  </w:r>
                </w:p>
              </w:tc>
              <w:tc>
                <w:tcPr>
                  <w:tcW w:w="1839" w:type="pct"/>
                  <w:tcBorders>
                    <w:tl2br w:val="nil"/>
                    <w:tr2bl w:val="nil"/>
                  </w:tcBorders>
                  <w:vAlign w:val="center"/>
                </w:tcPr>
                <w:p w14:paraId="42F0E0B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无组织排放浓度限值</w:t>
                  </w:r>
                </w:p>
              </w:tc>
              <w:tc>
                <w:tcPr>
                  <w:tcW w:w="2364" w:type="pct"/>
                  <w:tcBorders>
                    <w:tl2br w:val="nil"/>
                    <w:tr2bl w:val="nil"/>
                  </w:tcBorders>
                  <w:vAlign w:val="center"/>
                </w:tcPr>
                <w:p w14:paraId="2DE898F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标准来源</w:t>
                  </w:r>
                </w:p>
              </w:tc>
            </w:tr>
            <w:tr w14:paraId="1E8076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6" w:type="pct"/>
                  <w:tcBorders>
                    <w:tl2br w:val="nil"/>
                    <w:tr2bl w:val="nil"/>
                  </w:tcBorders>
                  <w:vAlign w:val="center"/>
                </w:tcPr>
                <w:p w14:paraId="7C6FA85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颗粒物</w:t>
                  </w:r>
                </w:p>
              </w:tc>
              <w:tc>
                <w:tcPr>
                  <w:tcW w:w="1839" w:type="pct"/>
                  <w:tcBorders>
                    <w:tl2br w:val="nil"/>
                    <w:tr2bl w:val="nil"/>
                  </w:tcBorders>
                  <w:vAlign w:val="center"/>
                </w:tcPr>
                <w:p w14:paraId="6299424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1.0mg/m</w:t>
                  </w:r>
                  <w:r>
                    <w:rPr>
                      <w:color w:val="000000" w:themeColor="text1"/>
                      <w:sz w:val="18"/>
                      <w:highlight w:val="none"/>
                      <w:vertAlign w:val="superscript"/>
                      <w14:textFill>
                        <w14:solidFill>
                          <w14:schemeClr w14:val="tx1"/>
                        </w14:solidFill>
                      </w14:textFill>
                    </w:rPr>
                    <w:t>3</w:t>
                  </w:r>
                </w:p>
              </w:tc>
              <w:tc>
                <w:tcPr>
                  <w:tcW w:w="2364" w:type="pct"/>
                  <w:tcBorders>
                    <w:tl2br w:val="nil"/>
                    <w:tr2bl w:val="nil"/>
                  </w:tcBorders>
                  <w:vAlign w:val="center"/>
                </w:tcPr>
                <w:p w14:paraId="2C8FAA2E">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《大气污染物综合排放标准》GB16297-1996</w:t>
                  </w:r>
                </w:p>
              </w:tc>
            </w:tr>
          </w:tbl>
          <w:p w14:paraId="4140E4DF">
            <w:pPr>
              <w:pStyle w:val="3"/>
              <w:shd w:val="clear"/>
              <w:rPr>
                <w:color w:val="000000" w:themeColor="text1"/>
                <w:highlight w:val="none"/>
                <w14:textFill>
                  <w14:solidFill>
                    <w14:schemeClr w14:val="tx1"/>
                  </w14:solidFill>
                </w14:textFill>
              </w:rPr>
            </w:pPr>
            <w:bookmarkStart w:id="231" w:name="_Toc11008"/>
            <w:bookmarkStart w:id="232" w:name="_Toc23122"/>
            <w:bookmarkStart w:id="233" w:name="_Toc602"/>
            <w:r>
              <w:rPr>
                <w:color w:val="000000" w:themeColor="text1"/>
                <w:highlight w:val="none"/>
                <w14:textFill>
                  <w14:solidFill>
                    <w14:schemeClr w14:val="tx1"/>
                  </w14:solidFill>
                </w14:textFill>
              </w:rPr>
              <w:t>2.2噪声</w:t>
            </w:r>
            <w:bookmarkEnd w:id="231"/>
            <w:bookmarkEnd w:id="232"/>
            <w:bookmarkEnd w:id="233"/>
          </w:p>
          <w:p w14:paraId="719915C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施工期噪声执行《建筑施工噪声排放标准》</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GB 12523-2025</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。即昼间≤70dB(A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，夜间≤55dB(A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p>
          <w:p w14:paraId="18E55A2C">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运营期升压站执行《工业企业厂界环境噪声排放标准》（GB 12348-2008）中2类区声环境功能区标准，昼间60dB（A），夜间50dB（A）。输送线路执行《声环境质量标准》（GB3096-2008）中的2类区标准限值；即昼间60dB(A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，夜间50dB(A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p>
          <w:p w14:paraId="38C2462A">
            <w:pPr>
              <w:pStyle w:val="3"/>
              <w:shd w:val="clear"/>
              <w:rPr>
                <w:rFonts w:hint="eastAsia"/>
                <w:color w:val="FF0000"/>
                <w:highlight w:val="none"/>
                <w:lang w:val="en-US" w:eastAsia="zh-CN"/>
              </w:rPr>
            </w:pPr>
            <w:bookmarkStart w:id="234" w:name="_Toc30346"/>
            <w:bookmarkStart w:id="235" w:name="_Toc30262"/>
            <w:bookmarkStart w:id="236" w:name="_Toc3442"/>
            <w:r>
              <w:rPr>
                <w:color w:val="FF0000"/>
                <w:highlight w:val="none"/>
              </w:rPr>
              <w:t>2.</w:t>
            </w:r>
            <w:r>
              <w:rPr>
                <w:rFonts w:hint="eastAsia"/>
                <w:color w:val="FF0000"/>
                <w:highlight w:val="none"/>
                <w:lang w:val="en-US" w:eastAsia="zh-CN"/>
              </w:rPr>
              <w:t>3废水</w:t>
            </w:r>
            <w:bookmarkEnd w:id="234"/>
          </w:p>
          <w:p w14:paraId="17A0F7A9">
            <w:pPr>
              <w:rPr>
                <w:rFonts w:hint="default"/>
                <w:color w:val="FF0000"/>
                <w:lang w:val="en-US" w:eastAsia="zh-CN"/>
              </w:rPr>
            </w:pPr>
            <w:r>
              <w:rPr>
                <w:rFonts w:hint="eastAsia"/>
                <w:color w:val="FF0000"/>
                <w:highlight w:val="none"/>
                <w:lang w:val="en-US" w:eastAsia="zh-CN"/>
              </w:rPr>
              <w:t>本项目运营期生活污水执行《农村生活污水处理排放标准》（DB65 4275-2019）表2中B级标准限值。</w:t>
            </w:r>
          </w:p>
          <w:p w14:paraId="31C10C99">
            <w:pPr>
              <w:pStyle w:val="3"/>
              <w:shd w:val="clear"/>
              <w:rPr>
                <w:color w:val="000000" w:themeColor="text1"/>
                <w:highlight w:val="none"/>
                <w14:textFill>
                  <w14:solidFill>
                    <w14:schemeClr w14:val="tx1"/>
                  </w14:solidFill>
                </w14:textFill>
              </w:rPr>
            </w:pPr>
            <w:bookmarkStart w:id="237" w:name="_Toc8873"/>
            <w:r>
              <w:rPr>
                <w:rFonts w:hint="eastAsia"/>
                <w:color w:val="000000" w:themeColor="text1"/>
                <w:highlight w:val="none"/>
                <w:lang w:val="en-US" w:eastAsia="zh-CN"/>
                <w14:textFill>
                  <w14:solidFill>
                    <w14:schemeClr w14:val="tx1"/>
                  </w14:solidFill>
                </w14:textFill>
              </w:rPr>
              <w:t>2.4</w:t>
            </w:r>
            <w:r>
              <w:rPr>
                <w:color w:val="000000" w:themeColor="text1"/>
                <w:highlight w:val="none"/>
                <w14:textFill>
                  <w14:solidFill>
                    <w14:schemeClr w14:val="tx1"/>
                  </w14:solidFill>
                </w14:textFill>
              </w:rPr>
              <w:t>固废</w:t>
            </w:r>
            <w:bookmarkEnd w:id="235"/>
            <w:bookmarkEnd w:id="236"/>
            <w:bookmarkEnd w:id="237"/>
          </w:p>
          <w:p w14:paraId="560D0F6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一般固体废物执行《一般工业固体废物贮存和填埋污染控制标准》（GB 18599-2020）；危险废物执行《危险废物贮存污染控制标准》（GB18597-2023）。</w:t>
            </w:r>
          </w:p>
        </w:tc>
      </w:tr>
      <w:tr w14:paraId="05E2F2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8" w:type="dxa"/>
            <w:vAlign w:val="center"/>
          </w:tcPr>
          <w:p w14:paraId="1F6FA7DE">
            <w:pPr>
              <w:shd w:val="clear"/>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其他</w:t>
            </w:r>
          </w:p>
        </w:tc>
        <w:tc>
          <w:tcPr>
            <w:tcW w:w="7774" w:type="dxa"/>
            <w:vAlign w:val="center"/>
          </w:tcPr>
          <w:p w14:paraId="1987A693">
            <w:pPr>
              <w:shd w:val="clea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w:t>
            </w:r>
          </w:p>
          <w:p w14:paraId="040E0E5A">
            <w:pPr>
              <w:pStyle w:val="40"/>
              <w:shd w:val="clear"/>
              <w:ind w:firstLine="480"/>
              <w:rPr>
                <w:color w:val="000000" w:themeColor="text1"/>
                <w:highlight w:val="none"/>
                <w14:textFill>
                  <w14:solidFill>
                    <w14:schemeClr w14:val="tx1"/>
                  </w14:solidFill>
                </w14:textFill>
              </w:rPr>
            </w:pPr>
          </w:p>
          <w:p w14:paraId="2A4947F9">
            <w:pPr>
              <w:shd w:val="clear"/>
              <w:ind w:firstLine="480"/>
              <w:rPr>
                <w:color w:val="000000" w:themeColor="text1"/>
                <w:highlight w:val="none"/>
                <w14:textFill>
                  <w14:solidFill>
                    <w14:schemeClr w14:val="tx1"/>
                  </w14:solidFill>
                </w14:textFill>
              </w:rPr>
            </w:pPr>
          </w:p>
          <w:p w14:paraId="585AD48D">
            <w:pPr>
              <w:pStyle w:val="40"/>
              <w:shd w:val="clear"/>
              <w:ind w:firstLine="480"/>
              <w:rPr>
                <w:color w:val="000000" w:themeColor="text1"/>
                <w:highlight w:val="none"/>
                <w14:textFill>
                  <w14:solidFill>
                    <w14:schemeClr w14:val="tx1"/>
                  </w14:solidFill>
                </w14:textFill>
              </w:rPr>
            </w:pPr>
          </w:p>
          <w:p w14:paraId="2F990ECC">
            <w:pPr>
              <w:shd w:val="clear"/>
              <w:ind w:firstLine="480"/>
              <w:rPr>
                <w:color w:val="000000" w:themeColor="text1"/>
                <w:highlight w:val="none"/>
                <w14:textFill>
                  <w14:solidFill>
                    <w14:schemeClr w14:val="tx1"/>
                  </w14:solidFill>
                </w14:textFill>
              </w:rPr>
            </w:pPr>
          </w:p>
          <w:p w14:paraId="1DD97F54">
            <w:pPr>
              <w:pStyle w:val="40"/>
              <w:shd w:val="clear"/>
              <w:ind w:firstLine="480"/>
              <w:rPr>
                <w:color w:val="000000" w:themeColor="text1"/>
                <w:highlight w:val="none"/>
                <w14:textFill>
                  <w14:solidFill>
                    <w14:schemeClr w14:val="tx1"/>
                  </w14:solidFill>
                </w14:textFill>
              </w:rPr>
            </w:pPr>
          </w:p>
          <w:p w14:paraId="3BF67D7A">
            <w:pPr>
              <w:shd w:val="clear"/>
              <w:ind w:firstLine="480"/>
              <w:rPr>
                <w:color w:val="000000" w:themeColor="text1"/>
                <w:highlight w:val="none"/>
                <w14:textFill>
                  <w14:solidFill>
                    <w14:schemeClr w14:val="tx1"/>
                  </w14:solidFill>
                </w14:textFill>
              </w:rPr>
            </w:pPr>
          </w:p>
          <w:p w14:paraId="7A38817E">
            <w:pPr>
              <w:pStyle w:val="40"/>
              <w:shd w:val="clear"/>
              <w:ind w:firstLine="480"/>
              <w:rPr>
                <w:color w:val="000000" w:themeColor="text1"/>
                <w:highlight w:val="none"/>
                <w14:textFill>
                  <w14:solidFill>
                    <w14:schemeClr w14:val="tx1"/>
                  </w14:solidFill>
                </w14:textFill>
              </w:rPr>
            </w:pPr>
          </w:p>
          <w:p w14:paraId="64CCA63F">
            <w:pPr>
              <w:shd w:val="clear"/>
              <w:ind w:firstLine="480"/>
              <w:rPr>
                <w:color w:val="000000" w:themeColor="text1"/>
                <w:highlight w:val="none"/>
                <w14:textFill>
                  <w14:solidFill>
                    <w14:schemeClr w14:val="tx1"/>
                  </w14:solidFill>
                </w14:textFill>
              </w:rPr>
            </w:pPr>
          </w:p>
          <w:p w14:paraId="1A12B93F">
            <w:pPr>
              <w:pStyle w:val="40"/>
              <w:shd w:val="clear"/>
              <w:ind w:firstLine="480"/>
              <w:rPr>
                <w:color w:val="000000" w:themeColor="text1"/>
                <w:highlight w:val="none"/>
                <w14:textFill>
                  <w14:solidFill>
                    <w14:schemeClr w14:val="tx1"/>
                  </w14:solidFill>
                </w14:textFill>
              </w:rPr>
            </w:pPr>
          </w:p>
          <w:p w14:paraId="5B59711D">
            <w:pPr>
              <w:shd w:val="clear"/>
              <w:ind w:firstLine="480"/>
              <w:rPr>
                <w:color w:val="000000" w:themeColor="text1"/>
                <w:highlight w:val="none"/>
                <w14:textFill>
                  <w14:solidFill>
                    <w14:schemeClr w14:val="tx1"/>
                  </w14:solidFill>
                </w14:textFill>
              </w:rPr>
            </w:pPr>
          </w:p>
          <w:p w14:paraId="11554D77">
            <w:pPr>
              <w:pStyle w:val="40"/>
              <w:shd w:val="clear"/>
              <w:ind w:firstLine="480"/>
              <w:rPr>
                <w:color w:val="000000" w:themeColor="text1"/>
                <w:highlight w:val="none"/>
                <w14:textFill>
                  <w14:solidFill>
                    <w14:schemeClr w14:val="tx1"/>
                  </w14:solidFill>
                </w14:textFill>
              </w:rPr>
            </w:pPr>
          </w:p>
          <w:p w14:paraId="10897F3D">
            <w:pPr>
              <w:shd w:val="clear"/>
              <w:ind w:firstLine="0" w:firstLineChars="0"/>
              <w:rPr>
                <w:color w:val="000000" w:themeColor="text1"/>
                <w:highlight w:val="none"/>
                <w14:textFill>
                  <w14:solidFill>
                    <w14:schemeClr w14:val="tx1"/>
                  </w14:solidFill>
                </w14:textFill>
              </w:rPr>
            </w:pPr>
          </w:p>
        </w:tc>
      </w:tr>
    </w:tbl>
    <w:p w14:paraId="7F7CB7A0">
      <w:pPr>
        <w:rPr>
          <w:rFonts w:ascii="Times New Roman" w:hAnsi="Times New Roman"/>
          <w:snapToGrid w:val="0"/>
          <w:sz w:val="30"/>
          <w:szCs w:val="30"/>
          <w:highlight w:val="none"/>
        </w:rPr>
      </w:pPr>
      <w:bookmarkStart w:id="238" w:name="_Toc2474"/>
      <w:bookmarkStart w:id="239" w:name="_Toc14895"/>
      <w:bookmarkStart w:id="240" w:name="_Toc10017"/>
      <w:bookmarkStart w:id="241" w:name="_Toc18167"/>
      <w:r>
        <w:rPr>
          <w:rFonts w:ascii="Times New Roman" w:hAnsi="Times New Roman"/>
          <w:snapToGrid w:val="0"/>
          <w:sz w:val="30"/>
          <w:szCs w:val="30"/>
          <w:highlight w:val="none"/>
        </w:rPr>
        <w:br w:type="page"/>
      </w:r>
    </w:p>
    <w:p w14:paraId="6E855E98">
      <w:pPr>
        <w:pStyle w:val="28"/>
        <w:shd w:val="clear"/>
        <w:spacing w:before="0" w:beforeAutospacing="0" w:after="0" w:afterAutospacing="0"/>
        <w:ind w:firstLine="720"/>
        <w:jc w:val="center"/>
        <w:outlineLvl w:val="0"/>
        <w:rPr>
          <w:rFonts w:ascii="Times New Roman" w:hAnsi="Times New Roman"/>
          <w:snapToGrid w:val="0"/>
          <w:sz w:val="30"/>
          <w:szCs w:val="30"/>
          <w:highlight w:val="none"/>
        </w:rPr>
      </w:pPr>
      <w:r>
        <w:rPr>
          <w:rFonts w:ascii="Times New Roman" w:hAnsi="Times New Roman"/>
          <w:snapToGrid w:val="0"/>
          <w:sz w:val="30"/>
          <w:szCs w:val="30"/>
          <w:highlight w:val="none"/>
        </w:rPr>
        <w:t>四、生态环境影响分析</w:t>
      </w:r>
      <w:bookmarkEnd w:id="238"/>
      <w:bookmarkEnd w:id="239"/>
      <w:bookmarkEnd w:id="240"/>
      <w:bookmarkEnd w:id="241"/>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7686"/>
      </w:tblGrid>
      <w:tr w14:paraId="0C460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7" w:hRule="atLeast"/>
          <w:jc w:val="center"/>
        </w:trPr>
        <w:tc>
          <w:tcPr>
            <w:tcW w:w="816" w:type="dxa"/>
            <w:tcMar>
              <w:left w:w="28" w:type="dxa"/>
              <w:right w:w="28" w:type="dxa"/>
            </w:tcMar>
            <w:vAlign w:val="center"/>
          </w:tcPr>
          <w:p w14:paraId="0D8AD573">
            <w:pPr>
              <w:pStyle w:val="28"/>
              <w:shd w:val="clear"/>
              <w:spacing w:before="0" w:beforeAutospacing="0" w:after="0" w:afterAutospacing="0"/>
              <w:ind w:firstLine="0" w:firstLineChars="0"/>
              <w:jc w:val="center"/>
              <w:rPr>
                <w:rFonts w:ascii="Times New Roman" w:hAnsi="Times New Roman"/>
                <w:bCs/>
                <w:color w:val="000000" w:themeColor="text1"/>
                <w:kern w:val="2"/>
                <w:highlight w:val="none"/>
                <w14:textFill>
                  <w14:solidFill>
                    <w14:schemeClr w14:val="tx1"/>
                  </w14:solidFill>
                </w14:textFill>
              </w:rPr>
            </w:pPr>
            <w:bookmarkStart w:id="242" w:name="_Hlk49796138"/>
            <w:r>
              <w:rPr>
                <w:rFonts w:ascii="Times New Roman" w:hAnsi="Times New Roman"/>
                <w:bCs/>
                <w:color w:val="000000" w:themeColor="text1"/>
                <w:spacing w:val="10"/>
                <w:kern w:val="2"/>
                <w:highlight w:val="none"/>
                <w14:textFill>
                  <w14:solidFill>
                    <w14:schemeClr w14:val="tx1"/>
                  </w14:solidFill>
                </w14:textFill>
              </w:rPr>
              <w:t>施工期生态环境影响分析</w:t>
            </w:r>
            <w:bookmarkEnd w:id="242"/>
          </w:p>
        </w:tc>
        <w:tc>
          <w:tcPr>
            <w:tcW w:w="7626" w:type="dxa"/>
          </w:tcPr>
          <w:p w14:paraId="222B435E">
            <w:pPr>
              <w:pStyle w:val="3"/>
              <w:shd w:val="clear"/>
              <w:rPr>
                <w:color w:val="000000" w:themeColor="text1"/>
                <w:highlight w:val="none"/>
                <w14:textFill>
                  <w14:solidFill>
                    <w14:schemeClr w14:val="tx1"/>
                  </w14:solidFill>
                </w14:textFill>
              </w:rPr>
            </w:pPr>
            <w:bookmarkStart w:id="243" w:name="_Toc8345"/>
            <w:bookmarkStart w:id="244" w:name="_Toc21962"/>
            <w:bookmarkStart w:id="245" w:name="_Toc7596"/>
            <w:r>
              <w:rPr>
                <w:color w:val="000000" w:themeColor="text1"/>
                <w:highlight w:val="none"/>
                <w14:textFill>
                  <w14:solidFill>
                    <w14:schemeClr w14:val="tx1"/>
                  </w14:solidFill>
                </w14:textFill>
              </w:rPr>
              <w:t>1、施工期生态环境影响分析</w:t>
            </w:r>
            <w:bookmarkEnd w:id="243"/>
            <w:bookmarkEnd w:id="244"/>
            <w:bookmarkEnd w:id="245"/>
          </w:p>
          <w:p w14:paraId="70C4358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根据工程建设和运行特点，结合工程地区各环境影响因子的重要性和可能受影响的程度，线路工程施工期对生态的影响主要表现在以下几个方面：</w:t>
            </w:r>
          </w:p>
          <w:p w14:paraId="324667B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（1）塔基永久占地占用的土地资源将改变其原有的地貌和生态功能。</w:t>
            </w:r>
          </w:p>
          <w:p w14:paraId="5205B21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（2）线路架设过程中破坏了原有的地表植被，破坏了原有的地表植被，增大了地表裸露面积，易造成局部水土流失加剧。</w:t>
            </w:r>
          </w:p>
          <w:p w14:paraId="3F8D272B">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（3）施工期铁塔架设、导线安装过程中工程车辆进出，土建工程中产生的噪声、扬尘以及固体废弃物等都将对评价区范围内的野生生物产生一定的负面影响。</w:t>
            </w:r>
          </w:p>
          <w:p w14:paraId="2524732A">
            <w:pPr>
              <w:pStyle w:val="3"/>
              <w:shd w:val="clear"/>
              <w:rPr>
                <w:color w:val="000000" w:themeColor="text1"/>
                <w:highlight w:val="none"/>
                <w14:textFill>
                  <w14:solidFill>
                    <w14:schemeClr w14:val="tx1"/>
                  </w14:solidFill>
                </w14:textFill>
              </w:rPr>
            </w:pPr>
            <w:bookmarkStart w:id="246" w:name="_Toc15137"/>
            <w:bookmarkStart w:id="247" w:name="_Toc7068"/>
            <w:bookmarkStart w:id="248" w:name="_Toc4839"/>
            <w:r>
              <w:rPr>
                <w:color w:val="000000" w:themeColor="text1"/>
                <w:highlight w:val="none"/>
                <w14:textFill>
                  <w14:solidFill>
                    <w14:schemeClr w14:val="tx1"/>
                  </w14:solidFill>
                </w14:textFill>
              </w:rPr>
              <w:t>1.1土地利用的影响</w:t>
            </w:r>
            <w:bookmarkEnd w:id="246"/>
            <w:bookmarkEnd w:id="247"/>
            <w:bookmarkEnd w:id="248"/>
          </w:p>
          <w:p w14:paraId="0262E43C">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施工过程中的基础开挖对土地造成扰动影响，堆填土石方等工程可能引起水土流失。基坑开挖占地将破坏原有地表形态，引起水土流失量增加。要求在升压站、道路、电缆沟、电缆基坑开挖过程中尽量减少对周围土地的扰动，临时弃土合理堆放，覆土后恢复原有地貌，尽量减少水土流失量。</w:t>
            </w:r>
          </w:p>
          <w:p w14:paraId="26DA7A56">
            <w:pPr>
              <w:pStyle w:val="3"/>
              <w:shd w:val="clear"/>
              <w:rPr>
                <w:color w:val="000000" w:themeColor="text1"/>
                <w:highlight w:val="none"/>
                <w14:textFill>
                  <w14:solidFill>
                    <w14:schemeClr w14:val="tx1"/>
                  </w14:solidFill>
                </w14:textFill>
              </w:rPr>
            </w:pPr>
            <w:bookmarkStart w:id="249" w:name="_Toc14993"/>
            <w:bookmarkStart w:id="250" w:name="_Toc6845"/>
            <w:bookmarkStart w:id="251" w:name="_Toc18909"/>
            <w:r>
              <w:rPr>
                <w:color w:val="000000" w:themeColor="text1"/>
                <w:highlight w:val="none"/>
                <w14:textFill>
                  <w14:solidFill>
                    <w14:schemeClr w14:val="tx1"/>
                  </w14:solidFill>
                </w14:textFill>
              </w:rPr>
              <w:t>1.2植被影响分析</w:t>
            </w:r>
            <w:bookmarkEnd w:id="249"/>
            <w:bookmarkEnd w:id="250"/>
            <w:bookmarkEnd w:id="251"/>
          </w:p>
          <w:p w14:paraId="2693F2FD">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占地为未利用地，所在区域主要呈荒漠景观，区域内地表现状为裸地。项目所在区域评价范围内仅有少量的刚毛柽柳、多枝柽柳等荒漠植被，植被覆盖度小于1%。项目将会造成施工区域内的植被破坏，影响区域内的植被覆盖率、植物群落种类组成和数量分布，使区域植物生产能力降低。工程建设会使原有植被遭到局部损失，由于占地面积有限，不会使评价区植物群落的种类组成发生变化，也不会造成某一物种消失，总体来说，不会对当地的生态环境产生明显的影响。因此，本项目的建设对区域植被资源影响较小。</w:t>
            </w:r>
          </w:p>
          <w:p w14:paraId="14DD91CE">
            <w:pPr>
              <w:pStyle w:val="3"/>
              <w:shd w:val="clear"/>
              <w:rPr>
                <w:color w:val="000000" w:themeColor="text1"/>
                <w:highlight w:val="none"/>
                <w14:textFill>
                  <w14:solidFill>
                    <w14:schemeClr w14:val="tx1"/>
                  </w14:solidFill>
                </w14:textFill>
              </w:rPr>
            </w:pPr>
            <w:bookmarkStart w:id="252" w:name="_Toc7180"/>
            <w:bookmarkStart w:id="253" w:name="_Toc14254"/>
            <w:bookmarkStart w:id="254" w:name="_Toc17617"/>
            <w:r>
              <w:rPr>
                <w:color w:val="000000" w:themeColor="text1"/>
                <w:highlight w:val="none"/>
                <w14:textFill>
                  <w14:solidFill>
                    <w14:schemeClr w14:val="tx1"/>
                  </w14:solidFill>
                </w14:textFill>
              </w:rPr>
              <w:t>1.3野生动物影响分析</w:t>
            </w:r>
            <w:bookmarkEnd w:id="252"/>
            <w:bookmarkEnd w:id="253"/>
            <w:bookmarkEnd w:id="254"/>
          </w:p>
          <w:p w14:paraId="132F40A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机械噪声和人类活动噪声是影响野生动物的主要因素，各种施工机械如运输车辆、推土机、振捣棒等均可能产生较强的噪声。虽然这些施工机械属非连续性间歇排放，但由于噪声源相对集中，且多为裸露声源，故其有一定影响范围。预计在施工期，项目区的野生动物都将产生规避反应，迁往附近同类环境，动物迁徙能力强，且同类生境易于在附近找寻，故物种种群与数量不会受到明显影响。根据当地居民反映，本区无大型野生动物，哺乳动物主要是子午沙鼠、野兔等小型动物；同时根据调查，该区没有珍贵动物，也不是候鸟的栖息地和迁徙通道。因此，施工期对野生动物的影响很小。</w:t>
            </w:r>
          </w:p>
          <w:p w14:paraId="16D06F69">
            <w:pPr>
              <w:pStyle w:val="3"/>
              <w:shd w:val="clear"/>
              <w:rPr>
                <w:color w:val="000000" w:themeColor="text1"/>
                <w:highlight w:val="none"/>
                <w14:textFill>
                  <w14:solidFill>
                    <w14:schemeClr w14:val="tx1"/>
                  </w14:solidFill>
                </w14:textFill>
              </w:rPr>
            </w:pPr>
            <w:bookmarkStart w:id="255" w:name="_Toc29736"/>
            <w:bookmarkStart w:id="256" w:name="_Toc1403"/>
            <w:bookmarkStart w:id="257" w:name="_Toc28281"/>
            <w:r>
              <w:rPr>
                <w:color w:val="000000" w:themeColor="text1"/>
                <w:highlight w:val="none"/>
                <w14:textFill>
                  <w14:solidFill>
                    <w14:schemeClr w14:val="tx1"/>
                  </w14:solidFill>
                </w14:textFill>
              </w:rPr>
              <w:t>1.4施工景观影响</w:t>
            </w:r>
            <w:bookmarkEnd w:id="255"/>
            <w:bookmarkEnd w:id="256"/>
            <w:bookmarkEnd w:id="257"/>
          </w:p>
          <w:p w14:paraId="554EC4B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由于基坑开挖、物料运输造成的扬尘、施工人员生活垃圾等，如果管理不当将会对局部景观造成一定的不良影响。通过采取围挡作业、分段施工、及时清运弃方、采取防尘抑尘措施、集中收集施工人员生活垃圾并及时清运处理等措施，可以使施工区域及时恢复原有自然面貌，将施工期造成的景观影响降至最小。</w:t>
            </w:r>
          </w:p>
          <w:p w14:paraId="49DD9BD0">
            <w:pPr>
              <w:pStyle w:val="3"/>
              <w:shd w:val="clear"/>
              <w:rPr>
                <w:color w:val="000000" w:themeColor="text1"/>
                <w:highlight w:val="none"/>
                <w14:textFill>
                  <w14:solidFill>
                    <w14:schemeClr w14:val="tx1"/>
                  </w14:solidFill>
                </w14:textFill>
              </w:rPr>
            </w:pPr>
            <w:bookmarkStart w:id="258" w:name="_Toc15571"/>
            <w:bookmarkStart w:id="259" w:name="_Toc1147"/>
            <w:bookmarkStart w:id="260" w:name="_Toc10330"/>
            <w:r>
              <w:rPr>
                <w:color w:val="000000" w:themeColor="text1"/>
                <w:highlight w:val="none"/>
                <w14:textFill>
                  <w14:solidFill>
                    <w14:schemeClr w14:val="tx1"/>
                  </w14:solidFill>
                </w14:textFill>
              </w:rPr>
              <w:t>2、水土流失影响分析</w:t>
            </w:r>
            <w:bookmarkEnd w:id="258"/>
            <w:bookmarkEnd w:id="259"/>
            <w:bookmarkEnd w:id="260"/>
          </w:p>
          <w:p w14:paraId="682CE92B">
            <w:pPr>
              <w:shd w:val="clear"/>
              <w:ind w:firstLine="480"/>
              <w:rPr>
                <w:rFonts w:hint="default"/>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rFonts w:hint="default"/>
                <w:b/>
                <w:bCs/>
                <w:color w:val="000000" w:themeColor="text1"/>
                <w:highlight w:val="none"/>
                <w14:textFill>
                  <w14:solidFill>
                    <w14:schemeClr w14:val="tx1"/>
                  </w14:solidFill>
                </w14:textFill>
              </w:rPr>
              <w:t>.1 流失特点</w:t>
            </w:r>
          </w:p>
          <w:p w14:paraId="7B9D8715">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输变电工程产生的水土流失具有历时短、总体强度较小、局部点状流失强烈等特点。本项目水土流失分为施工期和自然恢复期两个时段，重点时段为施工期（含施工准备期），重点区域为塔基区、升压站区和施工便道区。</w:t>
            </w:r>
          </w:p>
          <w:p w14:paraId="51F4ED41">
            <w:pPr>
              <w:shd w:val="clear"/>
              <w:ind w:firstLine="480"/>
              <w:rPr>
                <w:rFonts w:hint="default"/>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rFonts w:hint="default"/>
                <w:b/>
                <w:bCs/>
                <w:color w:val="000000" w:themeColor="text1"/>
                <w:highlight w:val="none"/>
                <w14:textFill>
                  <w14:solidFill>
                    <w14:schemeClr w14:val="tx1"/>
                  </w14:solidFill>
                </w14:textFill>
              </w:rPr>
              <w:t>.2 流失环节识别</w:t>
            </w:r>
          </w:p>
          <w:p w14:paraId="7195D98E">
            <w:pPr>
              <w:keepNext w:val="0"/>
              <w:keepLines w:val="0"/>
              <w:pageBreakBefore w:val="0"/>
              <w:widowControl w:val="0"/>
              <w:shd w:val="clear"/>
              <w:kinsoku/>
              <w:wordWrap/>
              <w:overflowPunct/>
              <w:topLinePunct w:val="0"/>
              <w:autoSpaceDE/>
              <w:autoSpaceDN/>
              <w:bidi w:val="0"/>
              <w:adjustRightInd w:val="0"/>
              <w:snapToGrid w:val="0"/>
              <w:spacing w:line="240" w:lineRule="auto"/>
              <w:ind w:firstLine="480"/>
              <w:textAlignment w:val="auto"/>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表4-1            水土流失环节识别</w:t>
            </w:r>
          </w:p>
          <w:tbl>
            <w:tblPr>
              <w:tblStyle w:val="3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055"/>
              <w:gridCol w:w="4527"/>
            </w:tblGrid>
            <w:tr w14:paraId="7046B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tcBorders>
                    <w:tl2br w:val="nil"/>
                    <w:tr2bl w:val="nil"/>
                  </w:tcBorders>
                  <w:vAlign w:val="center"/>
                </w:tcPr>
                <w:p w14:paraId="3D1DFD3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流失环节</w:t>
                  </w:r>
                </w:p>
              </w:tc>
              <w:tc>
                <w:tcPr>
                  <w:tcW w:w="1375" w:type="pct"/>
                  <w:tcBorders>
                    <w:tl2br w:val="nil"/>
                    <w:tr2bl w:val="nil"/>
                  </w:tcBorders>
                  <w:vAlign w:val="center"/>
                </w:tcPr>
                <w:p w14:paraId="2C62255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主要扰动行为</w:t>
                  </w:r>
                </w:p>
              </w:tc>
              <w:tc>
                <w:tcPr>
                  <w:tcW w:w="3029" w:type="pct"/>
                  <w:tcBorders>
                    <w:tl2br w:val="nil"/>
                    <w:tr2bl w:val="nil"/>
                  </w:tcBorders>
                  <w:vAlign w:val="center"/>
                </w:tcPr>
                <w:p w14:paraId="3365BB7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可能造成的影响</w:t>
                  </w:r>
                </w:p>
              </w:tc>
            </w:tr>
            <w:tr w14:paraId="1F9B2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tcBorders>
                    <w:tl2br w:val="nil"/>
                    <w:tr2bl w:val="nil"/>
                  </w:tcBorders>
                  <w:vAlign w:val="center"/>
                </w:tcPr>
                <w:p w14:paraId="5E6EE7A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升压站区</w:t>
                  </w:r>
                </w:p>
              </w:tc>
              <w:tc>
                <w:tcPr>
                  <w:tcW w:w="1375" w:type="pct"/>
                  <w:tcBorders>
                    <w:tl2br w:val="nil"/>
                    <w:tr2bl w:val="nil"/>
                  </w:tcBorders>
                  <w:vAlign w:val="center"/>
                </w:tcPr>
                <w:p w14:paraId="1D5C074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场地平整、基础开挖、设备安装</w:t>
                  </w:r>
                </w:p>
              </w:tc>
              <w:tc>
                <w:tcPr>
                  <w:tcW w:w="3029" w:type="pct"/>
                  <w:tcBorders>
                    <w:tl2br w:val="nil"/>
                    <w:tr2bl w:val="nil"/>
                  </w:tcBorders>
                  <w:vAlign w:val="center"/>
                </w:tcPr>
                <w:p w14:paraId="1AD6D28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彻底破坏原地表结皮与植被，表层土剥离扰动，形成大面积裸露面，风蚀强烈</w:t>
                  </w:r>
                </w:p>
              </w:tc>
            </w:tr>
            <w:tr w14:paraId="3825B7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tcBorders>
                    <w:tl2br w:val="nil"/>
                    <w:tr2bl w:val="nil"/>
                  </w:tcBorders>
                  <w:vAlign w:val="center"/>
                </w:tcPr>
                <w:p w14:paraId="1834D86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塔基区</w:t>
                  </w:r>
                </w:p>
              </w:tc>
              <w:tc>
                <w:tcPr>
                  <w:tcW w:w="1375" w:type="pct"/>
                  <w:tcBorders>
                    <w:tl2br w:val="nil"/>
                    <w:tr2bl w:val="nil"/>
                  </w:tcBorders>
                  <w:vAlign w:val="center"/>
                </w:tcPr>
                <w:p w14:paraId="4E4941A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基坑开挖、塔基浇筑、土方回填</w:t>
                  </w:r>
                </w:p>
              </w:tc>
              <w:tc>
                <w:tcPr>
                  <w:tcW w:w="3029" w:type="pct"/>
                  <w:tcBorders>
                    <w:tl2br w:val="nil"/>
                    <w:tr2bl w:val="nil"/>
                  </w:tcBorders>
                  <w:vAlign w:val="center"/>
                </w:tcPr>
                <w:p w14:paraId="47F0650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破坏塔基范围内地表稳定层，临时堆土松散，易被风吹蚀，形成点状流失源</w:t>
                  </w:r>
                </w:p>
              </w:tc>
            </w:tr>
            <w:tr w14:paraId="2D2A2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tcBorders>
                    <w:tl2br w:val="nil"/>
                    <w:tr2bl w:val="nil"/>
                  </w:tcBorders>
                  <w:vAlign w:val="center"/>
                </w:tcPr>
                <w:p w14:paraId="0EDC2B8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输电线路区</w:t>
                  </w:r>
                </w:p>
              </w:tc>
              <w:tc>
                <w:tcPr>
                  <w:tcW w:w="1375" w:type="pct"/>
                  <w:tcBorders>
                    <w:tl2br w:val="nil"/>
                    <w:tr2bl w:val="nil"/>
                  </w:tcBorders>
                  <w:vAlign w:val="center"/>
                </w:tcPr>
                <w:p w14:paraId="629506B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架空导线架设、地埋电缆敷设</w:t>
                  </w:r>
                </w:p>
              </w:tc>
              <w:tc>
                <w:tcPr>
                  <w:tcW w:w="3029" w:type="pct"/>
                  <w:tcBorders>
                    <w:tl2br w:val="nil"/>
                    <w:tr2bl w:val="nil"/>
                  </w:tcBorders>
                  <w:vAlign w:val="center"/>
                </w:tcPr>
                <w:p w14:paraId="70B39BE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牵张场机械碾压破坏地表结皮；电缆沟开挖形成线性扰动带，产生临时堆土</w:t>
                  </w:r>
                </w:p>
              </w:tc>
            </w:tr>
            <w:tr w14:paraId="159DA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tcBorders>
                    <w:tl2br w:val="nil"/>
                    <w:tr2bl w:val="nil"/>
                  </w:tcBorders>
                  <w:vAlign w:val="center"/>
                </w:tcPr>
                <w:p w14:paraId="7E320A5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施工便道区</w:t>
                  </w:r>
                </w:p>
              </w:tc>
              <w:tc>
                <w:tcPr>
                  <w:tcW w:w="1375" w:type="pct"/>
                  <w:tcBorders>
                    <w:tl2br w:val="nil"/>
                    <w:tr2bl w:val="nil"/>
                  </w:tcBorders>
                  <w:vAlign w:val="center"/>
                </w:tcPr>
                <w:p w14:paraId="0ECE498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车辆碾压、物资运输</w:t>
                  </w:r>
                </w:p>
              </w:tc>
              <w:tc>
                <w:tcPr>
                  <w:tcW w:w="3029" w:type="pct"/>
                  <w:tcBorders>
                    <w:tl2br w:val="nil"/>
                    <w:tr2bl w:val="nil"/>
                  </w:tcBorders>
                  <w:vAlign w:val="center"/>
                </w:tcPr>
                <w:p w14:paraId="68E46FD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破坏地表结皮，形成带状扰动面，增加土壤紧实度和风蚀风险</w:t>
                  </w:r>
                </w:p>
              </w:tc>
            </w:tr>
            <w:tr w14:paraId="79EA04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4" w:type="pct"/>
                  <w:tcBorders>
                    <w:tl2br w:val="nil"/>
                    <w:tr2bl w:val="nil"/>
                  </w:tcBorders>
                  <w:vAlign w:val="center"/>
                </w:tcPr>
                <w:p w14:paraId="725695C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临时堆土场</w:t>
                  </w:r>
                </w:p>
              </w:tc>
              <w:tc>
                <w:tcPr>
                  <w:tcW w:w="1375" w:type="pct"/>
                  <w:tcBorders>
                    <w:tl2br w:val="nil"/>
                    <w:tr2bl w:val="nil"/>
                  </w:tcBorders>
                  <w:vAlign w:val="center"/>
                </w:tcPr>
                <w:p w14:paraId="5C4F26B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土方堆放、表土暂存</w:t>
                  </w:r>
                </w:p>
              </w:tc>
              <w:tc>
                <w:tcPr>
                  <w:tcW w:w="3029" w:type="pct"/>
                  <w:tcBorders>
                    <w:tl2br w:val="nil"/>
                    <w:tr2bl w:val="nil"/>
                  </w:tcBorders>
                  <w:vAlign w:val="center"/>
                </w:tcPr>
                <w:p w14:paraId="4E86C25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color w:val="000000" w:themeColor="text1"/>
                      <w:sz w:val="18"/>
                      <w:szCs w:val="18"/>
                      <w:highlight w:val="none"/>
                      <w:vertAlign w:val="baseline"/>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松散堆土结构不稳定，表面无防护时极易被风蚀，产生大量扬尘</w:t>
                  </w:r>
                </w:p>
              </w:tc>
            </w:tr>
          </w:tbl>
          <w:p w14:paraId="1CA6A58C">
            <w:pPr>
              <w:shd w:val="clear"/>
              <w:ind w:firstLine="480"/>
              <w:rPr>
                <w:rFonts w:hint="default"/>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rFonts w:hint="default"/>
                <w:b/>
                <w:bCs/>
                <w:color w:val="000000" w:themeColor="text1"/>
                <w:highlight w:val="none"/>
                <w14:textFill>
                  <w14:solidFill>
                    <w14:schemeClr w14:val="tx1"/>
                  </w14:solidFill>
                </w14:textFill>
              </w:rPr>
              <w:t>.3 水土流失量预测</w:t>
            </w:r>
          </w:p>
          <w:p w14:paraId="0492BBB6">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本工程永久占地面积2.0159公顷，临时占地面积0.6000公顷，水土流失防治责任范围2.6159公顷。工程土石方挖填总量约2.50万m³（含表土剥离），回填利用后基本实现土石方平衡。</w:t>
            </w:r>
          </w:p>
          <w:p w14:paraId="23A063C7">
            <w:pPr>
              <w:shd w:val="clear"/>
              <w:ind w:firstLine="48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参照同类项目水土保持方案批复数据，深能尉犁县45万千瓦光火储一体化项目（建设期）新增水土流失量为48686吨；塔额750千伏输变电工程新增水土流失量30926吨。本项目建设规模相对较小，结合区域侵蚀模数和扰动面积推算，本项目施工期新增水土流失量预计约180~260吨。</w:t>
            </w:r>
          </w:p>
          <w:p w14:paraId="6519B6A4">
            <w:pPr>
              <w:shd w:val="clear"/>
              <w:ind w:firstLine="480"/>
              <w:rPr>
                <w:rFonts w:hint="default"/>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rFonts w:hint="default"/>
                <w:b/>
                <w:bCs/>
                <w:color w:val="000000" w:themeColor="text1"/>
                <w:highlight w:val="none"/>
                <w14:textFill>
                  <w14:solidFill>
                    <w14:schemeClr w14:val="tx1"/>
                  </w14:solidFill>
                </w14:textFill>
              </w:rPr>
              <w:t>.4 分区预测结果</w:t>
            </w:r>
          </w:p>
          <w:p w14:paraId="745ADBFF">
            <w:pPr>
              <w:keepNext w:val="0"/>
              <w:keepLines w:val="0"/>
              <w:pageBreakBefore w:val="0"/>
              <w:widowControl w:val="0"/>
              <w:shd w:val="clear"/>
              <w:kinsoku/>
              <w:wordWrap/>
              <w:overflowPunct/>
              <w:topLinePunct w:val="0"/>
              <w:autoSpaceDE/>
              <w:autoSpaceDN/>
              <w:bidi w:val="0"/>
              <w:adjustRightInd w:val="0"/>
              <w:snapToGrid w:val="0"/>
              <w:spacing w:line="240" w:lineRule="auto"/>
              <w:ind w:firstLine="480"/>
              <w:textAlignment w:val="auto"/>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表4-2       分区预测结果</w:t>
            </w:r>
          </w:p>
          <w:tbl>
            <w:tblPr>
              <w:tblStyle w:val="3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1295"/>
              <w:gridCol w:w="1207"/>
              <w:gridCol w:w="1174"/>
              <w:gridCol w:w="1260"/>
              <w:gridCol w:w="1260"/>
            </w:tblGrid>
            <w:tr w14:paraId="5E799F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0172CCB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防治分区</w:t>
                  </w:r>
                </w:p>
              </w:tc>
              <w:tc>
                <w:tcPr>
                  <w:tcW w:w="866" w:type="pct"/>
                  <w:tcBorders>
                    <w:tl2br w:val="nil"/>
                    <w:tr2bl w:val="nil"/>
                  </w:tcBorders>
                  <w:vAlign w:val="center"/>
                </w:tcPr>
                <w:p w14:paraId="6F01043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扰动面积（hm²）</w:t>
                  </w:r>
                </w:p>
              </w:tc>
              <w:tc>
                <w:tcPr>
                  <w:tcW w:w="807" w:type="pct"/>
                  <w:tcBorders>
                    <w:tl2br w:val="nil"/>
                    <w:tr2bl w:val="nil"/>
                  </w:tcBorders>
                  <w:vAlign w:val="center"/>
                </w:tcPr>
                <w:p w14:paraId="073A89C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流失时段</w:t>
                  </w:r>
                </w:p>
              </w:tc>
              <w:tc>
                <w:tcPr>
                  <w:tcW w:w="785" w:type="pct"/>
                  <w:tcBorders>
                    <w:tl2br w:val="nil"/>
                    <w:tr2bl w:val="nil"/>
                  </w:tcBorders>
                  <w:vAlign w:val="center"/>
                </w:tcPr>
                <w:p w14:paraId="5291CED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背景流失量（t）</w:t>
                  </w:r>
                </w:p>
              </w:tc>
              <w:tc>
                <w:tcPr>
                  <w:tcW w:w="843" w:type="pct"/>
                  <w:tcBorders>
                    <w:tl2br w:val="nil"/>
                    <w:tr2bl w:val="nil"/>
                  </w:tcBorders>
                  <w:vAlign w:val="center"/>
                </w:tcPr>
                <w:p w14:paraId="63CF33F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预测流失量（t）</w:t>
                  </w:r>
                </w:p>
              </w:tc>
              <w:tc>
                <w:tcPr>
                  <w:tcW w:w="843" w:type="pct"/>
                  <w:tcBorders>
                    <w:tl2br w:val="nil"/>
                    <w:tr2bl w:val="nil"/>
                  </w:tcBorders>
                  <w:vAlign w:val="center"/>
                </w:tcPr>
                <w:p w14:paraId="65B255D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新增流失量（t）</w:t>
                  </w:r>
                </w:p>
              </w:tc>
            </w:tr>
            <w:tr w14:paraId="5E6E6D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0EE7097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升压站区</w:t>
                  </w:r>
                </w:p>
              </w:tc>
              <w:tc>
                <w:tcPr>
                  <w:tcW w:w="866" w:type="pct"/>
                  <w:tcBorders>
                    <w:tl2br w:val="nil"/>
                    <w:tr2bl w:val="nil"/>
                  </w:tcBorders>
                  <w:vAlign w:val="center"/>
                </w:tcPr>
                <w:p w14:paraId="1D99C71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1.7855</w:t>
                  </w:r>
                </w:p>
              </w:tc>
              <w:tc>
                <w:tcPr>
                  <w:tcW w:w="807" w:type="pct"/>
                  <w:tcBorders>
                    <w:tl2br w:val="nil"/>
                    <w:tr2bl w:val="nil"/>
                  </w:tcBorders>
                  <w:vAlign w:val="center"/>
                </w:tcPr>
                <w:p w14:paraId="10AC7EB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施工期（6个月）</w:t>
                  </w:r>
                </w:p>
              </w:tc>
              <w:tc>
                <w:tcPr>
                  <w:tcW w:w="785" w:type="pct"/>
                  <w:tcBorders>
                    <w:tl2br w:val="nil"/>
                    <w:tr2bl w:val="nil"/>
                  </w:tcBorders>
                  <w:vAlign w:val="center"/>
                </w:tcPr>
                <w:p w14:paraId="2B967F8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约32</w:t>
                  </w:r>
                </w:p>
              </w:tc>
              <w:tc>
                <w:tcPr>
                  <w:tcW w:w="843" w:type="pct"/>
                  <w:tcBorders>
                    <w:tl2br w:val="nil"/>
                    <w:tr2bl w:val="nil"/>
                  </w:tcBorders>
                  <w:vAlign w:val="center"/>
                </w:tcPr>
                <w:p w14:paraId="0818D45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约115~155</w:t>
                  </w:r>
                </w:p>
              </w:tc>
              <w:tc>
                <w:tcPr>
                  <w:tcW w:w="843" w:type="pct"/>
                  <w:tcBorders>
                    <w:tl2br w:val="nil"/>
                    <w:tr2bl w:val="nil"/>
                  </w:tcBorders>
                  <w:vAlign w:val="center"/>
                </w:tcPr>
                <w:p w14:paraId="5294097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约83~123</w:t>
                  </w:r>
                </w:p>
              </w:tc>
            </w:tr>
            <w:tr w14:paraId="12436D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495A799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塔基区</w:t>
                  </w:r>
                </w:p>
              </w:tc>
              <w:tc>
                <w:tcPr>
                  <w:tcW w:w="866" w:type="pct"/>
                  <w:tcBorders>
                    <w:tl2br w:val="nil"/>
                    <w:tr2bl w:val="nil"/>
                  </w:tcBorders>
                  <w:vAlign w:val="center"/>
                </w:tcPr>
                <w:p w14:paraId="43D197C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0.2304</w:t>
                  </w:r>
                </w:p>
              </w:tc>
              <w:tc>
                <w:tcPr>
                  <w:tcW w:w="807" w:type="pct"/>
                  <w:tcBorders>
                    <w:tl2br w:val="nil"/>
                    <w:tr2bl w:val="nil"/>
                  </w:tcBorders>
                  <w:vAlign w:val="center"/>
                </w:tcPr>
                <w:p w14:paraId="0C3D40C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施工期（6个月）</w:t>
                  </w:r>
                </w:p>
              </w:tc>
              <w:tc>
                <w:tcPr>
                  <w:tcW w:w="785" w:type="pct"/>
                  <w:tcBorders>
                    <w:tl2br w:val="nil"/>
                    <w:tr2bl w:val="nil"/>
                  </w:tcBorders>
                  <w:vAlign w:val="center"/>
                </w:tcPr>
                <w:p w14:paraId="677B164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约4</w:t>
                  </w:r>
                </w:p>
              </w:tc>
              <w:tc>
                <w:tcPr>
                  <w:tcW w:w="843" w:type="pct"/>
                  <w:tcBorders>
                    <w:tl2br w:val="nil"/>
                    <w:tr2bl w:val="nil"/>
                  </w:tcBorders>
                  <w:vAlign w:val="center"/>
                </w:tcPr>
                <w:p w14:paraId="5E10D45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约25~40</w:t>
                  </w:r>
                </w:p>
              </w:tc>
              <w:tc>
                <w:tcPr>
                  <w:tcW w:w="843" w:type="pct"/>
                  <w:tcBorders>
                    <w:tl2br w:val="nil"/>
                    <w:tr2bl w:val="nil"/>
                  </w:tcBorders>
                  <w:vAlign w:val="center"/>
                </w:tcPr>
                <w:p w14:paraId="71388E6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约21~36</w:t>
                  </w:r>
                </w:p>
              </w:tc>
            </w:tr>
            <w:tr w14:paraId="1BCE7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5E3A8E8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施工便道区</w:t>
                  </w:r>
                </w:p>
              </w:tc>
              <w:tc>
                <w:tcPr>
                  <w:tcW w:w="866" w:type="pct"/>
                  <w:tcBorders>
                    <w:tl2br w:val="nil"/>
                    <w:tr2bl w:val="nil"/>
                  </w:tcBorders>
                  <w:vAlign w:val="center"/>
                </w:tcPr>
                <w:p w14:paraId="2332D29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w:t>
                  </w:r>
                </w:p>
              </w:tc>
              <w:tc>
                <w:tcPr>
                  <w:tcW w:w="807" w:type="pct"/>
                  <w:tcBorders>
                    <w:tl2br w:val="nil"/>
                    <w:tr2bl w:val="nil"/>
                  </w:tcBorders>
                  <w:vAlign w:val="center"/>
                </w:tcPr>
                <w:p w14:paraId="696C6FB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施工期（6个月）</w:t>
                  </w:r>
                </w:p>
              </w:tc>
              <w:tc>
                <w:tcPr>
                  <w:tcW w:w="785" w:type="pct"/>
                  <w:tcBorders>
                    <w:tl2br w:val="nil"/>
                    <w:tr2bl w:val="nil"/>
                  </w:tcBorders>
                  <w:vAlign w:val="center"/>
                </w:tcPr>
                <w:p w14:paraId="00702ED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约3</w:t>
                  </w:r>
                </w:p>
              </w:tc>
              <w:tc>
                <w:tcPr>
                  <w:tcW w:w="843" w:type="pct"/>
                  <w:tcBorders>
                    <w:tl2br w:val="nil"/>
                    <w:tr2bl w:val="nil"/>
                  </w:tcBorders>
                  <w:vAlign w:val="center"/>
                </w:tcPr>
                <w:p w14:paraId="18C72B7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约10~20</w:t>
                  </w:r>
                </w:p>
              </w:tc>
              <w:tc>
                <w:tcPr>
                  <w:tcW w:w="843" w:type="pct"/>
                  <w:tcBorders>
                    <w:tl2br w:val="nil"/>
                    <w:tr2bl w:val="nil"/>
                  </w:tcBorders>
                  <w:vAlign w:val="center"/>
                </w:tcPr>
                <w:p w14:paraId="4A279D2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约7~17</w:t>
                  </w:r>
                </w:p>
              </w:tc>
            </w:tr>
            <w:tr w14:paraId="4731D2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04EF29A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牵张场及其他临时区</w:t>
                  </w:r>
                </w:p>
              </w:tc>
              <w:tc>
                <w:tcPr>
                  <w:tcW w:w="866" w:type="pct"/>
                  <w:tcBorders>
                    <w:tl2br w:val="nil"/>
                    <w:tr2bl w:val="nil"/>
                  </w:tcBorders>
                  <w:vAlign w:val="center"/>
                </w:tcPr>
                <w:p w14:paraId="24C3664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0.6000</w:t>
                  </w:r>
                </w:p>
              </w:tc>
              <w:tc>
                <w:tcPr>
                  <w:tcW w:w="807" w:type="pct"/>
                  <w:tcBorders>
                    <w:tl2br w:val="nil"/>
                    <w:tr2bl w:val="nil"/>
                  </w:tcBorders>
                  <w:vAlign w:val="center"/>
                </w:tcPr>
                <w:p w14:paraId="4C84B7E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施工期（6个月）</w:t>
                  </w:r>
                </w:p>
              </w:tc>
              <w:tc>
                <w:tcPr>
                  <w:tcW w:w="785" w:type="pct"/>
                  <w:tcBorders>
                    <w:tl2br w:val="nil"/>
                    <w:tr2bl w:val="nil"/>
                  </w:tcBorders>
                  <w:vAlign w:val="center"/>
                </w:tcPr>
                <w:p w14:paraId="35E8B79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约11</w:t>
                  </w:r>
                </w:p>
              </w:tc>
              <w:tc>
                <w:tcPr>
                  <w:tcW w:w="843" w:type="pct"/>
                  <w:tcBorders>
                    <w:tl2br w:val="nil"/>
                    <w:tr2bl w:val="nil"/>
                  </w:tcBorders>
                  <w:vAlign w:val="center"/>
                </w:tcPr>
                <w:p w14:paraId="291691B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约30~45</w:t>
                  </w:r>
                </w:p>
              </w:tc>
              <w:tc>
                <w:tcPr>
                  <w:tcW w:w="843" w:type="pct"/>
                  <w:tcBorders>
                    <w:tl2br w:val="nil"/>
                    <w:tr2bl w:val="nil"/>
                  </w:tcBorders>
                  <w:vAlign w:val="center"/>
                </w:tcPr>
                <w:p w14:paraId="2961E3F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约19~34</w:t>
                  </w:r>
                </w:p>
              </w:tc>
            </w:tr>
            <w:tr w14:paraId="57DCE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52" w:type="pct"/>
                  <w:tcBorders>
                    <w:tl2br w:val="nil"/>
                    <w:tr2bl w:val="nil"/>
                  </w:tcBorders>
                  <w:vAlign w:val="center"/>
                </w:tcPr>
                <w:p w14:paraId="7DA6D72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合计</w:t>
                  </w:r>
                </w:p>
              </w:tc>
              <w:tc>
                <w:tcPr>
                  <w:tcW w:w="866" w:type="pct"/>
                  <w:tcBorders>
                    <w:tl2br w:val="nil"/>
                    <w:tr2bl w:val="nil"/>
                  </w:tcBorders>
                  <w:vAlign w:val="center"/>
                </w:tcPr>
                <w:p w14:paraId="0D7A173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2.6159</w:t>
                  </w:r>
                </w:p>
              </w:tc>
              <w:tc>
                <w:tcPr>
                  <w:tcW w:w="807" w:type="pct"/>
                  <w:tcBorders>
                    <w:tl2br w:val="nil"/>
                    <w:tr2bl w:val="nil"/>
                  </w:tcBorders>
                  <w:vAlign w:val="center"/>
                </w:tcPr>
                <w:p w14:paraId="39811F8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w:t>
                  </w:r>
                </w:p>
              </w:tc>
              <w:tc>
                <w:tcPr>
                  <w:tcW w:w="785" w:type="pct"/>
                  <w:tcBorders>
                    <w:tl2br w:val="nil"/>
                    <w:tr2bl w:val="nil"/>
                  </w:tcBorders>
                  <w:vAlign w:val="center"/>
                </w:tcPr>
                <w:p w14:paraId="646FC32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约50</w:t>
                  </w:r>
                </w:p>
              </w:tc>
              <w:tc>
                <w:tcPr>
                  <w:tcW w:w="843" w:type="pct"/>
                  <w:tcBorders>
                    <w:tl2br w:val="nil"/>
                    <w:tr2bl w:val="nil"/>
                  </w:tcBorders>
                  <w:vAlign w:val="center"/>
                </w:tcPr>
                <w:p w14:paraId="0B1049E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约180~260</w:t>
                  </w:r>
                </w:p>
              </w:tc>
              <w:tc>
                <w:tcPr>
                  <w:tcW w:w="843" w:type="pct"/>
                  <w:tcBorders>
                    <w:tl2br w:val="nil"/>
                    <w:tr2bl w:val="nil"/>
                  </w:tcBorders>
                  <w:vAlign w:val="center"/>
                </w:tcPr>
                <w:p w14:paraId="2E9CB3E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00" w:themeColor="text1"/>
                      <w:sz w:val="18"/>
                      <w:szCs w:val="18"/>
                      <w:highlight w:val="none"/>
                      <w:vertAlign w:val="baseline"/>
                      <w:lang w:val="en-US" w:eastAsia="zh-CN"/>
                      <w14:textFill>
                        <w14:solidFill>
                          <w14:schemeClr w14:val="tx1"/>
                        </w14:solidFill>
                      </w14:textFill>
                    </w:rPr>
                  </w:pPr>
                  <w:r>
                    <w:rPr>
                      <w:rFonts w:hint="default"/>
                      <w:color w:val="000000" w:themeColor="text1"/>
                      <w:sz w:val="18"/>
                      <w:szCs w:val="18"/>
                      <w:highlight w:val="none"/>
                      <w:lang w:val="en-US" w:eastAsia="zh-CN"/>
                      <w14:textFill>
                        <w14:solidFill>
                          <w14:schemeClr w14:val="tx1"/>
                        </w14:solidFill>
                      </w14:textFill>
                    </w:rPr>
                    <w:t>约130~210</w:t>
                  </w:r>
                </w:p>
              </w:tc>
            </w:tr>
          </w:tbl>
          <w:p w14:paraId="090BDAEF">
            <w:pPr>
              <w:shd w:val="clear"/>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说明：背景流失量依据项目区轻~中度风蚀模数（2000~4000t/km²·a）估算；预测流失量综合参考了同类项目侵蚀加速系数（3~5倍）及项目区风沙强度等因素。</w:t>
            </w:r>
          </w:p>
          <w:p w14:paraId="35CD482E">
            <w:pPr>
              <w:shd w:val="clear"/>
              <w:ind w:firstLine="48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2</w:t>
            </w:r>
            <w:r>
              <w:rPr>
                <w:rFonts w:hint="default"/>
                <w:b/>
                <w:bCs/>
                <w:color w:val="000000" w:themeColor="text1"/>
                <w:highlight w:val="none"/>
                <w:lang w:val="en-US" w:eastAsia="zh-CN"/>
                <w14:textFill>
                  <w14:solidFill>
                    <w14:schemeClr w14:val="tx1"/>
                  </w14:solidFill>
                </w14:textFill>
              </w:rPr>
              <w:t>.5 自然恢复期水土流失</w:t>
            </w:r>
          </w:p>
          <w:p w14:paraId="2CC119B9">
            <w:pPr>
              <w:shd w:val="clear"/>
              <w:ind w:firstLine="480"/>
              <w:rPr>
                <w:rFonts w:hint="eastAsia" w:eastAsia="宋体"/>
                <w:color w:val="000000" w:themeColor="text1"/>
                <w:highlight w:val="none"/>
                <w:lang w:eastAsia="zh-CN"/>
                <w14:textFill>
                  <w14:solidFill>
                    <w14:schemeClr w14:val="tx1"/>
                  </w14:solidFill>
                </w14:textFill>
              </w:rPr>
            </w:pPr>
            <w:r>
              <w:rPr>
                <w:rFonts w:hint="default"/>
                <w:color w:val="000000" w:themeColor="text1"/>
                <w:highlight w:val="none"/>
                <w14:textFill>
                  <w14:solidFill>
                    <w14:schemeClr w14:val="tx1"/>
                  </w14:solidFill>
                </w14:textFill>
              </w:rPr>
              <w:t>施工结束后，扰动区经过土地整治和植被恢复，水土流失强度逐步降低至施工前水平。</w:t>
            </w:r>
          </w:p>
          <w:p w14:paraId="23AC1F4C">
            <w:pPr>
              <w:pStyle w:val="3"/>
              <w:shd w:val="clear"/>
              <w:rPr>
                <w:color w:val="000000" w:themeColor="text1"/>
                <w:highlight w:val="none"/>
                <w14:textFill>
                  <w14:solidFill>
                    <w14:schemeClr w14:val="tx1"/>
                  </w14:solidFill>
                </w14:textFill>
              </w:rPr>
            </w:pPr>
            <w:bookmarkStart w:id="261" w:name="_Toc15277"/>
            <w:bookmarkStart w:id="262" w:name="_Toc18393"/>
            <w:bookmarkStart w:id="263" w:name="_Toc26324"/>
            <w:r>
              <w:rPr>
                <w:color w:val="000000" w:themeColor="text1"/>
                <w:highlight w:val="none"/>
                <w14:textFill>
                  <w14:solidFill>
                    <w14:schemeClr w14:val="tx1"/>
                  </w14:solidFill>
                </w14:textFill>
              </w:rPr>
              <w:t>3、施工期</w:t>
            </w:r>
            <w:r>
              <w:rPr>
                <w:color w:val="000000" w:themeColor="text1"/>
                <w:szCs w:val="24"/>
                <w:highlight w:val="none"/>
                <w14:textFill>
                  <w14:solidFill>
                    <w14:schemeClr w14:val="tx1"/>
                  </w14:solidFill>
                </w14:textFill>
              </w:rPr>
              <w:t>土地沙化影响分析</w:t>
            </w:r>
            <w:bookmarkEnd w:id="261"/>
            <w:bookmarkEnd w:id="262"/>
            <w:bookmarkEnd w:id="263"/>
          </w:p>
          <w:p w14:paraId="1D3974C3">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施工期基础开挖、场地平整等过程中，对原有地表土壤造成扰动；此外，施工期各种车辆（尤其是重型卡车）行驶将使经过的土壤变紧实，严重的经过多次碾压后植物很难再生长。由于项目地处内陆地区，风沙较大，空气干燥，部分地区地表植被覆盖度不高。因此项目土石方堆存过程中必须采取防尘网遮盖、洒水抑尘等有效的措施，防止土地沙化严重，车辆严格按施工道路行驶，严禁扩大道路，并洒水抑尘。遇大风大雨时停止施工。</w:t>
            </w:r>
          </w:p>
          <w:p w14:paraId="404121A0">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上述施工作业过程中，采取上述措施后对原地貌的扰动降低了项目占地范围内的土壤抗侵蚀能力。</w:t>
            </w:r>
          </w:p>
          <w:p w14:paraId="1DB3C73A">
            <w:pPr>
              <w:pStyle w:val="3"/>
              <w:shd w:val="clear"/>
              <w:rPr>
                <w:color w:val="000000" w:themeColor="text1"/>
                <w:highlight w:val="none"/>
                <w14:textFill>
                  <w14:solidFill>
                    <w14:schemeClr w14:val="tx1"/>
                  </w14:solidFill>
                </w14:textFill>
              </w:rPr>
            </w:pPr>
            <w:bookmarkStart w:id="264" w:name="_Toc21510"/>
            <w:bookmarkStart w:id="265" w:name="_Toc2616"/>
            <w:bookmarkStart w:id="266" w:name="_Toc14294"/>
            <w:r>
              <w:rPr>
                <w:color w:val="000000" w:themeColor="text1"/>
                <w:highlight w:val="none"/>
                <w14:textFill>
                  <w14:solidFill>
                    <w14:schemeClr w14:val="tx1"/>
                  </w14:solidFill>
                </w14:textFill>
              </w:rPr>
              <w:t>4、施工期废气影响分析</w:t>
            </w:r>
            <w:bookmarkEnd w:id="264"/>
            <w:bookmarkEnd w:id="265"/>
            <w:bookmarkEnd w:id="266"/>
          </w:p>
          <w:p w14:paraId="14EEB638">
            <w:pPr>
              <w:pStyle w:val="3"/>
              <w:shd w:val="clear"/>
              <w:rPr>
                <w:color w:val="000000" w:themeColor="text1"/>
                <w:highlight w:val="none"/>
                <w14:textFill>
                  <w14:solidFill>
                    <w14:schemeClr w14:val="tx1"/>
                  </w14:solidFill>
                </w14:textFill>
              </w:rPr>
            </w:pPr>
            <w:bookmarkStart w:id="267" w:name="_Toc11740"/>
            <w:bookmarkStart w:id="268" w:name="_Toc29947"/>
            <w:bookmarkStart w:id="269" w:name="_Toc27948"/>
            <w:r>
              <w:rPr>
                <w:color w:val="000000" w:themeColor="text1"/>
                <w:highlight w:val="none"/>
                <w14:textFill>
                  <w14:solidFill>
                    <w14:schemeClr w14:val="tx1"/>
                  </w14:solidFill>
                </w14:textFill>
              </w:rPr>
              <w:t>4.1施工扬尘</w:t>
            </w:r>
            <w:bookmarkEnd w:id="267"/>
            <w:bookmarkEnd w:id="268"/>
            <w:bookmarkEnd w:id="269"/>
          </w:p>
          <w:p w14:paraId="24D13406">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在施工过程中扬尘对环境不可避免地要产生一些不良影响。扬尘主要来源于建构筑物基础、箱变基础土方挖掘和现场堆放、管沟开挖后回填土的扬尘，施工运输道路的扬尘等。其产生的影响范围不大，施工结束影响即消失。</w:t>
            </w:r>
          </w:p>
          <w:p w14:paraId="08C58E1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于建筑粉尘降尘较快，只要加强管理，文明施工，施工时通过对进场道路和施工场地进行洒水抑尘，避免在大风天气进行土地开挖和回填作业。为最大限度地降低施工扬尘，要求在施工过程中贯彻文明施工的原则，加强施工管理；施工中的物料运输采用带篷布的汽车运输，以降低运输途中产生的二次扬尘。通过上述措施，可将施工扬尘对周围环境的影响降到最低。</w:t>
            </w:r>
          </w:p>
          <w:p w14:paraId="1DE7EB62">
            <w:pPr>
              <w:pStyle w:val="3"/>
              <w:shd w:val="clear"/>
              <w:rPr>
                <w:color w:val="000000" w:themeColor="text1"/>
                <w:highlight w:val="none"/>
                <w14:textFill>
                  <w14:solidFill>
                    <w14:schemeClr w14:val="tx1"/>
                  </w14:solidFill>
                </w14:textFill>
              </w:rPr>
            </w:pPr>
            <w:bookmarkStart w:id="270" w:name="_Toc24999"/>
            <w:bookmarkStart w:id="271" w:name="_Toc21447"/>
            <w:bookmarkStart w:id="272" w:name="_Toc8639"/>
            <w:r>
              <w:rPr>
                <w:color w:val="000000" w:themeColor="text1"/>
                <w:highlight w:val="none"/>
                <w14:textFill>
                  <w14:solidFill>
                    <w14:schemeClr w14:val="tx1"/>
                  </w14:solidFill>
                </w14:textFill>
              </w:rPr>
              <w:t>4.2设备燃油废气</w:t>
            </w:r>
            <w:bookmarkEnd w:id="270"/>
            <w:bookmarkEnd w:id="271"/>
            <w:bookmarkEnd w:id="272"/>
          </w:p>
          <w:p w14:paraId="653DD3D5">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施工机械、运输车辆基本以燃油为主，燃烧尾气中含有CO、THC、NO</w:t>
            </w:r>
            <w:r>
              <w:rPr>
                <w:color w:val="000000" w:themeColor="text1"/>
                <w:highlight w:val="none"/>
                <w:vertAlign w:val="subscript"/>
                <w14:textFill>
                  <w14:solidFill>
                    <w14:schemeClr w14:val="tx1"/>
                  </w14:solidFill>
                </w14:textFill>
              </w:rPr>
              <w:t>x</w:t>
            </w:r>
            <w:r>
              <w:rPr>
                <w:color w:val="000000" w:themeColor="text1"/>
                <w:highlight w:val="none"/>
                <w14:textFill>
                  <w14:solidFill>
                    <w14:schemeClr w14:val="tx1"/>
                  </w14:solidFill>
                </w14:textFill>
              </w:rPr>
              <w:t>等大气污染物，影响施工区大气环境质量。鉴于本项目排放的大气污染物相对较小，工程量小且施工期短，主要在施工区内，机械尾气排放与当地的大气容量相比很小，且具有流动性和间歇性的特点，废气产生后能迅速稀释扩散，对区域大气环境影响较小。</w:t>
            </w:r>
          </w:p>
          <w:p w14:paraId="0FF48C4A">
            <w:pPr>
              <w:pStyle w:val="3"/>
              <w:shd w:val="clear"/>
              <w:rPr>
                <w:color w:val="000000" w:themeColor="text1"/>
                <w:highlight w:val="none"/>
                <w14:textFill>
                  <w14:solidFill>
                    <w14:schemeClr w14:val="tx1"/>
                  </w14:solidFill>
                </w14:textFill>
              </w:rPr>
            </w:pPr>
            <w:bookmarkStart w:id="273" w:name="_Toc3131"/>
            <w:bookmarkStart w:id="274" w:name="_Toc17558"/>
            <w:bookmarkStart w:id="275" w:name="_Toc19732"/>
            <w:r>
              <w:rPr>
                <w:color w:val="000000" w:themeColor="text1"/>
                <w:highlight w:val="none"/>
                <w14:textFill>
                  <w14:solidFill>
                    <w14:schemeClr w14:val="tx1"/>
                  </w14:solidFill>
                </w14:textFill>
              </w:rPr>
              <w:t>4.3焊接烟尘</w:t>
            </w:r>
            <w:bookmarkEnd w:id="273"/>
            <w:bookmarkEnd w:id="274"/>
            <w:bookmarkEnd w:id="275"/>
          </w:p>
          <w:p w14:paraId="33B6BAA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铁塔焊接过程有焊接烟尘产生，施工期焊接烟尘无法进行集中收集，焊接烟尘呈无组织形式排放，由于焊接部位较少，因此焊接烟尘产生量较少；且焊接为间断性过程、项目区周边地形开阔，具有良好的空气扩散条件，烟气扩散较快，对周边环境空气影响较小。</w:t>
            </w:r>
          </w:p>
          <w:p w14:paraId="0423E60D">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施工废气大部分以无组织形式扩散，在做好上述防护措施的前提下，施工废气对区域空气环境的影响较小，且施工期造成的污染是短期的、局部的，随着施工的结束，这些影响也随之消失，不会对周边的环境空气质量产生较大影响。</w:t>
            </w:r>
          </w:p>
          <w:p w14:paraId="703D2F7A">
            <w:pPr>
              <w:pStyle w:val="3"/>
              <w:shd w:val="clear"/>
              <w:rPr>
                <w:color w:val="000000" w:themeColor="text1"/>
                <w:highlight w:val="none"/>
                <w14:textFill>
                  <w14:solidFill>
                    <w14:schemeClr w14:val="tx1"/>
                  </w14:solidFill>
                </w14:textFill>
              </w:rPr>
            </w:pPr>
            <w:bookmarkStart w:id="276" w:name="_Toc6729"/>
            <w:bookmarkStart w:id="277" w:name="_Toc22275"/>
            <w:bookmarkStart w:id="278" w:name="_Toc4766"/>
            <w:r>
              <w:rPr>
                <w:color w:val="000000" w:themeColor="text1"/>
                <w:highlight w:val="none"/>
                <w14:textFill>
                  <w14:solidFill>
                    <w14:schemeClr w14:val="tx1"/>
                  </w14:solidFill>
                </w14:textFill>
              </w:rPr>
              <w:t>5、施工期水环境影响分析</w:t>
            </w:r>
            <w:bookmarkEnd w:id="276"/>
            <w:bookmarkEnd w:id="277"/>
            <w:bookmarkEnd w:id="278"/>
          </w:p>
          <w:p w14:paraId="7653425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施工期废水主要为工地建筑工人产生的生活污水和工程废水。</w:t>
            </w:r>
          </w:p>
          <w:p w14:paraId="732520E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（1）施工期生活污水</w:t>
            </w:r>
          </w:p>
          <w:p w14:paraId="726B3BC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施工期间进场施工人数最多以60人计。工地生活用水按25L/人·d计，用水量为1.5m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/d，施工期共365d，总用水547.5m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，排放系数以0.80计，排放量约为1.2m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/d，总排水量438m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FF0000"/>
                <w:highlight w:val="none"/>
                <w:lang w:val="en-US" w:eastAsia="zh-CN"/>
              </w:rPr>
              <w:t>施工期设置移动环保水冲厕，</w:t>
            </w:r>
            <w:r>
              <w:rPr>
                <w:color w:val="FF0000"/>
                <w:highlight w:val="none"/>
              </w:rPr>
              <w:t>生活污水集中收集，定期拉运至尉犁县污水处理厂处理</w:t>
            </w:r>
            <w:r>
              <w:rPr>
                <w:color w:val="000000" w:themeColor="text1"/>
                <w:highlight w:val="none"/>
                <w14:textFill>
                  <w14:solidFill>
                    <w14:schemeClr w14:val="tx1"/>
                  </w14:solidFill>
                </w14:textFill>
              </w:rPr>
              <w:t>。</w:t>
            </w:r>
          </w:p>
          <w:p w14:paraId="16E0BAED">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（2）工程废水</w:t>
            </w:r>
          </w:p>
          <w:p w14:paraId="466FDF2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工程废水包括进出施工场地的车辆清洗废水及工程废水，主要污染物是SS，水量较少，建设临时沉淀池蒸发池，蒸发不外排。</w:t>
            </w:r>
          </w:p>
          <w:p w14:paraId="4CD0B8D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施工期废水采取以上措施后对周边地表水环境影响较小。</w:t>
            </w:r>
          </w:p>
          <w:p w14:paraId="7E4F78CD">
            <w:pPr>
              <w:pStyle w:val="3"/>
              <w:shd w:val="clear"/>
              <w:rPr>
                <w:color w:val="000000" w:themeColor="text1"/>
                <w:highlight w:val="none"/>
                <w14:textFill>
                  <w14:solidFill>
                    <w14:schemeClr w14:val="tx1"/>
                  </w14:solidFill>
                </w14:textFill>
              </w:rPr>
            </w:pPr>
            <w:bookmarkStart w:id="279" w:name="_Toc8224"/>
            <w:bookmarkStart w:id="280" w:name="_Toc29021"/>
            <w:bookmarkStart w:id="281" w:name="_Toc9567"/>
            <w:r>
              <w:rPr>
                <w:color w:val="000000" w:themeColor="text1"/>
                <w:highlight w:val="none"/>
                <w14:textFill>
                  <w14:solidFill>
                    <w14:schemeClr w14:val="tx1"/>
                  </w14:solidFill>
                </w14:textFill>
              </w:rPr>
              <w:t>6、施工噪声影响分析</w:t>
            </w:r>
            <w:bookmarkEnd w:id="279"/>
            <w:bookmarkEnd w:id="280"/>
            <w:bookmarkEnd w:id="281"/>
          </w:p>
          <w:p w14:paraId="49DA3DDE">
            <w:pPr>
              <w:pStyle w:val="13"/>
              <w:shd w:val="clear"/>
              <w:adjustRightInd/>
              <w:ind w:firstLine="480"/>
              <w:rPr>
                <w:rFonts w:ascii="Times New Roman" w:hAnsi="Times New Roman" w:cs="Times New Roman"/>
                <w:color w:val="000000" w:themeColor="text1"/>
                <w:kern w:val="0"/>
                <w:szCs w:val="24"/>
                <w:highlight w:val="none"/>
                <w14:textFill>
                  <w14:solidFill>
                    <w14:schemeClr w14:val="tx1"/>
                  </w14:solidFill>
                </w14:textFill>
              </w:rPr>
            </w:pPr>
            <w:r>
              <w:rPr>
                <w:rFonts w:ascii="Times New Roman" w:hAnsi="Times New Roman" w:cs="Times New Roman"/>
                <w:color w:val="000000" w:themeColor="text1"/>
                <w:kern w:val="0"/>
                <w:szCs w:val="24"/>
                <w:highlight w:val="none"/>
                <w14:textFill>
                  <w14:solidFill>
                    <w14:schemeClr w14:val="tx1"/>
                  </w14:solidFill>
                </w14:textFill>
              </w:rPr>
              <w:t>施工期噪声主要为施工机械设备所产生的作业噪声，施工机械如推土机、载重汽车、挖掘机、混凝土搅拌车等。根据类比调查和有关资料：这些建筑施工机械的声源噪声强度大多在85-105dB(A</w:t>
            </w:r>
            <w:r>
              <w:rPr>
                <w:rFonts w:hint="eastAsia" w:ascii="Times New Roman" w:hAnsi="Times New Roman" w:cs="Times New Roman"/>
                <w:color w:val="000000" w:themeColor="text1"/>
                <w:kern w:val="0"/>
                <w:szCs w:val="24"/>
                <w:highlight w:val="none"/>
                <w:lang w:eastAsia="zh-CN"/>
                <w14:textFill>
                  <w14:solidFill>
                    <w14:schemeClr w14:val="tx1"/>
                  </w14:solidFill>
                </w14:textFill>
              </w:rPr>
              <w:t>）</w:t>
            </w:r>
            <w:r>
              <w:rPr>
                <w:rFonts w:ascii="Times New Roman" w:hAnsi="Times New Roman" w:cs="Times New Roman"/>
                <w:color w:val="000000" w:themeColor="text1"/>
                <w:kern w:val="0"/>
                <w:szCs w:val="24"/>
                <w:highlight w:val="none"/>
                <w14:textFill>
                  <w14:solidFill>
                    <w14:schemeClr w14:val="tx1"/>
                  </w14:solidFill>
                </w14:textFill>
              </w:rPr>
              <w:t>左右，</w:t>
            </w:r>
            <w:r>
              <w:rPr>
                <w:rFonts w:ascii="Times New Roman" w:hAnsi="Times New Roman" w:cs="Times New Roman"/>
                <w:color w:val="000000" w:themeColor="text1"/>
                <w:szCs w:val="24"/>
                <w:highlight w:val="none"/>
                <w14:textFill>
                  <w14:solidFill>
                    <w14:schemeClr w14:val="tx1"/>
                  </w14:solidFill>
                </w14:textFill>
              </w:rPr>
              <w:t>噪声随距离增加而衰减，距各种施工设备不同距离噪声预测结果见下表</w:t>
            </w:r>
            <w:r>
              <w:rPr>
                <w:rFonts w:ascii="Times New Roman" w:hAnsi="Times New Roman" w:cs="Times New Roman"/>
                <w:color w:val="000000" w:themeColor="text1"/>
                <w:kern w:val="0"/>
                <w:szCs w:val="24"/>
                <w:highlight w:val="none"/>
                <w14:textFill>
                  <w14:solidFill>
                    <w14:schemeClr w14:val="tx1"/>
                  </w14:solidFill>
                </w14:textFill>
              </w:rPr>
              <w:t>。</w:t>
            </w:r>
          </w:p>
          <w:p w14:paraId="54844EFB">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表4-1         距各种施工机械不同距离的噪声值          单位：dB(A)</w:t>
            </w:r>
          </w:p>
          <w:tbl>
            <w:tblPr>
              <w:tblStyle w:val="33"/>
              <w:tblW w:w="4996" w:type="pct"/>
              <w:tblInd w:w="4"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4"/>
              <w:gridCol w:w="722"/>
              <w:gridCol w:w="771"/>
              <w:gridCol w:w="773"/>
              <w:gridCol w:w="711"/>
              <w:gridCol w:w="807"/>
              <w:gridCol w:w="838"/>
              <w:gridCol w:w="838"/>
            </w:tblGrid>
            <w:tr w14:paraId="7F371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1" w:type="pct"/>
                  <w:tcBorders>
                    <w:tl2br w:val="nil"/>
                    <w:tr2bl w:val="nil"/>
                  </w:tcBorders>
                  <w:vAlign w:val="center"/>
                </w:tcPr>
                <w:p w14:paraId="72D6CB2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距离（m）施工设备</w:t>
                  </w:r>
                </w:p>
              </w:tc>
              <w:tc>
                <w:tcPr>
                  <w:tcW w:w="483" w:type="pct"/>
                  <w:tcBorders>
                    <w:tl2br w:val="nil"/>
                    <w:tr2bl w:val="nil"/>
                  </w:tcBorders>
                  <w:vAlign w:val="center"/>
                </w:tcPr>
                <w:p w14:paraId="353C541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源强</w:t>
                  </w:r>
                </w:p>
              </w:tc>
              <w:tc>
                <w:tcPr>
                  <w:tcW w:w="516" w:type="pct"/>
                  <w:tcBorders>
                    <w:tl2br w:val="nil"/>
                    <w:tr2bl w:val="nil"/>
                  </w:tcBorders>
                  <w:vAlign w:val="center"/>
                </w:tcPr>
                <w:p w14:paraId="66729D6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10</w:t>
                  </w:r>
                </w:p>
              </w:tc>
              <w:tc>
                <w:tcPr>
                  <w:tcW w:w="517" w:type="pct"/>
                  <w:tcBorders>
                    <w:tl2br w:val="nil"/>
                    <w:tr2bl w:val="nil"/>
                  </w:tcBorders>
                  <w:vAlign w:val="center"/>
                </w:tcPr>
                <w:p w14:paraId="560CF78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20</w:t>
                  </w:r>
                </w:p>
              </w:tc>
              <w:tc>
                <w:tcPr>
                  <w:tcW w:w="476" w:type="pct"/>
                  <w:tcBorders>
                    <w:tl2br w:val="nil"/>
                    <w:tr2bl w:val="nil"/>
                  </w:tcBorders>
                  <w:vAlign w:val="center"/>
                </w:tcPr>
                <w:p w14:paraId="4A807C43">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40</w:t>
                  </w:r>
                </w:p>
              </w:tc>
              <w:tc>
                <w:tcPr>
                  <w:tcW w:w="540" w:type="pct"/>
                  <w:tcBorders>
                    <w:tl2br w:val="nil"/>
                    <w:tr2bl w:val="nil"/>
                  </w:tcBorders>
                  <w:vAlign w:val="center"/>
                </w:tcPr>
                <w:p w14:paraId="3E2BF31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80</w:t>
                  </w:r>
                </w:p>
              </w:tc>
              <w:tc>
                <w:tcPr>
                  <w:tcW w:w="561" w:type="pct"/>
                  <w:tcBorders>
                    <w:tl2br w:val="nil"/>
                    <w:tr2bl w:val="nil"/>
                  </w:tcBorders>
                  <w:vAlign w:val="center"/>
                </w:tcPr>
                <w:p w14:paraId="371A015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160</w:t>
                  </w:r>
                </w:p>
              </w:tc>
              <w:tc>
                <w:tcPr>
                  <w:tcW w:w="561" w:type="pct"/>
                  <w:tcBorders>
                    <w:tl2br w:val="nil"/>
                    <w:tr2bl w:val="nil"/>
                  </w:tcBorders>
                  <w:vAlign w:val="center"/>
                </w:tcPr>
                <w:p w14:paraId="7BB238B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320</w:t>
                  </w:r>
                </w:p>
              </w:tc>
            </w:tr>
            <w:tr w14:paraId="26747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1" w:type="pct"/>
                  <w:tcBorders>
                    <w:tl2br w:val="nil"/>
                    <w:tr2bl w:val="nil"/>
                  </w:tcBorders>
                  <w:vAlign w:val="center"/>
                </w:tcPr>
                <w:p w14:paraId="7F16B5B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推土机</w:t>
                  </w:r>
                </w:p>
              </w:tc>
              <w:tc>
                <w:tcPr>
                  <w:tcW w:w="483" w:type="pct"/>
                  <w:tcBorders>
                    <w:tl2br w:val="nil"/>
                    <w:tr2bl w:val="nil"/>
                  </w:tcBorders>
                  <w:vAlign w:val="center"/>
                </w:tcPr>
                <w:p w14:paraId="254628E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105</w:t>
                  </w:r>
                </w:p>
              </w:tc>
              <w:tc>
                <w:tcPr>
                  <w:tcW w:w="516" w:type="pct"/>
                  <w:tcBorders>
                    <w:tl2br w:val="nil"/>
                    <w:tr2bl w:val="nil"/>
                  </w:tcBorders>
                  <w:vAlign w:val="center"/>
                </w:tcPr>
                <w:p w14:paraId="0F9B6C9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85</w:t>
                  </w:r>
                </w:p>
              </w:tc>
              <w:tc>
                <w:tcPr>
                  <w:tcW w:w="517" w:type="pct"/>
                  <w:tcBorders>
                    <w:tl2br w:val="nil"/>
                    <w:tr2bl w:val="nil"/>
                  </w:tcBorders>
                  <w:vAlign w:val="center"/>
                </w:tcPr>
                <w:p w14:paraId="58A2052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79</w:t>
                  </w:r>
                </w:p>
              </w:tc>
              <w:tc>
                <w:tcPr>
                  <w:tcW w:w="476" w:type="pct"/>
                  <w:tcBorders>
                    <w:tl2br w:val="nil"/>
                    <w:tr2bl w:val="nil"/>
                  </w:tcBorders>
                  <w:vAlign w:val="center"/>
                </w:tcPr>
                <w:p w14:paraId="5AAC34EE">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73</w:t>
                  </w:r>
                </w:p>
              </w:tc>
              <w:tc>
                <w:tcPr>
                  <w:tcW w:w="540" w:type="pct"/>
                  <w:tcBorders>
                    <w:tl2br w:val="nil"/>
                    <w:tr2bl w:val="nil"/>
                  </w:tcBorders>
                  <w:vAlign w:val="center"/>
                </w:tcPr>
                <w:p w14:paraId="1B777C2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67</w:t>
                  </w:r>
                </w:p>
              </w:tc>
              <w:tc>
                <w:tcPr>
                  <w:tcW w:w="561" w:type="pct"/>
                  <w:tcBorders>
                    <w:tl2br w:val="nil"/>
                    <w:tr2bl w:val="nil"/>
                  </w:tcBorders>
                  <w:vAlign w:val="center"/>
                </w:tcPr>
                <w:p w14:paraId="51E2E15F">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61</w:t>
                  </w:r>
                </w:p>
              </w:tc>
              <w:tc>
                <w:tcPr>
                  <w:tcW w:w="561" w:type="pct"/>
                  <w:tcBorders>
                    <w:tl2br w:val="nil"/>
                    <w:tr2bl w:val="nil"/>
                  </w:tcBorders>
                  <w:vAlign w:val="center"/>
                </w:tcPr>
                <w:p w14:paraId="07ECE75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55</w:t>
                  </w:r>
                </w:p>
              </w:tc>
            </w:tr>
            <w:tr w14:paraId="1F67FD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1" w:type="pct"/>
                  <w:tcBorders>
                    <w:tl2br w:val="nil"/>
                    <w:tr2bl w:val="nil"/>
                  </w:tcBorders>
                  <w:vAlign w:val="center"/>
                </w:tcPr>
                <w:p w14:paraId="5C66615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挖掘机</w:t>
                  </w:r>
                </w:p>
              </w:tc>
              <w:tc>
                <w:tcPr>
                  <w:tcW w:w="483" w:type="pct"/>
                  <w:tcBorders>
                    <w:tl2br w:val="nil"/>
                    <w:tr2bl w:val="nil"/>
                  </w:tcBorders>
                  <w:vAlign w:val="center"/>
                </w:tcPr>
                <w:p w14:paraId="5EB1527F">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105</w:t>
                  </w:r>
                </w:p>
              </w:tc>
              <w:tc>
                <w:tcPr>
                  <w:tcW w:w="516" w:type="pct"/>
                  <w:tcBorders>
                    <w:tl2br w:val="nil"/>
                    <w:tr2bl w:val="nil"/>
                  </w:tcBorders>
                  <w:vAlign w:val="center"/>
                </w:tcPr>
                <w:p w14:paraId="53B6B0B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85</w:t>
                  </w:r>
                </w:p>
              </w:tc>
              <w:tc>
                <w:tcPr>
                  <w:tcW w:w="517" w:type="pct"/>
                  <w:tcBorders>
                    <w:tl2br w:val="nil"/>
                    <w:tr2bl w:val="nil"/>
                  </w:tcBorders>
                  <w:vAlign w:val="center"/>
                </w:tcPr>
                <w:p w14:paraId="22A57F5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79</w:t>
                  </w:r>
                </w:p>
              </w:tc>
              <w:tc>
                <w:tcPr>
                  <w:tcW w:w="476" w:type="pct"/>
                  <w:tcBorders>
                    <w:tl2br w:val="nil"/>
                    <w:tr2bl w:val="nil"/>
                  </w:tcBorders>
                  <w:vAlign w:val="center"/>
                </w:tcPr>
                <w:p w14:paraId="4213354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73</w:t>
                  </w:r>
                </w:p>
              </w:tc>
              <w:tc>
                <w:tcPr>
                  <w:tcW w:w="540" w:type="pct"/>
                  <w:tcBorders>
                    <w:tl2br w:val="nil"/>
                    <w:tr2bl w:val="nil"/>
                  </w:tcBorders>
                  <w:vAlign w:val="center"/>
                </w:tcPr>
                <w:p w14:paraId="75EFA44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67</w:t>
                  </w:r>
                </w:p>
              </w:tc>
              <w:tc>
                <w:tcPr>
                  <w:tcW w:w="561" w:type="pct"/>
                  <w:tcBorders>
                    <w:tl2br w:val="nil"/>
                    <w:tr2bl w:val="nil"/>
                  </w:tcBorders>
                  <w:vAlign w:val="center"/>
                </w:tcPr>
                <w:p w14:paraId="057D4C0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61</w:t>
                  </w:r>
                </w:p>
              </w:tc>
              <w:tc>
                <w:tcPr>
                  <w:tcW w:w="561" w:type="pct"/>
                  <w:tcBorders>
                    <w:tl2br w:val="nil"/>
                    <w:tr2bl w:val="nil"/>
                  </w:tcBorders>
                  <w:vAlign w:val="center"/>
                </w:tcPr>
                <w:p w14:paraId="32DB3AB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55</w:t>
                  </w:r>
                </w:p>
              </w:tc>
            </w:tr>
            <w:tr w14:paraId="58E2C4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1" w:type="pct"/>
                  <w:tcBorders>
                    <w:tl2br w:val="nil"/>
                    <w:tr2bl w:val="nil"/>
                  </w:tcBorders>
                  <w:vAlign w:val="center"/>
                </w:tcPr>
                <w:p w14:paraId="7366D0D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装载机</w:t>
                  </w:r>
                </w:p>
              </w:tc>
              <w:tc>
                <w:tcPr>
                  <w:tcW w:w="483" w:type="pct"/>
                  <w:tcBorders>
                    <w:tl2br w:val="nil"/>
                    <w:tr2bl w:val="nil"/>
                  </w:tcBorders>
                  <w:vAlign w:val="center"/>
                </w:tcPr>
                <w:p w14:paraId="4A670A5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90</w:t>
                  </w:r>
                </w:p>
              </w:tc>
              <w:tc>
                <w:tcPr>
                  <w:tcW w:w="516" w:type="pct"/>
                  <w:tcBorders>
                    <w:tl2br w:val="nil"/>
                    <w:tr2bl w:val="nil"/>
                  </w:tcBorders>
                  <w:vAlign w:val="center"/>
                </w:tcPr>
                <w:p w14:paraId="6E03BE6F">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70</w:t>
                  </w:r>
                </w:p>
              </w:tc>
              <w:tc>
                <w:tcPr>
                  <w:tcW w:w="517" w:type="pct"/>
                  <w:tcBorders>
                    <w:tl2br w:val="nil"/>
                    <w:tr2bl w:val="nil"/>
                  </w:tcBorders>
                  <w:vAlign w:val="center"/>
                </w:tcPr>
                <w:p w14:paraId="20AD8F9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64</w:t>
                  </w:r>
                </w:p>
              </w:tc>
              <w:tc>
                <w:tcPr>
                  <w:tcW w:w="476" w:type="pct"/>
                  <w:tcBorders>
                    <w:tl2br w:val="nil"/>
                    <w:tr2bl w:val="nil"/>
                  </w:tcBorders>
                  <w:vAlign w:val="center"/>
                </w:tcPr>
                <w:p w14:paraId="3D69DFEE">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58</w:t>
                  </w:r>
                </w:p>
              </w:tc>
              <w:tc>
                <w:tcPr>
                  <w:tcW w:w="540" w:type="pct"/>
                  <w:tcBorders>
                    <w:tl2br w:val="nil"/>
                    <w:tr2bl w:val="nil"/>
                  </w:tcBorders>
                  <w:vAlign w:val="center"/>
                </w:tcPr>
                <w:p w14:paraId="21C08C0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52</w:t>
                  </w:r>
                </w:p>
              </w:tc>
              <w:tc>
                <w:tcPr>
                  <w:tcW w:w="561" w:type="pct"/>
                  <w:tcBorders>
                    <w:tl2br w:val="nil"/>
                    <w:tr2bl w:val="nil"/>
                  </w:tcBorders>
                  <w:vAlign w:val="center"/>
                </w:tcPr>
                <w:p w14:paraId="72C87E7F">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46</w:t>
                  </w:r>
                </w:p>
              </w:tc>
              <w:tc>
                <w:tcPr>
                  <w:tcW w:w="561" w:type="pct"/>
                  <w:tcBorders>
                    <w:tl2br w:val="nil"/>
                    <w:tr2bl w:val="nil"/>
                  </w:tcBorders>
                  <w:vAlign w:val="center"/>
                </w:tcPr>
                <w:p w14:paraId="10A9B07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40</w:t>
                  </w:r>
                </w:p>
              </w:tc>
            </w:tr>
            <w:tr w14:paraId="71A4D2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1" w:type="pct"/>
                  <w:tcBorders>
                    <w:tl2br w:val="nil"/>
                    <w:tr2bl w:val="nil"/>
                  </w:tcBorders>
                  <w:vAlign w:val="center"/>
                </w:tcPr>
                <w:p w14:paraId="0EA7BFD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运输车辆</w:t>
                  </w:r>
                </w:p>
              </w:tc>
              <w:tc>
                <w:tcPr>
                  <w:tcW w:w="483" w:type="pct"/>
                  <w:tcBorders>
                    <w:tl2br w:val="nil"/>
                    <w:tr2bl w:val="nil"/>
                  </w:tcBorders>
                  <w:vAlign w:val="center"/>
                </w:tcPr>
                <w:p w14:paraId="54763A6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85</w:t>
                  </w:r>
                </w:p>
              </w:tc>
              <w:tc>
                <w:tcPr>
                  <w:tcW w:w="516" w:type="pct"/>
                  <w:tcBorders>
                    <w:tl2br w:val="nil"/>
                    <w:tr2bl w:val="nil"/>
                  </w:tcBorders>
                  <w:vAlign w:val="center"/>
                </w:tcPr>
                <w:p w14:paraId="56AB187F">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65</w:t>
                  </w:r>
                </w:p>
              </w:tc>
              <w:tc>
                <w:tcPr>
                  <w:tcW w:w="517" w:type="pct"/>
                  <w:tcBorders>
                    <w:tl2br w:val="nil"/>
                    <w:tr2bl w:val="nil"/>
                  </w:tcBorders>
                  <w:vAlign w:val="center"/>
                </w:tcPr>
                <w:p w14:paraId="7CD797E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59</w:t>
                  </w:r>
                </w:p>
              </w:tc>
              <w:tc>
                <w:tcPr>
                  <w:tcW w:w="476" w:type="pct"/>
                  <w:tcBorders>
                    <w:tl2br w:val="nil"/>
                    <w:tr2bl w:val="nil"/>
                  </w:tcBorders>
                  <w:vAlign w:val="center"/>
                </w:tcPr>
                <w:p w14:paraId="75EA611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53</w:t>
                  </w:r>
                </w:p>
              </w:tc>
              <w:tc>
                <w:tcPr>
                  <w:tcW w:w="540" w:type="pct"/>
                  <w:tcBorders>
                    <w:tl2br w:val="nil"/>
                    <w:tr2bl w:val="nil"/>
                  </w:tcBorders>
                  <w:vAlign w:val="center"/>
                </w:tcPr>
                <w:p w14:paraId="3B9C6F6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47</w:t>
                  </w:r>
                </w:p>
              </w:tc>
              <w:tc>
                <w:tcPr>
                  <w:tcW w:w="561" w:type="pct"/>
                  <w:tcBorders>
                    <w:tl2br w:val="nil"/>
                    <w:tr2bl w:val="nil"/>
                  </w:tcBorders>
                  <w:vAlign w:val="center"/>
                </w:tcPr>
                <w:p w14:paraId="7B69879E">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41</w:t>
                  </w:r>
                </w:p>
              </w:tc>
              <w:tc>
                <w:tcPr>
                  <w:tcW w:w="561" w:type="pct"/>
                  <w:tcBorders>
                    <w:tl2br w:val="nil"/>
                    <w:tr2bl w:val="nil"/>
                  </w:tcBorders>
                  <w:vAlign w:val="center"/>
                </w:tcPr>
                <w:p w14:paraId="1A84BF1F">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35</w:t>
                  </w:r>
                </w:p>
              </w:tc>
            </w:tr>
            <w:tr w14:paraId="1A0D22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1" w:type="pct"/>
                  <w:tcBorders>
                    <w:tl2br w:val="nil"/>
                    <w:tr2bl w:val="nil"/>
                  </w:tcBorders>
                  <w:vAlign w:val="center"/>
                </w:tcPr>
                <w:p w14:paraId="5B2CEC0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混凝土搅拌车</w:t>
                  </w:r>
                </w:p>
              </w:tc>
              <w:tc>
                <w:tcPr>
                  <w:tcW w:w="483" w:type="pct"/>
                  <w:tcBorders>
                    <w:tl2br w:val="nil"/>
                    <w:tr2bl w:val="nil"/>
                  </w:tcBorders>
                  <w:vAlign w:val="center"/>
                </w:tcPr>
                <w:p w14:paraId="65673C2E">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105</w:t>
                  </w:r>
                </w:p>
              </w:tc>
              <w:tc>
                <w:tcPr>
                  <w:tcW w:w="516" w:type="pct"/>
                  <w:tcBorders>
                    <w:tl2br w:val="nil"/>
                    <w:tr2bl w:val="nil"/>
                  </w:tcBorders>
                  <w:vAlign w:val="center"/>
                </w:tcPr>
                <w:p w14:paraId="447C8BA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85</w:t>
                  </w:r>
                </w:p>
              </w:tc>
              <w:tc>
                <w:tcPr>
                  <w:tcW w:w="517" w:type="pct"/>
                  <w:tcBorders>
                    <w:tl2br w:val="nil"/>
                    <w:tr2bl w:val="nil"/>
                  </w:tcBorders>
                  <w:vAlign w:val="center"/>
                </w:tcPr>
                <w:p w14:paraId="790732F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79</w:t>
                  </w:r>
                </w:p>
              </w:tc>
              <w:tc>
                <w:tcPr>
                  <w:tcW w:w="476" w:type="pct"/>
                  <w:tcBorders>
                    <w:tl2br w:val="nil"/>
                    <w:tr2bl w:val="nil"/>
                  </w:tcBorders>
                  <w:vAlign w:val="center"/>
                </w:tcPr>
                <w:p w14:paraId="243AA2F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73</w:t>
                  </w:r>
                </w:p>
              </w:tc>
              <w:tc>
                <w:tcPr>
                  <w:tcW w:w="540" w:type="pct"/>
                  <w:tcBorders>
                    <w:tl2br w:val="nil"/>
                    <w:tr2bl w:val="nil"/>
                  </w:tcBorders>
                  <w:vAlign w:val="center"/>
                </w:tcPr>
                <w:p w14:paraId="7889CB6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67</w:t>
                  </w:r>
                </w:p>
              </w:tc>
              <w:tc>
                <w:tcPr>
                  <w:tcW w:w="561" w:type="pct"/>
                  <w:tcBorders>
                    <w:tl2br w:val="nil"/>
                    <w:tr2bl w:val="nil"/>
                  </w:tcBorders>
                  <w:vAlign w:val="center"/>
                </w:tcPr>
                <w:p w14:paraId="594CC55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61</w:t>
                  </w:r>
                </w:p>
              </w:tc>
              <w:tc>
                <w:tcPr>
                  <w:tcW w:w="561" w:type="pct"/>
                  <w:tcBorders>
                    <w:tl2br w:val="nil"/>
                    <w:tr2bl w:val="nil"/>
                  </w:tcBorders>
                  <w:vAlign w:val="center"/>
                </w:tcPr>
                <w:p w14:paraId="713BB14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55</w:t>
                  </w:r>
                </w:p>
              </w:tc>
            </w:tr>
            <w:tr w14:paraId="66D660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1" w:type="pct"/>
                  <w:tcBorders>
                    <w:tl2br w:val="nil"/>
                    <w:tr2bl w:val="nil"/>
                  </w:tcBorders>
                  <w:vAlign w:val="center"/>
                </w:tcPr>
                <w:p w14:paraId="04E103C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空压机</w:t>
                  </w:r>
                </w:p>
              </w:tc>
              <w:tc>
                <w:tcPr>
                  <w:tcW w:w="483" w:type="pct"/>
                  <w:tcBorders>
                    <w:tl2br w:val="nil"/>
                    <w:tr2bl w:val="nil"/>
                  </w:tcBorders>
                  <w:vAlign w:val="center"/>
                </w:tcPr>
                <w:p w14:paraId="4759B63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102</w:t>
                  </w:r>
                </w:p>
              </w:tc>
              <w:tc>
                <w:tcPr>
                  <w:tcW w:w="516" w:type="pct"/>
                  <w:tcBorders>
                    <w:tl2br w:val="nil"/>
                    <w:tr2bl w:val="nil"/>
                  </w:tcBorders>
                  <w:vAlign w:val="center"/>
                </w:tcPr>
                <w:p w14:paraId="57B0312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82</w:t>
                  </w:r>
                </w:p>
              </w:tc>
              <w:tc>
                <w:tcPr>
                  <w:tcW w:w="517" w:type="pct"/>
                  <w:tcBorders>
                    <w:tl2br w:val="nil"/>
                    <w:tr2bl w:val="nil"/>
                  </w:tcBorders>
                  <w:vAlign w:val="center"/>
                </w:tcPr>
                <w:p w14:paraId="1D5B52F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76</w:t>
                  </w:r>
                </w:p>
              </w:tc>
              <w:tc>
                <w:tcPr>
                  <w:tcW w:w="476" w:type="pct"/>
                  <w:tcBorders>
                    <w:tl2br w:val="nil"/>
                    <w:tr2bl w:val="nil"/>
                  </w:tcBorders>
                  <w:vAlign w:val="center"/>
                </w:tcPr>
                <w:p w14:paraId="538B338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70</w:t>
                  </w:r>
                </w:p>
              </w:tc>
              <w:tc>
                <w:tcPr>
                  <w:tcW w:w="540" w:type="pct"/>
                  <w:tcBorders>
                    <w:tl2br w:val="nil"/>
                    <w:tr2bl w:val="nil"/>
                  </w:tcBorders>
                  <w:vAlign w:val="center"/>
                </w:tcPr>
                <w:p w14:paraId="1E44EC2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64</w:t>
                  </w:r>
                </w:p>
              </w:tc>
              <w:tc>
                <w:tcPr>
                  <w:tcW w:w="561" w:type="pct"/>
                  <w:tcBorders>
                    <w:tl2br w:val="nil"/>
                    <w:tr2bl w:val="nil"/>
                  </w:tcBorders>
                  <w:vAlign w:val="center"/>
                </w:tcPr>
                <w:p w14:paraId="5523944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58</w:t>
                  </w:r>
                </w:p>
              </w:tc>
              <w:tc>
                <w:tcPr>
                  <w:tcW w:w="561" w:type="pct"/>
                  <w:tcBorders>
                    <w:tl2br w:val="nil"/>
                    <w:tr2bl w:val="nil"/>
                  </w:tcBorders>
                  <w:vAlign w:val="center"/>
                </w:tcPr>
                <w:p w14:paraId="50FBCC3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52</w:t>
                  </w:r>
                </w:p>
              </w:tc>
            </w:tr>
            <w:tr w14:paraId="59492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41" w:type="pct"/>
                  <w:tcBorders>
                    <w:tl2br w:val="nil"/>
                    <w:tr2bl w:val="nil"/>
                  </w:tcBorders>
                  <w:vAlign w:val="center"/>
                </w:tcPr>
                <w:p w14:paraId="4934846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混凝土泵</w:t>
                  </w:r>
                </w:p>
              </w:tc>
              <w:tc>
                <w:tcPr>
                  <w:tcW w:w="483" w:type="pct"/>
                  <w:tcBorders>
                    <w:tl2br w:val="nil"/>
                    <w:tr2bl w:val="nil"/>
                  </w:tcBorders>
                  <w:vAlign w:val="center"/>
                </w:tcPr>
                <w:p w14:paraId="7EC8260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90</w:t>
                  </w:r>
                </w:p>
              </w:tc>
              <w:tc>
                <w:tcPr>
                  <w:tcW w:w="516" w:type="pct"/>
                  <w:tcBorders>
                    <w:tl2br w:val="nil"/>
                    <w:tr2bl w:val="nil"/>
                  </w:tcBorders>
                  <w:vAlign w:val="center"/>
                </w:tcPr>
                <w:p w14:paraId="5F67C6B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70</w:t>
                  </w:r>
                </w:p>
              </w:tc>
              <w:tc>
                <w:tcPr>
                  <w:tcW w:w="517" w:type="pct"/>
                  <w:tcBorders>
                    <w:tl2br w:val="nil"/>
                    <w:tr2bl w:val="nil"/>
                  </w:tcBorders>
                  <w:vAlign w:val="center"/>
                </w:tcPr>
                <w:p w14:paraId="2B40259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64</w:t>
                  </w:r>
                </w:p>
              </w:tc>
              <w:tc>
                <w:tcPr>
                  <w:tcW w:w="476" w:type="pct"/>
                  <w:tcBorders>
                    <w:tl2br w:val="nil"/>
                    <w:tr2bl w:val="nil"/>
                  </w:tcBorders>
                  <w:vAlign w:val="center"/>
                </w:tcPr>
                <w:p w14:paraId="56EEDF0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58</w:t>
                  </w:r>
                </w:p>
              </w:tc>
              <w:tc>
                <w:tcPr>
                  <w:tcW w:w="540" w:type="pct"/>
                  <w:tcBorders>
                    <w:tl2br w:val="nil"/>
                    <w:tr2bl w:val="nil"/>
                  </w:tcBorders>
                  <w:vAlign w:val="center"/>
                </w:tcPr>
                <w:p w14:paraId="24EF133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52</w:t>
                  </w:r>
                </w:p>
              </w:tc>
              <w:tc>
                <w:tcPr>
                  <w:tcW w:w="561" w:type="pct"/>
                  <w:tcBorders>
                    <w:tl2br w:val="nil"/>
                    <w:tr2bl w:val="nil"/>
                  </w:tcBorders>
                  <w:vAlign w:val="center"/>
                </w:tcPr>
                <w:p w14:paraId="02C01E1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46</w:t>
                  </w:r>
                </w:p>
              </w:tc>
              <w:tc>
                <w:tcPr>
                  <w:tcW w:w="561" w:type="pct"/>
                  <w:tcBorders>
                    <w:tl2br w:val="nil"/>
                    <w:tr2bl w:val="nil"/>
                  </w:tcBorders>
                  <w:vAlign w:val="center"/>
                </w:tcPr>
                <w:p w14:paraId="1F4FF3D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40</w:t>
                  </w:r>
                </w:p>
              </w:tc>
            </w:tr>
          </w:tbl>
          <w:p w14:paraId="671CCC9B">
            <w:pPr>
              <w:shd w:val="clear"/>
              <w:adjustRightInd/>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施工期噪声评价标准采用《建筑施工场界环境噪声排放标准》（GB12523-2011），具体标准限值，见下表。</w:t>
            </w:r>
          </w:p>
          <w:p w14:paraId="56E24AD2">
            <w:pPr>
              <w:shd w:val="clear"/>
              <w:adjustRightInd/>
              <w:spacing w:line="240" w:lineRule="auto"/>
              <w:ind w:firstLine="422"/>
              <w:jc w:val="left"/>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表4-2    建筑施工场界环境噪声排放标准（GB12523-2011）  单位：dB(A)</w:t>
            </w:r>
          </w:p>
          <w:tbl>
            <w:tblPr>
              <w:tblStyle w:val="3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732"/>
              <w:gridCol w:w="3733"/>
            </w:tblGrid>
            <w:tr w14:paraId="4BA764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07" w:hRule="atLeast"/>
              </w:trPr>
              <w:tc>
                <w:tcPr>
                  <w:tcW w:w="4068" w:type="dxa"/>
                  <w:tcBorders>
                    <w:tl2br w:val="nil"/>
                    <w:tr2bl w:val="nil"/>
                  </w:tcBorders>
                </w:tcPr>
                <w:p w14:paraId="425D457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昼间</w:t>
                  </w:r>
                </w:p>
              </w:tc>
              <w:tc>
                <w:tcPr>
                  <w:tcW w:w="4069" w:type="dxa"/>
                  <w:tcBorders>
                    <w:tl2br w:val="nil"/>
                    <w:tr2bl w:val="nil"/>
                  </w:tcBorders>
                </w:tcPr>
                <w:p w14:paraId="0F3DA9C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夜间</w:t>
                  </w:r>
                </w:p>
              </w:tc>
            </w:tr>
            <w:tr w14:paraId="63A1D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4068" w:type="dxa"/>
                  <w:tcBorders>
                    <w:tl2br w:val="nil"/>
                    <w:tr2bl w:val="nil"/>
                  </w:tcBorders>
                </w:tcPr>
                <w:p w14:paraId="6FC8671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70</w:t>
                  </w:r>
                </w:p>
              </w:tc>
              <w:tc>
                <w:tcPr>
                  <w:tcW w:w="4069" w:type="dxa"/>
                  <w:tcBorders>
                    <w:tl2br w:val="nil"/>
                    <w:tr2bl w:val="nil"/>
                  </w:tcBorders>
                </w:tcPr>
                <w:p w14:paraId="76277AE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55</w:t>
                  </w:r>
                </w:p>
              </w:tc>
            </w:tr>
          </w:tbl>
          <w:p w14:paraId="522C12F7">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由表4-1、4-2可知，施工噪声值昼间在距声源80m处即可满足《建筑施工场界环境噪声排放标准》（GB12523-2011）的要求。</w:t>
            </w:r>
          </w:p>
          <w:p w14:paraId="7FE06000">
            <w:pPr>
              <w:pStyle w:val="3"/>
              <w:shd w:val="clear"/>
              <w:rPr>
                <w:color w:val="000000" w:themeColor="text1"/>
                <w:highlight w:val="none"/>
                <w14:textFill>
                  <w14:solidFill>
                    <w14:schemeClr w14:val="tx1"/>
                  </w14:solidFill>
                </w14:textFill>
              </w:rPr>
            </w:pPr>
            <w:bookmarkStart w:id="282" w:name="_Toc30395"/>
            <w:bookmarkStart w:id="283" w:name="_Toc10379"/>
            <w:bookmarkStart w:id="284" w:name="_Toc21772"/>
            <w:r>
              <w:rPr>
                <w:color w:val="000000" w:themeColor="text1"/>
                <w:highlight w:val="none"/>
                <w14:textFill>
                  <w14:solidFill>
                    <w14:schemeClr w14:val="tx1"/>
                  </w14:solidFill>
                </w14:textFill>
              </w:rPr>
              <w:t>7、施工期固体废弃物</w:t>
            </w:r>
            <w:bookmarkEnd w:id="282"/>
            <w:bookmarkEnd w:id="283"/>
            <w:bookmarkEnd w:id="284"/>
          </w:p>
          <w:p w14:paraId="5DCFCAC5">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固体废弃物来自工程施工过程中及路面挖掘产生的固体废物。另外，道路、建筑施工中将产生一定量建筑材料、废渣、土方等，集中收集至临时堆放场，并遮盖篷布，建筑垃圾定期清运至建筑垃圾填埋场处理，土方量就地回填。</w:t>
            </w:r>
          </w:p>
          <w:p w14:paraId="07A2E1A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同时施工人员也将产生一定生活垃圾，施工人员60人，生活垃圾产生量约0.5kg/人·d，施工期365d，生活垃圾产生量为10.95t，生活垃圾集中收集至垃圾池，纳入尉犁县生活垃圾清运系统处理。</w:t>
            </w:r>
          </w:p>
          <w:p w14:paraId="0EB68CD9">
            <w:pPr>
              <w:shd w:val="clear"/>
              <w:ind w:firstLine="480"/>
              <w:rPr>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综上，施工期固废均能得到合理处置或综合利用，对环境影响很小。</w:t>
            </w:r>
          </w:p>
        </w:tc>
      </w:tr>
      <w:tr w14:paraId="0CF0AA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tcMar>
              <w:left w:w="28" w:type="dxa"/>
              <w:right w:w="28" w:type="dxa"/>
            </w:tcMar>
            <w:vAlign w:val="center"/>
          </w:tcPr>
          <w:p w14:paraId="765AF9D1">
            <w:pPr>
              <w:pStyle w:val="28"/>
              <w:shd w:val="clear"/>
              <w:spacing w:before="0" w:beforeAutospacing="0" w:after="0" w:afterAutospacing="0"/>
              <w:ind w:firstLine="0" w:firstLineChars="0"/>
              <w:jc w:val="center"/>
              <w:rPr>
                <w:rFonts w:ascii="Times New Roman" w:hAnsi="Times New Roman"/>
                <w:bCs/>
                <w:color w:val="000000" w:themeColor="text1"/>
                <w:kern w:val="2"/>
                <w:highlight w:val="none"/>
                <w14:textFill>
                  <w14:solidFill>
                    <w14:schemeClr w14:val="tx1"/>
                  </w14:solidFill>
                </w14:textFill>
              </w:rPr>
            </w:pPr>
            <w:r>
              <w:rPr>
                <w:rFonts w:ascii="Times New Roman" w:hAnsi="Times New Roman"/>
                <w:bCs/>
                <w:color w:val="000000" w:themeColor="text1"/>
                <w:spacing w:val="10"/>
                <w:kern w:val="2"/>
                <w:highlight w:val="none"/>
                <w14:textFill>
                  <w14:solidFill>
                    <w14:schemeClr w14:val="tx1"/>
                  </w14:solidFill>
                </w14:textFill>
              </w:rPr>
              <w:t>运营期生态环境影响分析</w:t>
            </w:r>
          </w:p>
        </w:tc>
        <w:tc>
          <w:tcPr>
            <w:tcW w:w="7626" w:type="dxa"/>
          </w:tcPr>
          <w:p w14:paraId="1B2ECD46">
            <w:pPr>
              <w:pStyle w:val="3"/>
              <w:shd w:val="clear"/>
              <w:rPr>
                <w:color w:val="000000" w:themeColor="text1"/>
                <w:highlight w:val="none"/>
                <w14:textFill>
                  <w14:solidFill>
                    <w14:schemeClr w14:val="tx1"/>
                  </w14:solidFill>
                </w14:textFill>
              </w:rPr>
            </w:pPr>
            <w:bookmarkStart w:id="285" w:name="_Toc26883"/>
            <w:bookmarkStart w:id="286" w:name="_Toc16113"/>
            <w:bookmarkStart w:id="287" w:name="_Toc16677"/>
            <w:r>
              <w:rPr>
                <w:color w:val="000000" w:themeColor="text1"/>
                <w:highlight w:val="none"/>
                <w14:textFill>
                  <w14:solidFill>
                    <w14:schemeClr w14:val="tx1"/>
                  </w14:solidFill>
                </w14:textFill>
              </w:rPr>
              <w:t>1、运营期生态影响分析</w:t>
            </w:r>
            <w:bookmarkEnd w:id="285"/>
            <w:bookmarkEnd w:id="286"/>
            <w:bookmarkEnd w:id="287"/>
          </w:p>
          <w:p w14:paraId="6D85C421">
            <w:pPr>
              <w:shd w:val="clear"/>
              <w:adjustRightInd/>
              <w:ind w:firstLine="480"/>
              <w:rPr>
                <w:color w:val="000000" w:themeColor="text1"/>
                <w:spacing w:val="-4"/>
                <w:kern w:val="0"/>
                <w:highlight w:val="none"/>
                <w14:textFill>
                  <w14:solidFill>
                    <w14:schemeClr w14:val="tx1"/>
                  </w14:solidFill>
                </w14:textFill>
              </w:rPr>
            </w:pPr>
            <w:r>
              <w:rPr>
                <w:color w:val="000000" w:themeColor="text1"/>
                <w:szCs w:val="21"/>
                <w:highlight w:val="none"/>
                <w14:textFill>
                  <w14:solidFill>
                    <w14:schemeClr w14:val="tx1"/>
                  </w14:solidFill>
                </w14:textFill>
              </w:rPr>
              <w:t>本项目建设投运对原生态景观具有一定的改变，主要表现在杆塔及输电线路的架设对自然景观影响。由于输电线路杆塔占地面积较小，对原有自然背景的景观元素影响较小。本项目运营期利用已有道路作为巡检道路，运行期巡检便道不需要另行修建，运行期巡检对生态环境影响很小。</w:t>
            </w:r>
          </w:p>
          <w:p w14:paraId="3FC20DB0">
            <w:pPr>
              <w:shd w:val="clear"/>
              <w:adjustRightInd/>
              <w:ind w:firstLine="464"/>
              <w:rPr>
                <w:color w:val="000000" w:themeColor="text1"/>
                <w:spacing w:val="-4"/>
                <w:kern w:val="0"/>
                <w:highlight w:val="none"/>
                <w14:textFill>
                  <w14:solidFill>
                    <w14:schemeClr w14:val="tx1"/>
                  </w14:solidFill>
                </w14:textFill>
              </w:rPr>
            </w:pPr>
            <w:r>
              <w:rPr>
                <w:color w:val="000000" w:themeColor="text1"/>
                <w:spacing w:val="-4"/>
                <w:kern w:val="0"/>
                <w:highlight w:val="none"/>
                <w14:textFill>
                  <w14:solidFill>
                    <w14:schemeClr w14:val="tx1"/>
                  </w14:solidFill>
                </w14:textFill>
              </w:rPr>
              <w:t>本项目建在未利用地（其他草地），经现场踏勘和调查，厂址区内有少量的</w:t>
            </w:r>
            <w:r>
              <w:rPr>
                <w:color w:val="000000" w:themeColor="text1"/>
                <w:highlight w:val="none"/>
                <w14:textFill>
                  <w14:solidFill>
                    <w14:schemeClr w14:val="tx1"/>
                  </w14:solidFill>
                </w14:textFill>
              </w:rPr>
              <w:t>刚毛柽柳、多枝柽柳</w:t>
            </w:r>
            <w:r>
              <w:rPr>
                <w:color w:val="000000" w:themeColor="text1"/>
                <w:spacing w:val="-4"/>
                <w:kern w:val="0"/>
                <w:highlight w:val="none"/>
                <w14:textFill>
                  <w14:solidFill>
                    <w14:schemeClr w14:val="tx1"/>
                  </w14:solidFill>
                </w14:textFill>
              </w:rPr>
              <w:t>，项目区周边没有迁徙动物，无生态阻隔影响。在升压站内建设绿化，可起到防止水土流失的作用，进而改善了场区的生态环境。</w:t>
            </w:r>
          </w:p>
          <w:p w14:paraId="129401C4">
            <w:pPr>
              <w:shd w:val="clear"/>
              <w:adjustRightInd/>
              <w:ind w:firstLine="464"/>
              <w:rPr>
                <w:color w:val="000000" w:themeColor="text1"/>
                <w:spacing w:val="-4"/>
                <w:kern w:val="0"/>
                <w:highlight w:val="none"/>
                <w14:textFill>
                  <w14:solidFill>
                    <w14:schemeClr w14:val="tx1"/>
                  </w14:solidFill>
                </w14:textFill>
              </w:rPr>
            </w:pPr>
            <w:r>
              <w:rPr>
                <w:color w:val="000000" w:themeColor="text1"/>
                <w:spacing w:val="-4"/>
                <w:kern w:val="0"/>
                <w:highlight w:val="none"/>
                <w14:textFill>
                  <w14:solidFill>
                    <w14:schemeClr w14:val="tx1"/>
                  </w14:solidFill>
                </w14:textFill>
              </w:rPr>
              <w:t>本项目的建设将改变项目区的土地利用状况，虽然建设期其生物量将大量减少，但增加项目区绿化率，可以在一定程度上弥补项目区永久占地损失的生物量，而且通过对本项目精心设计建造后，将带来明显的生态景观效应，进一步提高整个地区环境效应，对提升区域环境品位具有一定的积极作用。</w:t>
            </w:r>
          </w:p>
          <w:p w14:paraId="53147419">
            <w:pPr>
              <w:pStyle w:val="3"/>
              <w:shd w:val="clear"/>
              <w:rPr>
                <w:color w:val="000000" w:themeColor="text1"/>
                <w:highlight w:val="none"/>
                <w14:textFill>
                  <w14:solidFill>
                    <w14:schemeClr w14:val="tx1"/>
                  </w14:solidFill>
                </w14:textFill>
              </w:rPr>
            </w:pPr>
            <w:bookmarkStart w:id="288" w:name="_Toc19472"/>
            <w:bookmarkStart w:id="289" w:name="_Toc13406"/>
            <w:bookmarkStart w:id="290" w:name="_Toc12972"/>
            <w:r>
              <w:rPr>
                <w:color w:val="000000" w:themeColor="text1"/>
                <w:highlight w:val="none"/>
                <w14:textFill>
                  <w14:solidFill>
                    <w14:schemeClr w14:val="tx1"/>
                  </w14:solidFill>
                </w14:textFill>
              </w:rPr>
              <w:t>2、大气污染源及影响分析</w:t>
            </w:r>
            <w:bookmarkEnd w:id="288"/>
            <w:bookmarkEnd w:id="289"/>
            <w:bookmarkEnd w:id="290"/>
          </w:p>
          <w:p w14:paraId="52B6D040">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本项目运营期不涉及大气污染影响。</w:t>
            </w:r>
          </w:p>
          <w:p w14:paraId="4A601A0A">
            <w:pPr>
              <w:pStyle w:val="3"/>
              <w:shd w:val="clear"/>
              <w:rPr>
                <w:color w:val="000000" w:themeColor="text1"/>
                <w:highlight w:val="none"/>
                <w14:textFill>
                  <w14:solidFill>
                    <w14:schemeClr w14:val="tx1"/>
                  </w14:solidFill>
                </w14:textFill>
              </w:rPr>
            </w:pPr>
            <w:bookmarkStart w:id="291" w:name="_Toc1814"/>
            <w:bookmarkStart w:id="292" w:name="_Toc24748"/>
            <w:bookmarkStart w:id="293" w:name="_Toc9450"/>
            <w:r>
              <w:rPr>
                <w:color w:val="000000" w:themeColor="text1"/>
                <w:highlight w:val="none"/>
                <w14:textFill>
                  <w14:solidFill>
                    <w14:schemeClr w14:val="tx1"/>
                  </w14:solidFill>
                </w14:textFill>
              </w:rPr>
              <w:t>3、水污染源及影响分析</w:t>
            </w:r>
            <w:bookmarkEnd w:id="291"/>
            <w:bookmarkEnd w:id="292"/>
            <w:bookmarkEnd w:id="293"/>
            <w:r>
              <w:rPr>
                <w:color w:val="000000" w:themeColor="text1"/>
                <w:highlight w:val="none"/>
                <w14:textFill>
                  <w14:solidFill>
                    <w14:schemeClr w14:val="tx1"/>
                  </w14:solidFill>
                </w14:textFill>
              </w:rPr>
              <w:t xml:space="preserve"> </w:t>
            </w:r>
          </w:p>
          <w:p w14:paraId="63D3D5F6">
            <w:pPr>
              <w:pStyle w:val="82"/>
              <w:shd w:val="clea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生产废水：本项目运营期无废水产生。</w:t>
            </w:r>
          </w:p>
          <w:p w14:paraId="50C42086">
            <w:pPr>
              <w:shd w:val="clear"/>
              <w:ind w:firstLine="480"/>
              <w:rPr>
                <w:bCs/>
                <w:color w:val="000000" w:themeColor="text1"/>
                <w:kern w:val="24"/>
                <w:highlight w:val="none"/>
                <w14:textFill>
                  <w14:solidFill>
                    <w14:schemeClr w14:val="tx1"/>
                  </w14:solidFill>
                </w14:textFill>
              </w:rPr>
            </w:pPr>
            <w:r>
              <w:rPr>
                <w:bCs/>
                <w:color w:val="000000" w:themeColor="text1"/>
                <w:kern w:val="24"/>
                <w:highlight w:val="none"/>
                <w14:textFill>
                  <w14:solidFill>
                    <w14:schemeClr w14:val="tx1"/>
                  </w14:solidFill>
                </w14:textFill>
              </w:rPr>
              <w:t>生活污水：本项目劳动定员为5人，</w:t>
            </w:r>
            <w:r>
              <w:rPr>
                <w:color w:val="000000" w:themeColor="text1"/>
                <w:highlight w:val="none"/>
                <w14:textFill>
                  <w14:solidFill>
                    <w14:schemeClr w14:val="tx1"/>
                  </w14:solidFill>
                </w14:textFill>
              </w:rPr>
              <w:t>根据《新疆维吾尔自治区生活用水定额》，用水量按照每人平均80L/d计算，则站区生活用水量为0.4m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/d，146m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/a。本项目生活污水排放量按用水量80%计，则生活污水排放量为0.32m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/d，116.8m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/a，可采用隔油池+A/O工艺的一体化污水处理设施，主要工艺流程：隔油池—格栅—调节池—好氧池—二沉池—消毒池，日处理能力：2m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/d，处理后水质执行《农村生活污水处理排放标准》（DB65 4275-2019）表2中B级标准限值，设置40m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集水池</w:t>
            </w:r>
            <w:r>
              <w:rPr>
                <w:color w:val="000000" w:themeColor="text1"/>
                <w:highlight w:val="none"/>
                <w14:textFill>
                  <w14:solidFill>
                    <w14:schemeClr w14:val="tx1"/>
                  </w14:solidFill>
                </w14:textFill>
              </w:rPr>
              <w:t>，用于冬季储水，夏季用于站区周边荒漠灌溉。</w:t>
            </w:r>
            <w:r>
              <w:rPr>
                <w:bCs/>
                <w:color w:val="000000" w:themeColor="text1"/>
                <w:kern w:val="24"/>
                <w:highlight w:val="none"/>
                <w14:textFill>
                  <w14:solidFill>
                    <w14:schemeClr w14:val="tx1"/>
                  </w14:solidFill>
                </w14:textFill>
              </w:rPr>
              <w:t>根据城市管网生活污水类比预估浓度可见下表4-3。</w:t>
            </w:r>
          </w:p>
          <w:p w14:paraId="0F208C93">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表4-3             本项目生活污水污染产生排放情况一览表</w:t>
            </w:r>
          </w:p>
          <w:tbl>
            <w:tblPr>
              <w:tblStyle w:val="33"/>
              <w:tblpPr w:leftFromText="180" w:rightFromText="180" w:vertAnchor="text" w:horzAnchor="page" w:tblpXSpec="center" w:tblpY="25"/>
              <w:tblOverlap w:val="never"/>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909"/>
              <w:gridCol w:w="652"/>
              <w:gridCol w:w="1130"/>
              <w:gridCol w:w="1007"/>
              <w:gridCol w:w="988"/>
              <w:gridCol w:w="988"/>
              <w:gridCol w:w="997"/>
            </w:tblGrid>
            <w:tr w14:paraId="1D75B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tcMar>
                    <w:left w:w="28" w:type="dxa"/>
                    <w:right w:w="28" w:type="dxa"/>
                  </w:tcMar>
                  <w:vAlign w:val="center"/>
                </w:tcPr>
                <w:p w14:paraId="6EBD9959">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排放口编号</w:t>
                  </w:r>
                </w:p>
              </w:tc>
              <w:tc>
                <w:tcPr>
                  <w:tcW w:w="609" w:type="pct"/>
                  <w:tcMar>
                    <w:left w:w="28" w:type="dxa"/>
                    <w:right w:w="28" w:type="dxa"/>
                  </w:tcMar>
                  <w:vAlign w:val="center"/>
                </w:tcPr>
                <w:p w14:paraId="7AB0E324">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废水量</w:t>
                  </w:r>
                </w:p>
              </w:tc>
              <w:tc>
                <w:tcPr>
                  <w:tcW w:w="437" w:type="pct"/>
                  <w:tcMar>
                    <w:left w:w="28" w:type="dxa"/>
                    <w:right w:w="28" w:type="dxa"/>
                  </w:tcMar>
                  <w:vAlign w:val="center"/>
                </w:tcPr>
                <w:p w14:paraId="6F06C700">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污染物</w:t>
                  </w:r>
                </w:p>
              </w:tc>
              <w:tc>
                <w:tcPr>
                  <w:tcW w:w="757" w:type="pct"/>
                  <w:tcMar>
                    <w:left w:w="28" w:type="dxa"/>
                    <w:right w:w="28" w:type="dxa"/>
                  </w:tcMar>
                  <w:vAlign w:val="center"/>
                </w:tcPr>
                <w:p w14:paraId="720D2CA1">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产生浓度（mg/L）</w:t>
                  </w:r>
                </w:p>
              </w:tc>
              <w:tc>
                <w:tcPr>
                  <w:tcW w:w="675" w:type="pct"/>
                  <w:tcMar>
                    <w:left w:w="28" w:type="dxa"/>
                    <w:right w:w="28" w:type="dxa"/>
                  </w:tcMar>
                  <w:vAlign w:val="center"/>
                </w:tcPr>
                <w:p w14:paraId="7E761066">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年产生量（t/a）</w:t>
                  </w:r>
                </w:p>
              </w:tc>
              <w:tc>
                <w:tcPr>
                  <w:tcW w:w="662" w:type="pct"/>
                  <w:tcMar>
                    <w:left w:w="28" w:type="dxa"/>
                    <w:right w:w="28" w:type="dxa"/>
                  </w:tcMar>
                  <w:vAlign w:val="center"/>
                </w:tcPr>
                <w:p w14:paraId="12601943">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处理效率</w:t>
                  </w:r>
                </w:p>
              </w:tc>
              <w:tc>
                <w:tcPr>
                  <w:tcW w:w="662" w:type="pct"/>
                  <w:tcMar>
                    <w:left w:w="28" w:type="dxa"/>
                    <w:right w:w="28" w:type="dxa"/>
                  </w:tcMar>
                  <w:vAlign w:val="center"/>
                </w:tcPr>
                <w:p w14:paraId="0BB5CABA">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排放浓度（mg/L）</w:t>
                  </w:r>
                </w:p>
              </w:tc>
              <w:tc>
                <w:tcPr>
                  <w:tcW w:w="664" w:type="pct"/>
                  <w:tcMar>
                    <w:left w:w="28" w:type="dxa"/>
                    <w:right w:w="28" w:type="dxa"/>
                  </w:tcMar>
                  <w:vAlign w:val="center"/>
                </w:tcPr>
                <w:p w14:paraId="582EFB90">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年排放量（t/a）</w:t>
                  </w:r>
                </w:p>
              </w:tc>
            </w:tr>
            <w:tr w14:paraId="001370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restart"/>
                  <w:tcMar>
                    <w:left w:w="28" w:type="dxa"/>
                    <w:right w:w="28" w:type="dxa"/>
                  </w:tcMar>
                  <w:vAlign w:val="center"/>
                </w:tcPr>
                <w:p w14:paraId="477ECBC9">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DW001</w:t>
                  </w:r>
                </w:p>
              </w:tc>
              <w:tc>
                <w:tcPr>
                  <w:tcW w:w="609" w:type="pct"/>
                  <w:vMerge w:val="restart"/>
                  <w:tcMar>
                    <w:left w:w="28" w:type="dxa"/>
                    <w:right w:w="28" w:type="dxa"/>
                  </w:tcMar>
                  <w:vAlign w:val="center"/>
                </w:tcPr>
                <w:p w14:paraId="665CA679">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116.8m</w:t>
                  </w:r>
                  <w:r>
                    <w:rPr>
                      <w:color w:val="000000" w:themeColor="text1"/>
                      <w:sz w:val="18"/>
                      <w:szCs w:val="18"/>
                      <w:highlight w:val="none"/>
                      <w:vertAlign w:val="superscript"/>
                      <w14:textFill>
                        <w14:solidFill>
                          <w14:schemeClr w14:val="tx1"/>
                        </w14:solidFill>
                      </w14:textFill>
                    </w:rPr>
                    <w:t>3</w:t>
                  </w:r>
                  <w:r>
                    <w:rPr>
                      <w:color w:val="000000" w:themeColor="text1"/>
                      <w:sz w:val="18"/>
                      <w:szCs w:val="18"/>
                      <w:highlight w:val="none"/>
                      <w14:textFill>
                        <w14:solidFill>
                          <w14:schemeClr w14:val="tx1"/>
                        </w14:solidFill>
                      </w14:textFill>
                    </w:rPr>
                    <w:t>/a</w:t>
                  </w:r>
                </w:p>
              </w:tc>
              <w:tc>
                <w:tcPr>
                  <w:tcW w:w="437" w:type="pct"/>
                  <w:tcMar>
                    <w:left w:w="28" w:type="dxa"/>
                    <w:right w:w="28" w:type="dxa"/>
                  </w:tcMar>
                  <w:vAlign w:val="center"/>
                </w:tcPr>
                <w:p w14:paraId="0B6B629A">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COD</w:t>
                  </w:r>
                </w:p>
              </w:tc>
              <w:tc>
                <w:tcPr>
                  <w:tcW w:w="757" w:type="pct"/>
                  <w:tcMar>
                    <w:left w:w="28" w:type="dxa"/>
                    <w:right w:w="28" w:type="dxa"/>
                  </w:tcMar>
                  <w:vAlign w:val="center"/>
                </w:tcPr>
                <w:p w14:paraId="31B25DF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313.4</w:t>
                  </w:r>
                </w:p>
              </w:tc>
              <w:tc>
                <w:tcPr>
                  <w:tcW w:w="675" w:type="pct"/>
                  <w:tcMar>
                    <w:left w:w="28" w:type="dxa"/>
                    <w:right w:w="28" w:type="dxa"/>
                  </w:tcMar>
                  <w:vAlign w:val="center"/>
                </w:tcPr>
                <w:p w14:paraId="22CC03D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0.0366</w:t>
                  </w:r>
                </w:p>
              </w:tc>
              <w:tc>
                <w:tcPr>
                  <w:tcW w:w="662" w:type="pct"/>
                  <w:tcMar>
                    <w:left w:w="28" w:type="dxa"/>
                    <w:right w:w="28" w:type="dxa"/>
                  </w:tcMar>
                  <w:vAlign w:val="center"/>
                </w:tcPr>
                <w:p w14:paraId="07BCBFB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85%</w:t>
                  </w:r>
                </w:p>
              </w:tc>
              <w:tc>
                <w:tcPr>
                  <w:tcW w:w="662" w:type="pct"/>
                  <w:tcMar>
                    <w:left w:w="28" w:type="dxa"/>
                    <w:right w:w="28" w:type="dxa"/>
                  </w:tcMar>
                  <w:vAlign w:val="center"/>
                </w:tcPr>
                <w:p w14:paraId="6F13196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47.01</w:t>
                  </w:r>
                </w:p>
              </w:tc>
              <w:tc>
                <w:tcPr>
                  <w:tcW w:w="664" w:type="pct"/>
                  <w:tcMar>
                    <w:left w:w="28" w:type="dxa"/>
                    <w:right w:w="28" w:type="dxa"/>
                  </w:tcMar>
                  <w:vAlign w:val="center"/>
                </w:tcPr>
                <w:p w14:paraId="4AC198E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0.00549</w:t>
                  </w:r>
                </w:p>
              </w:tc>
            </w:tr>
            <w:tr w14:paraId="0E611A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tcMar>
                    <w:left w:w="28" w:type="dxa"/>
                    <w:right w:w="28" w:type="dxa"/>
                  </w:tcMar>
                  <w:vAlign w:val="center"/>
                </w:tcPr>
                <w:p w14:paraId="04CAA490">
                  <w:pPr>
                    <w:pStyle w:val="53"/>
                    <w:shd w:val="clear"/>
                    <w:topLinePunct/>
                    <w:spacing w:after="0"/>
                    <w:textAlignment w:val="center"/>
                    <w:rPr>
                      <w:color w:val="000000" w:themeColor="text1"/>
                      <w:sz w:val="18"/>
                      <w:szCs w:val="18"/>
                      <w:highlight w:val="none"/>
                      <w14:textFill>
                        <w14:solidFill>
                          <w14:schemeClr w14:val="tx1"/>
                        </w14:solidFill>
                      </w14:textFill>
                    </w:rPr>
                  </w:pPr>
                </w:p>
              </w:tc>
              <w:tc>
                <w:tcPr>
                  <w:tcW w:w="609" w:type="pct"/>
                  <w:vMerge w:val="continue"/>
                  <w:tcMar>
                    <w:left w:w="28" w:type="dxa"/>
                    <w:right w:w="28" w:type="dxa"/>
                  </w:tcMar>
                  <w:vAlign w:val="center"/>
                </w:tcPr>
                <w:p w14:paraId="6D17D6B1">
                  <w:pPr>
                    <w:pStyle w:val="53"/>
                    <w:shd w:val="clear"/>
                    <w:topLinePunct/>
                    <w:spacing w:after="0"/>
                    <w:textAlignment w:val="center"/>
                    <w:rPr>
                      <w:color w:val="000000" w:themeColor="text1"/>
                      <w:sz w:val="18"/>
                      <w:szCs w:val="18"/>
                      <w:highlight w:val="none"/>
                      <w14:textFill>
                        <w14:solidFill>
                          <w14:schemeClr w14:val="tx1"/>
                        </w14:solidFill>
                      </w14:textFill>
                    </w:rPr>
                  </w:pPr>
                </w:p>
              </w:tc>
              <w:tc>
                <w:tcPr>
                  <w:tcW w:w="437" w:type="pct"/>
                  <w:tcMar>
                    <w:left w:w="28" w:type="dxa"/>
                    <w:right w:w="28" w:type="dxa"/>
                  </w:tcMar>
                  <w:vAlign w:val="center"/>
                </w:tcPr>
                <w:p w14:paraId="46943C81">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BOD</w:t>
                  </w:r>
                  <w:r>
                    <w:rPr>
                      <w:color w:val="000000" w:themeColor="text1"/>
                      <w:sz w:val="18"/>
                      <w:szCs w:val="18"/>
                      <w:highlight w:val="none"/>
                      <w:vertAlign w:val="subscript"/>
                      <w14:textFill>
                        <w14:solidFill>
                          <w14:schemeClr w14:val="tx1"/>
                        </w14:solidFill>
                      </w14:textFill>
                    </w:rPr>
                    <w:t>5</w:t>
                  </w:r>
                </w:p>
              </w:tc>
              <w:tc>
                <w:tcPr>
                  <w:tcW w:w="757" w:type="pct"/>
                  <w:tcMar>
                    <w:left w:w="28" w:type="dxa"/>
                    <w:right w:w="28" w:type="dxa"/>
                  </w:tcMar>
                  <w:vAlign w:val="center"/>
                </w:tcPr>
                <w:p w14:paraId="3FE2006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114.2</w:t>
                  </w:r>
                </w:p>
              </w:tc>
              <w:tc>
                <w:tcPr>
                  <w:tcW w:w="675" w:type="pct"/>
                  <w:tcMar>
                    <w:left w:w="28" w:type="dxa"/>
                    <w:right w:w="28" w:type="dxa"/>
                  </w:tcMar>
                  <w:vAlign w:val="center"/>
                </w:tcPr>
                <w:p w14:paraId="5C36133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0.0133</w:t>
                  </w:r>
                </w:p>
              </w:tc>
              <w:tc>
                <w:tcPr>
                  <w:tcW w:w="662" w:type="pct"/>
                  <w:tcMar>
                    <w:left w:w="28" w:type="dxa"/>
                    <w:right w:w="28" w:type="dxa"/>
                  </w:tcMar>
                  <w:vAlign w:val="center"/>
                </w:tcPr>
                <w:p w14:paraId="218CB7E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90%</w:t>
                  </w:r>
                </w:p>
              </w:tc>
              <w:tc>
                <w:tcPr>
                  <w:tcW w:w="662" w:type="pct"/>
                  <w:tcMar>
                    <w:left w:w="28" w:type="dxa"/>
                    <w:right w:w="28" w:type="dxa"/>
                  </w:tcMar>
                  <w:vAlign w:val="center"/>
                </w:tcPr>
                <w:p w14:paraId="2E77908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11.42</w:t>
                  </w:r>
                </w:p>
              </w:tc>
              <w:tc>
                <w:tcPr>
                  <w:tcW w:w="664" w:type="pct"/>
                  <w:tcMar>
                    <w:left w:w="28" w:type="dxa"/>
                    <w:right w:w="28" w:type="dxa"/>
                  </w:tcMar>
                  <w:vAlign w:val="center"/>
                </w:tcPr>
                <w:p w14:paraId="3BF057B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0.00133</w:t>
                  </w:r>
                </w:p>
              </w:tc>
            </w:tr>
            <w:tr w14:paraId="30268F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tcMar>
                    <w:left w:w="28" w:type="dxa"/>
                    <w:right w:w="28" w:type="dxa"/>
                  </w:tcMar>
                  <w:vAlign w:val="center"/>
                </w:tcPr>
                <w:p w14:paraId="3E43CF90">
                  <w:pPr>
                    <w:pStyle w:val="53"/>
                    <w:shd w:val="clear"/>
                    <w:topLinePunct/>
                    <w:spacing w:after="0"/>
                    <w:textAlignment w:val="center"/>
                    <w:rPr>
                      <w:color w:val="000000" w:themeColor="text1"/>
                      <w:sz w:val="18"/>
                      <w:szCs w:val="18"/>
                      <w:highlight w:val="none"/>
                      <w14:textFill>
                        <w14:solidFill>
                          <w14:schemeClr w14:val="tx1"/>
                        </w14:solidFill>
                      </w14:textFill>
                    </w:rPr>
                  </w:pPr>
                </w:p>
              </w:tc>
              <w:tc>
                <w:tcPr>
                  <w:tcW w:w="609" w:type="pct"/>
                  <w:vMerge w:val="continue"/>
                  <w:tcMar>
                    <w:left w:w="28" w:type="dxa"/>
                    <w:right w:w="28" w:type="dxa"/>
                  </w:tcMar>
                  <w:vAlign w:val="center"/>
                </w:tcPr>
                <w:p w14:paraId="4A7EA054">
                  <w:pPr>
                    <w:pStyle w:val="53"/>
                    <w:shd w:val="clear"/>
                    <w:topLinePunct/>
                    <w:spacing w:after="0"/>
                    <w:textAlignment w:val="center"/>
                    <w:rPr>
                      <w:color w:val="000000" w:themeColor="text1"/>
                      <w:sz w:val="18"/>
                      <w:szCs w:val="18"/>
                      <w:highlight w:val="none"/>
                      <w14:textFill>
                        <w14:solidFill>
                          <w14:schemeClr w14:val="tx1"/>
                        </w14:solidFill>
                      </w14:textFill>
                    </w:rPr>
                  </w:pPr>
                </w:p>
              </w:tc>
              <w:tc>
                <w:tcPr>
                  <w:tcW w:w="437" w:type="pct"/>
                  <w:tcMar>
                    <w:left w:w="28" w:type="dxa"/>
                    <w:right w:w="28" w:type="dxa"/>
                  </w:tcMar>
                  <w:vAlign w:val="center"/>
                </w:tcPr>
                <w:p w14:paraId="76D98842">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SS</w:t>
                  </w:r>
                </w:p>
              </w:tc>
              <w:tc>
                <w:tcPr>
                  <w:tcW w:w="757" w:type="pct"/>
                  <w:tcMar>
                    <w:left w:w="28" w:type="dxa"/>
                    <w:right w:w="28" w:type="dxa"/>
                  </w:tcMar>
                  <w:vAlign w:val="center"/>
                </w:tcPr>
                <w:p w14:paraId="124D52B3">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194.7</w:t>
                  </w:r>
                </w:p>
              </w:tc>
              <w:tc>
                <w:tcPr>
                  <w:tcW w:w="675" w:type="pct"/>
                  <w:tcMar>
                    <w:left w:w="28" w:type="dxa"/>
                    <w:right w:w="28" w:type="dxa"/>
                  </w:tcMar>
                  <w:vAlign w:val="center"/>
                </w:tcPr>
                <w:p w14:paraId="3B6A674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0.0227</w:t>
                  </w:r>
                </w:p>
              </w:tc>
              <w:tc>
                <w:tcPr>
                  <w:tcW w:w="662" w:type="pct"/>
                  <w:tcMar>
                    <w:left w:w="28" w:type="dxa"/>
                    <w:right w:w="28" w:type="dxa"/>
                  </w:tcMar>
                  <w:vAlign w:val="center"/>
                </w:tcPr>
                <w:p w14:paraId="7C090F3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90%</w:t>
                  </w:r>
                </w:p>
              </w:tc>
              <w:tc>
                <w:tcPr>
                  <w:tcW w:w="662" w:type="pct"/>
                  <w:tcMar>
                    <w:left w:w="28" w:type="dxa"/>
                    <w:right w:w="28" w:type="dxa"/>
                  </w:tcMar>
                  <w:vAlign w:val="center"/>
                </w:tcPr>
                <w:p w14:paraId="0299BDED">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19.47</w:t>
                  </w:r>
                </w:p>
              </w:tc>
              <w:tc>
                <w:tcPr>
                  <w:tcW w:w="664" w:type="pct"/>
                  <w:tcMar>
                    <w:left w:w="28" w:type="dxa"/>
                    <w:right w:w="28" w:type="dxa"/>
                  </w:tcMar>
                  <w:vAlign w:val="center"/>
                </w:tcPr>
                <w:p w14:paraId="5F17D3D6">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0.00227</w:t>
                  </w:r>
                </w:p>
              </w:tc>
            </w:tr>
            <w:tr w14:paraId="23306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0" w:type="pct"/>
                  <w:vMerge w:val="continue"/>
                  <w:tcMar>
                    <w:left w:w="28" w:type="dxa"/>
                    <w:right w:w="28" w:type="dxa"/>
                  </w:tcMar>
                  <w:vAlign w:val="center"/>
                </w:tcPr>
                <w:p w14:paraId="524B2CE2">
                  <w:pPr>
                    <w:pStyle w:val="53"/>
                    <w:shd w:val="clear"/>
                    <w:topLinePunct/>
                    <w:spacing w:after="0"/>
                    <w:textAlignment w:val="center"/>
                    <w:rPr>
                      <w:color w:val="000000" w:themeColor="text1"/>
                      <w:sz w:val="18"/>
                      <w:szCs w:val="18"/>
                      <w:highlight w:val="none"/>
                      <w14:textFill>
                        <w14:solidFill>
                          <w14:schemeClr w14:val="tx1"/>
                        </w14:solidFill>
                      </w14:textFill>
                    </w:rPr>
                  </w:pPr>
                </w:p>
              </w:tc>
              <w:tc>
                <w:tcPr>
                  <w:tcW w:w="609" w:type="pct"/>
                  <w:vMerge w:val="continue"/>
                  <w:tcMar>
                    <w:left w:w="28" w:type="dxa"/>
                    <w:right w:w="28" w:type="dxa"/>
                  </w:tcMar>
                  <w:vAlign w:val="center"/>
                </w:tcPr>
                <w:p w14:paraId="2905AC4D">
                  <w:pPr>
                    <w:pStyle w:val="53"/>
                    <w:shd w:val="clear"/>
                    <w:topLinePunct/>
                    <w:spacing w:after="0"/>
                    <w:textAlignment w:val="center"/>
                    <w:rPr>
                      <w:color w:val="000000" w:themeColor="text1"/>
                      <w:sz w:val="18"/>
                      <w:szCs w:val="18"/>
                      <w:highlight w:val="none"/>
                      <w14:textFill>
                        <w14:solidFill>
                          <w14:schemeClr w14:val="tx1"/>
                        </w14:solidFill>
                      </w14:textFill>
                    </w:rPr>
                  </w:pPr>
                </w:p>
              </w:tc>
              <w:tc>
                <w:tcPr>
                  <w:tcW w:w="437" w:type="pct"/>
                  <w:tcMar>
                    <w:left w:w="28" w:type="dxa"/>
                    <w:right w:w="28" w:type="dxa"/>
                  </w:tcMar>
                  <w:vAlign w:val="center"/>
                </w:tcPr>
                <w:p w14:paraId="59AFC36A">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NH</w:t>
                  </w:r>
                  <w:r>
                    <w:rPr>
                      <w:color w:val="000000" w:themeColor="text1"/>
                      <w:sz w:val="18"/>
                      <w:szCs w:val="18"/>
                      <w:highlight w:val="none"/>
                      <w:vertAlign w:val="subscript"/>
                      <w14:textFill>
                        <w14:solidFill>
                          <w14:schemeClr w14:val="tx1"/>
                        </w14:solidFill>
                      </w14:textFill>
                    </w:rPr>
                    <w:t>3</w:t>
                  </w:r>
                  <w:r>
                    <w:rPr>
                      <w:color w:val="000000" w:themeColor="text1"/>
                      <w:sz w:val="18"/>
                      <w:szCs w:val="18"/>
                      <w:highlight w:val="none"/>
                      <w14:textFill>
                        <w14:solidFill>
                          <w14:schemeClr w14:val="tx1"/>
                        </w14:solidFill>
                      </w14:textFill>
                    </w:rPr>
                    <w:t>-N</w:t>
                  </w:r>
                </w:p>
              </w:tc>
              <w:tc>
                <w:tcPr>
                  <w:tcW w:w="757" w:type="pct"/>
                  <w:tcMar>
                    <w:left w:w="28" w:type="dxa"/>
                    <w:right w:w="28" w:type="dxa"/>
                  </w:tcMar>
                  <w:vAlign w:val="center"/>
                </w:tcPr>
                <w:p w14:paraId="46E8914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47.7</w:t>
                  </w:r>
                </w:p>
              </w:tc>
              <w:tc>
                <w:tcPr>
                  <w:tcW w:w="675" w:type="pct"/>
                  <w:tcMar>
                    <w:left w:w="28" w:type="dxa"/>
                    <w:right w:w="28" w:type="dxa"/>
                  </w:tcMar>
                  <w:vAlign w:val="center"/>
                </w:tcPr>
                <w:p w14:paraId="631912A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0.00557</w:t>
                  </w:r>
                </w:p>
              </w:tc>
              <w:tc>
                <w:tcPr>
                  <w:tcW w:w="662" w:type="pct"/>
                  <w:tcMar>
                    <w:left w:w="28" w:type="dxa"/>
                    <w:right w:w="28" w:type="dxa"/>
                  </w:tcMar>
                  <w:vAlign w:val="center"/>
                </w:tcPr>
                <w:p w14:paraId="53EC5DD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70%</w:t>
                  </w:r>
                </w:p>
              </w:tc>
              <w:tc>
                <w:tcPr>
                  <w:tcW w:w="662" w:type="pct"/>
                  <w:tcMar>
                    <w:left w:w="28" w:type="dxa"/>
                    <w:right w:w="28" w:type="dxa"/>
                  </w:tcMar>
                  <w:vAlign w:val="center"/>
                </w:tcPr>
                <w:p w14:paraId="2DD7DEA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14.31</w:t>
                  </w:r>
                </w:p>
              </w:tc>
              <w:tc>
                <w:tcPr>
                  <w:tcW w:w="664" w:type="pct"/>
                  <w:tcMar>
                    <w:left w:w="28" w:type="dxa"/>
                    <w:right w:w="28" w:type="dxa"/>
                  </w:tcMar>
                  <w:vAlign w:val="center"/>
                </w:tcPr>
                <w:p w14:paraId="4D85DB0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0.00167</w:t>
                  </w:r>
                </w:p>
              </w:tc>
            </w:tr>
            <w:tr w14:paraId="2845D0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Mar>
                    <w:left w:w="28" w:type="dxa"/>
                    <w:right w:w="28" w:type="dxa"/>
                  </w:tcMar>
                  <w:vAlign w:val="center"/>
                </w:tcPr>
                <w:p w14:paraId="1339B79D">
                  <w:pPr>
                    <w:pStyle w:val="53"/>
                    <w:shd w:val="clear"/>
                    <w:topLinePunct/>
                    <w:spacing w:after="0"/>
                    <w:textAlignment w:val="center"/>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SS产生浓度参考《社会区域类影响评价/环境影响评价工程师职业资格登记培训教材》中房地产项目取值；CODcr、BOD</w:t>
                  </w:r>
                  <w:r>
                    <w:rPr>
                      <w:color w:val="000000" w:themeColor="text1"/>
                      <w:sz w:val="18"/>
                      <w:szCs w:val="18"/>
                      <w:highlight w:val="none"/>
                      <w:vertAlign w:val="subscript"/>
                      <w14:textFill>
                        <w14:solidFill>
                          <w14:schemeClr w14:val="tx1"/>
                        </w14:solidFill>
                      </w14:textFill>
                    </w:rPr>
                    <w:t>5</w:t>
                  </w:r>
                  <w:r>
                    <w:rPr>
                      <w:color w:val="000000" w:themeColor="text1"/>
                      <w:sz w:val="18"/>
                      <w:szCs w:val="18"/>
                      <w:highlight w:val="none"/>
                      <w14:textFill>
                        <w14:solidFill>
                          <w14:schemeClr w14:val="tx1"/>
                        </w14:solidFill>
                      </w14:textFill>
                    </w:rPr>
                    <w:t>、氨氮参考《排放源统计调查产排污核算方法和系数手册》中</w:t>
                  </w:r>
                  <w:r>
                    <w:rPr>
                      <w:rFonts w:hint="eastAsia"/>
                      <w:color w:val="000000" w:themeColor="text1"/>
                      <w:sz w:val="18"/>
                      <w:szCs w:val="18"/>
                      <w:highlight w:val="none"/>
                      <w:lang w:eastAsia="zh-CN"/>
                      <w14:textFill>
                        <w14:solidFill>
                          <w14:schemeClr w14:val="tx1"/>
                        </w14:solidFill>
                      </w14:textFill>
                    </w:rPr>
                    <w:t>“</w:t>
                  </w:r>
                  <w:r>
                    <w:rPr>
                      <w:color w:val="000000" w:themeColor="text1"/>
                      <w:sz w:val="18"/>
                      <w:szCs w:val="18"/>
                      <w:highlight w:val="none"/>
                      <w14:textFill>
                        <w14:solidFill>
                          <w14:schemeClr w14:val="tx1"/>
                        </w14:solidFill>
                      </w14:textFill>
                    </w:rPr>
                    <w:t>集中式污染治理设施产排污系数手册</w:t>
                  </w:r>
                  <w:r>
                    <w:rPr>
                      <w:rFonts w:hint="eastAsia"/>
                      <w:color w:val="000000" w:themeColor="text1"/>
                      <w:sz w:val="18"/>
                      <w:szCs w:val="18"/>
                      <w:highlight w:val="none"/>
                      <w:lang w:eastAsia="zh-CN"/>
                      <w14:textFill>
                        <w14:solidFill>
                          <w14:schemeClr w14:val="tx1"/>
                        </w14:solidFill>
                      </w14:textFill>
                    </w:rPr>
                    <w:t>”</w:t>
                  </w:r>
                  <w:r>
                    <w:rPr>
                      <w:color w:val="000000" w:themeColor="text1"/>
                      <w:sz w:val="18"/>
                      <w:szCs w:val="18"/>
                      <w:highlight w:val="none"/>
                      <w14:textFill>
                        <w14:solidFill>
                          <w14:schemeClr w14:val="tx1"/>
                        </w14:solidFill>
                      </w14:textFill>
                    </w:rPr>
                    <w:t>巴音郭楞蒙古自治州污水处理厂进水水质浓度。</w:t>
                  </w:r>
                </w:p>
              </w:tc>
            </w:tr>
          </w:tbl>
          <w:p w14:paraId="196A650F">
            <w:pPr>
              <w:pStyle w:val="3"/>
              <w:shd w:val="clear"/>
              <w:rPr>
                <w:color w:val="000000" w:themeColor="text1"/>
                <w:highlight w:val="none"/>
                <w14:textFill>
                  <w14:solidFill>
                    <w14:schemeClr w14:val="tx1"/>
                  </w14:solidFill>
                </w14:textFill>
              </w:rPr>
            </w:pPr>
            <w:bookmarkStart w:id="294" w:name="_Toc12478"/>
            <w:bookmarkStart w:id="295" w:name="_Toc26430"/>
            <w:bookmarkStart w:id="296" w:name="_Toc28551"/>
            <w:r>
              <w:rPr>
                <w:color w:val="000000" w:themeColor="text1"/>
                <w:highlight w:val="none"/>
                <w14:textFill>
                  <w14:solidFill>
                    <w14:schemeClr w14:val="tx1"/>
                  </w14:solidFill>
                </w14:textFill>
              </w:rPr>
              <w:t>4、噪声污染源及影响分析</w:t>
            </w:r>
            <w:bookmarkEnd w:id="294"/>
            <w:bookmarkEnd w:id="295"/>
            <w:bookmarkEnd w:id="296"/>
          </w:p>
          <w:p w14:paraId="21B3C1D3">
            <w:pPr>
              <w:pStyle w:val="3"/>
              <w:shd w:val="clear"/>
              <w:rPr>
                <w:rFonts w:hint="default" w:eastAsia="宋体"/>
                <w:color w:val="000000" w:themeColor="text1"/>
                <w:highlight w:val="none"/>
                <w:lang w:val="en-US" w:eastAsia="zh-CN"/>
                <w14:textFill>
                  <w14:solidFill>
                    <w14:schemeClr w14:val="tx1"/>
                  </w14:solidFill>
                </w14:textFill>
              </w:rPr>
            </w:pPr>
            <w:bookmarkStart w:id="297" w:name="_Toc19784"/>
            <w:bookmarkStart w:id="298" w:name="_Toc17679"/>
            <w:bookmarkStart w:id="299" w:name="_Toc8983"/>
            <w:r>
              <w:rPr>
                <w:color w:val="000000" w:themeColor="text1"/>
                <w:highlight w:val="none"/>
                <w14:textFill>
                  <w14:solidFill>
                    <w14:schemeClr w14:val="tx1"/>
                  </w14:solidFill>
                </w14:textFill>
              </w:rPr>
              <w:t>4.1</w:t>
            </w:r>
            <w:bookmarkEnd w:id="297"/>
            <w:bookmarkEnd w:id="298"/>
            <w:r>
              <w:rPr>
                <w:rFonts w:hint="eastAsia"/>
                <w:color w:val="000000" w:themeColor="text1"/>
                <w:highlight w:val="none"/>
                <w:lang w:val="en-US" w:eastAsia="zh-CN"/>
                <w14:textFill>
                  <w14:solidFill>
                    <w14:schemeClr w14:val="tx1"/>
                  </w14:solidFill>
                </w14:textFill>
              </w:rPr>
              <w:t>升压站</w:t>
            </w:r>
            <w:bookmarkEnd w:id="299"/>
          </w:p>
          <w:p w14:paraId="081F792C">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（1）计算模式</w:t>
            </w:r>
          </w:p>
          <w:p w14:paraId="3A784555">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本项目根据《环境影响评价技术导则 声环境》（HJ2.4-2021）中规定的工业噪声预测模式，预测</w:t>
            </w:r>
            <w:r>
              <w:rPr>
                <w:rFonts w:hint="eastAsia"/>
                <w:color w:val="000000" w:themeColor="text1"/>
                <w:highlight w:val="none"/>
                <w:lang w:eastAsia="zh-CN"/>
                <w14:textFill>
                  <w14:solidFill>
                    <w14:schemeClr w14:val="tx1"/>
                  </w14:solidFill>
                </w14:textFill>
              </w:rPr>
              <w:t>升压站</w:t>
            </w:r>
            <w:r>
              <w:rPr>
                <w:color w:val="000000" w:themeColor="text1"/>
                <w:highlight w:val="none"/>
                <w14:textFill>
                  <w14:solidFill>
                    <w14:schemeClr w14:val="tx1"/>
                  </w14:solidFill>
                </w14:textFill>
              </w:rPr>
              <w:t>主要噪声源的噪声贡献值，并按5dB的等声级线间隔绘制地面1.2m高度处的等声级线图，然后与环境标准对比进行评价。</w:t>
            </w:r>
          </w:p>
          <w:p w14:paraId="3308982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（2）计算条件</w:t>
            </w:r>
          </w:p>
          <w:p w14:paraId="6BC12A6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 预测时段</w:t>
            </w:r>
          </w:p>
          <w:p w14:paraId="6C850B15">
            <w:pPr>
              <w:shd w:val="clea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升压站</w:t>
            </w:r>
            <w:r>
              <w:rPr>
                <w:color w:val="000000" w:themeColor="text1"/>
                <w:highlight w:val="none"/>
                <w14:textFill>
                  <w14:solidFill>
                    <w14:schemeClr w14:val="tx1"/>
                  </w14:solidFill>
                </w14:textFill>
              </w:rPr>
              <w:t>一般为24h连续运行，噪声源稳定，对周围声环境的贡献值昼夜基本相同。故本次评价重点对</w:t>
            </w:r>
            <w:r>
              <w:rPr>
                <w:rFonts w:hint="eastAsia"/>
                <w:color w:val="000000" w:themeColor="text1"/>
                <w:highlight w:val="none"/>
                <w:lang w:eastAsia="zh-CN"/>
                <w14:textFill>
                  <w14:solidFill>
                    <w14:schemeClr w14:val="tx1"/>
                  </w14:solidFill>
                </w14:textFill>
              </w:rPr>
              <w:t>升压站</w:t>
            </w:r>
            <w:r>
              <w:rPr>
                <w:color w:val="000000" w:themeColor="text1"/>
                <w:highlight w:val="none"/>
                <w14:textFill>
                  <w14:solidFill>
                    <w14:schemeClr w14:val="tx1"/>
                  </w14:solidFill>
                </w14:textFill>
              </w:rPr>
              <w:t>运行期的噪声进行预测。</w:t>
            </w:r>
          </w:p>
          <w:p w14:paraId="47071818">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 衰减因素选取</w:t>
            </w:r>
          </w:p>
          <w:p w14:paraId="7634271C">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预测计算时，在满足工程所需精度的前提下，采用了较为保守的考虑，在噪声衰减时考虑了综合楼等站内建筑物的遮挡屏蔽效应。</w:t>
            </w:r>
          </w:p>
          <w:p w14:paraId="49CD479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（3）预测软件及参数</w:t>
            </w:r>
          </w:p>
          <w:p w14:paraId="633F832E">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采用《环境影响评价技术导则 声环境》（HJ2.4-2021）中推荐的模式进行计算。</w:t>
            </w:r>
          </w:p>
          <w:p w14:paraId="16985F1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根据对本项目运行期的噪声源分析，</w:t>
            </w:r>
            <w:r>
              <w:rPr>
                <w:rFonts w:hint="eastAsia"/>
                <w:color w:val="000000" w:themeColor="text1"/>
                <w:highlight w:val="none"/>
                <w:lang w:eastAsia="zh-CN"/>
                <w14:textFill>
                  <w14:solidFill>
                    <w14:schemeClr w14:val="tx1"/>
                  </w14:solidFill>
                </w14:textFill>
              </w:rPr>
              <w:t>升压站</w:t>
            </w:r>
            <w:r>
              <w:rPr>
                <w:color w:val="000000" w:themeColor="text1"/>
                <w:highlight w:val="none"/>
                <w14:textFill>
                  <w14:solidFill>
                    <w14:schemeClr w14:val="tx1"/>
                  </w14:solidFill>
                </w14:textFill>
              </w:rPr>
              <w:t>运行期间的噪声主要是变压器产生，本项目拟建1台主变为双圈变压器，</w:t>
            </w:r>
            <w:r>
              <w:rPr>
                <w:rFonts w:hint="eastAsia"/>
                <w:color w:val="000000" w:themeColor="text1"/>
                <w:highlight w:val="none"/>
                <w:lang w:val="en-US" w:eastAsia="zh-CN"/>
                <w14:textFill>
                  <w14:solidFill>
                    <w14:schemeClr w14:val="tx1"/>
                  </w14:solidFill>
                </w14:textFill>
              </w:rPr>
              <w:t>参考《变电站噪声控制技术导则》（DLT1518-2016）中表B.1110KV主变压器</w:t>
            </w:r>
            <w:r>
              <w:rPr>
                <w:color w:val="000000" w:themeColor="text1"/>
                <w:highlight w:val="none"/>
                <w14:textFill>
                  <w14:solidFill>
                    <w14:schemeClr w14:val="tx1"/>
                  </w14:solidFill>
                </w14:textFill>
              </w:rPr>
              <w:t>噪声源强约</w:t>
            </w:r>
            <w:r>
              <w:rPr>
                <w:rFonts w:hint="eastAsia"/>
                <w:color w:val="000000" w:themeColor="text1"/>
                <w:highlight w:val="none"/>
                <w:lang w:val="en-US" w:eastAsia="zh-CN"/>
                <w14:textFill>
                  <w14:solidFill>
                    <w14:schemeClr w14:val="tx1"/>
                  </w14:solidFill>
                </w14:textFill>
              </w:rPr>
              <w:t>82.9</w:t>
            </w:r>
            <w:r>
              <w:rPr>
                <w:color w:val="000000" w:themeColor="text1"/>
                <w:highlight w:val="none"/>
                <w14:textFill>
                  <w14:solidFill>
                    <w14:schemeClr w14:val="tx1"/>
                  </w14:solidFill>
                </w14:textFill>
              </w:rPr>
              <w:t>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；主变压器为户外布置，一年四季持续运行。主要产噪设备参数见下表4-4。</w:t>
            </w:r>
          </w:p>
          <w:p w14:paraId="6E83E378">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 4-4</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t xml:space="preserve">  工业企业噪声源强调查清单（室外声源）</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58"/>
              <w:gridCol w:w="1002"/>
              <w:gridCol w:w="591"/>
              <w:gridCol w:w="642"/>
              <w:gridCol w:w="693"/>
              <w:gridCol w:w="1680"/>
              <w:gridCol w:w="984"/>
              <w:gridCol w:w="695"/>
              <w:gridCol w:w="721"/>
            </w:tblGrid>
            <w:tr w14:paraId="755031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313" w:type="pct"/>
                  <w:vMerge w:val="restart"/>
                  <w:tcBorders>
                    <w:tl2br w:val="nil"/>
                    <w:tr2bl w:val="nil"/>
                  </w:tcBorders>
                  <w:shd w:val="clear" w:color="auto" w:fill="auto"/>
                  <w:vAlign w:val="center"/>
                </w:tcPr>
                <w:p w14:paraId="63CBC45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序号</w:t>
                  </w:r>
                </w:p>
              </w:tc>
              <w:tc>
                <w:tcPr>
                  <w:tcW w:w="677" w:type="pct"/>
                  <w:vMerge w:val="restart"/>
                  <w:tcBorders>
                    <w:tl2br w:val="nil"/>
                    <w:tr2bl w:val="nil"/>
                  </w:tcBorders>
                  <w:shd w:val="clear" w:color="auto" w:fill="auto"/>
                  <w:vAlign w:val="center"/>
                </w:tcPr>
                <w:p w14:paraId="72C9DE8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声源名称</w:t>
                  </w:r>
                </w:p>
              </w:tc>
              <w:tc>
                <w:tcPr>
                  <w:tcW w:w="1255" w:type="pct"/>
                  <w:gridSpan w:val="3"/>
                  <w:tcBorders>
                    <w:tl2br w:val="nil"/>
                    <w:tr2bl w:val="nil"/>
                  </w:tcBorders>
                  <w:shd w:val="clear" w:color="auto" w:fill="auto"/>
                  <w:vAlign w:val="center"/>
                </w:tcPr>
                <w:p w14:paraId="797E3B3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空间相对位置/m</w:t>
                  </w:r>
                </w:p>
              </w:tc>
              <w:tc>
                <w:tcPr>
                  <w:tcW w:w="1796" w:type="pct"/>
                  <w:gridSpan w:val="2"/>
                  <w:tcBorders>
                    <w:tl2br w:val="nil"/>
                    <w:tr2bl w:val="nil"/>
                  </w:tcBorders>
                  <w:shd w:val="clear" w:color="auto" w:fill="auto"/>
                  <w:vAlign w:val="center"/>
                </w:tcPr>
                <w:p w14:paraId="6F6AD42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lang w:eastAsia="zh-CN"/>
                    </w:rPr>
                  </w:pPr>
                  <w:r>
                    <w:rPr>
                      <w:rFonts w:hint="default" w:ascii="Times New Roman" w:hAnsi="Times New Roman" w:cs="Times New Roman" w:eastAsiaTheme="minorEastAsia"/>
                      <w:b w:val="0"/>
                      <w:bCs/>
                      <w:sz w:val="18"/>
                      <w:szCs w:val="18"/>
                      <w:highlight w:val="none"/>
                      <w:lang w:eastAsia="zh-CN"/>
                    </w:rPr>
                    <w:t>声源源强（任选一种）</w:t>
                  </w:r>
                </w:p>
              </w:tc>
              <w:tc>
                <w:tcPr>
                  <w:tcW w:w="471" w:type="pct"/>
                  <w:vMerge w:val="restart"/>
                  <w:tcBorders>
                    <w:tl2br w:val="nil"/>
                    <w:tr2bl w:val="nil"/>
                  </w:tcBorders>
                  <w:shd w:val="clear" w:color="auto" w:fill="auto"/>
                  <w:vAlign w:val="center"/>
                </w:tcPr>
                <w:p w14:paraId="46C2CA9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声源控制措施</w:t>
                  </w:r>
                </w:p>
              </w:tc>
              <w:tc>
                <w:tcPr>
                  <w:tcW w:w="484" w:type="pct"/>
                  <w:vMerge w:val="restart"/>
                  <w:tcBorders>
                    <w:tl2br w:val="nil"/>
                    <w:tr2bl w:val="nil"/>
                  </w:tcBorders>
                  <w:shd w:val="clear" w:color="auto" w:fill="auto"/>
                  <w:vAlign w:val="center"/>
                </w:tcPr>
                <w:p w14:paraId="4529021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运行时段</w:t>
                  </w:r>
                </w:p>
              </w:tc>
            </w:tr>
            <w:tr w14:paraId="02657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313" w:type="pct"/>
                  <w:vMerge w:val="continue"/>
                  <w:tcBorders>
                    <w:tl2br w:val="nil"/>
                    <w:tr2bl w:val="nil"/>
                  </w:tcBorders>
                  <w:shd w:val="clear" w:color="auto" w:fill="auto"/>
                  <w:vAlign w:val="center"/>
                </w:tcPr>
                <w:p w14:paraId="29311C5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p>
              </w:tc>
              <w:tc>
                <w:tcPr>
                  <w:tcW w:w="677" w:type="pct"/>
                  <w:vMerge w:val="continue"/>
                  <w:tcBorders>
                    <w:tl2br w:val="nil"/>
                    <w:tr2bl w:val="nil"/>
                  </w:tcBorders>
                  <w:shd w:val="clear" w:color="auto" w:fill="auto"/>
                  <w:vAlign w:val="center"/>
                </w:tcPr>
                <w:p w14:paraId="0FE9A8A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p>
              </w:tc>
              <w:tc>
                <w:tcPr>
                  <w:tcW w:w="349" w:type="pct"/>
                  <w:tcBorders>
                    <w:tl2br w:val="nil"/>
                    <w:tr2bl w:val="nil"/>
                  </w:tcBorders>
                  <w:shd w:val="clear" w:color="auto" w:fill="auto"/>
                  <w:vAlign w:val="center"/>
                </w:tcPr>
                <w:p w14:paraId="5B52EB6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X</w:t>
                  </w:r>
                </w:p>
              </w:tc>
              <w:tc>
                <w:tcPr>
                  <w:tcW w:w="436" w:type="pct"/>
                  <w:tcBorders>
                    <w:tl2br w:val="nil"/>
                    <w:tr2bl w:val="nil"/>
                  </w:tcBorders>
                  <w:shd w:val="clear" w:color="auto" w:fill="auto"/>
                  <w:vAlign w:val="center"/>
                </w:tcPr>
                <w:p w14:paraId="3593AEC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Y</w:t>
                  </w:r>
                </w:p>
              </w:tc>
              <w:tc>
                <w:tcPr>
                  <w:tcW w:w="468" w:type="pct"/>
                  <w:tcBorders>
                    <w:tl2br w:val="nil"/>
                    <w:tr2bl w:val="nil"/>
                  </w:tcBorders>
                  <w:shd w:val="clear" w:color="auto" w:fill="auto"/>
                  <w:vAlign w:val="center"/>
                </w:tcPr>
                <w:p w14:paraId="2CDF0AF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Z</w:t>
                  </w:r>
                </w:p>
              </w:tc>
              <w:tc>
                <w:tcPr>
                  <w:tcW w:w="1131" w:type="pct"/>
                  <w:tcBorders>
                    <w:tl2br w:val="nil"/>
                    <w:tr2bl w:val="nil"/>
                  </w:tcBorders>
                  <w:shd w:val="clear" w:color="auto" w:fill="auto"/>
                  <w:vAlign w:val="center"/>
                </w:tcPr>
                <w:p w14:paraId="2343600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（声压级/距声源距离）/（dB(A)/m）</w:t>
                  </w:r>
                </w:p>
              </w:tc>
              <w:tc>
                <w:tcPr>
                  <w:tcW w:w="665" w:type="pct"/>
                  <w:tcBorders>
                    <w:tl2br w:val="nil"/>
                    <w:tr2bl w:val="nil"/>
                  </w:tcBorders>
                  <w:shd w:val="clear" w:color="auto" w:fill="auto"/>
                  <w:vAlign w:val="center"/>
                </w:tcPr>
                <w:p w14:paraId="729B156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r>
                    <w:rPr>
                      <w:rFonts w:hint="default" w:ascii="Times New Roman" w:hAnsi="Times New Roman" w:cs="Times New Roman" w:eastAsiaTheme="minorEastAsia"/>
                      <w:b w:val="0"/>
                      <w:bCs/>
                      <w:sz w:val="18"/>
                      <w:szCs w:val="18"/>
                      <w:highlight w:val="none"/>
                    </w:rPr>
                    <w:t>声功率级/dB(A)</w:t>
                  </w:r>
                </w:p>
              </w:tc>
              <w:tc>
                <w:tcPr>
                  <w:tcW w:w="471" w:type="pct"/>
                  <w:vMerge w:val="continue"/>
                  <w:tcBorders>
                    <w:tl2br w:val="nil"/>
                    <w:tr2bl w:val="nil"/>
                  </w:tcBorders>
                  <w:shd w:val="clear" w:color="auto" w:fill="auto"/>
                  <w:vAlign w:val="center"/>
                </w:tcPr>
                <w:p w14:paraId="1B3D4D5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p>
              </w:tc>
              <w:tc>
                <w:tcPr>
                  <w:tcW w:w="484" w:type="pct"/>
                  <w:vMerge w:val="continue"/>
                  <w:tcBorders>
                    <w:tl2br w:val="nil"/>
                    <w:tr2bl w:val="nil"/>
                  </w:tcBorders>
                  <w:shd w:val="clear" w:color="auto" w:fill="auto"/>
                  <w:vAlign w:val="center"/>
                </w:tcPr>
                <w:p w14:paraId="5C26355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val="0"/>
                      <w:bCs/>
                      <w:sz w:val="18"/>
                      <w:szCs w:val="18"/>
                      <w:highlight w:val="none"/>
                    </w:rPr>
                  </w:pPr>
                </w:p>
              </w:tc>
            </w:tr>
            <w:tr w14:paraId="6BD99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313" w:type="pct"/>
                  <w:tcBorders>
                    <w:tl2br w:val="nil"/>
                    <w:tr2bl w:val="nil"/>
                  </w:tcBorders>
                  <w:shd w:val="clear" w:color="auto" w:fill="auto"/>
                  <w:vAlign w:val="center"/>
                </w:tcPr>
                <w:p w14:paraId="3D18DEA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1</w:t>
                  </w:r>
                </w:p>
              </w:tc>
              <w:tc>
                <w:tcPr>
                  <w:tcW w:w="677" w:type="pct"/>
                  <w:tcBorders>
                    <w:tl2br w:val="nil"/>
                    <w:tr2bl w:val="nil"/>
                  </w:tcBorders>
                  <w:shd w:val="clear" w:color="auto" w:fill="auto"/>
                  <w:vAlign w:val="center"/>
                </w:tcPr>
                <w:p w14:paraId="53804FB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变压器</w:t>
                  </w:r>
                </w:p>
              </w:tc>
              <w:tc>
                <w:tcPr>
                  <w:tcW w:w="349" w:type="pct"/>
                  <w:tcBorders>
                    <w:tl2br w:val="nil"/>
                    <w:tr2bl w:val="nil"/>
                  </w:tcBorders>
                  <w:shd w:val="clear" w:color="auto" w:fill="auto"/>
                  <w:vAlign w:val="center"/>
                </w:tcPr>
                <w:p w14:paraId="4A90361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-26.9</w:t>
                  </w:r>
                </w:p>
              </w:tc>
              <w:tc>
                <w:tcPr>
                  <w:tcW w:w="436" w:type="pct"/>
                  <w:tcBorders>
                    <w:tl2br w:val="nil"/>
                    <w:tr2bl w:val="nil"/>
                  </w:tcBorders>
                  <w:shd w:val="clear" w:color="auto" w:fill="auto"/>
                  <w:vAlign w:val="center"/>
                </w:tcPr>
                <w:p w14:paraId="53A7AD0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-17.5</w:t>
                  </w:r>
                </w:p>
              </w:tc>
              <w:tc>
                <w:tcPr>
                  <w:tcW w:w="468" w:type="pct"/>
                  <w:tcBorders>
                    <w:tl2br w:val="nil"/>
                    <w:tr2bl w:val="nil"/>
                  </w:tcBorders>
                  <w:shd w:val="clear" w:color="auto" w:fill="auto"/>
                  <w:vAlign w:val="center"/>
                </w:tcPr>
                <w:p w14:paraId="782A384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1.2</w:t>
                  </w:r>
                </w:p>
              </w:tc>
              <w:tc>
                <w:tcPr>
                  <w:tcW w:w="1131" w:type="pct"/>
                  <w:tcBorders>
                    <w:tl2br w:val="nil"/>
                    <w:tr2bl w:val="nil"/>
                  </w:tcBorders>
                  <w:shd w:val="clear" w:color="auto" w:fill="auto"/>
                  <w:vAlign w:val="center"/>
                </w:tcPr>
                <w:p w14:paraId="0AE7489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lang w:val="en-US" w:eastAsia="zh-CN"/>
                    </w:rPr>
                  </w:pPr>
                  <w:r>
                    <w:rPr>
                      <w:rFonts w:hint="default" w:ascii="Times New Roman" w:hAnsi="Times New Roman" w:cs="Times New Roman"/>
                      <w:b w:val="0"/>
                      <w:bCs/>
                      <w:sz w:val="18"/>
                      <w:szCs w:val="18"/>
                      <w:highlight w:val="none"/>
                      <w:lang w:val="en-US" w:eastAsia="zh-CN"/>
                    </w:rPr>
                    <w:t>/</w:t>
                  </w:r>
                </w:p>
              </w:tc>
              <w:tc>
                <w:tcPr>
                  <w:tcW w:w="665" w:type="pct"/>
                  <w:tcBorders>
                    <w:tl2br w:val="nil"/>
                    <w:tr2bl w:val="nil"/>
                  </w:tcBorders>
                  <w:shd w:val="clear" w:color="auto" w:fill="auto"/>
                  <w:vAlign w:val="center"/>
                </w:tcPr>
                <w:p w14:paraId="41FA378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82.9</w:t>
                  </w:r>
                </w:p>
              </w:tc>
              <w:tc>
                <w:tcPr>
                  <w:tcW w:w="471" w:type="pct"/>
                  <w:vMerge w:val="restart"/>
                  <w:tcBorders>
                    <w:tl2br w:val="nil"/>
                    <w:tr2bl w:val="nil"/>
                  </w:tcBorders>
                  <w:shd w:val="clear" w:color="auto" w:fill="auto"/>
                  <w:vAlign w:val="center"/>
                </w:tcPr>
                <w:p w14:paraId="188A179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lang w:val="en-US" w:eastAsia="zh-CN"/>
                    </w:rPr>
                  </w:pPr>
                  <w:r>
                    <w:rPr>
                      <w:rFonts w:hint="default" w:ascii="Times New Roman" w:hAnsi="Times New Roman" w:cs="Times New Roman"/>
                      <w:b w:val="0"/>
                      <w:bCs/>
                      <w:sz w:val="18"/>
                      <w:szCs w:val="18"/>
                      <w:highlight w:val="none"/>
                      <w:lang w:val="en-US" w:eastAsia="zh-CN"/>
                    </w:rPr>
                    <w:t>基础减振，厂房隔声</w:t>
                  </w:r>
                </w:p>
              </w:tc>
              <w:tc>
                <w:tcPr>
                  <w:tcW w:w="484" w:type="pct"/>
                  <w:tcBorders>
                    <w:tl2br w:val="nil"/>
                    <w:tr2bl w:val="nil"/>
                  </w:tcBorders>
                  <w:shd w:val="clear" w:color="auto" w:fill="auto"/>
                  <w:vAlign w:val="center"/>
                </w:tcPr>
                <w:p w14:paraId="0F64D7E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24.0</w:t>
                  </w:r>
                </w:p>
              </w:tc>
            </w:tr>
            <w:tr w14:paraId="58F47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313" w:type="pct"/>
                  <w:tcBorders>
                    <w:tl2br w:val="nil"/>
                    <w:tr2bl w:val="nil"/>
                  </w:tcBorders>
                  <w:shd w:val="clear" w:color="auto" w:fill="auto"/>
                  <w:vAlign w:val="center"/>
                </w:tcPr>
                <w:p w14:paraId="168BE45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2</w:t>
                  </w:r>
                </w:p>
              </w:tc>
              <w:tc>
                <w:tcPr>
                  <w:tcW w:w="677" w:type="pct"/>
                  <w:tcBorders>
                    <w:tl2br w:val="nil"/>
                    <w:tr2bl w:val="nil"/>
                  </w:tcBorders>
                  <w:shd w:val="clear" w:color="auto" w:fill="auto"/>
                  <w:vAlign w:val="center"/>
                </w:tcPr>
                <w:p w14:paraId="2B3FD74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储能区温控系统</w:t>
                  </w:r>
                </w:p>
              </w:tc>
              <w:tc>
                <w:tcPr>
                  <w:tcW w:w="349" w:type="pct"/>
                  <w:tcBorders>
                    <w:tl2br w:val="nil"/>
                    <w:tr2bl w:val="nil"/>
                  </w:tcBorders>
                  <w:shd w:val="clear" w:color="auto" w:fill="auto"/>
                  <w:vAlign w:val="center"/>
                </w:tcPr>
                <w:p w14:paraId="3B3B0A9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43</w:t>
                  </w:r>
                </w:p>
              </w:tc>
              <w:tc>
                <w:tcPr>
                  <w:tcW w:w="436" w:type="pct"/>
                  <w:tcBorders>
                    <w:tl2br w:val="nil"/>
                    <w:tr2bl w:val="nil"/>
                  </w:tcBorders>
                  <w:shd w:val="clear" w:color="auto" w:fill="auto"/>
                  <w:vAlign w:val="center"/>
                </w:tcPr>
                <w:p w14:paraId="51507A2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25.2</w:t>
                  </w:r>
                </w:p>
              </w:tc>
              <w:tc>
                <w:tcPr>
                  <w:tcW w:w="468" w:type="pct"/>
                  <w:tcBorders>
                    <w:tl2br w:val="nil"/>
                    <w:tr2bl w:val="nil"/>
                  </w:tcBorders>
                  <w:shd w:val="clear" w:color="auto" w:fill="auto"/>
                  <w:vAlign w:val="center"/>
                </w:tcPr>
                <w:p w14:paraId="15EE427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1.2</w:t>
                  </w:r>
                </w:p>
              </w:tc>
              <w:tc>
                <w:tcPr>
                  <w:tcW w:w="1131" w:type="pct"/>
                  <w:tcBorders>
                    <w:tl2br w:val="nil"/>
                    <w:tr2bl w:val="nil"/>
                  </w:tcBorders>
                  <w:shd w:val="clear" w:color="auto" w:fill="auto"/>
                  <w:vAlign w:val="center"/>
                </w:tcPr>
                <w:p w14:paraId="0985C42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lang w:val="en-US" w:eastAsia="zh-CN"/>
                    </w:rPr>
                  </w:pPr>
                  <w:r>
                    <w:rPr>
                      <w:rFonts w:hint="default" w:ascii="Times New Roman" w:hAnsi="Times New Roman" w:cs="Times New Roman"/>
                      <w:b w:val="0"/>
                      <w:bCs/>
                      <w:sz w:val="18"/>
                      <w:szCs w:val="18"/>
                      <w:highlight w:val="none"/>
                      <w:lang w:val="en-US" w:eastAsia="zh-CN"/>
                    </w:rPr>
                    <w:t>/</w:t>
                  </w:r>
                </w:p>
              </w:tc>
              <w:tc>
                <w:tcPr>
                  <w:tcW w:w="665" w:type="pct"/>
                  <w:tcBorders>
                    <w:tl2br w:val="nil"/>
                    <w:tr2bl w:val="nil"/>
                  </w:tcBorders>
                  <w:shd w:val="clear" w:color="auto" w:fill="auto"/>
                  <w:vAlign w:val="center"/>
                </w:tcPr>
                <w:p w14:paraId="697A100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80</w:t>
                  </w:r>
                </w:p>
              </w:tc>
              <w:tc>
                <w:tcPr>
                  <w:tcW w:w="471" w:type="pct"/>
                  <w:vMerge w:val="continue"/>
                  <w:tcBorders>
                    <w:tl2br w:val="nil"/>
                    <w:tr2bl w:val="nil"/>
                  </w:tcBorders>
                  <w:shd w:val="clear" w:color="auto" w:fill="auto"/>
                  <w:vAlign w:val="center"/>
                </w:tcPr>
                <w:p w14:paraId="22BEA7F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p>
              </w:tc>
              <w:tc>
                <w:tcPr>
                  <w:tcW w:w="484" w:type="pct"/>
                  <w:tcBorders>
                    <w:tl2br w:val="nil"/>
                    <w:tr2bl w:val="nil"/>
                  </w:tcBorders>
                  <w:shd w:val="clear" w:color="auto" w:fill="auto"/>
                  <w:vAlign w:val="center"/>
                </w:tcPr>
                <w:p w14:paraId="21E96BF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24.0</w:t>
                  </w:r>
                </w:p>
              </w:tc>
            </w:tr>
            <w:tr w14:paraId="027A7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313" w:type="pct"/>
                  <w:tcBorders>
                    <w:tl2br w:val="nil"/>
                    <w:tr2bl w:val="nil"/>
                  </w:tcBorders>
                  <w:shd w:val="clear" w:color="auto" w:fill="auto"/>
                  <w:vAlign w:val="center"/>
                </w:tcPr>
                <w:p w14:paraId="3CCB010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3</w:t>
                  </w:r>
                </w:p>
              </w:tc>
              <w:tc>
                <w:tcPr>
                  <w:tcW w:w="677" w:type="pct"/>
                  <w:tcBorders>
                    <w:tl2br w:val="nil"/>
                    <w:tr2bl w:val="nil"/>
                  </w:tcBorders>
                  <w:shd w:val="clear" w:color="auto" w:fill="auto"/>
                  <w:vAlign w:val="center"/>
                </w:tcPr>
                <w:p w14:paraId="2ABBE0D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一体化污水处理设备</w:t>
                  </w:r>
                </w:p>
              </w:tc>
              <w:tc>
                <w:tcPr>
                  <w:tcW w:w="349" w:type="pct"/>
                  <w:tcBorders>
                    <w:tl2br w:val="nil"/>
                    <w:tr2bl w:val="nil"/>
                  </w:tcBorders>
                  <w:shd w:val="clear" w:color="auto" w:fill="auto"/>
                  <w:vAlign w:val="center"/>
                </w:tcPr>
                <w:p w14:paraId="606E046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37.6</w:t>
                  </w:r>
                </w:p>
              </w:tc>
              <w:tc>
                <w:tcPr>
                  <w:tcW w:w="436" w:type="pct"/>
                  <w:tcBorders>
                    <w:tl2br w:val="nil"/>
                    <w:tr2bl w:val="nil"/>
                  </w:tcBorders>
                  <w:shd w:val="clear" w:color="auto" w:fill="auto"/>
                  <w:vAlign w:val="center"/>
                </w:tcPr>
                <w:p w14:paraId="495218F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-44.5</w:t>
                  </w:r>
                </w:p>
              </w:tc>
              <w:tc>
                <w:tcPr>
                  <w:tcW w:w="468" w:type="pct"/>
                  <w:tcBorders>
                    <w:tl2br w:val="nil"/>
                    <w:tr2bl w:val="nil"/>
                  </w:tcBorders>
                  <w:shd w:val="clear" w:color="auto" w:fill="auto"/>
                  <w:vAlign w:val="center"/>
                </w:tcPr>
                <w:p w14:paraId="09C62E0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1.2</w:t>
                  </w:r>
                </w:p>
              </w:tc>
              <w:tc>
                <w:tcPr>
                  <w:tcW w:w="1131" w:type="pct"/>
                  <w:tcBorders>
                    <w:tl2br w:val="nil"/>
                    <w:tr2bl w:val="nil"/>
                  </w:tcBorders>
                  <w:shd w:val="clear" w:color="auto" w:fill="auto"/>
                  <w:vAlign w:val="center"/>
                </w:tcPr>
                <w:p w14:paraId="42E9E17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lang w:val="en-US" w:eastAsia="zh-CN"/>
                    </w:rPr>
                  </w:pPr>
                  <w:r>
                    <w:rPr>
                      <w:rFonts w:hint="default" w:ascii="Times New Roman" w:hAnsi="Times New Roman" w:cs="Times New Roman"/>
                      <w:b w:val="0"/>
                      <w:bCs/>
                      <w:sz w:val="18"/>
                      <w:szCs w:val="18"/>
                      <w:highlight w:val="none"/>
                      <w:lang w:val="en-US" w:eastAsia="zh-CN"/>
                    </w:rPr>
                    <w:t>/</w:t>
                  </w:r>
                </w:p>
              </w:tc>
              <w:tc>
                <w:tcPr>
                  <w:tcW w:w="665" w:type="pct"/>
                  <w:tcBorders>
                    <w:tl2br w:val="nil"/>
                    <w:tr2bl w:val="nil"/>
                  </w:tcBorders>
                  <w:shd w:val="clear" w:color="auto" w:fill="auto"/>
                  <w:vAlign w:val="center"/>
                </w:tcPr>
                <w:p w14:paraId="781191E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70</w:t>
                  </w:r>
                </w:p>
              </w:tc>
              <w:tc>
                <w:tcPr>
                  <w:tcW w:w="471" w:type="pct"/>
                  <w:vMerge w:val="continue"/>
                  <w:tcBorders>
                    <w:tl2br w:val="nil"/>
                    <w:tr2bl w:val="nil"/>
                  </w:tcBorders>
                  <w:shd w:val="clear" w:color="auto" w:fill="auto"/>
                  <w:vAlign w:val="center"/>
                </w:tcPr>
                <w:p w14:paraId="71FACEB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p>
              </w:tc>
              <w:tc>
                <w:tcPr>
                  <w:tcW w:w="484" w:type="pct"/>
                  <w:tcBorders>
                    <w:tl2br w:val="nil"/>
                    <w:tr2bl w:val="nil"/>
                  </w:tcBorders>
                  <w:shd w:val="clear" w:color="auto" w:fill="auto"/>
                  <w:vAlign w:val="center"/>
                </w:tcPr>
                <w:p w14:paraId="7471AEA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val="0"/>
                      <w:bCs/>
                      <w:sz w:val="18"/>
                      <w:szCs w:val="18"/>
                      <w:highlight w:val="none"/>
                    </w:rPr>
                  </w:pPr>
                  <w:r>
                    <w:rPr>
                      <w:rFonts w:hint="default" w:ascii="Times New Roman" w:hAnsi="Times New Roman" w:eastAsia="Arial" w:cs="Times New Roman"/>
                      <w:b w:val="0"/>
                      <w:bCs/>
                      <w:sz w:val="18"/>
                      <w:szCs w:val="18"/>
                      <w:highlight w:val="none"/>
                    </w:rPr>
                    <w:t>24.0</w:t>
                  </w:r>
                </w:p>
              </w:tc>
            </w:tr>
            <w:tr w14:paraId="6570C5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000" w:type="pct"/>
                  <w:gridSpan w:val="9"/>
                  <w:tcBorders>
                    <w:tl2br w:val="nil"/>
                    <w:tr2bl w:val="nil"/>
                  </w:tcBorders>
                  <w:shd w:val="clear" w:color="auto" w:fill="auto"/>
                  <w:vAlign w:val="center"/>
                </w:tcPr>
                <w:p w14:paraId="05B4485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Arial" w:cs="Times New Roman"/>
                      <w:b w:val="0"/>
                      <w:bCs/>
                      <w:sz w:val="18"/>
                      <w:szCs w:val="18"/>
                      <w:highlight w:val="none"/>
                    </w:rPr>
                  </w:pPr>
                  <w:r>
                    <w:rPr>
                      <w:rFonts w:hint="default" w:ascii="Times New Roman" w:hAnsi="Times New Roman" w:cs="Times New Roman"/>
                      <w:b w:val="0"/>
                      <w:bCs/>
                      <w:sz w:val="18"/>
                      <w:szCs w:val="18"/>
                      <w:highlight w:val="none"/>
                      <w:lang w:val="en-US" w:eastAsia="zh-CN"/>
                    </w:rPr>
                    <w:t>表中坐标以厂界中心（</w:t>
                  </w:r>
                  <w:bookmarkStart w:id="300" w:name="PO_6"/>
                  <w:r>
                    <w:rPr>
                      <w:rFonts w:hint="default" w:ascii="Times New Roman" w:hAnsi="Times New Roman" w:cs="Times New Roman"/>
                      <w:b w:val="0"/>
                      <w:bCs/>
                      <w:sz w:val="18"/>
                      <w:szCs w:val="18"/>
                      <w:highlight w:val="none"/>
                      <w:lang w:val="en-US" w:eastAsia="zh-CN"/>
                    </w:rPr>
                    <w:t>86.4099121,41.355758</w:t>
                  </w:r>
                  <w:bookmarkEnd w:id="300"/>
                  <w:r>
                    <w:rPr>
                      <w:rFonts w:hint="default" w:ascii="Times New Roman" w:hAnsi="Times New Roman" w:cs="Times New Roman"/>
                      <w:b w:val="0"/>
                      <w:bCs/>
                      <w:sz w:val="18"/>
                      <w:szCs w:val="18"/>
                      <w:highlight w:val="none"/>
                      <w:lang w:val="en-US" w:eastAsia="zh-CN"/>
                    </w:rPr>
                    <w:t>）为坐标原点，正东向为X轴正方向，正北向为Y轴正方向</w:t>
                  </w:r>
                </w:p>
              </w:tc>
            </w:tr>
          </w:tbl>
          <w:p w14:paraId="222F58D4">
            <w:pPr>
              <w:pStyle w:val="80"/>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（4）预测结果分析</w:t>
            </w:r>
          </w:p>
          <w:p w14:paraId="0D6F889F">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声环境》（HJ2.4-2021）中推荐的模式进行预测，预测结果见下表4-5：</w:t>
            </w:r>
          </w:p>
          <w:p w14:paraId="0AD8F9CE">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表4-5      本项目110kV升压站噪声预测结果         单位：dB(A)</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45"/>
              <w:gridCol w:w="706"/>
              <w:gridCol w:w="706"/>
              <w:gridCol w:w="698"/>
              <w:gridCol w:w="692"/>
              <w:gridCol w:w="1341"/>
              <w:gridCol w:w="1636"/>
              <w:gridCol w:w="846"/>
            </w:tblGrid>
            <w:tr w14:paraId="398CA1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71" w:type="dxa"/>
                  <w:vMerge w:val="restart"/>
                  <w:tcBorders>
                    <w:tl2br w:val="nil"/>
                    <w:tr2bl w:val="nil"/>
                  </w:tcBorders>
                  <w:shd w:val="clear" w:color="auto" w:fill="auto"/>
                  <w:vAlign w:val="center"/>
                </w:tcPr>
                <w:p w14:paraId="61C0857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预测方位</w:t>
                  </w:r>
                </w:p>
              </w:tc>
              <w:tc>
                <w:tcPr>
                  <w:tcW w:w="2136" w:type="dxa"/>
                  <w:gridSpan w:val="3"/>
                  <w:tcBorders>
                    <w:tl2br w:val="nil"/>
                    <w:tr2bl w:val="nil"/>
                  </w:tcBorders>
                  <w:shd w:val="clear" w:color="auto" w:fill="auto"/>
                  <w:vAlign w:val="center"/>
                </w:tcPr>
                <w:p w14:paraId="1F794DD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lang w:val="en-US" w:eastAsia="zh-CN"/>
                    </w:rPr>
                    <w:t>最大值点</w:t>
                  </w:r>
                  <w:r>
                    <w:rPr>
                      <w:rFonts w:hint="default" w:ascii="Times New Roman" w:hAnsi="Times New Roman" w:eastAsia="宋体" w:cs="Times New Roman"/>
                      <w:b w:val="0"/>
                      <w:bCs/>
                      <w:sz w:val="18"/>
                      <w:szCs w:val="18"/>
                      <w:highlight w:val="none"/>
                    </w:rPr>
                    <w:t>空间相对位置/m</w:t>
                  </w:r>
                </w:p>
              </w:tc>
              <w:tc>
                <w:tcPr>
                  <w:tcW w:w="709" w:type="dxa"/>
                  <w:vMerge w:val="restart"/>
                  <w:tcBorders>
                    <w:tl2br w:val="nil"/>
                    <w:tr2bl w:val="nil"/>
                  </w:tcBorders>
                  <w:shd w:val="clear" w:color="auto" w:fill="auto"/>
                  <w:vAlign w:val="center"/>
                </w:tcPr>
                <w:p w14:paraId="40DB9F7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时段</w:t>
                  </w:r>
                </w:p>
              </w:tc>
              <w:tc>
                <w:tcPr>
                  <w:tcW w:w="1358" w:type="dxa"/>
                  <w:vMerge w:val="restart"/>
                  <w:tcBorders>
                    <w:tl2br w:val="nil"/>
                    <w:tr2bl w:val="nil"/>
                  </w:tcBorders>
                  <w:shd w:val="clear" w:color="auto" w:fill="auto"/>
                  <w:vAlign w:val="center"/>
                </w:tcPr>
                <w:p w14:paraId="0F3869C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贡献值（dB(A)）</w:t>
                  </w:r>
                </w:p>
              </w:tc>
              <w:tc>
                <w:tcPr>
                  <w:tcW w:w="1669" w:type="dxa"/>
                  <w:vMerge w:val="restart"/>
                  <w:tcBorders>
                    <w:tl2br w:val="nil"/>
                    <w:tr2bl w:val="nil"/>
                  </w:tcBorders>
                  <w:shd w:val="clear" w:color="auto" w:fill="auto"/>
                  <w:vAlign w:val="center"/>
                </w:tcPr>
                <w:p w14:paraId="35D15A6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标准限值（dB(A)）</w:t>
                  </w:r>
                </w:p>
              </w:tc>
              <w:tc>
                <w:tcPr>
                  <w:tcW w:w="871" w:type="dxa"/>
                  <w:vMerge w:val="restart"/>
                  <w:tcBorders>
                    <w:tl2br w:val="nil"/>
                    <w:tr2bl w:val="nil"/>
                  </w:tcBorders>
                  <w:shd w:val="clear" w:color="auto" w:fill="auto"/>
                  <w:vAlign w:val="center"/>
                </w:tcPr>
                <w:p w14:paraId="77CB787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达标情况</w:t>
                  </w:r>
                </w:p>
              </w:tc>
            </w:tr>
            <w:tr w14:paraId="7D9EC8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Merge w:val="continue"/>
                  <w:tcBorders>
                    <w:tl2br w:val="nil"/>
                    <w:tr2bl w:val="nil"/>
                  </w:tcBorders>
                  <w:shd w:val="clear" w:color="auto" w:fill="auto"/>
                  <w:vAlign w:val="center"/>
                </w:tcPr>
                <w:p w14:paraId="2B7E7DB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c>
                <w:tcPr>
                  <w:tcW w:w="712" w:type="dxa"/>
                  <w:tcBorders>
                    <w:tl2br w:val="nil"/>
                    <w:tr2bl w:val="nil"/>
                  </w:tcBorders>
                  <w:shd w:val="clear" w:color="auto" w:fill="auto"/>
                  <w:vAlign w:val="center"/>
                </w:tcPr>
                <w:p w14:paraId="1D1F8EB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X</w:t>
                  </w:r>
                </w:p>
              </w:tc>
              <w:tc>
                <w:tcPr>
                  <w:tcW w:w="712" w:type="dxa"/>
                  <w:tcBorders>
                    <w:tl2br w:val="nil"/>
                    <w:tr2bl w:val="nil"/>
                  </w:tcBorders>
                  <w:shd w:val="clear" w:color="auto" w:fill="auto"/>
                  <w:vAlign w:val="center"/>
                </w:tcPr>
                <w:p w14:paraId="15885D6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Y</w:t>
                  </w:r>
                </w:p>
              </w:tc>
              <w:tc>
                <w:tcPr>
                  <w:tcW w:w="712" w:type="dxa"/>
                  <w:tcBorders>
                    <w:tl2br w:val="nil"/>
                    <w:tr2bl w:val="nil"/>
                  </w:tcBorders>
                  <w:shd w:val="clear" w:color="auto" w:fill="auto"/>
                  <w:vAlign w:val="center"/>
                </w:tcPr>
                <w:p w14:paraId="6077795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Z</w:t>
                  </w:r>
                </w:p>
              </w:tc>
              <w:tc>
                <w:tcPr>
                  <w:tcW w:w="709" w:type="dxa"/>
                  <w:vMerge w:val="continue"/>
                  <w:tcBorders>
                    <w:tl2br w:val="nil"/>
                    <w:tr2bl w:val="nil"/>
                  </w:tcBorders>
                  <w:shd w:val="clear" w:color="auto" w:fill="auto"/>
                  <w:vAlign w:val="center"/>
                </w:tcPr>
                <w:p w14:paraId="535892D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c>
                <w:tcPr>
                  <w:tcW w:w="1358" w:type="dxa"/>
                  <w:vMerge w:val="continue"/>
                  <w:tcBorders>
                    <w:tl2br w:val="nil"/>
                    <w:tr2bl w:val="nil"/>
                  </w:tcBorders>
                  <w:shd w:val="clear" w:color="auto" w:fill="auto"/>
                  <w:vAlign w:val="center"/>
                </w:tcPr>
                <w:p w14:paraId="70B52DB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c>
                <w:tcPr>
                  <w:tcW w:w="1669" w:type="dxa"/>
                  <w:vMerge w:val="continue"/>
                  <w:tcBorders>
                    <w:tl2br w:val="nil"/>
                    <w:tr2bl w:val="nil"/>
                  </w:tcBorders>
                  <w:shd w:val="clear" w:color="auto" w:fill="auto"/>
                  <w:vAlign w:val="center"/>
                </w:tcPr>
                <w:p w14:paraId="5148665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c>
                <w:tcPr>
                  <w:tcW w:w="871" w:type="dxa"/>
                  <w:vMerge w:val="continue"/>
                  <w:tcBorders>
                    <w:tl2br w:val="nil"/>
                    <w:tr2bl w:val="nil"/>
                  </w:tcBorders>
                  <w:shd w:val="clear" w:color="auto" w:fill="auto"/>
                  <w:vAlign w:val="center"/>
                </w:tcPr>
                <w:p w14:paraId="7D581C1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r>
            <w:tr w14:paraId="0B32FF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71" w:type="dxa"/>
                  <w:vMerge w:val="restart"/>
                  <w:tcBorders>
                    <w:tl2br w:val="nil"/>
                    <w:tr2bl w:val="nil"/>
                  </w:tcBorders>
                  <w:shd w:val="clear" w:color="auto" w:fill="auto"/>
                  <w:vAlign w:val="center"/>
                </w:tcPr>
                <w:p w14:paraId="74A9BD6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东侧</w:t>
                  </w:r>
                </w:p>
              </w:tc>
              <w:tc>
                <w:tcPr>
                  <w:tcW w:w="712" w:type="dxa"/>
                  <w:tcBorders>
                    <w:tl2br w:val="nil"/>
                    <w:tr2bl w:val="nil"/>
                  </w:tcBorders>
                  <w:shd w:val="clear" w:color="auto" w:fill="auto"/>
                  <w:vAlign w:val="center"/>
                </w:tcPr>
                <w:p w14:paraId="6CB1E53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56.6</w:t>
                  </w:r>
                </w:p>
              </w:tc>
              <w:tc>
                <w:tcPr>
                  <w:tcW w:w="712" w:type="dxa"/>
                  <w:tcBorders>
                    <w:tl2br w:val="nil"/>
                    <w:tr2bl w:val="nil"/>
                  </w:tcBorders>
                  <w:shd w:val="clear" w:color="auto" w:fill="auto"/>
                  <w:vAlign w:val="center"/>
                </w:tcPr>
                <w:p w14:paraId="59D659C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23.4</w:t>
                  </w:r>
                </w:p>
              </w:tc>
              <w:tc>
                <w:tcPr>
                  <w:tcW w:w="712" w:type="dxa"/>
                  <w:tcBorders>
                    <w:tl2br w:val="nil"/>
                    <w:tr2bl w:val="nil"/>
                  </w:tcBorders>
                  <w:shd w:val="clear" w:color="auto" w:fill="auto"/>
                  <w:vAlign w:val="center"/>
                </w:tcPr>
                <w:p w14:paraId="3514F9E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1.2</w:t>
                  </w:r>
                </w:p>
              </w:tc>
              <w:tc>
                <w:tcPr>
                  <w:tcW w:w="709" w:type="dxa"/>
                  <w:tcBorders>
                    <w:tl2br w:val="nil"/>
                    <w:tr2bl w:val="nil"/>
                  </w:tcBorders>
                  <w:shd w:val="clear" w:color="auto" w:fill="auto"/>
                  <w:vAlign w:val="center"/>
                </w:tcPr>
                <w:p w14:paraId="5325C9D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昼间</w:t>
                  </w:r>
                </w:p>
              </w:tc>
              <w:tc>
                <w:tcPr>
                  <w:tcW w:w="1358" w:type="dxa"/>
                  <w:tcBorders>
                    <w:tl2br w:val="nil"/>
                    <w:tr2bl w:val="nil"/>
                  </w:tcBorders>
                  <w:shd w:val="clear" w:color="auto" w:fill="auto"/>
                  <w:vAlign w:val="center"/>
                </w:tcPr>
                <w:p w14:paraId="02468A3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48</w:t>
                  </w:r>
                </w:p>
              </w:tc>
              <w:tc>
                <w:tcPr>
                  <w:tcW w:w="1669" w:type="dxa"/>
                  <w:tcBorders>
                    <w:tl2br w:val="nil"/>
                    <w:tr2bl w:val="nil"/>
                  </w:tcBorders>
                  <w:shd w:val="clear" w:color="auto" w:fill="auto"/>
                  <w:vAlign w:val="center"/>
                </w:tcPr>
                <w:p w14:paraId="3AFF46C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60</w:t>
                  </w:r>
                </w:p>
              </w:tc>
              <w:tc>
                <w:tcPr>
                  <w:tcW w:w="871" w:type="dxa"/>
                  <w:tcBorders>
                    <w:tl2br w:val="nil"/>
                    <w:tr2bl w:val="nil"/>
                  </w:tcBorders>
                  <w:shd w:val="clear" w:color="auto" w:fill="auto"/>
                  <w:vAlign w:val="center"/>
                </w:tcPr>
                <w:p w14:paraId="5A68D87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w:t>
                  </w:r>
                </w:p>
              </w:tc>
            </w:tr>
            <w:tr w14:paraId="0EBECD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Merge w:val="continue"/>
                  <w:tcBorders>
                    <w:tl2br w:val="nil"/>
                    <w:tr2bl w:val="nil"/>
                  </w:tcBorders>
                  <w:shd w:val="clear" w:color="auto" w:fill="auto"/>
                  <w:vAlign w:val="center"/>
                </w:tcPr>
                <w:p w14:paraId="5440151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c>
                <w:tcPr>
                  <w:tcW w:w="712" w:type="dxa"/>
                  <w:tcBorders>
                    <w:tl2br w:val="nil"/>
                    <w:tr2bl w:val="nil"/>
                  </w:tcBorders>
                  <w:shd w:val="clear" w:color="auto" w:fill="auto"/>
                  <w:vAlign w:val="center"/>
                </w:tcPr>
                <w:p w14:paraId="4638E79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56.6</w:t>
                  </w:r>
                </w:p>
              </w:tc>
              <w:tc>
                <w:tcPr>
                  <w:tcW w:w="712" w:type="dxa"/>
                  <w:tcBorders>
                    <w:tl2br w:val="nil"/>
                    <w:tr2bl w:val="nil"/>
                  </w:tcBorders>
                  <w:shd w:val="clear" w:color="auto" w:fill="auto"/>
                  <w:vAlign w:val="center"/>
                </w:tcPr>
                <w:p w14:paraId="52C12232">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23.4</w:t>
                  </w:r>
                </w:p>
              </w:tc>
              <w:tc>
                <w:tcPr>
                  <w:tcW w:w="712" w:type="dxa"/>
                  <w:tcBorders>
                    <w:tl2br w:val="nil"/>
                    <w:tr2bl w:val="nil"/>
                  </w:tcBorders>
                  <w:shd w:val="clear" w:color="auto" w:fill="auto"/>
                  <w:vAlign w:val="center"/>
                </w:tcPr>
                <w:p w14:paraId="3F509D8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1.2</w:t>
                  </w:r>
                </w:p>
              </w:tc>
              <w:tc>
                <w:tcPr>
                  <w:tcW w:w="709" w:type="dxa"/>
                  <w:tcBorders>
                    <w:tl2br w:val="nil"/>
                    <w:tr2bl w:val="nil"/>
                  </w:tcBorders>
                  <w:shd w:val="clear" w:color="auto" w:fill="auto"/>
                  <w:vAlign w:val="center"/>
                </w:tcPr>
                <w:p w14:paraId="20505EA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夜间</w:t>
                  </w:r>
                </w:p>
              </w:tc>
              <w:tc>
                <w:tcPr>
                  <w:tcW w:w="1358" w:type="dxa"/>
                  <w:tcBorders>
                    <w:tl2br w:val="nil"/>
                    <w:tr2bl w:val="nil"/>
                  </w:tcBorders>
                  <w:shd w:val="clear" w:color="auto" w:fill="auto"/>
                  <w:vAlign w:val="center"/>
                </w:tcPr>
                <w:p w14:paraId="1AD51B7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48</w:t>
                  </w:r>
                </w:p>
              </w:tc>
              <w:tc>
                <w:tcPr>
                  <w:tcW w:w="1669" w:type="dxa"/>
                  <w:tcBorders>
                    <w:tl2br w:val="nil"/>
                    <w:tr2bl w:val="nil"/>
                  </w:tcBorders>
                  <w:shd w:val="clear" w:color="auto" w:fill="auto"/>
                  <w:vAlign w:val="center"/>
                </w:tcPr>
                <w:p w14:paraId="2228442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50</w:t>
                  </w:r>
                </w:p>
              </w:tc>
              <w:tc>
                <w:tcPr>
                  <w:tcW w:w="871" w:type="dxa"/>
                  <w:tcBorders>
                    <w:tl2br w:val="nil"/>
                    <w:tr2bl w:val="nil"/>
                  </w:tcBorders>
                  <w:shd w:val="clear" w:color="auto" w:fill="auto"/>
                  <w:vAlign w:val="center"/>
                </w:tcPr>
                <w:p w14:paraId="162D261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w:t>
                  </w:r>
                </w:p>
              </w:tc>
            </w:tr>
            <w:tr w14:paraId="391F5D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Merge w:val="restart"/>
                  <w:tcBorders>
                    <w:tl2br w:val="nil"/>
                    <w:tr2bl w:val="nil"/>
                  </w:tcBorders>
                  <w:shd w:val="clear" w:color="auto" w:fill="auto"/>
                  <w:vAlign w:val="center"/>
                </w:tcPr>
                <w:p w14:paraId="3FA72C7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南侧</w:t>
                  </w:r>
                </w:p>
              </w:tc>
              <w:tc>
                <w:tcPr>
                  <w:tcW w:w="712" w:type="dxa"/>
                  <w:tcBorders>
                    <w:tl2br w:val="nil"/>
                    <w:tr2bl w:val="nil"/>
                  </w:tcBorders>
                  <w:shd w:val="clear" w:color="auto" w:fill="auto"/>
                  <w:vAlign w:val="center"/>
                </w:tcPr>
                <w:p w14:paraId="540333C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-27.4</w:t>
                  </w:r>
                </w:p>
              </w:tc>
              <w:tc>
                <w:tcPr>
                  <w:tcW w:w="712" w:type="dxa"/>
                  <w:tcBorders>
                    <w:tl2br w:val="nil"/>
                    <w:tr2bl w:val="nil"/>
                  </w:tcBorders>
                  <w:shd w:val="clear" w:color="auto" w:fill="auto"/>
                  <w:vAlign w:val="center"/>
                </w:tcPr>
                <w:p w14:paraId="401C096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-71.4</w:t>
                  </w:r>
                </w:p>
              </w:tc>
              <w:tc>
                <w:tcPr>
                  <w:tcW w:w="712" w:type="dxa"/>
                  <w:tcBorders>
                    <w:tl2br w:val="nil"/>
                    <w:tr2bl w:val="nil"/>
                  </w:tcBorders>
                  <w:shd w:val="clear" w:color="auto" w:fill="auto"/>
                  <w:vAlign w:val="center"/>
                </w:tcPr>
                <w:p w14:paraId="5E6C0FC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1.2</w:t>
                  </w:r>
                </w:p>
              </w:tc>
              <w:tc>
                <w:tcPr>
                  <w:tcW w:w="709" w:type="dxa"/>
                  <w:tcBorders>
                    <w:tl2br w:val="nil"/>
                    <w:tr2bl w:val="nil"/>
                  </w:tcBorders>
                  <w:shd w:val="clear" w:color="auto" w:fill="auto"/>
                  <w:vAlign w:val="center"/>
                </w:tcPr>
                <w:p w14:paraId="2E93290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昼间</w:t>
                  </w:r>
                </w:p>
              </w:tc>
              <w:tc>
                <w:tcPr>
                  <w:tcW w:w="1358" w:type="dxa"/>
                  <w:tcBorders>
                    <w:tl2br w:val="nil"/>
                    <w:tr2bl w:val="nil"/>
                  </w:tcBorders>
                  <w:shd w:val="clear" w:color="auto" w:fill="auto"/>
                  <w:vAlign w:val="center"/>
                </w:tcPr>
                <w:p w14:paraId="0D04548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31.3</w:t>
                  </w:r>
                </w:p>
              </w:tc>
              <w:tc>
                <w:tcPr>
                  <w:tcW w:w="1669" w:type="dxa"/>
                  <w:tcBorders>
                    <w:tl2br w:val="nil"/>
                    <w:tr2bl w:val="nil"/>
                  </w:tcBorders>
                  <w:shd w:val="clear" w:color="auto" w:fill="auto"/>
                  <w:vAlign w:val="center"/>
                </w:tcPr>
                <w:p w14:paraId="6EF8B90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60</w:t>
                  </w:r>
                </w:p>
              </w:tc>
              <w:tc>
                <w:tcPr>
                  <w:tcW w:w="871" w:type="dxa"/>
                  <w:tcBorders>
                    <w:tl2br w:val="nil"/>
                    <w:tr2bl w:val="nil"/>
                  </w:tcBorders>
                  <w:shd w:val="clear" w:color="auto" w:fill="auto"/>
                  <w:vAlign w:val="center"/>
                </w:tcPr>
                <w:p w14:paraId="1E788A1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w:t>
                  </w:r>
                </w:p>
              </w:tc>
            </w:tr>
            <w:tr w14:paraId="64FAB4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71" w:type="dxa"/>
                  <w:vMerge w:val="continue"/>
                  <w:tcBorders>
                    <w:tl2br w:val="nil"/>
                    <w:tr2bl w:val="nil"/>
                  </w:tcBorders>
                  <w:shd w:val="clear" w:color="auto" w:fill="auto"/>
                  <w:vAlign w:val="center"/>
                </w:tcPr>
                <w:p w14:paraId="6237D43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c>
                <w:tcPr>
                  <w:tcW w:w="712" w:type="dxa"/>
                  <w:tcBorders>
                    <w:tl2br w:val="nil"/>
                    <w:tr2bl w:val="nil"/>
                  </w:tcBorders>
                  <w:shd w:val="clear" w:color="auto" w:fill="auto"/>
                  <w:vAlign w:val="center"/>
                </w:tcPr>
                <w:p w14:paraId="1A1A387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-27.4</w:t>
                  </w:r>
                </w:p>
              </w:tc>
              <w:tc>
                <w:tcPr>
                  <w:tcW w:w="712" w:type="dxa"/>
                  <w:tcBorders>
                    <w:tl2br w:val="nil"/>
                    <w:tr2bl w:val="nil"/>
                  </w:tcBorders>
                  <w:shd w:val="clear" w:color="auto" w:fill="auto"/>
                  <w:vAlign w:val="center"/>
                </w:tcPr>
                <w:p w14:paraId="77AA3E3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-71.4</w:t>
                  </w:r>
                </w:p>
              </w:tc>
              <w:tc>
                <w:tcPr>
                  <w:tcW w:w="712" w:type="dxa"/>
                  <w:tcBorders>
                    <w:tl2br w:val="nil"/>
                    <w:tr2bl w:val="nil"/>
                  </w:tcBorders>
                  <w:shd w:val="clear" w:color="auto" w:fill="auto"/>
                  <w:vAlign w:val="center"/>
                </w:tcPr>
                <w:p w14:paraId="6133AFB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1.2</w:t>
                  </w:r>
                </w:p>
              </w:tc>
              <w:tc>
                <w:tcPr>
                  <w:tcW w:w="709" w:type="dxa"/>
                  <w:tcBorders>
                    <w:tl2br w:val="nil"/>
                    <w:tr2bl w:val="nil"/>
                  </w:tcBorders>
                  <w:shd w:val="clear" w:color="auto" w:fill="auto"/>
                  <w:vAlign w:val="center"/>
                </w:tcPr>
                <w:p w14:paraId="52F4609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夜间</w:t>
                  </w:r>
                </w:p>
              </w:tc>
              <w:tc>
                <w:tcPr>
                  <w:tcW w:w="1358" w:type="dxa"/>
                  <w:tcBorders>
                    <w:tl2br w:val="nil"/>
                    <w:tr2bl w:val="nil"/>
                  </w:tcBorders>
                  <w:shd w:val="clear" w:color="auto" w:fill="auto"/>
                  <w:vAlign w:val="center"/>
                </w:tcPr>
                <w:p w14:paraId="7F0F7AE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31.3</w:t>
                  </w:r>
                </w:p>
              </w:tc>
              <w:tc>
                <w:tcPr>
                  <w:tcW w:w="1669" w:type="dxa"/>
                  <w:tcBorders>
                    <w:tl2br w:val="nil"/>
                    <w:tr2bl w:val="nil"/>
                  </w:tcBorders>
                  <w:shd w:val="clear" w:color="auto" w:fill="auto"/>
                  <w:vAlign w:val="center"/>
                </w:tcPr>
                <w:p w14:paraId="7B07C87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50</w:t>
                  </w:r>
                </w:p>
              </w:tc>
              <w:tc>
                <w:tcPr>
                  <w:tcW w:w="871" w:type="dxa"/>
                  <w:tcBorders>
                    <w:tl2br w:val="nil"/>
                    <w:tr2bl w:val="nil"/>
                  </w:tcBorders>
                  <w:shd w:val="clear" w:color="auto" w:fill="auto"/>
                  <w:vAlign w:val="center"/>
                </w:tcPr>
                <w:p w14:paraId="667BBC3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w:t>
                  </w:r>
                </w:p>
              </w:tc>
            </w:tr>
            <w:tr w14:paraId="432FEF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Merge w:val="restart"/>
                  <w:tcBorders>
                    <w:tl2br w:val="nil"/>
                    <w:tr2bl w:val="nil"/>
                  </w:tcBorders>
                  <w:shd w:val="clear" w:color="auto" w:fill="auto"/>
                  <w:vAlign w:val="center"/>
                </w:tcPr>
                <w:p w14:paraId="2A1478F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西侧</w:t>
                  </w:r>
                </w:p>
              </w:tc>
              <w:tc>
                <w:tcPr>
                  <w:tcW w:w="712" w:type="dxa"/>
                  <w:tcBorders>
                    <w:tl2br w:val="nil"/>
                    <w:tr2bl w:val="nil"/>
                  </w:tcBorders>
                  <w:shd w:val="clear" w:color="auto" w:fill="auto"/>
                  <w:vAlign w:val="center"/>
                </w:tcPr>
                <w:p w14:paraId="64956D5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-56.6</w:t>
                  </w:r>
                </w:p>
              </w:tc>
              <w:tc>
                <w:tcPr>
                  <w:tcW w:w="712" w:type="dxa"/>
                  <w:tcBorders>
                    <w:tl2br w:val="nil"/>
                    <w:tr2bl w:val="nil"/>
                  </w:tcBorders>
                  <w:shd w:val="clear" w:color="auto" w:fill="auto"/>
                  <w:vAlign w:val="center"/>
                </w:tcPr>
                <w:p w14:paraId="2CEAB63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-17.4</w:t>
                  </w:r>
                </w:p>
              </w:tc>
              <w:tc>
                <w:tcPr>
                  <w:tcW w:w="712" w:type="dxa"/>
                  <w:tcBorders>
                    <w:tl2br w:val="nil"/>
                    <w:tr2bl w:val="nil"/>
                  </w:tcBorders>
                  <w:shd w:val="clear" w:color="auto" w:fill="auto"/>
                  <w:vAlign w:val="center"/>
                </w:tcPr>
                <w:p w14:paraId="12A4C0E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1.2</w:t>
                  </w:r>
                </w:p>
              </w:tc>
              <w:tc>
                <w:tcPr>
                  <w:tcW w:w="709" w:type="dxa"/>
                  <w:tcBorders>
                    <w:tl2br w:val="nil"/>
                    <w:tr2bl w:val="nil"/>
                  </w:tcBorders>
                  <w:shd w:val="clear" w:color="auto" w:fill="auto"/>
                  <w:vAlign w:val="center"/>
                </w:tcPr>
                <w:p w14:paraId="325B953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昼间</w:t>
                  </w:r>
                </w:p>
              </w:tc>
              <w:tc>
                <w:tcPr>
                  <w:tcW w:w="1358" w:type="dxa"/>
                  <w:tcBorders>
                    <w:tl2br w:val="nil"/>
                    <w:tr2bl w:val="nil"/>
                  </w:tcBorders>
                  <w:shd w:val="clear" w:color="auto" w:fill="auto"/>
                  <w:vAlign w:val="center"/>
                </w:tcPr>
                <w:p w14:paraId="5A3344B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40</w:t>
                  </w:r>
                </w:p>
              </w:tc>
              <w:tc>
                <w:tcPr>
                  <w:tcW w:w="1669" w:type="dxa"/>
                  <w:tcBorders>
                    <w:tl2br w:val="nil"/>
                    <w:tr2bl w:val="nil"/>
                  </w:tcBorders>
                  <w:shd w:val="clear" w:color="auto" w:fill="auto"/>
                  <w:vAlign w:val="center"/>
                </w:tcPr>
                <w:p w14:paraId="3A4824A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60</w:t>
                  </w:r>
                </w:p>
              </w:tc>
              <w:tc>
                <w:tcPr>
                  <w:tcW w:w="871" w:type="dxa"/>
                  <w:tcBorders>
                    <w:tl2br w:val="nil"/>
                    <w:tr2bl w:val="nil"/>
                  </w:tcBorders>
                  <w:shd w:val="clear" w:color="auto" w:fill="auto"/>
                  <w:vAlign w:val="center"/>
                </w:tcPr>
                <w:p w14:paraId="23092C7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w:t>
                  </w:r>
                </w:p>
              </w:tc>
            </w:tr>
            <w:tr w14:paraId="5DE2FF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Merge w:val="continue"/>
                  <w:tcBorders>
                    <w:tl2br w:val="nil"/>
                    <w:tr2bl w:val="nil"/>
                  </w:tcBorders>
                  <w:shd w:val="clear" w:color="auto" w:fill="auto"/>
                  <w:vAlign w:val="center"/>
                </w:tcPr>
                <w:p w14:paraId="5DEA68E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c>
                <w:tcPr>
                  <w:tcW w:w="712" w:type="dxa"/>
                  <w:tcBorders>
                    <w:tl2br w:val="nil"/>
                    <w:tr2bl w:val="nil"/>
                  </w:tcBorders>
                  <w:shd w:val="clear" w:color="auto" w:fill="auto"/>
                  <w:vAlign w:val="center"/>
                </w:tcPr>
                <w:p w14:paraId="532E587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-56.6</w:t>
                  </w:r>
                </w:p>
              </w:tc>
              <w:tc>
                <w:tcPr>
                  <w:tcW w:w="712" w:type="dxa"/>
                  <w:tcBorders>
                    <w:tl2br w:val="nil"/>
                    <w:tr2bl w:val="nil"/>
                  </w:tcBorders>
                  <w:shd w:val="clear" w:color="auto" w:fill="auto"/>
                  <w:vAlign w:val="center"/>
                </w:tcPr>
                <w:p w14:paraId="6E5C04A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-17.4</w:t>
                  </w:r>
                </w:p>
              </w:tc>
              <w:tc>
                <w:tcPr>
                  <w:tcW w:w="712" w:type="dxa"/>
                  <w:tcBorders>
                    <w:tl2br w:val="nil"/>
                    <w:tr2bl w:val="nil"/>
                  </w:tcBorders>
                  <w:shd w:val="clear" w:color="auto" w:fill="auto"/>
                  <w:vAlign w:val="center"/>
                </w:tcPr>
                <w:p w14:paraId="4BC4BBD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1.2</w:t>
                  </w:r>
                </w:p>
              </w:tc>
              <w:tc>
                <w:tcPr>
                  <w:tcW w:w="709" w:type="dxa"/>
                  <w:tcBorders>
                    <w:tl2br w:val="nil"/>
                    <w:tr2bl w:val="nil"/>
                  </w:tcBorders>
                  <w:shd w:val="clear" w:color="auto" w:fill="auto"/>
                  <w:vAlign w:val="center"/>
                </w:tcPr>
                <w:p w14:paraId="70BDCA5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夜间</w:t>
                  </w:r>
                </w:p>
              </w:tc>
              <w:tc>
                <w:tcPr>
                  <w:tcW w:w="1358" w:type="dxa"/>
                  <w:tcBorders>
                    <w:tl2br w:val="nil"/>
                    <w:tr2bl w:val="nil"/>
                  </w:tcBorders>
                  <w:shd w:val="clear" w:color="auto" w:fill="auto"/>
                  <w:vAlign w:val="center"/>
                </w:tcPr>
                <w:p w14:paraId="69C6073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40</w:t>
                  </w:r>
                </w:p>
              </w:tc>
              <w:tc>
                <w:tcPr>
                  <w:tcW w:w="1669" w:type="dxa"/>
                  <w:tcBorders>
                    <w:tl2br w:val="nil"/>
                    <w:tr2bl w:val="nil"/>
                  </w:tcBorders>
                  <w:shd w:val="clear" w:color="auto" w:fill="auto"/>
                  <w:vAlign w:val="center"/>
                </w:tcPr>
                <w:p w14:paraId="2E59965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50</w:t>
                  </w:r>
                </w:p>
              </w:tc>
              <w:tc>
                <w:tcPr>
                  <w:tcW w:w="871" w:type="dxa"/>
                  <w:tcBorders>
                    <w:tl2br w:val="nil"/>
                    <w:tr2bl w:val="nil"/>
                  </w:tcBorders>
                  <w:shd w:val="clear" w:color="auto" w:fill="auto"/>
                  <w:vAlign w:val="center"/>
                </w:tcPr>
                <w:p w14:paraId="0ACF977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w:t>
                  </w:r>
                </w:p>
              </w:tc>
            </w:tr>
            <w:tr w14:paraId="0AB40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Merge w:val="restart"/>
                  <w:tcBorders>
                    <w:tl2br w:val="nil"/>
                    <w:tr2bl w:val="nil"/>
                  </w:tcBorders>
                  <w:shd w:val="clear" w:color="auto" w:fill="auto"/>
                  <w:vAlign w:val="center"/>
                </w:tcPr>
                <w:p w14:paraId="5C438C5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北侧</w:t>
                  </w:r>
                </w:p>
              </w:tc>
              <w:tc>
                <w:tcPr>
                  <w:tcW w:w="712" w:type="dxa"/>
                  <w:tcBorders>
                    <w:tl2br w:val="nil"/>
                    <w:tr2bl w:val="nil"/>
                  </w:tcBorders>
                  <w:shd w:val="clear" w:color="auto" w:fill="auto"/>
                  <w:vAlign w:val="center"/>
                </w:tcPr>
                <w:p w14:paraId="165640E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39.4</w:t>
                  </w:r>
                </w:p>
              </w:tc>
              <w:tc>
                <w:tcPr>
                  <w:tcW w:w="712" w:type="dxa"/>
                  <w:tcBorders>
                    <w:tl2br w:val="nil"/>
                    <w:tr2bl w:val="nil"/>
                  </w:tcBorders>
                  <w:shd w:val="clear" w:color="auto" w:fill="auto"/>
                  <w:vAlign w:val="center"/>
                </w:tcPr>
                <w:p w14:paraId="33918ED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71.4</w:t>
                  </w:r>
                </w:p>
              </w:tc>
              <w:tc>
                <w:tcPr>
                  <w:tcW w:w="712" w:type="dxa"/>
                  <w:tcBorders>
                    <w:tl2br w:val="nil"/>
                    <w:tr2bl w:val="nil"/>
                  </w:tcBorders>
                  <w:shd w:val="clear" w:color="auto" w:fill="auto"/>
                  <w:vAlign w:val="center"/>
                </w:tcPr>
                <w:p w14:paraId="4403DC9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1.2</w:t>
                  </w:r>
                </w:p>
              </w:tc>
              <w:tc>
                <w:tcPr>
                  <w:tcW w:w="709" w:type="dxa"/>
                  <w:tcBorders>
                    <w:tl2br w:val="nil"/>
                    <w:tr2bl w:val="nil"/>
                  </w:tcBorders>
                  <w:shd w:val="clear" w:color="auto" w:fill="auto"/>
                  <w:vAlign w:val="center"/>
                </w:tcPr>
                <w:p w14:paraId="72D50DE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昼间</w:t>
                  </w:r>
                </w:p>
              </w:tc>
              <w:tc>
                <w:tcPr>
                  <w:tcW w:w="1358" w:type="dxa"/>
                  <w:tcBorders>
                    <w:tl2br w:val="nil"/>
                    <w:tr2bl w:val="nil"/>
                  </w:tcBorders>
                  <w:shd w:val="clear" w:color="auto" w:fill="auto"/>
                  <w:vAlign w:val="center"/>
                </w:tcPr>
                <w:p w14:paraId="6282B13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30.8</w:t>
                  </w:r>
                </w:p>
              </w:tc>
              <w:tc>
                <w:tcPr>
                  <w:tcW w:w="1669" w:type="dxa"/>
                  <w:tcBorders>
                    <w:tl2br w:val="nil"/>
                    <w:tr2bl w:val="nil"/>
                  </w:tcBorders>
                  <w:shd w:val="clear" w:color="auto" w:fill="auto"/>
                  <w:vAlign w:val="center"/>
                </w:tcPr>
                <w:p w14:paraId="566A45C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60</w:t>
                  </w:r>
                </w:p>
              </w:tc>
              <w:tc>
                <w:tcPr>
                  <w:tcW w:w="871" w:type="dxa"/>
                  <w:tcBorders>
                    <w:tl2br w:val="nil"/>
                    <w:tr2bl w:val="nil"/>
                  </w:tcBorders>
                  <w:shd w:val="clear" w:color="auto" w:fill="auto"/>
                  <w:vAlign w:val="center"/>
                </w:tcPr>
                <w:p w14:paraId="3E3BD347">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w:t>
                  </w:r>
                </w:p>
              </w:tc>
            </w:tr>
            <w:tr w14:paraId="4CEA02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1" w:type="dxa"/>
                  <w:vMerge w:val="continue"/>
                  <w:tcBorders>
                    <w:tl2br w:val="nil"/>
                    <w:tr2bl w:val="nil"/>
                  </w:tcBorders>
                  <w:shd w:val="clear" w:color="auto" w:fill="auto"/>
                  <w:vAlign w:val="center"/>
                </w:tcPr>
                <w:p w14:paraId="1D4C4DE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p>
              </w:tc>
              <w:tc>
                <w:tcPr>
                  <w:tcW w:w="712" w:type="dxa"/>
                  <w:tcBorders>
                    <w:tl2br w:val="nil"/>
                    <w:tr2bl w:val="nil"/>
                  </w:tcBorders>
                  <w:shd w:val="clear" w:color="auto" w:fill="auto"/>
                  <w:vAlign w:val="center"/>
                </w:tcPr>
                <w:p w14:paraId="74C9F18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39.4</w:t>
                  </w:r>
                </w:p>
              </w:tc>
              <w:tc>
                <w:tcPr>
                  <w:tcW w:w="712" w:type="dxa"/>
                  <w:tcBorders>
                    <w:tl2br w:val="nil"/>
                    <w:tr2bl w:val="nil"/>
                  </w:tcBorders>
                  <w:shd w:val="clear" w:color="auto" w:fill="auto"/>
                  <w:vAlign w:val="center"/>
                </w:tcPr>
                <w:p w14:paraId="464645F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71.4</w:t>
                  </w:r>
                </w:p>
              </w:tc>
              <w:tc>
                <w:tcPr>
                  <w:tcW w:w="712" w:type="dxa"/>
                  <w:tcBorders>
                    <w:tl2br w:val="nil"/>
                    <w:tr2bl w:val="nil"/>
                  </w:tcBorders>
                  <w:shd w:val="clear" w:color="auto" w:fill="auto"/>
                  <w:vAlign w:val="center"/>
                </w:tcPr>
                <w:p w14:paraId="5CCB2AFE">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1.2</w:t>
                  </w:r>
                </w:p>
              </w:tc>
              <w:tc>
                <w:tcPr>
                  <w:tcW w:w="709" w:type="dxa"/>
                  <w:tcBorders>
                    <w:tl2br w:val="nil"/>
                    <w:tr2bl w:val="nil"/>
                  </w:tcBorders>
                  <w:shd w:val="clear" w:color="auto" w:fill="auto"/>
                  <w:vAlign w:val="center"/>
                </w:tcPr>
                <w:p w14:paraId="1256F3A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夜间</w:t>
                  </w:r>
                </w:p>
              </w:tc>
              <w:tc>
                <w:tcPr>
                  <w:tcW w:w="1358" w:type="dxa"/>
                  <w:tcBorders>
                    <w:tl2br w:val="nil"/>
                    <w:tr2bl w:val="nil"/>
                  </w:tcBorders>
                  <w:shd w:val="clear" w:color="auto" w:fill="auto"/>
                  <w:vAlign w:val="center"/>
                </w:tcPr>
                <w:p w14:paraId="7DE70BEF">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30.8</w:t>
                  </w:r>
                </w:p>
              </w:tc>
              <w:tc>
                <w:tcPr>
                  <w:tcW w:w="1669" w:type="dxa"/>
                  <w:tcBorders>
                    <w:tl2br w:val="nil"/>
                    <w:tr2bl w:val="nil"/>
                  </w:tcBorders>
                  <w:shd w:val="clear" w:color="auto" w:fill="auto"/>
                  <w:vAlign w:val="center"/>
                </w:tcPr>
                <w:p w14:paraId="45888903">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50</w:t>
                  </w:r>
                </w:p>
              </w:tc>
              <w:tc>
                <w:tcPr>
                  <w:tcW w:w="871" w:type="dxa"/>
                  <w:tcBorders>
                    <w:tl2br w:val="nil"/>
                    <w:tr2bl w:val="nil"/>
                  </w:tcBorders>
                  <w:shd w:val="clear" w:color="auto" w:fill="auto"/>
                  <w:vAlign w:val="center"/>
                </w:tcPr>
                <w:p w14:paraId="746C48D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sz w:val="18"/>
                      <w:szCs w:val="18"/>
                      <w:highlight w:val="none"/>
                    </w:rPr>
                  </w:pPr>
                  <w:r>
                    <w:rPr>
                      <w:rFonts w:hint="default" w:ascii="Times New Roman" w:hAnsi="Times New Roman" w:eastAsia="宋体" w:cs="Times New Roman"/>
                      <w:b w:val="0"/>
                      <w:bCs/>
                      <w:sz w:val="18"/>
                      <w:szCs w:val="18"/>
                      <w:highlight w:val="none"/>
                    </w:rPr>
                    <w:t>达标</w:t>
                  </w:r>
                </w:p>
              </w:tc>
            </w:tr>
          </w:tbl>
          <w:p w14:paraId="4243762E">
            <w:pPr>
              <w:shd w:val="clear"/>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32655" cy="3641090"/>
                  <wp:effectExtent l="0" t="0" r="10795" b="16510"/>
                  <wp:docPr id="1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7"/>
                          <pic:cNvPicPr>
                            <a:picLocks noChangeAspect="1"/>
                          </pic:cNvPicPr>
                        </pic:nvPicPr>
                        <pic:blipFill>
                          <a:blip r:embed="rId16"/>
                          <a:stretch>
                            <a:fillRect/>
                          </a:stretch>
                        </pic:blipFill>
                        <pic:spPr>
                          <a:xfrm>
                            <a:off x="0" y="0"/>
                            <a:ext cx="4732655" cy="3641090"/>
                          </a:xfrm>
                          <a:prstGeom prst="rect">
                            <a:avLst/>
                          </a:prstGeom>
                          <a:noFill/>
                          <a:ln>
                            <a:noFill/>
                          </a:ln>
                        </pic:spPr>
                      </pic:pic>
                    </a:graphicData>
                  </a:graphic>
                </wp:inline>
              </w:drawing>
            </w:r>
          </w:p>
          <w:p w14:paraId="3119A52B">
            <w:pPr>
              <w:shd w:val="clear"/>
              <w:ind w:firstLine="0" w:firstLineChars="0"/>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图4-1    噪声影响范围图</w:t>
            </w:r>
          </w:p>
          <w:p w14:paraId="3FE23006">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根据预测结果可知，升压站正常运行状态下，围墙外1m处的厂界噪声贡献值昼间在19.9dB(A)～37dB(A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，夜间在19.9dB(A)～37dB(A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，满足《工业企业厂界环境噪声排放标准》（GB12348-2008）2类标准：昼间噪声限值60dB(A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，夜间噪声限值50dB(A</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的要求。</w:t>
            </w:r>
          </w:p>
          <w:p w14:paraId="63592201">
            <w:pPr>
              <w:pStyle w:val="3"/>
              <w:shd w:val="clear"/>
              <w:rPr>
                <w:color w:val="000000" w:themeColor="text1"/>
                <w:highlight w:val="none"/>
                <w14:textFill>
                  <w14:solidFill>
                    <w14:schemeClr w14:val="tx1"/>
                  </w14:solidFill>
                </w14:textFill>
              </w:rPr>
            </w:pPr>
            <w:bookmarkStart w:id="301" w:name="_Toc10221"/>
            <w:bookmarkStart w:id="302" w:name="_Toc6424"/>
            <w:bookmarkStart w:id="303" w:name="_Toc12324"/>
            <w:r>
              <w:rPr>
                <w:color w:val="000000" w:themeColor="text1"/>
                <w:highlight w:val="none"/>
                <w14:textFill>
                  <w14:solidFill>
                    <w14:schemeClr w14:val="tx1"/>
                  </w14:solidFill>
                </w14:textFill>
              </w:rPr>
              <w:t>4.2输电线噪声影响分析</w:t>
            </w:r>
            <w:bookmarkEnd w:id="301"/>
            <w:bookmarkEnd w:id="302"/>
            <w:bookmarkEnd w:id="303"/>
          </w:p>
          <w:p w14:paraId="6D7A79AB">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单回架空架设线路采用单回路塔架空方式架设，输电线路产生噪声的主要原因为线路电晕和尖端放电等，对于单回路塔架空单侧挂线架空方式架设线路，其线路噪声影响相当，选取与本项目建成后的架空线路条件类似的已有线路进行类比预测。</w:t>
            </w:r>
          </w:p>
          <w:p w14:paraId="0E9A9840">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(1)类比线路选择</w:t>
            </w:r>
          </w:p>
          <w:p w14:paraId="5BCF7DEE">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本次评价架空线路单回路段采用已运行的“</w:t>
            </w:r>
            <w:r>
              <w:rPr>
                <w:rFonts w:hint="default"/>
                <w:color w:val="000000" w:themeColor="text1"/>
                <w:highlight w:val="none"/>
                <w14:textFill>
                  <w14:solidFill>
                    <w14:schemeClr w14:val="tx1"/>
                  </w14:solidFill>
                </w14:textFill>
              </w:rPr>
              <w:t>110kV</w:t>
            </w:r>
            <w:r>
              <w:rPr>
                <w:rFonts w:hint="eastAsia"/>
                <w:color w:val="000000" w:themeColor="text1"/>
                <w:highlight w:val="none"/>
                <w14:textFill>
                  <w14:solidFill>
                    <w14:schemeClr w14:val="tx1"/>
                  </w14:solidFill>
                </w14:textFill>
              </w:rPr>
              <w:t>吉团二线”进行类比分析</w:t>
            </w:r>
            <w:r>
              <w:rPr>
                <w:color w:val="000000" w:themeColor="text1"/>
                <w:highlight w:val="none"/>
                <w14:textFill>
                  <w14:solidFill>
                    <w14:schemeClr w14:val="tx1"/>
                  </w14:solidFill>
                </w14:textFill>
              </w:rPr>
              <w:t>。类比线路的基本情况见表4-</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p>
          <w:p w14:paraId="421EF385">
            <w:pPr>
              <w:shd w:val="clear"/>
              <w:spacing w:line="240" w:lineRule="auto"/>
              <w:ind w:firstLine="422"/>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表4-</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 xml:space="preserve">         本项目110kV单回架空线路与类比线路基本情况</w:t>
            </w:r>
          </w:p>
          <w:tbl>
            <w:tblPr>
              <w:tblStyle w:val="3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3762"/>
              <w:gridCol w:w="2026"/>
              <w:gridCol w:w="893"/>
            </w:tblGrid>
            <w:tr w14:paraId="245681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087E9E2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主要指标</w:t>
                  </w:r>
                </w:p>
              </w:tc>
              <w:tc>
                <w:tcPr>
                  <w:tcW w:w="2518" w:type="pct"/>
                  <w:tcBorders>
                    <w:tl2br w:val="nil"/>
                    <w:tr2bl w:val="nil"/>
                  </w:tcBorders>
                  <w:vAlign w:val="center"/>
                </w:tcPr>
                <w:p w14:paraId="383E72B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类比线路（110kV吉团二线）</w:t>
                  </w:r>
                </w:p>
              </w:tc>
              <w:tc>
                <w:tcPr>
                  <w:tcW w:w="1356" w:type="pct"/>
                  <w:tcBorders>
                    <w:tl2br w:val="nil"/>
                    <w:tr2bl w:val="nil"/>
                  </w:tcBorders>
                  <w:vAlign w:val="center"/>
                </w:tcPr>
                <w:p w14:paraId="5A091BB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本项目新建110kV单回路段</w:t>
                  </w:r>
                </w:p>
              </w:tc>
              <w:tc>
                <w:tcPr>
                  <w:tcW w:w="597" w:type="pct"/>
                  <w:tcBorders>
                    <w:tl2br w:val="nil"/>
                    <w:tr2bl w:val="nil"/>
                  </w:tcBorders>
                  <w:vAlign w:val="center"/>
                </w:tcPr>
                <w:p w14:paraId="2D0830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类比可行性</w:t>
                  </w:r>
                </w:p>
              </w:tc>
            </w:tr>
            <w:tr w14:paraId="583B3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5A1399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电压等级</w:t>
                  </w:r>
                </w:p>
              </w:tc>
              <w:tc>
                <w:tcPr>
                  <w:tcW w:w="2518" w:type="pct"/>
                  <w:tcBorders>
                    <w:tl2br w:val="nil"/>
                    <w:tr2bl w:val="nil"/>
                  </w:tcBorders>
                  <w:vAlign w:val="center"/>
                </w:tcPr>
                <w:p w14:paraId="156F206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110kV</w:t>
                  </w:r>
                </w:p>
              </w:tc>
              <w:tc>
                <w:tcPr>
                  <w:tcW w:w="1356" w:type="pct"/>
                  <w:tcBorders>
                    <w:tl2br w:val="nil"/>
                    <w:tr2bl w:val="nil"/>
                  </w:tcBorders>
                  <w:vAlign w:val="center"/>
                </w:tcPr>
                <w:p w14:paraId="0878BB2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110kV</w:t>
                  </w:r>
                </w:p>
              </w:tc>
              <w:tc>
                <w:tcPr>
                  <w:tcW w:w="597" w:type="pct"/>
                  <w:tcBorders>
                    <w:tl2br w:val="nil"/>
                    <w:tr2bl w:val="nil"/>
                  </w:tcBorders>
                  <w:vAlign w:val="center"/>
                </w:tcPr>
                <w:p w14:paraId="5CEA22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一致</w:t>
                  </w:r>
                </w:p>
              </w:tc>
            </w:tr>
            <w:tr w14:paraId="71E50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34C405F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架设及排列方式</w:t>
                  </w:r>
                </w:p>
              </w:tc>
              <w:tc>
                <w:tcPr>
                  <w:tcW w:w="2518" w:type="pct"/>
                  <w:tcBorders>
                    <w:tl2br w:val="nil"/>
                    <w:tr2bl w:val="nil"/>
                  </w:tcBorders>
                  <w:vAlign w:val="center"/>
                </w:tcPr>
                <w:p w14:paraId="141BB1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单回路架空/三角排列</w:t>
                  </w:r>
                </w:p>
              </w:tc>
              <w:tc>
                <w:tcPr>
                  <w:tcW w:w="1356" w:type="pct"/>
                  <w:tcBorders>
                    <w:tl2br w:val="nil"/>
                    <w:tr2bl w:val="nil"/>
                  </w:tcBorders>
                  <w:vAlign w:val="center"/>
                </w:tcPr>
                <w:p w14:paraId="29EE6CC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单回路架空/三角排列</w:t>
                  </w:r>
                </w:p>
              </w:tc>
              <w:tc>
                <w:tcPr>
                  <w:tcW w:w="597" w:type="pct"/>
                  <w:tcBorders>
                    <w:tl2br w:val="nil"/>
                    <w:tr2bl w:val="nil"/>
                  </w:tcBorders>
                  <w:vAlign w:val="center"/>
                </w:tcPr>
                <w:p w14:paraId="1FC59EF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一致</w:t>
                  </w:r>
                </w:p>
              </w:tc>
            </w:tr>
            <w:tr w14:paraId="7ABD4F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35027F2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导线型号</w:t>
                  </w:r>
                </w:p>
              </w:tc>
              <w:tc>
                <w:tcPr>
                  <w:tcW w:w="2518" w:type="pct"/>
                  <w:tcBorders>
                    <w:tl2br w:val="nil"/>
                    <w:tr2bl w:val="nil"/>
                  </w:tcBorders>
                  <w:vAlign w:val="center"/>
                </w:tcPr>
                <w:p w14:paraId="5215215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eastAsia"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JL/G1A-240/40</w:t>
                  </w:r>
                </w:p>
              </w:tc>
              <w:tc>
                <w:tcPr>
                  <w:tcW w:w="1356" w:type="pct"/>
                  <w:tcBorders>
                    <w:tl2br w:val="nil"/>
                    <w:tr2bl w:val="nil"/>
                  </w:tcBorders>
                  <w:vAlign w:val="center"/>
                </w:tcPr>
                <w:p w14:paraId="08BDFBB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eastAsia"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JL/G1A-240/40</w:t>
                  </w:r>
                </w:p>
              </w:tc>
              <w:tc>
                <w:tcPr>
                  <w:tcW w:w="597" w:type="pct"/>
                  <w:tcBorders>
                    <w:tl2br w:val="nil"/>
                    <w:tr2bl w:val="nil"/>
                  </w:tcBorders>
                  <w:vAlign w:val="center"/>
                </w:tcPr>
                <w:p w14:paraId="47DCA0C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一致</w:t>
                  </w:r>
                </w:p>
              </w:tc>
            </w:tr>
            <w:tr w14:paraId="1B50CD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2760E5F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导线直径</w:t>
                  </w:r>
                </w:p>
              </w:tc>
              <w:tc>
                <w:tcPr>
                  <w:tcW w:w="2518" w:type="pct"/>
                  <w:tcBorders>
                    <w:tl2br w:val="nil"/>
                    <w:tr2bl w:val="nil"/>
                  </w:tcBorders>
                  <w:vAlign w:val="center"/>
                </w:tcPr>
                <w:p w14:paraId="065EB79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21.6mm</w:t>
                  </w:r>
                </w:p>
              </w:tc>
              <w:tc>
                <w:tcPr>
                  <w:tcW w:w="1356" w:type="pct"/>
                  <w:tcBorders>
                    <w:tl2br w:val="nil"/>
                    <w:tr2bl w:val="nil"/>
                  </w:tcBorders>
                  <w:vAlign w:val="center"/>
                </w:tcPr>
                <w:p w14:paraId="05688D2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21.6mm</w:t>
                  </w:r>
                </w:p>
              </w:tc>
              <w:tc>
                <w:tcPr>
                  <w:tcW w:w="597" w:type="pct"/>
                  <w:tcBorders>
                    <w:tl2br w:val="nil"/>
                    <w:tr2bl w:val="nil"/>
                  </w:tcBorders>
                  <w:vAlign w:val="center"/>
                </w:tcPr>
                <w:p w14:paraId="7D721F1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一致</w:t>
                  </w:r>
                </w:p>
              </w:tc>
            </w:tr>
            <w:tr w14:paraId="0D82E7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56CEC38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回路</w:t>
                  </w:r>
                </w:p>
              </w:tc>
              <w:tc>
                <w:tcPr>
                  <w:tcW w:w="2518" w:type="pct"/>
                  <w:tcBorders>
                    <w:tl2br w:val="nil"/>
                    <w:tr2bl w:val="nil"/>
                  </w:tcBorders>
                  <w:vAlign w:val="center"/>
                </w:tcPr>
                <w:p w14:paraId="7983AE9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单回路架空</w:t>
                  </w:r>
                </w:p>
              </w:tc>
              <w:tc>
                <w:tcPr>
                  <w:tcW w:w="1356" w:type="pct"/>
                  <w:tcBorders>
                    <w:tl2br w:val="nil"/>
                    <w:tr2bl w:val="nil"/>
                  </w:tcBorders>
                  <w:vAlign w:val="center"/>
                </w:tcPr>
                <w:p w14:paraId="64681B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单回路架空</w:t>
                  </w:r>
                </w:p>
              </w:tc>
              <w:tc>
                <w:tcPr>
                  <w:tcW w:w="597" w:type="pct"/>
                  <w:tcBorders>
                    <w:tl2br w:val="nil"/>
                    <w:tr2bl w:val="nil"/>
                  </w:tcBorders>
                  <w:vAlign w:val="center"/>
                </w:tcPr>
                <w:p w14:paraId="57EC51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一致</w:t>
                  </w:r>
                </w:p>
              </w:tc>
            </w:tr>
            <w:tr w14:paraId="0C0B4F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303B7A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导线高度</w:t>
                  </w:r>
                </w:p>
              </w:tc>
              <w:tc>
                <w:tcPr>
                  <w:tcW w:w="2518" w:type="pct"/>
                  <w:tcBorders>
                    <w:tl2br w:val="nil"/>
                    <w:tr2bl w:val="nil"/>
                  </w:tcBorders>
                  <w:vAlign w:val="center"/>
                </w:tcPr>
                <w:p w14:paraId="25EB724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13m</w:t>
                  </w:r>
                </w:p>
              </w:tc>
              <w:tc>
                <w:tcPr>
                  <w:tcW w:w="1356" w:type="pct"/>
                  <w:tcBorders>
                    <w:tl2br w:val="nil"/>
                    <w:tr2bl w:val="nil"/>
                  </w:tcBorders>
                  <w:vAlign w:val="center"/>
                </w:tcPr>
                <w:p w14:paraId="6BF6934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实际架设高度与110kV吉团二线基本一致</w:t>
                  </w:r>
                </w:p>
              </w:tc>
              <w:tc>
                <w:tcPr>
                  <w:tcW w:w="597" w:type="pct"/>
                  <w:tcBorders>
                    <w:tl2br w:val="nil"/>
                    <w:tr2bl w:val="nil"/>
                  </w:tcBorders>
                  <w:vAlign w:val="center"/>
                </w:tcPr>
                <w:p w14:paraId="6F4231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实际线高相近</w:t>
                  </w:r>
                </w:p>
              </w:tc>
            </w:tr>
            <w:tr w14:paraId="375DDD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01BC972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环境条件</w:t>
                  </w:r>
                </w:p>
              </w:tc>
              <w:tc>
                <w:tcPr>
                  <w:tcW w:w="2518" w:type="pct"/>
                  <w:tcBorders>
                    <w:tl2br w:val="nil"/>
                    <w:tr2bl w:val="nil"/>
                  </w:tcBorders>
                  <w:vAlign w:val="center"/>
                </w:tcPr>
                <w:p w14:paraId="374AA26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昌吉回族自治州吉木萨尔县，中温带干旱性大陆气候</w:t>
                  </w:r>
                </w:p>
              </w:tc>
              <w:tc>
                <w:tcPr>
                  <w:tcW w:w="1356" w:type="pct"/>
                  <w:tcBorders>
                    <w:tl2br w:val="nil"/>
                    <w:tr2bl w:val="nil"/>
                  </w:tcBorders>
                  <w:vAlign w:val="center"/>
                </w:tcPr>
                <w:p w14:paraId="2F92D3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巴州尉犁县，暖温带大陆性干旱气候</w:t>
                  </w:r>
                </w:p>
              </w:tc>
              <w:tc>
                <w:tcPr>
                  <w:tcW w:w="597" w:type="pct"/>
                  <w:tcBorders>
                    <w:tl2br w:val="nil"/>
                    <w:tr2bl w:val="nil"/>
                  </w:tcBorders>
                  <w:vAlign w:val="center"/>
                </w:tcPr>
                <w:p w14:paraId="3574CE8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接近</w:t>
                  </w:r>
                </w:p>
              </w:tc>
            </w:tr>
            <w:tr w14:paraId="1CA754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8" w:type="pct"/>
                  <w:tcBorders>
                    <w:tl2br w:val="nil"/>
                    <w:tr2bl w:val="nil"/>
                  </w:tcBorders>
                  <w:vAlign w:val="center"/>
                </w:tcPr>
                <w:p w14:paraId="4C95628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运行工况</w:t>
                  </w:r>
                </w:p>
              </w:tc>
              <w:tc>
                <w:tcPr>
                  <w:tcW w:w="2518" w:type="pct"/>
                  <w:tcBorders>
                    <w:tl2br w:val="nil"/>
                    <w:tr2bl w:val="nil"/>
                  </w:tcBorders>
                  <w:vAlign w:val="center"/>
                </w:tcPr>
                <w:p w14:paraId="5E5F93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监测期间线路运行正常，运行电压115.41kV~116.32kV，运行电流为41.55A~43.22A。</w:t>
                  </w:r>
                </w:p>
              </w:tc>
              <w:tc>
                <w:tcPr>
                  <w:tcW w:w="1356" w:type="pct"/>
                  <w:tcBorders>
                    <w:tl2br w:val="nil"/>
                    <w:tr2bl w:val="nil"/>
                  </w:tcBorders>
                  <w:vAlign w:val="center"/>
                </w:tcPr>
                <w:p w14:paraId="01CC72A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w:t>
                  </w:r>
                </w:p>
              </w:tc>
              <w:tc>
                <w:tcPr>
                  <w:tcW w:w="597" w:type="pct"/>
                  <w:tcBorders>
                    <w:tl2br w:val="nil"/>
                    <w:tr2bl w:val="nil"/>
                  </w:tcBorders>
                  <w:vAlign w:val="center"/>
                </w:tcPr>
                <w:p w14:paraId="632C8B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u w:val="none"/>
                      <w:lang w:val="en-US" w:eastAsia="zh-CN" w:bidi="ar"/>
                      <w14:textFill>
                        <w14:solidFill>
                          <w14:schemeClr w14:val="tx1"/>
                        </w14:solidFill>
                      </w14:textFill>
                    </w:rPr>
                    <w:t>/</w:t>
                  </w:r>
                </w:p>
              </w:tc>
            </w:tr>
          </w:tbl>
          <w:p w14:paraId="1830D300">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由表</w:t>
            </w:r>
            <w:r>
              <w:rPr>
                <w:rFonts w:hint="default"/>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对比分析，选取的类比线路导线型号、电压等级、架设型式、排列方式和周边环境条件等与本工程线路基本一致。本次拟建单回路线路段实际架设高度与</w:t>
            </w:r>
            <w:r>
              <w:rPr>
                <w:rFonts w:hint="default"/>
                <w:color w:val="000000" w:themeColor="text1"/>
                <w:highlight w:val="none"/>
                <w14:textFill>
                  <w14:solidFill>
                    <w14:schemeClr w14:val="tx1"/>
                  </w14:solidFill>
                </w14:textFill>
              </w:rPr>
              <w:t>110kV</w:t>
            </w:r>
            <w:r>
              <w:rPr>
                <w:rFonts w:hint="eastAsia"/>
                <w:color w:val="000000" w:themeColor="text1"/>
                <w:highlight w:val="none"/>
                <w14:textFill>
                  <w14:solidFill>
                    <w14:schemeClr w14:val="tx1"/>
                  </w14:solidFill>
                </w14:textFill>
              </w:rPr>
              <w:t>吉团二线基本一致，即类比线路架设高度为实际架设高度环评阶段，本工程输电线路高度为《</w:t>
            </w:r>
            <w:r>
              <w:rPr>
                <w:rFonts w:hint="default"/>
                <w:color w:val="000000" w:themeColor="text1"/>
                <w:highlight w:val="none"/>
                <w14:textFill>
                  <w14:solidFill>
                    <w14:schemeClr w14:val="tx1"/>
                  </w14:solidFill>
                </w14:textFill>
              </w:rPr>
              <w:t>110kV~750kV</w:t>
            </w:r>
            <w:r>
              <w:rPr>
                <w:rFonts w:hint="eastAsia"/>
                <w:color w:val="000000" w:themeColor="text1"/>
                <w:highlight w:val="none"/>
                <w14:textFill>
                  <w14:solidFill>
                    <w14:schemeClr w14:val="tx1"/>
                  </w14:solidFill>
                </w14:textFill>
              </w:rPr>
              <w:t>架空输电线路设计规范》（</w:t>
            </w:r>
            <w:r>
              <w:rPr>
                <w:rFonts w:hint="default"/>
                <w:color w:val="000000" w:themeColor="text1"/>
                <w:highlight w:val="none"/>
                <w14:textFill>
                  <w14:solidFill>
                    <w14:schemeClr w14:val="tx1"/>
                  </w14:solidFill>
                </w14:textFill>
              </w:rPr>
              <w:t>GB 50545-2010</w:t>
            </w:r>
            <w:r>
              <w:rPr>
                <w:rFonts w:hint="eastAsia"/>
                <w:color w:val="000000" w:themeColor="text1"/>
                <w:highlight w:val="none"/>
                <w14:textFill>
                  <w14:solidFill>
                    <w14:schemeClr w14:val="tx1"/>
                  </w14:solidFill>
                </w14:textFill>
              </w:rPr>
              <w:t>）中规定的导线对地最低理论高度。实际架设时，结合沿线地形条件实际架设高度一般会大于最低理论高度，可与类比线路导线对地高度相当。监测期间类比线路运行正常，故本次环评将</w:t>
            </w:r>
            <w:r>
              <w:rPr>
                <w:rFonts w:hint="default"/>
                <w:color w:val="000000" w:themeColor="text1"/>
                <w:highlight w:val="none"/>
                <w14:textFill>
                  <w14:solidFill>
                    <w14:schemeClr w14:val="tx1"/>
                  </w14:solidFill>
                </w14:textFill>
              </w:rPr>
              <w:t>110kV</w:t>
            </w:r>
            <w:r>
              <w:rPr>
                <w:rFonts w:hint="eastAsia"/>
                <w:color w:val="000000" w:themeColor="text1"/>
                <w:highlight w:val="none"/>
                <w14:textFill>
                  <w14:solidFill>
                    <w14:schemeClr w14:val="tx1"/>
                  </w14:solidFill>
                </w14:textFill>
              </w:rPr>
              <w:t>吉团二线作为单回线路类比对象是可行的，类比线路的声环境监测结果能反映本工程输电线路运行后可能产生的声环境影响水平。</w:t>
            </w:r>
          </w:p>
          <w:p w14:paraId="4379A4E5">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）类比对象监测情况</w:t>
            </w:r>
          </w:p>
          <w:p w14:paraId="60922BD6">
            <w:pPr>
              <w:shd w:val="clear"/>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①监测因子：等效声级，</w:t>
            </w:r>
            <w:r>
              <w:rPr>
                <w:rFonts w:hint="default"/>
                <w:color w:val="000000" w:themeColor="text1"/>
                <w:highlight w:val="none"/>
                <w:lang w:val="en-US" w:eastAsia="zh-CN"/>
                <w14:textFill>
                  <w14:solidFill>
                    <w14:schemeClr w14:val="tx1"/>
                  </w14:solidFill>
                </w14:textFill>
              </w:rPr>
              <w:t>Leq</w:t>
            </w:r>
          </w:p>
          <w:p w14:paraId="6878366C">
            <w:pPr>
              <w:shd w:val="clea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②监测方法、监测布点</w:t>
            </w:r>
          </w:p>
          <w:p w14:paraId="28979F22">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监测方法：《声环境质量标准》（</w:t>
            </w:r>
            <w:r>
              <w:rPr>
                <w:rFonts w:hint="default"/>
                <w:color w:val="000000" w:themeColor="text1"/>
                <w:highlight w:val="none"/>
                <w14:textFill>
                  <w14:solidFill>
                    <w14:schemeClr w14:val="tx1"/>
                  </w14:solidFill>
                </w14:textFill>
              </w:rPr>
              <w:t>GB3096-2008</w:t>
            </w:r>
            <w:r>
              <w:rPr>
                <w:rFonts w:hint="eastAsia"/>
                <w:color w:val="000000" w:themeColor="text1"/>
                <w:highlight w:val="none"/>
                <w14:textFill>
                  <w14:solidFill>
                    <w14:schemeClr w14:val="tx1"/>
                  </w14:solidFill>
                </w14:textFill>
              </w:rPr>
              <w:t>）。</w:t>
            </w:r>
          </w:p>
          <w:p w14:paraId="7066AA06">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监测布点：以</w:t>
            </w:r>
            <w:r>
              <w:rPr>
                <w:rFonts w:hint="default"/>
                <w:color w:val="000000" w:themeColor="text1"/>
                <w:highlight w:val="none"/>
                <w14:textFill>
                  <w14:solidFill>
                    <w14:schemeClr w14:val="tx1"/>
                  </w14:solidFill>
                </w14:textFill>
              </w:rPr>
              <w:t>110kV</w:t>
            </w:r>
            <w:r>
              <w:rPr>
                <w:rFonts w:hint="eastAsia"/>
                <w:color w:val="000000" w:themeColor="text1"/>
                <w:highlight w:val="none"/>
                <w14:textFill>
                  <w14:solidFill>
                    <w14:schemeClr w14:val="tx1"/>
                  </w14:solidFill>
                </w14:textFill>
              </w:rPr>
              <w:t>吉团二线</w:t>
            </w:r>
            <w:r>
              <w:rPr>
                <w:rFonts w:hint="default"/>
                <w:color w:val="000000" w:themeColor="text1"/>
                <w:highlight w:val="none"/>
                <w14:textFill>
                  <w14:solidFill>
                    <w14:schemeClr w14:val="tx1"/>
                  </w14:solidFill>
                </w14:textFill>
              </w:rPr>
              <w:t>54#</w:t>
            </w:r>
            <w:r>
              <w:rPr>
                <w:rFonts w:hint="eastAsia"/>
                <w:color w:val="000000" w:themeColor="text1"/>
                <w:highlight w:val="none"/>
                <w14:textFill>
                  <w14:solidFill>
                    <w14:schemeClr w14:val="tx1"/>
                  </w14:solidFill>
                </w14:textFill>
              </w:rPr>
              <w:t>杆塔～</w:t>
            </w:r>
            <w:r>
              <w:rPr>
                <w:rFonts w:hint="default"/>
                <w:color w:val="000000" w:themeColor="text1"/>
                <w:highlight w:val="none"/>
                <w14:textFill>
                  <w14:solidFill>
                    <w14:schemeClr w14:val="tx1"/>
                  </w14:solidFill>
                </w14:textFill>
              </w:rPr>
              <w:t>55#</w:t>
            </w:r>
            <w:r>
              <w:rPr>
                <w:rFonts w:hint="eastAsia"/>
                <w:color w:val="000000" w:themeColor="text1"/>
                <w:highlight w:val="none"/>
                <w14:textFill>
                  <w14:solidFill>
                    <w14:schemeClr w14:val="tx1"/>
                  </w14:solidFill>
                </w14:textFill>
              </w:rPr>
              <w:t>杆塔中相导线弧垂最低位置对地投影点为起点，沿垂直于线路方向监测。类比监测数据详见附件</w:t>
            </w:r>
            <w:r>
              <w:rPr>
                <w:rFonts w:hint="default"/>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w:t>
            </w:r>
          </w:p>
          <w:p w14:paraId="6D937CD6">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③监测单位及监测时间</w:t>
            </w:r>
          </w:p>
          <w:p w14:paraId="5D727512">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监测单位：武汉中电工程检测有限公司</w:t>
            </w:r>
          </w:p>
          <w:p w14:paraId="31B07649">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监测时间：</w:t>
            </w:r>
            <w:r>
              <w:rPr>
                <w:rFonts w:hint="default"/>
                <w:color w:val="000000" w:themeColor="text1"/>
                <w:highlight w:val="none"/>
                <w14:textFill>
                  <w14:solidFill>
                    <w14:schemeClr w14:val="tx1"/>
                  </w14:solidFill>
                </w14:textFill>
              </w:rPr>
              <w:t>2025</w:t>
            </w:r>
            <w:r>
              <w:rPr>
                <w:rFonts w:hint="eastAsia"/>
                <w:color w:val="000000" w:themeColor="text1"/>
                <w:highlight w:val="none"/>
                <w14:textFill>
                  <w14:solidFill>
                    <w14:schemeClr w14:val="tx1"/>
                  </w14:solidFill>
                </w14:textFill>
              </w:rPr>
              <w:t>年</w:t>
            </w:r>
            <w:r>
              <w:rPr>
                <w:rFonts w:hint="default"/>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rFonts w:hint="default"/>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日</w:t>
            </w:r>
          </w:p>
          <w:p w14:paraId="5DE43E41">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④监测仪器、监测条件</w:t>
            </w:r>
          </w:p>
          <w:p w14:paraId="4056EAA2">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监测仪器：测量仪器：</w:t>
            </w:r>
            <w:r>
              <w:rPr>
                <w:rFonts w:hint="default"/>
                <w:color w:val="000000" w:themeColor="text1"/>
                <w:highlight w:val="none"/>
                <w14:textFill>
                  <w14:solidFill>
                    <w14:schemeClr w14:val="tx1"/>
                  </w14:solidFill>
                </w14:textFill>
              </w:rPr>
              <w:t>AWA6228</w:t>
            </w:r>
            <w:r>
              <w:rPr>
                <w:rFonts w:hint="default"/>
                <w:color w:val="000000" w:themeColor="text1"/>
                <w:highlight w:val="none"/>
                <w:vertAlign w:val="superscript"/>
                <w14:textFill>
                  <w14:solidFill>
                    <w14:schemeClr w14:val="tx1"/>
                  </w14:solidFill>
                </w14:textFill>
              </w:rPr>
              <w:t>+</w:t>
            </w:r>
            <w:r>
              <w:rPr>
                <w:rFonts w:hint="eastAsia"/>
                <w:color w:val="000000" w:themeColor="text1"/>
                <w:highlight w:val="none"/>
                <w14:textFill>
                  <w14:solidFill>
                    <w14:schemeClr w14:val="tx1"/>
                  </w14:solidFill>
                </w14:textFill>
              </w:rPr>
              <w:t>声级计。</w:t>
            </w:r>
          </w:p>
          <w:p w14:paraId="20FAEB80">
            <w:pPr>
              <w:shd w:val="clea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气象条件：天气晴，温度</w:t>
            </w:r>
            <w:r>
              <w:rPr>
                <w:rFonts w:hint="default"/>
                <w:color w:val="000000" w:themeColor="text1"/>
                <w:highlight w:val="none"/>
                <w14:textFill>
                  <w14:solidFill>
                    <w14:schemeClr w14:val="tx1"/>
                  </w14:solidFill>
                </w14:textFill>
              </w:rPr>
              <w:t>-15.9</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-7.8℃</w:t>
            </w:r>
            <w:r>
              <w:rPr>
                <w:rFonts w:hint="eastAsia"/>
                <w:color w:val="000000" w:themeColor="text1"/>
                <w:highlight w:val="none"/>
                <w14:textFill>
                  <w14:solidFill>
                    <w14:schemeClr w14:val="tx1"/>
                  </w14:solidFill>
                </w14:textFill>
              </w:rPr>
              <w:t>，湿度</w:t>
            </w:r>
            <w:r>
              <w:rPr>
                <w:rFonts w:hint="default"/>
                <w:color w:val="000000" w:themeColor="text1"/>
                <w:highlight w:val="none"/>
                <w14:textFill>
                  <w14:solidFill>
                    <w14:schemeClr w14:val="tx1"/>
                  </w14:solidFill>
                </w14:textFill>
              </w:rPr>
              <w:t>39.2%</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39.7%</w:t>
            </w:r>
            <w:r>
              <w:rPr>
                <w:rFonts w:hint="eastAsia"/>
                <w:color w:val="000000" w:themeColor="text1"/>
                <w:highlight w:val="none"/>
                <w14:textFill>
                  <w14:solidFill>
                    <w14:schemeClr w14:val="tx1"/>
                  </w14:solidFill>
                </w14:textFill>
              </w:rPr>
              <w:t>，风速</w:t>
            </w:r>
            <w:r>
              <w:rPr>
                <w:rFonts w:hint="default"/>
                <w:color w:val="000000" w:themeColor="text1"/>
                <w:highlight w:val="none"/>
                <w14:textFill>
                  <w14:solidFill>
                    <w14:schemeClr w14:val="tx1"/>
                  </w14:solidFill>
                </w14:textFill>
              </w:rPr>
              <w:t>0.8m/s</w:t>
            </w:r>
            <w:r>
              <w:rPr>
                <w:rFonts w:hint="eastAsia"/>
                <w:color w:val="000000" w:themeColor="text1"/>
                <w:highlight w:val="none"/>
                <w14:textFill>
                  <w14:solidFill>
                    <w14:schemeClr w14:val="tx1"/>
                  </w14:solidFill>
                </w14:textFill>
              </w:rPr>
              <w:t>～</w:t>
            </w:r>
            <w:r>
              <w:rPr>
                <w:rFonts w:hint="default"/>
                <w:color w:val="000000" w:themeColor="text1"/>
                <w:highlight w:val="none"/>
                <w14:textFill>
                  <w14:solidFill>
                    <w14:schemeClr w14:val="tx1"/>
                  </w14:solidFill>
                </w14:textFill>
              </w:rPr>
              <w:t>1.2m/s</w:t>
            </w:r>
            <w:r>
              <w:rPr>
                <w:rFonts w:hint="eastAsia"/>
                <w:color w:val="000000" w:themeColor="text1"/>
                <w:highlight w:val="none"/>
                <w14:textFill>
                  <w14:solidFill>
                    <w14:schemeClr w14:val="tx1"/>
                  </w14:solidFill>
                </w14:textFill>
              </w:rPr>
              <w:t>。</w:t>
            </w:r>
          </w:p>
          <w:p w14:paraId="7D7CF1BA">
            <w:pPr>
              <w:shd w:val="clea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运行工况：线路正常运行，监测期间运行工况见表</w:t>
            </w:r>
            <w:r>
              <w:rPr>
                <w:rFonts w:hint="default"/>
                <w:color w:val="000000" w:themeColor="text1"/>
                <w:highlight w:val="none"/>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w:t>
            </w:r>
          </w:p>
          <w:p w14:paraId="534D7396">
            <w:pPr>
              <w:shd w:val="clear"/>
              <w:spacing w:line="240" w:lineRule="auto"/>
              <w:ind w:firstLine="422"/>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表4-</w:t>
            </w:r>
            <w:r>
              <w:rPr>
                <w:rFonts w:hint="eastAsia"/>
                <w:b/>
                <w:bCs/>
                <w:color w:val="000000" w:themeColor="text1"/>
                <w:sz w:val="24"/>
                <w:szCs w:val="24"/>
                <w:highlight w:val="none"/>
                <w:lang w:val="en-US" w:eastAsia="zh-CN"/>
                <w14:textFill>
                  <w14:solidFill>
                    <w14:schemeClr w14:val="tx1"/>
                  </w14:solidFill>
                </w14:textFill>
              </w:rPr>
              <w:t>7</w:t>
            </w:r>
            <w:r>
              <w:rPr>
                <w:rFonts w:hint="eastAsia"/>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lang w:val="en-US" w:eastAsia="zh-CN"/>
                <w14:textFill>
                  <w14:solidFill>
                    <w14:schemeClr w14:val="tx1"/>
                  </w14:solidFill>
                </w14:textFill>
              </w:rPr>
              <w:t xml:space="preserve">        </w:t>
            </w:r>
            <w:r>
              <w:rPr>
                <w:rFonts w:hint="eastAsia"/>
                <w:b/>
                <w:bCs/>
                <w:color w:val="000000" w:themeColor="text1"/>
                <w:sz w:val="24"/>
                <w:szCs w:val="24"/>
                <w:highlight w:val="none"/>
                <w14:textFill>
                  <w14:solidFill>
                    <w14:schemeClr w14:val="tx1"/>
                  </w14:solidFill>
                </w14:textFill>
              </w:rPr>
              <w:t>类比对象监测期间运行工况</w:t>
            </w:r>
          </w:p>
          <w:tbl>
            <w:tblPr>
              <w:tblStyle w:val="34"/>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9"/>
              <w:gridCol w:w="1403"/>
              <w:gridCol w:w="1220"/>
              <w:gridCol w:w="1646"/>
              <w:gridCol w:w="1708"/>
            </w:tblGrid>
            <w:tr w14:paraId="76303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7" w:type="pct"/>
                  <w:tcBorders>
                    <w:tl2br w:val="nil"/>
                    <w:tr2bl w:val="nil"/>
                  </w:tcBorders>
                  <w:vAlign w:val="center"/>
                </w:tcPr>
                <w:p w14:paraId="0B0885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名称</w:t>
                  </w:r>
                </w:p>
              </w:tc>
              <w:tc>
                <w:tcPr>
                  <w:tcW w:w="939" w:type="pct"/>
                  <w:tcBorders>
                    <w:tl2br w:val="nil"/>
                    <w:tr2bl w:val="nil"/>
                  </w:tcBorders>
                  <w:vAlign w:val="center"/>
                </w:tcPr>
                <w:p w14:paraId="644AB33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电压（kV）</w:t>
                  </w:r>
                </w:p>
              </w:tc>
              <w:tc>
                <w:tcPr>
                  <w:tcW w:w="817" w:type="pct"/>
                  <w:tcBorders>
                    <w:tl2br w:val="nil"/>
                    <w:tr2bl w:val="nil"/>
                  </w:tcBorders>
                  <w:vAlign w:val="center"/>
                </w:tcPr>
                <w:p w14:paraId="6B24F9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电流（A）</w:t>
                  </w:r>
                </w:p>
              </w:tc>
              <w:tc>
                <w:tcPr>
                  <w:tcW w:w="1102" w:type="pct"/>
                  <w:tcBorders>
                    <w:tl2br w:val="nil"/>
                    <w:tr2bl w:val="nil"/>
                  </w:tcBorders>
                  <w:vAlign w:val="center"/>
                </w:tcPr>
                <w:p w14:paraId="66A12DA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有功功率（MW）</w:t>
                  </w:r>
                </w:p>
              </w:tc>
              <w:tc>
                <w:tcPr>
                  <w:tcW w:w="1143" w:type="pct"/>
                  <w:tcBorders>
                    <w:tl2br w:val="nil"/>
                    <w:tr2bl w:val="nil"/>
                  </w:tcBorders>
                  <w:vAlign w:val="center"/>
                </w:tcPr>
                <w:p w14:paraId="5C5FC52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无功功率（Mvar）</w:t>
                  </w:r>
                </w:p>
              </w:tc>
            </w:tr>
            <w:tr w14:paraId="03B891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7" w:type="pct"/>
                  <w:tcBorders>
                    <w:tl2br w:val="nil"/>
                    <w:tr2bl w:val="nil"/>
                  </w:tcBorders>
                  <w:vAlign w:val="center"/>
                </w:tcPr>
                <w:p w14:paraId="52B088A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110kV吉团二线</w:t>
                  </w:r>
                </w:p>
              </w:tc>
              <w:tc>
                <w:tcPr>
                  <w:tcW w:w="939" w:type="pct"/>
                  <w:tcBorders>
                    <w:tl2br w:val="nil"/>
                    <w:tr2bl w:val="nil"/>
                  </w:tcBorders>
                  <w:vAlign w:val="center"/>
                </w:tcPr>
                <w:p w14:paraId="68988DC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115.41～116.32</w:t>
                  </w:r>
                </w:p>
              </w:tc>
              <w:tc>
                <w:tcPr>
                  <w:tcW w:w="817" w:type="pct"/>
                  <w:tcBorders>
                    <w:tl2br w:val="nil"/>
                    <w:tr2bl w:val="nil"/>
                  </w:tcBorders>
                  <w:vAlign w:val="center"/>
                </w:tcPr>
                <w:p w14:paraId="7080742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41.55～43.22</w:t>
                  </w:r>
                </w:p>
              </w:tc>
              <w:tc>
                <w:tcPr>
                  <w:tcW w:w="1102" w:type="pct"/>
                  <w:tcBorders>
                    <w:tl2br w:val="nil"/>
                    <w:tr2bl w:val="nil"/>
                  </w:tcBorders>
                  <w:vAlign w:val="center"/>
                </w:tcPr>
                <w:p w14:paraId="1F598D4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-8.21～-7.775</w:t>
                  </w:r>
                </w:p>
              </w:tc>
              <w:tc>
                <w:tcPr>
                  <w:tcW w:w="1143" w:type="pct"/>
                  <w:tcBorders>
                    <w:tl2br w:val="nil"/>
                    <w:tr2bl w:val="nil"/>
                  </w:tcBorders>
                  <w:vAlign w:val="center"/>
                </w:tcPr>
                <w:p w14:paraId="533A48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-1.52～-0.95</w:t>
                  </w:r>
                </w:p>
              </w:tc>
            </w:tr>
          </w:tbl>
          <w:p w14:paraId="79D5DB92">
            <w:pPr>
              <w:shd w:val="clea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⑤监测结果</w:t>
            </w:r>
          </w:p>
          <w:p w14:paraId="116F35D7">
            <w:pPr>
              <w:shd w:val="clea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110kV吉团二线54#杆塔～55#杆塔断面噪声监测结果，见表4-</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w:t>
            </w:r>
          </w:p>
          <w:p w14:paraId="7BC1C3D5">
            <w:pPr>
              <w:shd w:val="clear"/>
              <w:spacing w:line="240" w:lineRule="auto"/>
              <w:ind w:firstLine="422"/>
              <w:rPr>
                <w:rFonts w:hint="eastAsia"/>
                <w:b/>
                <w:bCs/>
                <w:color w:val="000000" w:themeColor="text1"/>
                <w:sz w:val="24"/>
                <w:szCs w:val="24"/>
                <w:highlight w:val="none"/>
                <w:vertAlign w:val="baseli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表4-</w:t>
            </w:r>
            <w:r>
              <w:rPr>
                <w:rFonts w:hint="eastAsia"/>
                <w:b/>
                <w:bCs/>
                <w:color w:val="000000" w:themeColor="text1"/>
                <w:sz w:val="24"/>
                <w:szCs w:val="24"/>
                <w:highlight w:val="none"/>
                <w:lang w:val="en-US" w:eastAsia="zh-CN"/>
                <w14:textFill>
                  <w14:solidFill>
                    <w14:schemeClr w14:val="tx1"/>
                  </w14:solidFill>
                </w14:textFill>
              </w:rPr>
              <w:t xml:space="preserve">8 </w:t>
            </w:r>
            <w:r>
              <w:rPr>
                <w:rFonts w:hint="eastAsia"/>
                <w:b/>
                <w:bCs/>
                <w:color w:val="000000" w:themeColor="text1"/>
                <w:sz w:val="24"/>
                <w:szCs w:val="24"/>
                <w:highlight w:val="none"/>
                <w14:textFill>
                  <w14:solidFill>
                    <w14:schemeClr w14:val="tx1"/>
                  </w14:solidFill>
                </w14:textFill>
              </w:rPr>
              <w:t xml:space="preserve"> 110kV吉团二线54#杆塔～55#杆塔断面</w:t>
            </w:r>
            <w:r>
              <w:rPr>
                <w:rFonts w:hint="eastAsia"/>
                <w:b/>
                <w:bCs/>
                <w:color w:val="000000" w:themeColor="text1"/>
                <w:sz w:val="24"/>
                <w:szCs w:val="24"/>
                <w:highlight w:val="none"/>
                <w:lang w:eastAsia="zh-CN"/>
                <w14:textFill>
                  <w14:solidFill>
                    <w14:schemeClr w14:val="tx1"/>
                  </w14:solidFill>
                </w14:textFill>
              </w:rPr>
              <w:t>噪</w:t>
            </w:r>
            <w:r>
              <w:rPr>
                <w:rFonts w:hint="eastAsia"/>
                <w:b/>
                <w:bCs/>
                <w:color w:val="000000" w:themeColor="text1"/>
                <w:sz w:val="24"/>
                <w:szCs w:val="24"/>
                <w:highlight w:val="none"/>
                <w14:textFill>
                  <w14:solidFill>
                    <w14:schemeClr w14:val="tx1"/>
                  </w14:solidFill>
                </w14:textFill>
              </w:rPr>
              <w:t>声监测结果</w:t>
            </w:r>
          </w:p>
          <w:tbl>
            <w:tblPr>
              <w:tblStyle w:val="34"/>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4192"/>
              <w:gridCol w:w="1299"/>
              <w:gridCol w:w="1301"/>
            </w:tblGrid>
            <w:tr w14:paraId="14858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452" w:type="pct"/>
                  <w:tcBorders>
                    <w:tl2br w:val="nil"/>
                    <w:tr2bl w:val="nil"/>
                  </w:tcBorders>
                  <w:vAlign w:val="center"/>
                </w:tcPr>
                <w:p w14:paraId="5EE513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序号</w:t>
                  </w:r>
                </w:p>
              </w:tc>
              <w:tc>
                <w:tcPr>
                  <w:tcW w:w="2807" w:type="pct"/>
                  <w:tcBorders>
                    <w:tl2br w:val="nil"/>
                    <w:tr2bl w:val="nil"/>
                  </w:tcBorders>
                  <w:vAlign w:val="center"/>
                </w:tcPr>
                <w:p w14:paraId="0C5B441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监测点位描述</w:t>
                  </w:r>
                </w:p>
              </w:tc>
              <w:tc>
                <w:tcPr>
                  <w:tcW w:w="870" w:type="pct"/>
                  <w:tcBorders>
                    <w:tl2br w:val="nil"/>
                    <w:tr2bl w:val="nil"/>
                  </w:tcBorders>
                  <w:vAlign w:val="center"/>
                </w:tcPr>
                <w:p w14:paraId="79C7B6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昼间dB(A)</w:t>
                  </w:r>
                </w:p>
              </w:tc>
              <w:tc>
                <w:tcPr>
                  <w:tcW w:w="870" w:type="pct"/>
                  <w:tcBorders>
                    <w:tl2br w:val="nil"/>
                    <w:tr2bl w:val="nil"/>
                  </w:tcBorders>
                  <w:vAlign w:val="center"/>
                </w:tcPr>
                <w:p w14:paraId="20142B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夜间dB(A)</w:t>
                  </w:r>
                </w:p>
              </w:tc>
            </w:tr>
            <w:tr w14:paraId="4654E9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67E657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1</w:t>
                  </w:r>
                </w:p>
              </w:tc>
              <w:tc>
                <w:tcPr>
                  <w:tcW w:w="2807" w:type="pct"/>
                  <w:tcBorders>
                    <w:tl2br w:val="nil"/>
                    <w:tr2bl w:val="nil"/>
                  </w:tcBorders>
                  <w:vAlign w:val="center"/>
                </w:tcPr>
                <w:p w14:paraId="0957049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线路中心线投影点0m处</w:t>
                  </w:r>
                </w:p>
              </w:tc>
              <w:tc>
                <w:tcPr>
                  <w:tcW w:w="870" w:type="pct"/>
                  <w:tcBorders>
                    <w:tl2br w:val="nil"/>
                    <w:tr2bl w:val="nil"/>
                  </w:tcBorders>
                  <w:vAlign w:val="center"/>
                </w:tcPr>
                <w:p w14:paraId="68A39A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67CBAD5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74E55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278B897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2</w:t>
                  </w:r>
                </w:p>
              </w:tc>
              <w:tc>
                <w:tcPr>
                  <w:tcW w:w="2807" w:type="pct"/>
                  <w:tcBorders>
                    <w:tl2br w:val="nil"/>
                    <w:tr2bl w:val="nil"/>
                  </w:tcBorders>
                  <w:vAlign w:val="center"/>
                </w:tcPr>
                <w:p w14:paraId="19A5A95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线路边导线投影点3.5m处（边导线下）</w:t>
                  </w:r>
                </w:p>
              </w:tc>
              <w:tc>
                <w:tcPr>
                  <w:tcW w:w="870" w:type="pct"/>
                  <w:tcBorders>
                    <w:tl2br w:val="nil"/>
                    <w:tr2bl w:val="nil"/>
                  </w:tcBorders>
                  <w:vAlign w:val="center"/>
                </w:tcPr>
                <w:p w14:paraId="5952D6E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50CA279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46575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313AFC1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w:t>
                  </w:r>
                </w:p>
              </w:tc>
              <w:tc>
                <w:tcPr>
                  <w:tcW w:w="2807" w:type="pct"/>
                  <w:tcBorders>
                    <w:tl2br w:val="nil"/>
                    <w:tr2bl w:val="nil"/>
                  </w:tcBorders>
                  <w:vAlign w:val="center"/>
                </w:tcPr>
                <w:p w14:paraId="31B3DE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边导线外5m处</w:t>
                  </w:r>
                </w:p>
              </w:tc>
              <w:tc>
                <w:tcPr>
                  <w:tcW w:w="870" w:type="pct"/>
                  <w:tcBorders>
                    <w:tl2br w:val="nil"/>
                    <w:tr2bl w:val="nil"/>
                  </w:tcBorders>
                  <w:vAlign w:val="center"/>
                </w:tcPr>
                <w:p w14:paraId="7F6596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42DD3D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3FB319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2FF024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4</w:t>
                  </w:r>
                </w:p>
              </w:tc>
              <w:tc>
                <w:tcPr>
                  <w:tcW w:w="2807" w:type="pct"/>
                  <w:tcBorders>
                    <w:tl2br w:val="nil"/>
                    <w:tr2bl w:val="nil"/>
                  </w:tcBorders>
                  <w:vAlign w:val="center"/>
                </w:tcPr>
                <w:p w14:paraId="0FDF1F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边导线外10m处</w:t>
                  </w:r>
                </w:p>
              </w:tc>
              <w:tc>
                <w:tcPr>
                  <w:tcW w:w="870" w:type="pct"/>
                  <w:tcBorders>
                    <w:tl2br w:val="nil"/>
                    <w:tr2bl w:val="nil"/>
                  </w:tcBorders>
                  <w:vAlign w:val="center"/>
                </w:tcPr>
                <w:p w14:paraId="1056C54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3F8AAA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584DA3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5791F52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5</w:t>
                  </w:r>
                </w:p>
              </w:tc>
              <w:tc>
                <w:tcPr>
                  <w:tcW w:w="2807" w:type="pct"/>
                  <w:tcBorders>
                    <w:tl2br w:val="nil"/>
                    <w:tr2bl w:val="nil"/>
                  </w:tcBorders>
                  <w:vAlign w:val="center"/>
                </w:tcPr>
                <w:p w14:paraId="1692E64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边导线外15m处</w:t>
                  </w:r>
                </w:p>
              </w:tc>
              <w:tc>
                <w:tcPr>
                  <w:tcW w:w="870" w:type="pct"/>
                  <w:tcBorders>
                    <w:tl2br w:val="nil"/>
                    <w:tr2bl w:val="nil"/>
                  </w:tcBorders>
                  <w:vAlign w:val="center"/>
                </w:tcPr>
                <w:p w14:paraId="693828D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570109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3F1900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4418F07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6</w:t>
                  </w:r>
                </w:p>
              </w:tc>
              <w:tc>
                <w:tcPr>
                  <w:tcW w:w="2807" w:type="pct"/>
                  <w:tcBorders>
                    <w:tl2br w:val="nil"/>
                    <w:tr2bl w:val="nil"/>
                  </w:tcBorders>
                  <w:vAlign w:val="center"/>
                </w:tcPr>
                <w:p w14:paraId="3DE7D18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边导线外20m处</w:t>
                  </w:r>
                </w:p>
              </w:tc>
              <w:tc>
                <w:tcPr>
                  <w:tcW w:w="870" w:type="pct"/>
                  <w:tcBorders>
                    <w:tl2br w:val="nil"/>
                    <w:tr2bl w:val="nil"/>
                  </w:tcBorders>
                  <w:vAlign w:val="center"/>
                </w:tcPr>
                <w:p w14:paraId="4F7AAA3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09F7F0A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35</w:t>
                  </w:r>
                </w:p>
              </w:tc>
            </w:tr>
            <w:tr w14:paraId="1C9A68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6EAF90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7</w:t>
                  </w:r>
                </w:p>
              </w:tc>
              <w:tc>
                <w:tcPr>
                  <w:tcW w:w="2807" w:type="pct"/>
                  <w:tcBorders>
                    <w:tl2br w:val="nil"/>
                    <w:tr2bl w:val="nil"/>
                  </w:tcBorders>
                  <w:vAlign w:val="center"/>
                </w:tcPr>
                <w:p w14:paraId="33C4963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边导线外25m处</w:t>
                  </w:r>
                </w:p>
              </w:tc>
              <w:tc>
                <w:tcPr>
                  <w:tcW w:w="870" w:type="pct"/>
                  <w:tcBorders>
                    <w:tl2br w:val="nil"/>
                    <w:tr2bl w:val="nil"/>
                  </w:tcBorders>
                  <w:vAlign w:val="center"/>
                </w:tcPr>
                <w:p w14:paraId="3E9F2C6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4420D8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0F9D5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7C99992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8</w:t>
                  </w:r>
                </w:p>
              </w:tc>
              <w:tc>
                <w:tcPr>
                  <w:tcW w:w="2807" w:type="pct"/>
                  <w:tcBorders>
                    <w:tl2br w:val="nil"/>
                    <w:tr2bl w:val="nil"/>
                  </w:tcBorders>
                  <w:vAlign w:val="center"/>
                </w:tcPr>
                <w:p w14:paraId="7C004C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边导线外30m处</w:t>
                  </w:r>
                </w:p>
              </w:tc>
              <w:tc>
                <w:tcPr>
                  <w:tcW w:w="870" w:type="pct"/>
                  <w:tcBorders>
                    <w:tl2br w:val="nil"/>
                    <w:tr2bl w:val="nil"/>
                  </w:tcBorders>
                  <w:vAlign w:val="center"/>
                </w:tcPr>
                <w:p w14:paraId="6C66FF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43D63A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12ACF5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0E16B1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9</w:t>
                  </w:r>
                </w:p>
              </w:tc>
              <w:tc>
                <w:tcPr>
                  <w:tcW w:w="2807" w:type="pct"/>
                  <w:tcBorders>
                    <w:tl2br w:val="nil"/>
                    <w:tr2bl w:val="nil"/>
                  </w:tcBorders>
                  <w:vAlign w:val="center"/>
                </w:tcPr>
                <w:p w14:paraId="78DA7CF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边导线外35m处</w:t>
                  </w:r>
                </w:p>
              </w:tc>
              <w:tc>
                <w:tcPr>
                  <w:tcW w:w="870" w:type="pct"/>
                  <w:tcBorders>
                    <w:tl2br w:val="nil"/>
                    <w:tr2bl w:val="nil"/>
                  </w:tcBorders>
                  <w:vAlign w:val="center"/>
                </w:tcPr>
                <w:p w14:paraId="37E934F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24965BB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35</w:t>
                  </w:r>
                </w:p>
              </w:tc>
            </w:tr>
            <w:tr w14:paraId="283638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71133C1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10</w:t>
                  </w:r>
                </w:p>
              </w:tc>
              <w:tc>
                <w:tcPr>
                  <w:tcW w:w="2807" w:type="pct"/>
                  <w:tcBorders>
                    <w:tl2br w:val="nil"/>
                    <w:tr2bl w:val="nil"/>
                  </w:tcBorders>
                  <w:vAlign w:val="center"/>
                </w:tcPr>
                <w:p w14:paraId="509F64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边导线外40m处</w:t>
                  </w:r>
                </w:p>
              </w:tc>
              <w:tc>
                <w:tcPr>
                  <w:tcW w:w="870" w:type="pct"/>
                  <w:tcBorders>
                    <w:tl2br w:val="nil"/>
                    <w:tr2bl w:val="nil"/>
                  </w:tcBorders>
                  <w:vAlign w:val="center"/>
                </w:tcPr>
                <w:p w14:paraId="664E162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209EBFE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30C70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6A527E3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11</w:t>
                  </w:r>
                </w:p>
              </w:tc>
              <w:tc>
                <w:tcPr>
                  <w:tcW w:w="2807" w:type="pct"/>
                  <w:tcBorders>
                    <w:tl2br w:val="nil"/>
                    <w:tr2bl w:val="nil"/>
                  </w:tcBorders>
                  <w:vAlign w:val="center"/>
                </w:tcPr>
                <w:p w14:paraId="0CD5EE5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边导线外45m处</w:t>
                  </w:r>
                </w:p>
              </w:tc>
              <w:tc>
                <w:tcPr>
                  <w:tcW w:w="870" w:type="pct"/>
                  <w:tcBorders>
                    <w:tl2br w:val="nil"/>
                    <w:tr2bl w:val="nil"/>
                  </w:tcBorders>
                  <w:vAlign w:val="center"/>
                </w:tcPr>
                <w:p w14:paraId="7E3EBE1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24A23F6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5FD4CA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 w:type="pct"/>
                  <w:tcBorders>
                    <w:tl2br w:val="nil"/>
                    <w:tr2bl w:val="nil"/>
                  </w:tcBorders>
                  <w:vAlign w:val="center"/>
                </w:tcPr>
                <w:p w14:paraId="2CAEEF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12</w:t>
                  </w:r>
                </w:p>
              </w:tc>
              <w:tc>
                <w:tcPr>
                  <w:tcW w:w="2807" w:type="pct"/>
                  <w:tcBorders>
                    <w:tl2br w:val="nil"/>
                    <w:tr2bl w:val="nil"/>
                  </w:tcBorders>
                  <w:vAlign w:val="center"/>
                </w:tcPr>
                <w:p w14:paraId="4347388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边导线外50m处</w:t>
                  </w:r>
                </w:p>
              </w:tc>
              <w:tc>
                <w:tcPr>
                  <w:tcW w:w="870" w:type="pct"/>
                  <w:tcBorders>
                    <w:tl2br w:val="nil"/>
                    <w:tr2bl w:val="nil"/>
                  </w:tcBorders>
                  <w:vAlign w:val="center"/>
                </w:tcPr>
                <w:p w14:paraId="0646C9F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c>
                <w:tcPr>
                  <w:tcW w:w="870" w:type="pct"/>
                  <w:tcBorders>
                    <w:tl2br w:val="nil"/>
                    <w:tr2bl w:val="nil"/>
                  </w:tcBorders>
                  <w:vAlign w:val="center"/>
                </w:tcPr>
                <w:p w14:paraId="6BD670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cs="Times New Roman"/>
                      <w:b w:val="0"/>
                      <w:bCs w:val="0"/>
                      <w:color w:val="000000" w:themeColor="text1"/>
                      <w:sz w:val="18"/>
                      <w:szCs w:val="18"/>
                      <w:highlight w:val="none"/>
                      <w:vertAlign w:val="baseline"/>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36</w:t>
                  </w:r>
                </w:p>
              </w:tc>
            </w:tr>
            <w:tr w14:paraId="6E89D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14:paraId="1D95D4C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18"/>
                      <w:szCs w:val="18"/>
                      <w:highlight w:val="none"/>
                      <w:lang w:val="en-US" w:eastAsia="zh-CN" w:bidi="ar"/>
                      <w14:textFill>
                        <w14:solidFill>
                          <w14:schemeClr w14:val="tx1"/>
                        </w14:solidFill>
                      </w14:textFill>
                    </w:rPr>
                    <w:t>以上数据为声环境现状监测数据修约值。</w:t>
                  </w:r>
                </w:p>
              </w:tc>
            </w:tr>
          </w:tbl>
          <w:p w14:paraId="46E66E2C">
            <w:pPr>
              <w:shd w:val="clea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⑥监测结果分析</w:t>
            </w:r>
          </w:p>
          <w:p w14:paraId="3F909B26">
            <w:pPr>
              <w:shd w:val="clea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由表4-</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可知：110kV吉团二线54#杆塔～55#杆塔之间断面噪声昼间监测值为36dB（A），夜间噪声监测值为35～36dB（A），说明线路运行噪声实际贡献值较小。</w:t>
            </w:r>
          </w:p>
          <w:p w14:paraId="70743CBF">
            <w:pPr>
              <w:shd w:val="clear"/>
              <w:ind w:firstLine="48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由类比的110kV吉团二线运行产生的噪声可知，本工程线路运行时产生的噪声不会对周边声环境造成明显影响，单回输电线路沿线声环境可满足《声环境质量标准》（GB3096-2008）中的2类标准，输电线路运行期产生的噪声不会对边导线地面投影外两侧各30m范围内的声环境产生明显不利影响</w:t>
            </w:r>
            <w:r>
              <w:rPr>
                <w:rFonts w:hint="eastAsia"/>
                <w:color w:val="000000" w:themeColor="text1"/>
                <w:highlight w:val="none"/>
                <w:lang w:eastAsia="zh-CN"/>
                <w14:textFill>
                  <w14:solidFill>
                    <w14:schemeClr w14:val="tx1"/>
                  </w14:solidFill>
                </w14:textFill>
              </w:rPr>
              <w:t>。</w:t>
            </w:r>
          </w:p>
          <w:p w14:paraId="06B4C790">
            <w:pPr>
              <w:pStyle w:val="3"/>
              <w:shd w:val="clear"/>
              <w:rPr>
                <w:color w:val="000000" w:themeColor="text1"/>
                <w:highlight w:val="none"/>
                <w14:textFill>
                  <w14:solidFill>
                    <w14:schemeClr w14:val="tx1"/>
                  </w14:solidFill>
                </w14:textFill>
              </w:rPr>
            </w:pPr>
            <w:bookmarkStart w:id="304" w:name="_Toc18555"/>
            <w:bookmarkStart w:id="305" w:name="_Toc14928"/>
            <w:bookmarkStart w:id="306" w:name="_Toc18509"/>
            <w:r>
              <w:rPr>
                <w:color w:val="000000" w:themeColor="text1"/>
                <w:highlight w:val="none"/>
                <w14:textFill>
                  <w14:solidFill>
                    <w14:schemeClr w14:val="tx1"/>
                  </w14:solidFill>
                </w14:textFill>
              </w:rPr>
              <w:t>5、电磁影响分析</w:t>
            </w:r>
            <w:bookmarkEnd w:id="304"/>
            <w:bookmarkEnd w:id="305"/>
            <w:bookmarkEnd w:id="306"/>
          </w:p>
          <w:p w14:paraId="6058A55E">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见电磁专项评价。</w:t>
            </w:r>
          </w:p>
          <w:p w14:paraId="43CD00FB">
            <w:pPr>
              <w:pStyle w:val="3"/>
              <w:shd w:val="clear"/>
              <w:rPr>
                <w:color w:val="000000" w:themeColor="text1"/>
                <w:highlight w:val="none"/>
                <w14:textFill>
                  <w14:solidFill>
                    <w14:schemeClr w14:val="tx1"/>
                  </w14:solidFill>
                </w14:textFill>
              </w:rPr>
            </w:pPr>
            <w:bookmarkStart w:id="307" w:name="_Toc15780"/>
            <w:bookmarkStart w:id="308" w:name="_Toc23615"/>
            <w:bookmarkStart w:id="309" w:name="_Toc29239"/>
            <w:r>
              <w:rPr>
                <w:color w:val="000000" w:themeColor="text1"/>
                <w:highlight w:val="none"/>
                <w14:textFill>
                  <w14:solidFill>
                    <w14:schemeClr w14:val="tx1"/>
                  </w14:solidFill>
                </w14:textFill>
              </w:rPr>
              <w:t>6、固废污染源及影响分析</w:t>
            </w:r>
            <w:bookmarkEnd w:id="307"/>
            <w:bookmarkEnd w:id="308"/>
            <w:bookmarkEnd w:id="309"/>
          </w:p>
          <w:p w14:paraId="2AAB845D">
            <w:pPr>
              <w:shd w:val="clear"/>
              <w:adjustRightInd/>
              <w:ind w:firstLine="480"/>
              <w:rPr>
                <w:color w:val="000000" w:themeColor="text1"/>
                <w:spacing w:val="-4"/>
                <w:kern w:val="0"/>
                <w:highlight w:val="none"/>
                <w14:textFill>
                  <w14:solidFill>
                    <w14:schemeClr w14:val="tx1"/>
                  </w14:solidFill>
                </w14:textFill>
              </w:rPr>
            </w:pPr>
            <w:r>
              <w:rPr>
                <w:color w:val="000000" w:themeColor="text1"/>
                <w:highlight w:val="none"/>
                <w14:textFill>
                  <w14:solidFill>
                    <w14:schemeClr w14:val="tx1"/>
                  </w14:solidFill>
                </w14:textFill>
              </w:rPr>
              <w:t>本项目运行期固体废弃物主要为生活垃圾、废磷酸铁锂电池、废电子电器设备、废变压器油和废弃的含油抹布、劳保用品。</w:t>
            </w:r>
          </w:p>
          <w:p w14:paraId="11019BD6">
            <w:pPr>
              <w:pStyle w:val="80"/>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（1）生活垃圾</w:t>
            </w:r>
          </w:p>
          <w:p w14:paraId="05C40F20">
            <w:pPr>
              <w:shd w:val="clear"/>
              <w:ind w:firstLine="480"/>
              <w:rPr>
                <w:color w:val="000000" w:themeColor="text1"/>
                <w:highlight w:val="none"/>
                <w14:textFill>
                  <w14:solidFill>
                    <w14:schemeClr w14:val="tx1"/>
                  </w14:solidFill>
                </w14:textFill>
              </w:rPr>
            </w:pPr>
            <w:r>
              <w:rPr>
                <w:color w:val="000000" w:themeColor="text1"/>
                <w:kern w:val="0"/>
                <w:highlight w:val="none"/>
                <w14:textFill>
                  <w14:solidFill>
                    <w14:schemeClr w14:val="tx1"/>
                  </w14:solidFill>
                </w14:textFill>
              </w:rPr>
              <w:t>本项目职工人数为5人，工作天数为365d，生活垃圾产生量按每人0.5kg/d计算，则本项目生活垃圾产生量约为1.825t/a，集中收集后委托环卫部门清运处置，</w:t>
            </w:r>
            <w:r>
              <w:rPr>
                <w:color w:val="000000" w:themeColor="text1"/>
                <w:highlight w:val="none"/>
                <w14:textFill>
                  <w14:solidFill>
                    <w14:schemeClr w14:val="tx1"/>
                  </w14:solidFill>
                </w14:textFill>
              </w:rPr>
              <w:t>不会对环境产生不利影响。</w:t>
            </w:r>
          </w:p>
          <w:p w14:paraId="4D8502CF">
            <w:pPr>
              <w:pStyle w:val="80"/>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（2）废磷酸铁锂电池</w:t>
            </w:r>
          </w:p>
          <w:p w14:paraId="02C9A448">
            <w:pPr>
              <w:shd w:val="clear"/>
              <w:adjustRightInd/>
              <w:ind w:firstLine="464"/>
              <w:rPr>
                <w:color w:val="000000" w:themeColor="text1"/>
                <w:highlight w:val="none"/>
                <w14:textFill>
                  <w14:solidFill>
                    <w14:schemeClr w14:val="tx1"/>
                  </w14:solidFill>
                </w14:textFill>
              </w:rPr>
            </w:pPr>
            <w:r>
              <w:rPr>
                <w:bCs/>
                <w:color w:val="000000" w:themeColor="text1"/>
                <w:spacing w:val="-4"/>
                <w:kern w:val="0"/>
                <w:highlight w:val="none"/>
                <w14:textFill>
                  <w14:solidFill>
                    <w14:schemeClr w14:val="tx1"/>
                  </w14:solidFill>
                </w14:textFill>
              </w:rPr>
              <w:t>本项目储能装置采用综合性能优越的磷酸铁锂电池，磷酸铁锂电池循环寿命普遍达2000次，甚至达到3500次以上，而对于光伏储能，要求达到4000-5000次以上，可保证8-10年的使用寿命。磷酸铁锂电池正极材料电化学性能比较稳定，这决定了它具有平稳的充放电平台，因此，在充放电过程中电池的结构不会发生变化，不会燃烧爆炸，并且即使在短路、过充、挤压、针刺等特殊条件下，仍然是非常安全的。本项目磷酸铁锂电池</w:t>
            </w:r>
            <w:r>
              <w:rPr>
                <w:snapToGrid w:val="0"/>
                <w:color w:val="000000" w:themeColor="text1"/>
                <w:kern w:val="0"/>
                <w:highlight w:val="none"/>
                <w14:textFill>
                  <w14:solidFill>
                    <w14:schemeClr w14:val="tx1"/>
                  </w14:solidFill>
                </w14:textFill>
              </w:rPr>
              <w:t>组集装箱内装储能电池为外购成品直接进场，不在场内组装，无安装固废。</w:t>
            </w:r>
            <w:r>
              <w:rPr>
                <w:bCs/>
                <w:color w:val="000000" w:themeColor="text1"/>
                <w:spacing w:val="-4"/>
                <w:kern w:val="0"/>
                <w:highlight w:val="none"/>
                <w14:textFill>
                  <w14:solidFill>
                    <w14:schemeClr w14:val="tx1"/>
                  </w14:solidFill>
                </w14:textFill>
              </w:rPr>
              <w:t>本项目使用的磷酸铁锂电池8-10年更换，废电池产生量约10t，在</w:t>
            </w:r>
            <w:r>
              <w:rPr>
                <w:color w:val="000000" w:themeColor="text1"/>
                <w:highlight w:val="none"/>
                <w14:textFill>
                  <w14:solidFill>
                    <w14:schemeClr w14:val="tx1"/>
                  </w14:solidFill>
                </w14:textFill>
              </w:rPr>
              <w:t>《国家危险废物名录》（2025年）</w:t>
            </w:r>
            <w:r>
              <w:rPr>
                <w:bCs/>
                <w:color w:val="000000" w:themeColor="text1"/>
                <w:spacing w:val="-4"/>
                <w:kern w:val="0"/>
                <w:highlight w:val="none"/>
                <w14:textFill>
                  <w14:solidFill>
                    <w14:schemeClr w14:val="tx1"/>
                  </w14:solidFill>
                </w14:textFill>
              </w:rPr>
              <w:t>中无相应的废物类别，根据《固体废物分类与代码目录》中废物分类将其定义为其他废物，代码为900-012-S17，在电池8-10年寿命到期更换前事先联系厂家，磷酸铁锂电池整体更换下来直接由厂家运走，不在项目区储存，全程不落地。</w:t>
            </w:r>
          </w:p>
          <w:p w14:paraId="0CB012E9">
            <w:pPr>
              <w:pStyle w:val="80"/>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（3）废电子电器设备</w:t>
            </w:r>
          </w:p>
          <w:p w14:paraId="59D22353">
            <w:pPr>
              <w:pStyle w:val="80"/>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升压站和输变线路在运行过程中需要定期检修、维护，产生的废电子电器设备，年产生量约0.5t/a，</w:t>
            </w:r>
            <w:r>
              <w:rPr>
                <w:bCs/>
                <w:color w:val="000000" w:themeColor="text1"/>
                <w:spacing w:val="-4"/>
                <w:kern w:val="0"/>
                <w:highlight w:val="none"/>
                <w14:textFill>
                  <w14:solidFill>
                    <w14:schemeClr w14:val="tx1"/>
                  </w14:solidFill>
                </w14:textFill>
              </w:rPr>
              <w:t>根据《固体废物分类与代码目录》中废物分类将其定义为其他废物，代码为900-008-S17，</w:t>
            </w:r>
            <w:r>
              <w:rPr>
                <w:color w:val="000000" w:themeColor="text1"/>
                <w:highlight w:val="none"/>
                <w14:textFill>
                  <w14:solidFill>
                    <w14:schemeClr w14:val="tx1"/>
                  </w14:solidFill>
                </w14:textFill>
              </w:rPr>
              <w:t>集中收集至一般工业固废储存间，定期外售，可回收利用。</w:t>
            </w:r>
          </w:p>
          <w:p w14:paraId="6DA21E34">
            <w:pPr>
              <w:pStyle w:val="80"/>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（4）废</w:t>
            </w:r>
            <w:r>
              <w:rPr>
                <w:color w:val="000000" w:themeColor="text1"/>
                <w:kern w:val="0"/>
                <w:highlight w:val="none"/>
                <w14:textFill>
                  <w14:solidFill>
                    <w14:schemeClr w14:val="tx1"/>
                  </w14:solidFill>
                </w14:textFill>
              </w:rPr>
              <w:t>变压器油</w:t>
            </w:r>
          </w:p>
          <w:p w14:paraId="7F6D937E">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主变</w:t>
            </w:r>
            <w:r>
              <w:rPr>
                <w:color w:val="000000" w:themeColor="text1"/>
                <w:spacing w:val="-4"/>
                <w:kern w:val="0"/>
                <w:highlight w:val="none"/>
                <w14:textFill>
                  <w14:solidFill>
                    <w14:schemeClr w14:val="tx1"/>
                  </w14:solidFill>
                </w14:textFill>
              </w:rPr>
              <w:t>设备为了绝缘和冷却的需要，</w:t>
            </w:r>
            <w:r>
              <w:rPr>
                <w:color w:val="000000" w:themeColor="text1"/>
                <w:highlight w:val="none"/>
                <w14:textFill>
                  <w14:solidFill>
                    <w14:schemeClr w14:val="tx1"/>
                  </w14:solidFill>
                </w14:textFill>
              </w:rPr>
              <w:t>单台变压器油约20t（22m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color w:val="000000" w:themeColor="text1"/>
                <w:spacing w:val="-4"/>
                <w:kern w:val="0"/>
                <w:highlight w:val="none"/>
                <w14:textFill>
                  <w14:solidFill>
                    <w14:schemeClr w14:val="tx1"/>
                  </w14:solidFill>
                </w14:textFill>
              </w:rPr>
              <w:t>在变压器外壳内装有变压器油，本项目共1台主</w:t>
            </w:r>
            <w:r>
              <w:rPr>
                <w:color w:val="000000" w:themeColor="text1"/>
                <w:highlight w:val="none"/>
                <w14:textFill>
                  <w14:solidFill>
                    <w14:schemeClr w14:val="tx1"/>
                  </w14:solidFill>
                </w14:textFill>
              </w:rPr>
              <w:t>变压器，</w:t>
            </w:r>
            <w:r>
              <w:rPr>
                <w:color w:val="000000" w:themeColor="text1"/>
                <w:spacing w:val="-4"/>
                <w:kern w:val="0"/>
                <w:highlight w:val="none"/>
                <w14:textFill>
                  <w14:solidFill>
                    <w14:schemeClr w14:val="tx1"/>
                  </w14:solidFill>
                </w14:textFill>
              </w:rPr>
              <w:t>变压器油8-10年更换一次，每次产生量约20t，</w:t>
            </w:r>
            <w:r>
              <w:rPr>
                <w:color w:val="000000" w:themeColor="text1"/>
                <w:highlight w:val="none"/>
                <w14:textFill>
                  <w14:solidFill>
                    <w14:schemeClr w14:val="tx1"/>
                  </w14:solidFill>
                </w14:textFill>
              </w:rPr>
              <w:t>废</w:t>
            </w:r>
            <w:r>
              <w:rPr>
                <w:color w:val="000000" w:themeColor="text1"/>
                <w:kern w:val="0"/>
                <w:highlight w:val="none"/>
                <w14:textFill>
                  <w14:solidFill>
                    <w14:schemeClr w14:val="tx1"/>
                  </w14:solidFill>
                </w14:textFill>
              </w:rPr>
              <w:t>变压器油</w:t>
            </w:r>
            <w:r>
              <w:rPr>
                <w:color w:val="000000" w:themeColor="text1"/>
                <w:spacing w:val="-4"/>
                <w:kern w:val="0"/>
                <w:highlight w:val="none"/>
                <w14:textFill>
                  <w14:solidFill>
                    <w14:schemeClr w14:val="tx1"/>
                  </w14:solidFill>
                </w14:textFill>
              </w:rPr>
              <w:t>属于HW08类废矿物与含矿物油废物，危废代码为900-220-08，</w:t>
            </w:r>
            <w:r>
              <w:rPr>
                <w:rFonts w:hint="eastAsia"/>
                <w:color w:val="000000" w:themeColor="text1"/>
                <w:spacing w:val="-4"/>
                <w:kern w:val="0"/>
                <w:highlight w:val="none"/>
                <w:lang w:val="en-US" w:eastAsia="zh-CN"/>
                <w14:textFill>
                  <w14:solidFill>
                    <w14:schemeClr w14:val="tx1"/>
                  </w14:solidFill>
                </w14:textFill>
              </w:rPr>
              <w:t>废</w:t>
            </w:r>
            <w:r>
              <w:rPr>
                <w:color w:val="000000" w:themeColor="text1"/>
                <w:spacing w:val="-4"/>
                <w:kern w:val="0"/>
                <w:highlight w:val="none"/>
                <w14:textFill>
                  <w14:solidFill>
                    <w14:schemeClr w14:val="tx1"/>
                  </w14:solidFill>
                </w14:textFill>
              </w:rPr>
              <w:t>变压器油</w:t>
            </w:r>
            <w:r>
              <w:rPr>
                <w:rFonts w:hint="eastAsia"/>
                <w:color w:val="000000" w:themeColor="text1"/>
                <w:spacing w:val="-4"/>
                <w:kern w:val="0"/>
                <w:highlight w:val="none"/>
                <w:lang w:val="en-US" w:eastAsia="zh-CN"/>
                <w14:textFill>
                  <w14:solidFill>
                    <w14:schemeClr w14:val="tx1"/>
                  </w14:solidFill>
                </w14:textFill>
              </w:rPr>
              <w:t>暂存于事故油池内</w:t>
            </w:r>
            <w:r>
              <w:rPr>
                <w:color w:val="000000" w:themeColor="text1"/>
                <w:spacing w:val="-4"/>
                <w:kern w:val="0"/>
                <w:highlight w:val="none"/>
                <w14:textFill>
                  <w14:solidFill>
                    <w14:schemeClr w14:val="tx1"/>
                  </w14:solidFill>
                </w14:textFill>
              </w:rPr>
              <w:t>，委托有资质单位</w:t>
            </w:r>
            <w:r>
              <w:rPr>
                <w:rFonts w:hint="eastAsia"/>
                <w:color w:val="000000" w:themeColor="text1"/>
                <w:spacing w:val="-4"/>
                <w:kern w:val="0"/>
                <w:highlight w:val="none"/>
                <w:lang w:val="en-US" w:eastAsia="zh-CN"/>
                <w14:textFill>
                  <w14:solidFill>
                    <w14:schemeClr w14:val="tx1"/>
                  </w14:solidFill>
                </w14:textFill>
              </w:rPr>
              <w:t>及时清运</w:t>
            </w:r>
            <w:r>
              <w:rPr>
                <w:color w:val="000000" w:themeColor="text1"/>
                <w:spacing w:val="-4"/>
                <w:kern w:val="0"/>
                <w:highlight w:val="none"/>
                <w14:textFill>
                  <w14:solidFill>
                    <w14:schemeClr w14:val="tx1"/>
                  </w14:solidFill>
                </w14:textFill>
              </w:rPr>
              <w:t>处</w:t>
            </w:r>
            <w:r>
              <w:rPr>
                <w:rFonts w:hint="eastAsia"/>
                <w:color w:val="000000" w:themeColor="text1"/>
                <w:spacing w:val="-4"/>
                <w:kern w:val="0"/>
                <w:highlight w:val="none"/>
                <w:lang w:val="en-US" w:eastAsia="zh-CN"/>
                <w14:textFill>
                  <w14:solidFill>
                    <w14:schemeClr w14:val="tx1"/>
                  </w14:solidFill>
                </w14:textFill>
              </w:rPr>
              <w:t>置</w:t>
            </w:r>
            <w:r>
              <w:rPr>
                <w:color w:val="000000" w:themeColor="text1"/>
                <w:kern w:val="0"/>
                <w:highlight w:val="none"/>
                <w14:textFill>
                  <w14:solidFill>
                    <w14:schemeClr w14:val="tx1"/>
                  </w14:solidFill>
                </w14:textFill>
              </w:rPr>
              <w:t>，</w:t>
            </w:r>
            <w:r>
              <w:rPr>
                <w:color w:val="000000" w:themeColor="text1"/>
                <w:highlight w:val="none"/>
                <w14:textFill>
                  <w14:solidFill>
                    <w14:schemeClr w14:val="tx1"/>
                  </w14:solidFill>
                </w14:textFill>
              </w:rPr>
              <w:t>不会对环境产生不利影响。</w:t>
            </w:r>
          </w:p>
          <w:p w14:paraId="29C04A7A">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（5）废弃的含油抹布、劳保用品</w:t>
            </w:r>
          </w:p>
          <w:p w14:paraId="50F5EDFB">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人工擦洗、设备检修、维护和保养等过程中产生的固废主要为含油废抹布、手套等，约0.01t/a。含油抹布、手套集中收集至危险废物贮存库内</w:t>
            </w:r>
            <w:r>
              <w:rPr>
                <w:rFonts w:hint="eastAsia"/>
                <w:color w:val="000000" w:themeColor="text1"/>
                <w:highlight w:val="none"/>
                <w:lang w:val="en-US" w:eastAsia="zh-CN"/>
                <w14:textFill>
                  <w14:solidFill>
                    <w14:schemeClr w14:val="tx1"/>
                  </w14:solidFill>
                </w14:textFill>
              </w:rPr>
              <w:t>贮存</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及时</w:t>
            </w:r>
            <w:r>
              <w:rPr>
                <w:color w:val="000000" w:themeColor="text1"/>
                <w:highlight w:val="none"/>
                <w14:textFill>
                  <w14:solidFill>
                    <w14:schemeClr w14:val="tx1"/>
                  </w14:solidFill>
                </w14:textFill>
              </w:rPr>
              <w:t>交由有资质单位进行处置。</w:t>
            </w:r>
          </w:p>
          <w:p w14:paraId="1C807782">
            <w:pPr>
              <w:shd w:val="clea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废润滑油及废润滑油桶</w:t>
            </w:r>
          </w:p>
          <w:p w14:paraId="68FBC529">
            <w:pPr>
              <w:shd w:val="clea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正常运行时只定期添加机油，无废润滑油产生，仅在检修时会有废润滑油、废桶等产生，检修一次废润滑油产生量约0.5t/次，预计每年检修1次，即废润滑油产生量共0.5t/a。废包装桶共12个（0.01t/个），废润滑油及废润滑油桶属于危险废物，集中收集至危险废物贮存库内贮存，及时交由有资质单位进行处置。</w:t>
            </w:r>
          </w:p>
          <w:p w14:paraId="75D5FFC3">
            <w:pPr>
              <w:shd w:val="clear"/>
              <w:ind w:firstLine="48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（7）废铅酸电池</w:t>
            </w:r>
          </w:p>
          <w:p w14:paraId="62AEA20E">
            <w:pPr>
              <w:shd w:val="clear"/>
              <w:ind w:firstLine="480"/>
              <w:rPr>
                <w:rFonts w:hint="default"/>
                <w:color w:val="FF0000"/>
                <w:highlight w:val="none"/>
                <w:lang w:val="en-US" w:eastAsia="zh-CN"/>
              </w:rPr>
            </w:pPr>
            <w:r>
              <w:rPr>
                <w:rFonts w:hint="eastAsia"/>
                <w:color w:val="FF0000"/>
                <w:highlight w:val="none"/>
                <w:lang w:val="en-US" w:eastAsia="zh-CN"/>
              </w:rPr>
              <w:t>本项目升压站内设有铅酸电池，需定期更换，更换后的废铅酸电池属于危险废物，产生量约为2.0t/a，废铅酸电池集中收集至危险废物贮存库贮存，及时交由有资质单位进行处置。</w:t>
            </w:r>
          </w:p>
          <w:p w14:paraId="05B790DA">
            <w:pPr>
              <w:pStyle w:val="15"/>
              <w:shd w:val="clear"/>
              <w:adjustRightInd/>
              <w:snapToGrid/>
              <w:spacing w:after="0" w:line="240" w:lineRule="auto"/>
              <w:ind w:left="0" w:leftChars="0" w:firstLine="422"/>
              <w:jc w:val="left"/>
              <w:rPr>
                <w:b/>
                <w:color w:val="000000" w:themeColor="text1"/>
                <w:szCs w:val="21"/>
                <w:highlight w:val="none"/>
                <w14:textFill>
                  <w14:solidFill>
                    <w14:schemeClr w14:val="tx1"/>
                  </w14:solidFill>
                </w14:textFill>
              </w:rPr>
            </w:pPr>
            <w:r>
              <w:rPr>
                <w:b/>
                <w:color w:val="000000" w:themeColor="text1"/>
                <w:sz w:val="21"/>
                <w:szCs w:val="21"/>
                <w:highlight w:val="none"/>
                <w14:textFill>
                  <w14:solidFill>
                    <w14:schemeClr w14:val="tx1"/>
                  </w14:solidFill>
                </w14:textFill>
              </w:rPr>
              <w:t>表4-</w:t>
            </w:r>
            <w:r>
              <w:rPr>
                <w:rFonts w:hint="eastAsia"/>
                <w:b/>
                <w:color w:val="000000" w:themeColor="text1"/>
                <w:sz w:val="21"/>
                <w:szCs w:val="21"/>
                <w:highlight w:val="none"/>
                <w:lang w:val="en-US" w:eastAsia="zh-CN"/>
                <w14:textFill>
                  <w14:solidFill>
                    <w14:schemeClr w14:val="tx1"/>
                  </w14:solidFill>
                </w14:textFill>
              </w:rPr>
              <w:t>9</w:t>
            </w:r>
            <w:r>
              <w:rPr>
                <w:b/>
                <w:color w:val="000000" w:themeColor="text1"/>
                <w:sz w:val="21"/>
                <w:szCs w:val="21"/>
                <w:highlight w:val="none"/>
                <w14:textFill>
                  <w14:solidFill>
                    <w14:schemeClr w14:val="tx1"/>
                  </w14:solidFill>
                </w14:textFill>
              </w:rPr>
              <w:t xml:space="preserve">                 本项目固体废物产生及属性判定表</w:t>
            </w:r>
          </w:p>
          <w:tbl>
            <w:tblPr>
              <w:tblStyle w:val="3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445"/>
              <w:gridCol w:w="778"/>
              <w:gridCol w:w="435"/>
              <w:gridCol w:w="1156"/>
              <w:gridCol w:w="961"/>
              <w:gridCol w:w="679"/>
              <w:gridCol w:w="406"/>
              <w:gridCol w:w="578"/>
              <w:gridCol w:w="530"/>
              <w:gridCol w:w="823"/>
            </w:tblGrid>
            <w:tr w14:paraId="5F1227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E3CA66D">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危险废物名称</w:t>
                  </w:r>
                </w:p>
              </w:tc>
              <w:tc>
                <w:tcPr>
                  <w:tcW w:w="0" w:type="auto"/>
                  <w:vAlign w:val="center"/>
                </w:tcPr>
                <w:p w14:paraId="27C99C62">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属性</w:t>
                  </w:r>
                </w:p>
              </w:tc>
              <w:tc>
                <w:tcPr>
                  <w:tcW w:w="0" w:type="auto"/>
                  <w:vAlign w:val="center"/>
                </w:tcPr>
                <w:p w14:paraId="7C812DF2">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废物</w:t>
                  </w:r>
                </w:p>
                <w:p w14:paraId="02CC8EA9">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类别</w:t>
                  </w:r>
                </w:p>
              </w:tc>
              <w:tc>
                <w:tcPr>
                  <w:tcW w:w="0" w:type="auto"/>
                  <w:vAlign w:val="center"/>
                </w:tcPr>
                <w:p w14:paraId="7C8992AD">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主要成分</w:t>
                  </w:r>
                </w:p>
              </w:tc>
              <w:tc>
                <w:tcPr>
                  <w:tcW w:w="0" w:type="auto"/>
                  <w:vAlign w:val="center"/>
                </w:tcPr>
                <w:p w14:paraId="44CCFA46">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废物</w:t>
                  </w:r>
                </w:p>
                <w:p w14:paraId="06AA30EA">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代码</w:t>
                  </w:r>
                </w:p>
              </w:tc>
              <w:tc>
                <w:tcPr>
                  <w:tcW w:w="0" w:type="auto"/>
                  <w:vAlign w:val="center"/>
                </w:tcPr>
                <w:p w14:paraId="4A23408C">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产生</w:t>
                  </w:r>
                </w:p>
                <w:p w14:paraId="457015E6">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量（t/a）</w:t>
                  </w:r>
                </w:p>
              </w:tc>
              <w:tc>
                <w:tcPr>
                  <w:tcW w:w="0" w:type="auto"/>
                  <w:vAlign w:val="center"/>
                </w:tcPr>
                <w:p w14:paraId="7804E6A0">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产生</w:t>
                  </w:r>
                </w:p>
                <w:p w14:paraId="6F1092AA">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工序及装置</w:t>
                  </w:r>
                </w:p>
              </w:tc>
              <w:tc>
                <w:tcPr>
                  <w:tcW w:w="0" w:type="auto"/>
                  <w:vAlign w:val="center"/>
                </w:tcPr>
                <w:p w14:paraId="69D77E6A">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形态</w:t>
                  </w:r>
                </w:p>
              </w:tc>
              <w:tc>
                <w:tcPr>
                  <w:tcW w:w="0" w:type="auto"/>
                  <w:vAlign w:val="center"/>
                </w:tcPr>
                <w:p w14:paraId="0B198FB0">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转运周期</w:t>
                  </w:r>
                </w:p>
              </w:tc>
              <w:tc>
                <w:tcPr>
                  <w:tcW w:w="0" w:type="auto"/>
                  <w:vAlign w:val="center"/>
                </w:tcPr>
                <w:p w14:paraId="6EAA0AF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危险</w:t>
                  </w:r>
                </w:p>
                <w:p w14:paraId="0C743A4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特性</w:t>
                  </w:r>
                </w:p>
              </w:tc>
              <w:tc>
                <w:tcPr>
                  <w:tcW w:w="0" w:type="auto"/>
                  <w:vAlign w:val="center"/>
                </w:tcPr>
                <w:p w14:paraId="61ED1381">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污染防治措施</w:t>
                  </w:r>
                </w:p>
              </w:tc>
            </w:tr>
            <w:tr w14:paraId="49FBB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691ECA3">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废磷酸铁锂电池</w:t>
                  </w:r>
                </w:p>
              </w:tc>
              <w:tc>
                <w:tcPr>
                  <w:tcW w:w="0" w:type="auto"/>
                  <w:vMerge w:val="restart"/>
                  <w:vAlign w:val="center"/>
                </w:tcPr>
                <w:p w14:paraId="372FFEA2">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一般工业固废</w:t>
                  </w:r>
                </w:p>
              </w:tc>
              <w:tc>
                <w:tcPr>
                  <w:tcW w:w="0" w:type="auto"/>
                  <w:vAlign w:val="center"/>
                </w:tcPr>
                <w:p w14:paraId="47486963">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S17可再生类废物</w:t>
                  </w:r>
                </w:p>
              </w:tc>
              <w:tc>
                <w:tcPr>
                  <w:tcW w:w="0" w:type="auto"/>
                  <w:vAlign w:val="center"/>
                </w:tcPr>
                <w:p w14:paraId="3FFFE151">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磷酸铁锂</w:t>
                  </w:r>
                </w:p>
              </w:tc>
              <w:tc>
                <w:tcPr>
                  <w:tcW w:w="0" w:type="auto"/>
                  <w:vAlign w:val="center"/>
                </w:tcPr>
                <w:p w14:paraId="5673BEE9">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900-012-S17</w:t>
                  </w:r>
                </w:p>
              </w:tc>
              <w:tc>
                <w:tcPr>
                  <w:tcW w:w="0" w:type="auto"/>
                  <w:vAlign w:val="center"/>
                </w:tcPr>
                <w:p w14:paraId="316FCC5C">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10t/（8a-10a</w:t>
                  </w:r>
                  <w:r>
                    <w:rPr>
                      <w:rFonts w:hint="eastAsia"/>
                      <w:color w:val="000000" w:themeColor="text1"/>
                      <w:sz w:val="18"/>
                      <w:szCs w:val="18"/>
                      <w:highlight w:val="none"/>
                      <w:lang w:eastAsia="zh-CN"/>
                      <w14:textFill>
                        <w14:solidFill>
                          <w14:schemeClr w14:val="tx1"/>
                        </w14:solidFill>
                      </w14:textFill>
                    </w:rPr>
                    <w:t>)</w:t>
                  </w:r>
                </w:p>
              </w:tc>
              <w:tc>
                <w:tcPr>
                  <w:tcW w:w="0" w:type="auto"/>
                  <w:vAlign w:val="center"/>
                </w:tcPr>
                <w:p w14:paraId="28FFA57D">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定期更换</w:t>
                  </w:r>
                </w:p>
              </w:tc>
              <w:tc>
                <w:tcPr>
                  <w:tcW w:w="0" w:type="auto"/>
                  <w:vAlign w:val="center"/>
                </w:tcPr>
                <w:p w14:paraId="727C6B7F">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固态</w:t>
                  </w:r>
                </w:p>
              </w:tc>
              <w:tc>
                <w:tcPr>
                  <w:tcW w:w="0" w:type="auto"/>
                  <w:vAlign w:val="center"/>
                </w:tcPr>
                <w:p w14:paraId="2A34E518">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8-10年一次</w:t>
                  </w:r>
                </w:p>
              </w:tc>
              <w:tc>
                <w:tcPr>
                  <w:tcW w:w="0" w:type="auto"/>
                  <w:vAlign w:val="center"/>
                </w:tcPr>
                <w:p w14:paraId="4A458A3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c>
                <w:tcPr>
                  <w:tcW w:w="0" w:type="auto"/>
                  <w:vAlign w:val="center"/>
                </w:tcPr>
                <w:p w14:paraId="68D4E255">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厂家回收</w:t>
                  </w:r>
                </w:p>
              </w:tc>
            </w:tr>
            <w:tr w14:paraId="66DCF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596C40D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废电子电器设备</w:t>
                  </w:r>
                </w:p>
              </w:tc>
              <w:tc>
                <w:tcPr>
                  <w:tcW w:w="0" w:type="auto"/>
                  <w:vMerge w:val="continue"/>
                  <w:vAlign w:val="center"/>
                </w:tcPr>
                <w:p w14:paraId="290104BA">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p>
              </w:tc>
              <w:tc>
                <w:tcPr>
                  <w:tcW w:w="0" w:type="auto"/>
                  <w:vAlign w:val="center"/>
                </w:tcPr>
                <w:p w14:paraId="271F0E04">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S17可再生类废物</w:t>
                  </w:r>
                </w:p>
              </w:tc>
              <w:tc>
                <w:tcPr>
                  <w:tcW w:w="0" w:type="auto"/>
                  <w:vAlign w:val="center"/>
                </w:tcPr>
                <w:p w14:paraId="6D697D00">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金属元件</w:t>
                  </w:r>
                </w:p>
              </w:tc>
              <w:tc>
                <w:tcPr>
                  <w:tcW w:w="0" w:type="auto"/>
                  <w:vAlign w:val="center"/>
                </w:tcPr>
                <w:p w14:paraId="02ED6922">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900-008-S17</w:t>
                  </w:r>
                </w:p>
              </w:tc>
              <w:tc>
                <w:tcPr>
                  <w:tcW w:w="0" w:type="auto"/>
                  <w:vAlign w:val="center"/>
                </w:tcPr>
                <w:p w14:paraId="68E6E1D7">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0.5t/a</w:t>
                  </w:r>
                </w:p>
              </w:tc>
              <w:tc>
                <w:tcPr>
                  <w:tcW w:w="0" w:type="auto"/>
                  <w:vAlign w:val="center"/>
                </w:tcPr>
                <w:p w14:paraId="7C72E08D">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定期检修</w:t>
                  </w:r>
                </w:p>
              </w:tc>
              <w:tc>
                <w:tcPr>
                  <w:tcW w:w="0" w:type="auto"/>
                  <w:vAlign w:val="center"/>
                </w:tcPr>
                <w:p w14:paraId="5E1D8432">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固态</w:t>
                  </w:r>
                </w:p>
              </w:tc>
              <w:tc>
                <w:tcPr>
                  <w:tcW w:w="0" w:type="auto"/>
                  <w:vAlign w:val="center"/>
                </w:tcPr>
                <w:p w14:paraId="2D655F7C">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一年一次</w:t>
                  </w:r>
                </w:p>
              </w:tc>
              <w:tc>
                <w:tcPr>
                  <w:tcW w:w="0" w:type="auto"/>
                  <w:vAlign w:val="center"/>
                </w:tcPr>
                <w:p w14:paraId="250CF26A">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c>
                <w:tcPr>
                  <w:tcW w:w="0" w:type="auto"/>
                  <w:vAlign w:val="center"/>
                </w:tcPr>
                <w:p w14:paraId="7CBC823A">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外售</w:t>
                  </w:r>
                </w:p>
              </w:tc>
            </w:tr>
            <w:tr w14:paraId="5AE937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5967E74">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废变压器油</w:t>
                  </w:r>
                </w:p>
              </w:tc>
              <w:tc>
                <w:tcPr>
                  <w:tcW w:w="0" w:type="auto"/>
                  <w:vMerge w:val="restart"/>
                  <w:vAlign w:val="center"/>
                </w:tcPr>
                <w:p w14:paraId="397E019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危险废物</w:t>
                  </w:r>
                </w:p>
              </w:tc>
              <w:tc>
                <w:tcPr>
                  <w:tcW w:w="0" w:type="auto"/>
                  <w:vAlign w:val="center"/>
                </w:tcPr>
                <w:p w14:paraId="32106C81">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HW08</w:t>
                  </w:r>
                </w:p>
                <w:p w14:paraId="3B1F587F">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废润滑油与含矿物油废物</w:t>
                  </w:r>
                </w:p>
              </w:tc>
              <w:tc>
                <w:tcPr>
                  <w:tcW w:w="0" w:type="auto"/>
                  <w:vAlign w:val="center"/>
                </w:tcPr>
                <w:p w14:paraId="3C92CC7D">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矿物油</w:t>
                  </w:r>
                </w:p>
              </w:tc>
              <w:tc>
                <w:tcPr>
                  <w:tcW w:w="0" w:type="auto"/>
                  <w:vAlign w:val="center"/>
                </w:tcPr>
                <w:p w14:paraId="66BBB4C5">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900-220-08</w:t>
                  </w:r>
                </w:p>
              </w:tc>
              <w:tc>
                <w:tcPr>
                  <w:tcW w:w="0" w:type="auto"/>
                  <w:vAlign w:val="center"/>
                </w:tcPr>
                <w:p w14:paraId="4A12CFD8">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32（8a-10a</w:t>
                  </w:r>
                  <w:r>
                    <w:rPr>
                      <w:rFonts w:hint="eastAsia"/>
                      <w:color w:val="000000" w:themeColor="text1"/>
                      <w:sz w:val="18"/>
                      <w:szCs w:val="18"/>
                      <w:highlight w:val="none"/>
                      <w:lang w:eastAsia="zh-CN"/>
                      <w14:textFill>
                        <w14:solidFill>
                          <w14:schemeClr w14:val="tx1"/>
                        </w14:solidFill>
                      </w14:textFill>
                    </w:rPr>
                    <w:t>)</w:t>
                  </w:r>
                </w:p>
              </w:tc>
              <w:tc>
                <w:tcPr>
                  <w:tcW w:w="0" w:type="auto"/>
                  <w:vAlign w:val="center"/>
                </w:tcPr>
                <w:p w14:paraId="4EBC68FC">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机器维修工序</w:t>
                  </w:r>
                </w:p>
              </w:tc>
              <w:tc>
                <w:tcPr>
                  <w:tcW w:w="0" w:type="auto"/>
                  <w:vAlign w:val="center"/>
                </w:tcPr>
                <w:p w14:paraId="2D146B62">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液态</w:t>
                  </w:r>
                </w:p>
              </w:tc>
              <w:tc>
                <w:tcPr>
                  <w:tcW w:w="0" w:type="auto"/>
                  <w:vAlign w:val="center"/>
                </w:tcPr>
                <w:p w14:paraId="03684E4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直接转运</w:t>
                  </w:r>
                </w:p>
              </w:tc>
              <w:tc>
                <w:tcPr>
                  <w:tcW w:w="0" w:type="auto"/>
                  <w:vAlign w:val="center"/>
                </w:tcPr>
                <w:p w14:paraId="539055D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T</w:t>
                  </w:r>
                  <w:r>
                    <w:rPr>
                      <w:rFonts w:hint="eastAsia"/>
                      <w:color w:val="000000" w:themeColor="text1"/>
                      <w:sz w:val="18"/>
                      <w:szCs w:val="18"/>
                      <w:highlight w:val="none"/>
                      <w:lang w:eastAsia="zh-CN"/>
                      <w14:textFill>
                        <w14:solidFill>
                          <w14:schemeClr w14:val="tx1"/>
                        </w14:solidFill>
                      </w14:textFill>
                    </w:rPr>
                    <w:t xml:space="preserve">, </w:t>
                  </w:r>
                  <w:r>
                    <w:rPr>
                      <w:color w:val="000000" w:themeColor="text1"/>
                      <w:sz w:val="18"/>
                      <w:szCs w:val="18"/>
                      <w:highlight w:val="none"/>
                      <w14:textFill>
                        <w14:solidFill>
                          <w14:schemeClr w14:val="tx1"/>
                        </w14:solidFill>
                      </w14:textFill>
                    </w:rPr>
                    <w:t>I</w:t>
                  </w:r>
                </w:p>
              </w:tc>
              <w:tc>
                <w:tcPr>
                  <w:tcW w:w="0" w:type="auto"/>
                  <w:vAlign w:val="center"/>
                </w:tcPr>
                <w:p w14:paraId="633A9EC1">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rFonts w:hint="eastAsia"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废</w:t>
                  </w:r>
                  <w:r>
                    <w:rPr>
                      <w:color w:val="000000" w:themeColor="text1"/>
                      <w:sz w:val="18"/>
                      <w:szCs w:val="18"/>
                      <w:highlight w:val="none"/>
                      <w14:textFill>
                        <w14:solidFill>
                          <w14:schemeClr w14:val="tx1"/>
                        </w14:solidFill>
                      </w14:textFill>
                    </w:rPr>
                    <w:t>变压器油</w:t>
                  </w:r>
                  <w:r>
                    <w:rPr>
                      <w:rFonts w:hint="eastAsia"/>
                      <w:color w:val="000000" w:themeColor="text1"/>
                      <w:sz w:val="18"/>
                      <w:szCs w:val="18"/>
                      <w:highlight w:val="none"/>
                      <w:lang w:val="en-US" w:eastAsia="zh-CN"/>
                      <w14:textFill>
                        <w14:solidFill>
                          <w14:schemeClr w14:val="tx1"/>
                        </w14:solidFill>
                      </w14:textFill>
                    </w:rPr>
                    <w:t>暂存于事故油池内</w:t>
                  </w:r>
                  <w:r>
                    <w:rPr>
                      <w:color w:val="000000" w:themeColor="text1"/>
                      <w:sz w:val="18"/>
                      <w:szCs w:val="18"/>
                      <w:highlight w:val="none"/>
                      <w14:textFill>
                        <w14:solidFill>
                          <w14:schemeClr w14:val="tx1"/>
                        </w14:solidFill>
                      </w14:textFill>
                    </w:rPr>
                    <w:t>，委托有资质单位</w:t>
                  </w:r>
                  <w:r>
                    <w:rPr>
                      <w:rFonts w:hint="eastAsia"/>
                      <w:color w:val="000000" w:themeColor="text1"/>
                      <w:sz w:val="18"/>
                      <w:szCs w:val="18"/>
                      <w:highlight w:val="none"/>
                      <w:lang w:val="en-US" w:eastAsia="zh-CN"/>
                      <w14:textFill>
                        <w14:solidFill>
                          <w14:schemeClr w14:val="tx1"/>
                        </w14:solidFill>
                      </w14:textFill>
                    </w:rPr>
                    <w:t>及时清运</w:t>
                  </w:r>
                  <w:r>
                    <w:rPr>
                      <w:color w:val="000000" w:themeColor="text1"/>
                      <w:sz w:val="18"/>
                      <w:szCs w:val="18"/>
                      <w:highlight w:val="none"/>
                      <w14:textFill>
                        <w14:solidFill>
                          <w14:schemeClr w14:val="tx1"/>
                        </w14:solidFill>
                      </w14:textFill>
                    </w:rPr>
                    <w:t>处</w:t>
                  </w:r>
                  <w:r>
                    <w:rPr>
                      <w:rFonts w:hint="eastAsia"/>
                      <w:color w:val="000000" w:themeColor="text1"/>
                      <w:sz w:val="18"/>
                      <w:szCs w:val="18"/>
                      <w:highlight w:val="none"/>
                      <w:lang w:val="en-US" w:eastAsia="zh-CN"/>
                      <w14:textFill>
                        <w14:solidFill>
                          <w14:schemeClr w14:val="tx1"/>
                        </w14:solidFill>
                      </w14:textFill>
                    </w:rPr>
                    <w:t>置</w:t>
                  </w:r>
                </w:p>
              </w:tc>
            </w:tr>
            <w:tr w14:paraId="6ACE6D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F16E2C">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 xml:space="preserve">废弃的含油抹布、劳 保用品   </w:t>
                  </w:r>
                </w:p>
              </w:tc>
              <w:tc>
                <w:tcPr>
                  <w:tcW w:w="0" w:type="auto"/>
                  <w:vMerge w:val="continue"/>
                  <w:vAlign w:val="center"/>
                </w:tcPr>
                <w:p w14:paraId="2C1C6B46">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p>
              </w:tc>
              <w:tc>
                <w:tcPr>
                  <w:tcW w:w="0" w:type="auto"/>
                  <w:vAlign w:val="center"/>
                </w:tcPr>
                <w:p w14:paraId="594C1560">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HW49其他废物</w:t>
                  </w:r>
                </w:p>
              </w:tc>
              <w:tc>
                <w:tcPr>
                  <w:tcW w:w="0" w:type="auto"/>
                  <w:vAlign w:val="center"/>
                </w:tcPr>
                <w:p w14:paraId="56DCDF83">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矿物油</w:t>
                  </w:r>
                </w:p>
              </w:tc>
              <w:tc>
                <w:tcPr>
                  <w:tcW w:w="0" w:type="auto"/>
                  <w:vAlign w:val="center"/>
                </w:tcPr>
                <w:p w14:paraId="7277840C">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 xml:space="preserve">900-041-49 </w:t>
                  </w:r>
                </w:p>
                <w:p w14:paraId="6E11A9EE">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p>
              </w:tc>
              <w:tc>
                <w:tcPr>
                  <w:tcW w:w="0" w:type="auto"/>
                  <w:vAlign w:val="center"/>
                </w:tcPr>
                <w:p w14:paraId="36B10D1E">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0.01</w:t>
                  </w:r>
                </w:p>
              </w:tc>
              <w:tc>
                <w:tcPr>
                  <w:tcW w:w="0" w:type="auto"/>
                  <w:vAlign w:val="center"/>
                </w:tcPr>
                <w:p w14:paraId="415102E7">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废弃的含油抹布、劳 保用品</w:t>
                  </w:r>
                </w:p>
              </w:tc>
              <w:tc>
                <w:tcPr>
                  <w:tcW w:w="0" w:type="auto"/>
                  <w:vAlign w:val="center"/>
                </w:tcPr>
                <w:p w14:paraId="5BE92AF0">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固态</w:t>
                  </w:r>
                </w:p>
              </w:tc>
              <w:tc>
                <w:tcPr>
                  <w:tcW w:w="0" w:type="auto"/>
                  <w:vAlign w:val="center"/>
                </w:tcPr>
                <w:p w14:paraId="1B211CE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一</w:t>
                  </w:r>
                  <w:r>
                    <w:rPr>
                      <w:rFonts w:hint="eastAsia"/>
                      <w:color w:val="000000" w:themeColor="text1"/>
                      <w:sz w:val="18"/>
                      <w:szCs w:val="18"/>
                      <w:highlight w:val="none"/>
                      <w:lang w:val="en-US" w:eastAsia="zh-CN"/>
                      <w14:textFill>
                        <w14:solidFill>
                          <w14:schemeClr w14:val="tx1"/>
                        </w14:solidFill>
                      </w14:textFill>
                    </w:rPr>
                    <w:t>年一次</w:t>
                  </w:r>
                </w:p>
              </w:tc>
              <w:tc>
                <w:tcPr>
                  <w:tcW w:w="0" w:type="auto"/>
                  <w:vAlign w:val="center"/>
                </w:tcPr>
                <w:p w14:paraId="605F3424">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T/In</w:t>
                  </w:r>
                </w:p>
              </w:tc>
              <w:tc>
                <w:tcPr>
                  <w:tcW w:w="0" w:type="auto"/>
                  <w:vMerge w:val="restart"/>
                  <w:vAlign w:val="center"/>
                </w:tcPr>
                <w:p w14:paraId="3F6041F0">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暂存于</w:t>
                  </w:r>
                  <w:r>
                    <w:rPr>
                      <w:color w:val="000000" w:themeColor="text1"/>
                      <w:sz w:val="18"/>
                      <w:szCs w:val="18"/>
                      <w:highlight w:val="none"/>
                      <w14:textFill>
                        <w14:solidFill>
                          <w14:schemeClr w14:val="tx1"/>
                        </w14:solidFill>
                      </w14:textFill>
                    </w:rPr>
                    <w:t>危险废物贮存库内，</w:t>
                  </w:r>
                  <w:r>
                    <w:rPr>
                      <w:rFonts w:hint="eastAsia"/>
                      <w:color w:val="000000" w:themeColor="text1"/>
                      <w:sz w:val="18"/>
                      <w:szCs w:val="18"/>
                      <w:highlight w:val="none"/>
                      <w:lang w:val="en-US" w:eastAsia="zh-CN"/>
                      <w14:textFill>
                        <w14:solidFill>
                          <w14:schemeClr w14:val="tx1"/>
                        </w14:solidFill>
                      </w14:textFill>
                    </w:rPr>
                    <w:t>及时</w:t>
                  </w:r>
                  <w:r>
                    <w:rPr>
                      <w:color w:val="000000" w:themeColor="text1"/>
                      <w:sz w:val="18"/>
                      <w:szCs w:val="18"/>
                      <w:highlight w:val="none"/>
                      <w14:textFill>
                        <w14:solidFill>
                          <w14:schemeClr w14:val="tx1"/>
                        </w14:solidFill>
                      </w14:textFill>
                    </w:rPr>
                    <w:t>交由有资质单位进行处置</w:t>
                  </w:r>
                </w:p>
              </w:tc>
            </w:tr>
            <w:tr w14:paraId="10AA1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14:paraId="4105176D">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18"/>
                      <w:szCs w:val="18"/>
                      <w:highlight w:val="none"/>
                      <w:vertAlign w:val="baseline"/>
                      <w:lang w:val="en-US" w:eastAsia="zh-CN" w:bidi="zh-CN"/>
                      <w14:textFill>
                        <w14:solidFill>
                          <w14:schemeClr w14:val="tx1"/>
                        </w14:solidFill>
                      </w14:textFill>
                    </w:rPr>
                  </w:pPr>
                  <w:r>
                    <w:rPr>
                      <w:rFonts w:hint="eastAsia" w:cs="Times New Roman"/>
                      <w:color w:val="000000" w:themeColor="text1"/>
                      <w:spacing w:val="0"/>
                      <w:kern w:val="0"/>
                      <w:position w:val="0"/>
                      <w:sz w:val="18"/>
                      <w:szCs w:val="18"/>
                      <w:highlight w:val="none"/>
                      <w:vertAlign w:val="baseline"/>
                      <w:lang w:val="en-US" w:eastAsia="zh-CN" w:bidi="zh-CN"/>
                      <w14:textFill>
                        <w14:solidFill>
                          <w14:schemeClr w14:val="tx1"/>
                        </w14:solidFill>
                      </w14:textFill>
                    </w:rPr>
                    <w:t>废润滑油</w:t>
                  </w:r>
                </w:p>
              </w:tc>
              <w:tc>
                <w:tcPr>
                  <w:tcW w:w="0" w:type="auto"/>
                  <w:vMerge w:val="continue"/>
                  <w:vAlign w:val="center"/>
                </w:tcPr>
                <w:p w14:paraId="0ADC9CDF">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p>
              </w:tc>
              <w:tc>
                <w:tcPr>
                  <w:tcW w:w="0" w:type="auto"/>
                  <w:shd w:val="clear" w:color="auto" w:fill="auto"/>
                  <w:vAlign w:val="center"/>
                </w:tcPr>
                <w:p w14:paraId="121A088A">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zh-CN" w:bidi="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zh-CN" w:bidi="zh-CN"/>
                      <w14:textFill>
                        <w14:solidFill>
                          <w14:schemeClr w14:val="tx1"/>
                        </w14:solidFill>
                      </w14:textFill>
                    </w:rPr>
                    <w:t>HW08</w:t>
                  </w:r>
                </w:p>
                <w:p w14:paraId="17079854">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18"/>
                      <w:szCs w:val="18"/>
                      <w:highlight w:val="none"/>
                      <w:vertAlign w:val="baseli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zh-CN" w:bidi="zh-CN"/>
                      <w14:textFill>
                        <w14:solidFill>
                          <w14:schemeClr w14:val="tx1"/>
                        </w14:solidFill>
                      </w14:textFill>
                    </w:rPr>
                    <w:t>废润滑油与含矿物油废物</w:t>
                  </w:r>
                </w:p>
              </w:tc>
              <w:tc>
                <w:tcPr>
                  <w:tcW w:w="0" w:type="auto"/>
                  <w:vAlign w:val="center"/>
                </w:tcPr>
                <w:p w14:paraId="5CCA102E">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矿物油</w:t>
                  </w:r>
                </w:p>
              </w:tc>
              <w:tc>
                <w:tcPr>
                  <w:tcW w:w="0" w:type="auto"/>
                  <w:shd w:val="clear" w:color="auto" w:fill="auto"/>
                  <w:vAlign w:val="center"/>
                </w:tcPr>
                <w:p w14:paraId="404AE105">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18"/>
                      <w:szCs w:val="18"/>
                      <w:highlight w:val="none"/>
                      <w:vertAlign w:val="baseli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bidi="zh-CN"/>
                      <w14:textFill>
                        <w14:solidFill>
                          <w14:schemeClr w14:val="tx1"/>
                        </w14:solidFill>
                      </w14:textFill>
                    </w:rPr>
                    <w:t>900-21</w:t>
                  </w:r>
                  <w:r>
                    <w:rPr>
                      <w:rFonts w:hint="eastAsia" w:cs="Times New Roman"/>
                      <w:color w:val="000000" w:themeColor="text1"/>
                      <w:spacing w:val="0"/>
                      <w:kern w:val="0"/>
                      <w:position w:val="0"/>
                      <w:sz w:val="18"/>
                      <w:szCs w:val="18"/>
                      <w:highlight w:val="none"/>
                      <w:lang w:val="en-US" w:eastAsia="zh-CN" w:bidi="zh-CN"/>
                      <w14:textFill>
                        <w14:solidFill>
                          <w14:schemeClr w14:val="tx1"/>
                        </w14:solidFill>
                      </w14:textFill>
                    </w:rPr>
                    <w:t>8</w:t>
                  </w:r>
                  <w:r>
                    <w:rPr>
                      <w:rFonts w:hint="default" w:ascii="Times New Roman" w:hAnsi="Times New Roman" w:eastAsia="宋体" w:cs="Times New Roman"/>
                      <w:color w:val="000000" w:themeColor="text1"/>
                      <w:spacing w:val="0"/>
                      <w:kern w:val="0"/>
                      <w:position w:val="0"/>
                      <w:sz w:val="18"/>
                      <w:szCs w:val="18"/>
                      <w:highlight w:val="none"/>
                      <w:lang w:val="en-US" w:eastAsia="zh-CN" w:bidi="zh-CN"/>
                      <w14:textFill>
                        <w14:solidFill>
                          <w14:schemeClr w14:val="tx1"/>
                        </w14:solidFill>
                      </w14:textFill>
                    </w:rPr>
                    <w:t>-08</w:t>
                  </w:r>
                </w:p>
              </w:tc>
              <w:tc>
                <w:tcPr>
                  <w:tcW w:w="0" w:type="auto"/>
                  <w:vAlign w:val="center"/>
                </w:tcPr>
                <w:p w14:paraId="0D03B767">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0.5</w:t>
                  </w:r>
                </w:p>
              </w:tc>
              <w:tc>
                <w:tcPr>
                  <w:tcW w:w="0" w:type="auto"/>
                  <w:vAlign w:val="center"/>
                </w:tcPr>
                <w:p w14:paraId="013C2878">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机器维修工序</w:t>
                  </w:r>
                </w:p>
              </w:tc>
              <w:tc>
                <w:tcPr>
                  <w:tcW w:w="0" w:type="auto"/>
                  <w:vAlign w:val="center"/>
                </w:tcPr>
                <w:p w14:paraId="23479E77">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液态</w:t>
                  </w:r>
                </w:p>
              </w:tc>
              <w:tc>
                <w:tcPr>
                  <w:tcW w:w="0" w:type="auto"/>
                  <w:vAlign w:val="center"/>
                </w:tcPr>
                <w:p w14:paraId="2BA2B21B">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一年一次</w:t>
                  </w:r>
                </w:p>
              </w:tc>
              <w:tc>
                <w:tcPr>
                  <w:tcW w:w="0" w:type="auto"/>
                  <w:vAlign w:val="center"/>
                </w:tcPr>
                <w:p w14:paraId="6F956003">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T/In</w:t>
                  </w:r>
                </w:p>
              </w:tc>
              <w:tc>
                <w:tcPr>
                  <w:tcW w:w="0" w:type="auto"/>
                  <w:vMerge w:val="continue"/>
                  <w:vAlign w:val="center"/>
                </w:tcPr>
                <w:p w14:paraId="001DE19E">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p>
              </w:tc>
            </w:tr>
            <w:tr w14:paraId="6161D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14:paraId="20B47B25">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18"/>
                      <w:szCs w:val="18"/>
                      <w:highlight w:val="none"/>
                      <w:vertAlign w:val="baseline"/>
                      <w:lang w:val="en-US" w:eastAsia="zh-CN" w:bidi="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vertAlign w:val="baseline"/>
                      <w:lang w:val="en-US" w:eastAsia="zh-CN" w:bidi="zh-CN"/>
                      <w14:textFill>
                        <w14:solidFill>
                          <w14:schemeClr w14:val="tx1"/>
                        </w14:solidFill>
                      </w14:textFill>
                    </w:rPr>
                    <w:t>沾染矿物油的废弃包装物</w:t>
                  </w:r>
                </w:p>
              </w:tc>
              <w:tc>
                <w:tcPr>
                  <w:tcW w:w="0" w:type="auto"/>
                  <w:vMerge w:val="continue"/>
                  <w:vAlign w:val="center"/>
                </w:tcPr>
                <w:p w14:paraId="340EFDB8">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p>
              </w:tc>
              <w:tc>
                <w:tcPr>
                  <w:tcW w:w="0" w:type="auto"/>
                  <w:shd w:val="clear" w:color="auto" w:fill="auto"/>
                  <w:vAlign w:val="center"/>
                </w:tcPr>
                <w:p w14:paraId="68CD9706">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18"/>
                      <w:szCs w:val="18"/>
                      <w:highlight w:val="none"/>
                      <w:lang w:val="zh-CN" w:bidi="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zh-CN" w:bidi="zh-CN"/>
                      <w14:textFill>
                        <w14:solidFill>
                          <w14:schemeClr w14:val="tx1"/>
                        </w14:solidFill>
                      </w14:textFill>
                    </w:rPr>
                    <w:t>HW08</w:t>
                  </w:r>
                </w:p>
                <w:p w14:paraId="7E52BE79">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18"/>
                      <w:szCs w:val="18"/>
                      <w:highlight w:val="none"/>
                      <w:vertAlign w:val="baseli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zh-CN" w:bidi="zh-CN"/>
                      <w14:textFill>
                        <w14:solidFill>
                          <w14:schemeClr w14:val="tx1"/>
                        </w14:solidFill>
                      </w14:textFill>
                    </w:rPr>
                    <w:t>废润滑油与含矿物油废物</w:t>
                  </w:r>
                </w:p>
              </w:tc>
              <w:tc>
                <w:tcPr>
                  <w:tcW w:w="0" w:type="auto"/>
                  <w:vAlign w:val="center"/>
                </w:tcPr>
                <w:p w14:paraId="17E30A19">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矿物油</w:t>
                  </w:r>
                </w:p>
              </w:tc>
              <w:tc>
                <w:tcPr>
                  <w:tcW w:w="0" w:type="auto"/>
                  <w:shd w:val="clear" w:color="auto" w:fill="auto"/>
                  <w:vAlign w:val="center"/>
                </w:tcPr>
                <w:p w14:paraId="5A150B3F">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0"/>
                      <w:kern w:val="0"/>
                      <w:position w:val="0"/>
                      <w:sz w:val="18"/>
                      <w:szCs w:val="18"/>
                      <w:highlight w:val="none"/>
                      <w:vertAlign w:val="baseline"/>
                      <w:lang w:val="zh-CN" w:eastAsia="zh-CN" w:bidi="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18"/>
                      <w:szCs w:val="18"/>
                      <w:highlight w:val="none"/>
                      <w:lang w:val="en-US" w:eastAsia="zh-CN" w:bidi="zh-CN"/>
                      <w14:textFill>
                        <w14:solidFill>
                          <w14:schemeClr w14:val="tx1"/>
                        </w14:solidFill>
                      </w14:textFill>
                    </w:rPr>
                    <w:t>900-249-08</w:t>
                  </w:r>
                </w:p>
              </w:tc>
              <w:tc>
                <w:tcPr>
                  <w:tcW w:w="0" w:type="auto"/>
                  <w:vAlign w:val="center"/>
                </w:tcPr>
                <w:p w14:paraId="4859C2AD">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rFonts w:hint="default" w:eastAsia="宋体"/>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0.12</w:t>
                  </w:r>
                </w:p>
              </w:tc>
              <w:tc>
                <w:tcPr>
                  <w:tcW w:w="0" w:type="auto"/>
                  <w:vAlign w:val="center"/>
                </w:tcPr>
                <w:p w14:paraId="5CEE1EC4">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机器维修工序</w:t>
                  </w:r>
                </w:p>
              </w:tc>
              <w:tc>
                <w:tcPr>
                  <w:tcW w:w="0" w:type="auto"/>
                  <w:vAlign w:val="center"/>
                </w:tcPr>
                <w:p w14:paraId="3F472FD9">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液态</w:t>
                  </w:r>
                </w:p>
              </w:tc>
              <w:tc>
                <w:tcPr>
                  <w:tcW w:w="0" w:type="auto"/>
                  <w:vAlign w:val="center"/>
                </w:tcPr>
                <w:p w14:paraId="3B67A96A">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一年一次</w:t>
                  </w:r>
                </w:p>
              </w:tc>
              <w:tc>
                <w:tcPr>
                  <w:tcW w:w="0" w:type="auto"/>
                  <w:vAlign w:val="center"/>
                </w:tcPr>
                <w:p w14:paraId="65480F41">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T/In</w:t>
                  </w:r>
                </w:p>
              </w:tc>
              <w:tc>
                <w:tcPr>
                  <w:tcW w:w="0" w:type="auto"/>
                  <w:vMerge w:val="continue"/>
                  <w:vAlign w:val="center"/>
                </w:tcPr>
                <w:p w14:paraId="6431631E">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p>
              </w:tc>
            </w:tr>
            <w:tr w14:paraId="280EC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shd w:val="clear" w:color="auto" w:fill="auto"/>
                  <w:vAlign w:val="center"/>
                </w:tcPr>
                <w:p w14:paraId="4BAA7349">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0"/>
                      <w:kern w:val="0"/>
                      <w:position w:val="0"/>
                      <w:sz w:val="18"/>
                      <w:szCs w:val="18"/>
                      <w:highlight w:val="none"/>
                      <w:vertAlign w:val="baseline"/>
                      <w:lang w:val="en-US" w:eastAsia="zh-CN" w:bidi="zh-CN"/>
                    </w:rPr>
                  </w:pPr>
                  <w:r>
                    <w:rPr>
                      <w:rFonts w:hint="eastAsia" w:cs="Times New Roman"/>
                      <w:color w:val="FF0000"/>
                      <w:spacing w:val="0"/>
                      <w:kern w:val="0"/>
                      <w:position w:val="0"/>
                      <w:sz w:val="18"/>
                      <w:szCs w:val="18"/>
                      <w:highlight w:val="none"/>
                      <w:vertAlign w:val="baseline"/>
                      <w:lang w:val="en-US" w:eastAsia="zh-CN" w:bidi="zh-CN"/>
                    </w:rPr>
                    <w:t>废铅酸电池</w:t>
                  </w:r>
                </w:p>
              </w:tc>
              <w:tc>
                <w:tcPr>
                  <w:tcW w:w="0" w:type="auto"/>
                  <w:vMerge w:val="continue"/>
                  <w:vAlign w:val="center"/>
                </w:tcPr>
                <w:p w14:paraId="699645D7">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FF0000"/>
                      <w:sz w:val="18"/>
                      <w:szCs w:val="18"/>
                      <w:highlight w:val="none"/>
                    </w:rPr>
                  </w:pPr>
                </w:p>
              </w:tc>
              <w:tc>
                <w:tcPr>
                  <w:tcW w:w="0" w:type="auto"/>
                  <w:shd w:val="clear" w:color="auto" w:fill="auto"/>
                  <w:vAlign w:val="center"/>
                </w:tcPr>
                <w:p w14:paraId="68B4263F">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0"/>
                      <w:kern w:val="0"/>
                      <w:position w:val="0"/>
                      <w:sz w:val="18"/>
                      <w:szCs w:val="18"/>
                      <w:highlight w:val="none"/>
                      <w:lang w:val="zh-CN" w:bidi="zh-CN"/>
                    </w:rPr>
                  </w:pPr>
                  <w:r>
                    <w:rPr>
                      <w:rFonts w:hint="default" w:ascii="Times New Roman" w:hAnsi="Times New Roman" w:eastAsia="宋体" w:cs="Times New Roman"/>
                      <w:color w:val="FF0000"/>
                      <w:spacing w:val="0"/>
                      <w:kern w:val="0"/>
                      <w:position w:val="0"/>
                      <w:sz w:val="18"/>
                      <w:szCs w:val="18"/>
                      <w:highlight w:val="none"/>
                      <w:lang w:val="zh-CN" w:bidi="zh-CN"/>
                    </w:rPr>
                    <w:t>HW31含铅废物</w:t>
                  </w:r>
                </w:p>
              </w:tc>
              <w:tc>
                <w:tcPr>
                  <w:tcW w:w="0" w:type="auto"/>
                  <w:vAlign w:val="center"/>
                </w:tcPr>
                <w:p w14:paraId="64AC260E">
                  <w:pPr>
                    <w:keepLines w:val="0"/>
                    <w:pageBreakBefore w:val="0"/>
                    <w:shd w:val="clear"/>
                    <w:kinsoku/>
                    <w:wordWrap/>
                    <w:overflowPunct/>
                    <w:autoSpaceDE/>
                    <w:autoSpaceDN/>
                    <w:bidi w:val="0"/>
                    <w:adjustRightInd w:val="0"/>
                    <w:snapToGrid w:val="0"/>
                    <w:spacing w:line="240" w:lineRule="auto"/>
                    <w:ind w:firstLine="0" w:firstLineChars="0"/>
                    <w:textAlignment w:val="auto"/>
                    <w:rPr>
                      <w:color w:val="FF0000"/>
                      <w:sz w:val="18"/>
                      <w:szCs w:val="18"/>
                      <w:highlight w:val="none"/>
                    </w:rPr>
                  </w:pPr>
                  <w:r>
                    <w:rPr>
                      <w:rFonts w:hint="eastAsia"/>
                      <w:color w:val="FF0000"/>
                      <w:sz w:val="18"/>
                      <w:szCs w:val="18"/>
                      <w:highlight w:val="none"/>
                      <w:lang w:val="en-US" w:eastAsia="zh-CN"/>
                    </w:rPr>
                    <w:t>废铅酸电池</w:t>
                  </w:r>
                </w:p>
              </w:tc>
              <w:tc>
                <w:tcPr>
                  <w:tcW w:w="0" w:type="auto"/>
                  <w:shd w:val="clear" w:color="auto" w:fill="auto"/>
                  <w:vAlign w:val="center"/>
                </w:tcPr>
                <w:p w14:paraId="370CBA1D">
                  <w:pPr>
                    <w:keepNext/>
                    <w:keepLines w:val="0"/>
                    <w:pageBreakBefore w:val="0"/>
                    <w:widowControl/>
                    <w:shd w:val="clear"/>
                    <w:kinsoku/>
                    <w:wordWrap/>
                    <w:overflowPunct/>
                    <w:topLinePunct/>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FF0000"/>
                      <w:spacing w:val="0"/>
                      <w:kern w:val="0"/>
                      <w:position w:val="0"/>
                      <w:sz w:val="18"/>
                      <w:szCs w:val="18"/>
                      <w:highlight w:val="none"/>
                      <w:lang w:val="en-US" w:eastAsia="zh-CN" w:bidi="zh-CN"/>
                    </w:rPr>
                  </w:pPr>
                  <w:r>
                    <w:rPr>
                      <w:rFonts w:hint="default" w:ascii="Times New Roman" w:hAnsi="Times New Roman" w:eastAsia="宋体" w:cs="Times New Roman"/>
                      <w:color w:val="FF0000"/>
                      <w:spacing w:val="0"/>
                      <w:kern w:val="0"/>
                      <w:position w:val="0"/>
                      <w:sz w:val="18"/>
                      <w:szCs w:val="18"/>
                      <w:highlight w:val="none"/>
                      <w:lang w:val="en-US" w:eastAsia="zh-CN" w:bidi="zh-CN"/>
                    </w:rPr>
                    <w:t>900-052-31</w:t>
                  </w:r>
                </w:p>
              </w:tc>
              <w:tc>
                <w:tcPr>
                  <w:tcW w:w="0" w:type="auto"/>
                  <w:vAlign w:val="center"/>
                </w:tcPr>
                <w:p w14:paraId="4E5AFA5F">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rFonts w:hint="default"/>
                      <w:color w:val="FF0000"/>
                      <w:sz w:val="18"/>
                      <w:szCs w:val="18"/>
                      <w:highlight w:val="none"/>
                      <w:lang w:val="en-US" w:eastAsia="zh-CN"/>
                    </w:rPr>
                  </w:pPr>
                  <w:r>
                    <w:rPr>
                      <w:rFonts w:hint="eastAsia"/>
                      <w:color w:val="FF0000"/>
                      <w:sz w:val="18"/>
                      <w:szCs w:val="18"/>
                      <w:highlight w:val="none"/>
                      <w:lang w:val="en-US" w:eastAsia="zh-CN"/>
                    </w:rPr>
                    <w:t>2.0</w:t>
                  </w:r>
                </w:p>
              </w:tc>
              <w:tc>
                <w:tcPr>
                  <w:tcW w:w="0" w:type="auto"/>
                  <w:vAlign w:val="center"/>
                </w:tcPr>
                <w:p w14:paraId="4FF86473">
                  <w:pPr>
                    <w:keepLines w:val="0"/>
                    <w:pageBreakBefore w:val="0"/>
                    <w:shd w:val="clear"/>
                    <w:kinsoku/>
                    <w:wordWrap/>
                    <w:overflowPunct/>
                    <w:autoSpaceDE/>
                    <w:autoSpaceDN/>
                    <w:bidi w:val="0"/>
                    <w:adjustRightInd w:val="0"/>
                    <w:snapToGrid w:val="0"/>
                    <w:spacing w:line="240" w:lineRule="auto"/>
                    <w:ind w:firstLine="0" w:firstLineChars="0"/>
                    <w:textAlignment w:val="auto"/>
                    <w:rPr>
                      <w:rFonts w:hint="default" w:eastAsia="宋体"/>
                      <w:color w:val="FF0000"/>
                      <w:sz w:val="18"/>
                      <w:szCs w:val="18"/>
                      <w:highlight w:val="none"/>
                      <w:lang w:val="en-US" w:eastAsia="zh-CN"/>
                    </w:rPr>
                  </w:pPr>
                  <w:r>
                    <w:rPr>
                      <w:rFonts w:hint="eastAsia"/>
                      <w:color w:val="FF0000"/>
                      <w:sz w:val="18"/>
                      <w:szCs w:val="18"/>
                      <w:highlight w:val="none"/>
                      <w:lang w:val="en-US" w:eastAsia="zh-CN"/>
                    </w:rPr>
                    <w:t>升压站</w:t>
                  </w:r>
                </w:p>
              </w:tc>
              <w:tc>
                <w:tcPr>
                  <w:tcW w:w="0" w:type="auto"/>
                  <w:vAlign w:val="center"/>
                </w:tcPr>
                <w:p w14:paraId="0691D5EA">
                  <w:pPr>
                    <w:keepLines w:val="0"/>
                    <w:pageBreakBefore w:val="0"/>
                    <w:shd w:val="clear"/>
                    <w:kinsoku/>
                    <w:wordWrap/>
                    <w:overflowPunct/>
                    <w:autoSpaceDE/>
                    <w:autoSpaceDN/>
                    <w:bidi w:val="0"/>
                    <w:adjustRightInd w:val="0"/>
                    <w:snapToGrid w:val="0"/>
                    <w:spacing w:line="240" w:lineRule="auto"/>
                    <w:ind w:firstLine="0" w:firstLineChars="0"/>
                    <w:textAlignment w:val="auto"/>
                    <w:rPr>
                      <w:rFonts w:hint="default" w:eastAsia="宋体"/>
                      <w:color w:val="FF0000"/>
                      <w:sz w:val="18"/>
                      <w:szCs w:val="18"/>
                      <w:highlight w:val="none"/>
                      <w:lang w:val="en-US" w:eastAsia="zh-CN"/>
                    </w:rPr>
                  </w:pPr>
                  <w:r>
                    <w:rPr>
                      <w:rFonts w:hint="eastAsia"/>
                      <w:color w:val="FF0000"/>
                      <w:sz w:val="18"/>
                      <w:szCs w:val="18"/>
                      <w:highlight w:val="none"/>
                      <w:lang w:val="en-US" w:eastAsia="zh-CN"/>
                    </w:rPr>
                    <w:t>固态</w:t>
                  </w:r>
                </w:p>
              </w:tc>
              <w:tc>
                <w:tcPr>
                  <w:tcW w:w="0" w:type="auto"/>
                  <w:vAlign w:val="center"/>
                </w:tcPr>
                <w:p w14:paraId="5D5AAFE9">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rFonts w:hint="eastAsia"/>
                      <w:color w:val="FF0000"/>
                      <w:sz w:val="18"/>
                      <w:szCs w:val="18"/>
                      <w:highlight w:val="none"/>
                      <w:lang w:val="en-US" w:eastAsia="zh-CN"/>
                    </w:rPr>
                  </w:pPr>
                  <w:r>
                    <w:rPr>
                      <w:rFonts w:hint="eastAsia"/>
                      <w:color w:val="FF0000"/>
                      <w:sz w:val="18"/>
                      <w:szCs w:val="18"/>
                      <w:highlight w:val="none"/>
                      <w:lang w:val="en-US" w:eastAsia="zh-CN"/>
                    </w:rPr>
                    <w:t>一年一次</w:t>
                  </w:r>
                </w:p>
              </w:tc>
              <w:tc>
                <w:tcPr>
                  <w:tcW w:w="0" w:type="auto"/>
                  <w:vAlign w:val="center"/>
                </w:tcPr>
                <w:p w14:paraId="4C682B79">
                  <w:pPr>
                    <w:keepLines w:val="0"/>
                    <w:pageBreakBefore w:val="0"/>
                    <w:shd w:val="clear"/>
                    <w:kinsoku/>
                    <w:wordWrap/>
                    <w:overflowPunct/>
                    <w:autoSpaceDE/>
                    <w:autoSpaceDN/>
                    <w:bidi w:val="0"/>
                    <w:adjustRightInd w:val="0"/>
                    <w:snapToGrid w:val="0"/>
                    <w:spacing w:line="240" w:lineRule="auto"/>
                    <w:ind w:firstLine="0" w:firstLineChars="0"/>
                    <w:textAlignment w:val="auto"/>
                    <w:rPr>
                      <w:rFonts w:hint="default" w:eastAsia="宋体"/>
                      <w:color w:val="FF0000"/>
                      <w:sz w:val="18"/>
                      <w:szCs w:val="18"/>
                      <w:highlight w:val="none"/>
                      <w:lang w:val="en-US" w:eastAsia="zh-CN"/>
                    </w:rPr>
                  </w:pPr>
                  <w:r>
                    <w:rPr>
                      <w:rFonts w:hint="eastAsia"/>
                      <w:color w:val="FF0000"/>
                      <w:sz w:val="18"/>
                      <w:szCs w:val="18"/>
                      <w:highlight w:val="none"/>
                      <w:lang w:val="en-US" w:eastAsia="zh-CN"/>
                    </w:rPr>
                    <w:t>T/C</w:t>
                  </w:r>
                </w:p>
              </w:tc>
              <w:tc>
                <w:tcPr>
                  <w:tcW w:w="0" w:type="auto"/>
                  <w:vMerge w:val="continue"/>
                  <w:vAlign w:val="center"/>
                </w:tcPr>
                <w:p w14:paraId="4BA5E610">
                  <w:pPr>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p>
              </w:tc>
            </w:tr>
            <w:tr w14:paraId="35E2A1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0C4BB520">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生活垃圾</w:t>
                  </w:r>
                </w:p>
              </w:tc>
              <w:tc>
                <w:tcPr>
                  <w:tcW w:w="0" w:type="auto"/>
                  <w:vAlign w:val="center"/>
                </w:tcPr>
                <w:p w14:paraId="4F703636">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生活垃圾</w:t>
                  </w:r>
                </w:p>
              </w:tc>
              <w:tc>
                <w:tcPr>
                  <w:tcW w:w="0" w:type="auto"/>
                  <w:vAlign w:val="center"/>
                </w:tcPr>
                <w:p w14:paraId="1EDC8831">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SW61厨余垃圾</w:t>
                  </w:r>
                </w:p>
              </w:tc>
              <w:tc>
                <w:tcPr>
                  <w:tcW w:w="0" w:type="auto"/>
                  <w:vAlign w:val="center"/>
                </w:tcPr>
                <w:p w14:paraId="0D6179B9">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家庭垃圾</w:t>
                  </w:r>
                </w:p>
              </w:tc>
              <w:tc>
                <w:tcPr>
                  <w:tcW w:w="0" w:type="auto"/>
                  <w:vAlign w:val="center"/>
                </w:tcPr>
                <w:p w14:paraId="6F877157">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900-001-S61</w:t>
                  </w:r>
                </w:p>
              </w:tc>
              <w:tc>
                <w:tcPr>
                  <w:tcW w:w="0" w:type="auto"/>
                  <w:vAlign w:val="center"/>
                </w:tcPr>
                <w:p w14:paraId="3A140D38">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1.825</w:t>
                  </w:r>
                </w:p>
              </w:tc>
              <w:tc>
                <w:tcPr>
                  <w:tcW w:w="0" w:type="auto"/>
                  <w:vAlign w:val="center"/>
                </w:tcPr>
                <w:p w14:paraId="2E4BE580">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生活</w:t>
                  </w:r>
                </w:p>
              </w:tc>
              <w:tc>
                <w:tcPr>
                  <w:tcW w:w="0" w:type="auto"/>
                  <w:vAlign w:val="center"/>
                </w:tcPr>
                <w:p w14:paraId="30B03645">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固态</w:t>
                  </w:r>
                </w:p>
              </w:tc>
              <w:tc>
                <w:tcPr>
                  <w:tcW w:w="0" w:type="auto"/>
                  <w:vAlign w:val="center"/>
                </w:tcPr>
                <w:p w14:paraId="731EB594">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一月一次</w:t>
                  </w:r>
                </w:p>
              </w:tc>
              <w:tc>
                <w:tcPr>
                  <w:tcW w:w="0" w:type="auto"/>
                  <w:vAlign w:val="center"/>
                </w:tcPr>
                <w:p w14:paraId="7C28D7A9">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w:t>
                  </w:r>
                </w:p>
              </w:tc>
              <w:tc>
                <w:tcPr>
                  <w:tcW w:w="0" w:type="auto"/>
                  <w:vAlign w:val="center"/>
                </w:tcPr>
                <w:p w14:paraId="45E679FC">
                  <w:pPr>
                    <w:pStyle w:val="10"/>
                    <w:keepLines w:val="0"/>
                    <w:pageBreakBefore w:val="0"/>
                    <w:shd w:val="clear"/>
                    <w:kinsoku/>
                    <w:wordWrap/>
                    <w:overflowPunct/>
                    <w:autoSpaceDE/>
                    <w:autoSpaceDN/>
                    <w:bidi w:val="0"/>
                    <w:adjustRightInd w:val="0"/>
                    <w:snapToGrid w:val="0"/>
                    <w:spacing w:line="240" w:lineRule="auto"/>
                    <w:ind w:firstLine="0" w:firstLineChars="0"/>
                    <w:textAlignment w:val="auto"/>
                    <w:rPr>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集中收集后委托环卫部门清运处置</w:t>
                  </w:r>
                </w:p>
              </w:tc>
            </w:tr>
          </w:tbl>
          <w:p w14:paraId="52611741">
            <w:pPr>
              <w:pStyle w:val="3"/>
              <w:shd w:val="clear"/>
              <w:rPr>
                <w:color w:val="000000" w:themeColor="text1"/>
                <w:highlight w:val="none"/>
                <w14:textFill>
                  <w14:solidFill>
                    <w14:schemeClr w14:val="tx1"/>
                  </w14:solidFill>
                </w14:textFill>
              </w:rPr>
            </w:pPr>
            <w:bookmarkStart w:id="310" w:name="_Toc19532"/>
            <w:bookmarkStart w:id="311" w:name="_Toc717"/>
            <w:bookmarkStart w:id="312" w:name="_Toc13073"/>
            <w:r>
              <w:rPr>
                <w:color w:val="000000" w:themeColor="text1"/>
                <w:highlight w:val="none"/>
                <w14:textFill>
                  <w14:solidFill>
                    <w14:schemeClr w14:val="tx1"/>
                  </w14:solidFill>
                </w14:textFill>
              </w:rPr>
              <w:t>7、地下水、土壤环境影响分析</w:t>
            </w:r>
            <w:bookmarkEnd w:id="310"/>
            <w:bookmarkEnd w:id="311"/>
            <w:bookmarkEnd w:id="312"/>
          </w:p>
          <w:p w14:paraId="71C5F54C">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本项目地下水、土壤影响主要为污染影响型。</w:t>
            </w:r>
          </w:p>
          <w:p w14:paraId="526058E6">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本项目采取分区防渗，营运期正常工况下无污染途径，非正常工况下对周边地下水、土壤环境主要影响途径为：事故油池发生防渗破裂垂直入渗对地下水、土壤产生影响；主要污染物：石油类、COD。</w:t>
            </w:r>
          </w:p>
          <w:p w14:paraId="553F45CC">
            <w:pPr>
              <w:pStyle w:val="3"/>
              <w:widowControl/>
              <w:shd w:val="clear"/>
              <w:rPr>
                <w:color w:val="000000" w:themeColor="text1"/>
                <w:highlight w:val="none"/>
                <w14:textFill>
                  <w14:solidFill>
                    <w14:schemeClr w14:val="tx1"/>
                  </w14:solidFill>
                </w14:textFill>
              </w:rPr>
            </w:pPr>
            <w:bookmarkStart w:id="313" w:name="_Toc26578"/>
            <w:bookmarkStart w:id="314" w:name="_Toc3008"/>
            <w:bookmarkStart w:id="315" w:name="_Toc687"/>
            <w:r>
              <w:rPr>
                <w:color w:val="000000" w:themeColor="text1"/>
                <w:highlight w:val="none"/>
                <w14:textFill>
                  <w14:solidFill>
                    <w14:schemeClr w14:val="tx1"/>
                  </w14:solidFill>
                </w14:textFill>
              </w:rPr>
              <w:t>8、环境风险分析</w:t>
            </w:r>
            <w:bookmarkEnd w:id="313"/>
            <w:bookmarkEnd w:id="314"/>
            <w:bookmarkEnd w:id="315"/>
          </w:p>
          <w:p w14:paraId="77657F91">
            <w:pPr>
              <w:shd w:val="clea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升压站</w:t>
            </w:r>
            <w:r>
              <w:rPr>
                <w:color w:val="000000" w:themeColor="text1"/>
                <w:highlight w:val="none"/>
                <w14:textFill>
                  <w14:solidFill>
                    <w14:schemeClr w14:val="tx1"/>
                  </w14:solidFill>
                </w14:textFill>
              </w:rPr>
              <w:t>内的变压器、电抗器、断路器、电容器、互感器等设备，为了绝缘和冷却的需要，在变压器外壳内装有大量的变压器油，一般只有检修及事故情况下才会产生油污染。在</w:t>
            </w:r>
            <w:r>
              <w:rPr>
                <w:rFonts w:hint="eastAsia"/>
                <w:color w:val="000000" w:themeColor="text1"/>
                <w:highlight w:val="none"/>
                <w:lang w:val="en-US" w:eastAsia="zh-CN"/>
                <w14:textFill>
                  <w14:solidFill>
                    <w14:schemeClr w14:val="tx1"/>
                  </w14:solidFill>
                </w14:textFill>
              </w:rPr>
              <w:t>升压站</w:t>
            </w:r>
            <w:r>
              <w:rPr>
                <w:color w:val="000000" w:themeColor="text1"/>
                <w:highlight w:val="none"/>
                <w14:textFill>
                  <w14:solidFill>
                    <w14:schemeClr w14:val="tx1"/>
                  </w14:solidFill>
                </w14:textFill>
              </w:rPr>
              <w:t>内设计有变压器事故油池1座，可使变压器在发生事故时，壳体内的油经过铸铁管排入事故油池，防止变压器油随意乱排造成对环境的污染。</w:t>
            </w:r>
          </w:p>
          <w:p w14:paraId="0BDBE36D">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《火力发电厂与变电站设计防火标准》（GB 50229-2019）规定</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户外单台油量为1000kg以上的电气设备，应设置贮油或挡油设施，其容积宜按设备油量的20%设计，并能将事故油排至总事故贮油池。总事故贮油池的容量应按其接入的油量最大的一台设备确定。</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本项目在主变压器下设贮油池，事故状态下，贮油池内的事故废油经输油管导入事故油池。本项目事故油池容积为50m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，满足《火力发电厂与变电站设计防火标准》（GB 50229-2019）相应规定，应进行整改以保证容纳全部事故排油量，事故油池应设有防渗措施，防止油污染地下水。</w:t>
            </w:r>
          </w:p>
          <w:p w14:paraId="0DB088EB">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国家危险废物名录》，事故情况产生的废变压器油属于危险废物，危险废物类别为：HW08废矿物油与含矿物油废物，废物代码为：900-220-08，产生废油交由与公司签订合作协议的具有相关资质的单位进行回收处理。</w:t>
            </w:r>
          </w:p>
          <w:p w14:paraId="48815B50">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物质危险性判定标准，变压器事故排油属废矿物油，其贮存应满足《危险废物贮存污染控制标准》（GB18597-2023）的要求，因该废矿物油由变压器发生事故状态产生，变压器事故油池主要起临时收集贮存作用，废油产生后将交由与公司签订合作协议的具有相关资质的单位进行回收处理，本次环评提出整改后的事故油池应标准中主要相关要求：</w:t>
            </w:r>
          </w:p>
          <w:p w14:paraId="2598F1E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①建筑物基础必须防渗，防渗层为至少1m厚黏土层（渗透系数≤10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cm/s），或2mm厚高密度聚乙烯，或至少2mm厚的其他人工材料，渗透系数≤10</w:t>
            </w:r>
            <w:r>
              <w:rPr>
                <w:color w:val="000000" w:themeColor="text1"/>
                <w:highlight w:val="none"/>
                <w:vertAlign w:val="superscript"/>
                <w14:textFill>
                  <w14:solidFill>
                    <w14:schemeClr w14:val="tx1"/>
                  </w14:solidFill>
                </w14:textFill>
              </w:rPr>
              <w:t>-10</w:t>
            </w:r>
            <w:r>
              <w:rPr>
                <w:color w:val="000000" w:themeColor="text1"/>
                <w:highlight w:val="none"/>
                <w14:textFill>
                  <w14:solidFill>
                    <w14:schemeClr w14:val="tx1"/>
                  </w14:solidFill>
                </w14:textFill>
              </w:rPr>
              <w:t>cm/s。</w:t>
            </w:r>
            <w:r>
              <w:rPr>
                <w:rFonts w:hint="eastAsia"/>
                <w:color w:val="000000" w:themeColor="text1"/>
                <w:highlight w:val="none"/>
                <w:lang w:val="en-US" w:eastAsia="zh-CN"/>
                <w14:textFill>
                  <w14:solidFill>
                    <w14:schemeClr w14:val="tx1"/>
                  </w14:solidFill>
                </w14:textFill>
              </w:rPr>
              <w:t>升压站</w:t>
            </w:r>
            <w:r>
              <w:rPr>
                <w:color w:val="000000" w:themeColor="text1"/>
                <w:highlight w:val="none"/>
                <w14:textFill>
                  <w14:solidFill>
                    <w14:schemeClr w14:val="tx1"/>
                  </w14:solidFill>
                </w14:textFill>
              </w:rPr>
              <w:t>事故贮油池及贮油坑基础防渗为：采用钢筋混凝土防渗，混凝土抗渗等级P6（渗透系数约0.491×10</w:t>
            </w:r>
            <w:r>
              <w:rPr>
                <w:color w:val="000000" w:themeColor="text1"/>
                <w:highlight w:val="none"/>
                <w:vertAlign w:val="superscript"/>
                <w14:textFill>
                  <w14:solidFill>
                    <w14:schemeClr w14:val="tx1"/>
                  </w14:solidFill>
                </w14:textFill>
              </w:rPr>
              <w:t>-8</w:t>
            </w:r>
            <w:r>
              <w:rPr>
                <w:color w:val="000000" w:themeColor="text1"/>
                <w:highlight w:val="none"/>
                <w14:textFill>
                  <w14:solidFill>
                    <w14:schemeClr w14:val="tx1"/>
                  </w14:solidFill>
                </w14:textFill>
              </w:rPr>
              <w:t>cm/s），混凝土厚度约300mm，经计算，可满足并优于上述标准防渗要求。</w:t>
            </w:r>
          </w:p>
          <w:p w14:paraId="77848BE5">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②危险废物的贮存设施必须按《环境保护图形标志-固体废物贮存（处置）场》（GB15562.2-1995）及修改单中的标准要求设置警示标志。</w:t>
            </w:r>
          </w:p>
          <w:p w14:paraId="32F7C8C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③危险废物的贮存设施关闭后，必须采取措施消除污染。</w:t>
            </w:r>
          </w:p>
          <w:p w14:paraId="66DD51A1">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④须做好危险废物情况的记录，记录上须注明危险废物的名称、来源、数量、产生日期、接收日期、接收单位名称等。</w:t>
            </w:r>
          </w:p>
          <w:p w14:paraId="53916C3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综上所述，通过采取相应污染防治措施后，</w:t>
            </w:r>
            <w:r>
              <w:rPr>
                <w:rFonts w:hint="eastAsia"/>
                <w:color w:val="000000" w:themeColor="text1"/>
                <w:highlight w:val="none"/>
                <w:lang w:eastAsia="zh-CN"/>
                <w14:textFill>
                  <w14:solidFill>
                    <w14:schemeClr w14:val="tx1"/>
                  </w14:solidFill>
                </w14:textFill>
              </w:rPr>
              <w:t>升压站</w:t>
            </w:r>
            <w:r>
              <w:rPr>
                <w:color w:val="000000" w:themeColor="text1"/>
                <w:highlight w:val="none"/>
                <w14:textFill>
                  <w14:solidFill>
                    <w14:schemeClr w14:val="tx1"/>
                  </w14:solidFill>
                </w14:textFill>
              </w:rPr>
              <w:t>的事故排油对环境无不良影响。</w:t>
            </w:r>
          </w:p>
        </w:tc>
      </w:tr>
      <w:tr w14:paraId="705A6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vAlign w:val="center"/>
          </w:tcPr>
          <w:p w14:paraId="07D494B9">
            <w:pPr>
              <w:pStyle w:val="28"/>
              <w:shd w:val="clear"/>
              <w:spacing w:before="0" w:beforeAutospacing="0" w:after="0" w:afterAutospacing="0"/>
              <w:ind w:firstLine="0" w:firstLineChars="0"/>
              <w:jc w:val="center"/>
              <w:rPr>
                <w:rFonts w:ascii="Times New Roman" w:hAnsi="Times New Roman"/>
                <w:bCs/>
                <w:color w:val="000000" w:themeColor="text1"/>
                <w:kern w:val="2"/>
                <w:highlight w:val="none"/>
                <w14:textFill>
                  <w14:solidFill>
                    <w14:schemeClr w14:val="tx1"/>
                  </w14:solidFill>
                </w14:textFill>
              </w:rPr>
            </w:pPr>
            <w:r>
              <w:rPr>
                <w:rFonts w:ascii="Times New Roman" w:hAnsi="Times New Roman"/>
                <w:bCs/>
                <w:color w:val="000000" w:themeColor="text1"/>
                <w:kern w:val="2"/>
                <w:highlight w:val="none"/>
                <w14:textFill>
                  <w14:solidFill>
                    <w14:schemeClr w14:val="tx1"/>
                  </w14:solidFill>
                </w14:textFill>
              </w:rPr>
              <w:t>选址选线环境合理性分析</w:t>
            </w:r>
          </w:p>
        </w:tc>
        <w:tc>
          <w:tcPr>
            <w:tcW w:w="7626" w:type="dxa"/>
          </w:tcPr>
          <w:p w14:paraId="015A3D6D">
            <w:pPr>
              <w:shd w:val="clear"/>
              <w:ind w:firstLine="48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根据《环境影响评价技术导则 输变电》（（HJ 24-2020），</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4.3.4 当输变电建设项目进入《建设项目环境影响评价分类管理名录》规定的环境敏感区时，报告书中需增加选址、选线方案比选的内容。</w:t>
            </w:r>
            <w:r>
              <w:rPr>
                <w:rFonts w:hint="eastAsia"/>
                <w:color w:val="000000" w:themeColor="text1"/>
                <w:highlight w:val="none"/>
                <w:lang w:eastAsia="zh-CN"/>
                <w14:textFill>
                  <w14:solidFill>
                    <w14:schemeClr w14:val="tx1"/>
                  </w14:solidFill>
                </w14:textFill>
              </w:rPr>
              <w:t>”</w:t>
            </w:r>
          </w:p>
          <w:p w14:paraId="7DF32542">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建设项目推荐站址及路径未进入《建设项目环境影响评价分类管理名录》规定的环境敏感区。建设项目推荐选址选线与《输变电建设项目环境保护技术要求》（HJ1113-2020）的符合性分析，见表4-9。</w:t>
            </w:r>
          </w:p>
          <w:p w14:paraId="73E94AB0">
            <w:pPr>
              <w:pStyle w:val="5"/>
              <w:shd w:val="clear"/>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表4-9     与《输变电建设项目环境保护技术要求》的符合性分析</w:t>
            </w:r>
          </w:p>
          <w:tbl>
            <w:tblPr>
              <w:tblStyle w:val="3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518"/>
              <w:gridCol w:w="3433"/>
              <w:gridCol w:w="2565"/>
              <w:gridCol w:w="518"/>
            </w:tblGrid>
            <w:tr w14:paraId="08F3B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trPr>
              <w:tc>
                <w:tcPr>
                  <w:tcW w:w="436" w:type="dxa"/>
                  <w:tcBorders>
                    <w:tl2br w:val="nil"/>
                    <w:tr2bl w:val="nil"/>
                  </w:tcBorders>
                  <w:vAlign w:val="center"/>
                </w:tcPr>
                <w:p w14:paraId="57E3351A">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序号</w:t>
                  </w:r>
                </w:p>
              </w:tc>
              <w:tc>
                <w:tcPr>
                  <w:tcW w:w="3951" w:type="dxa"/>
                  <w:gridSpan w:val="2"/>
                  <w:tcBorders>
                    <w:tl2br w:val="nil"/>
                    <w:tr2bl w:val="nil"/>
                  </w:tcBorders>
                  <w:vAlign w:val="center"/>
                </w:tcPr>
                <w:p w14:paraId="42790754">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具体要求</w:t>
                  </w:r>
                </w:p>
              </w:tc>
              <w:tc>
                <w:tcPr>
                  <w:tcW w:w="2565" w:type="dxa"/>
                  <w:tcBorders>
                    <w:tl2br w:val="nil"/>
                    <w:tr2bl w:val="nil"/>
                  </w:tcBorders>
                  <w:vAlign w:val="center"/>
                </w:tcPr>
                <w:p w14:paraId="381AF60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本项目实际情况</w:t>
                  </w:r>
                </w:p>
              </w:tc>
              <w:tc>
                <w:tcPr>
                  <w:tcW w:w="518" w:type="dxa"/>
                  <w:tcBorders>
                    <w:tl2br w:val="nil"/>
                    <w:tr2bl w:val="nil"/>
                  </w:tcBorders>
                  <w:vAlign w:val="center"/>
                </w:tcPr>
                <w:p w14:paraId="7D5D8CE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是否符合</w:t>
                  </w:r>
                </w:p>
              </w:tc>
            </w:tr>
            <w:tr w14:paraId="31C36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Merge w:val="restart"/>
                  <w:tcBorders>
                    <w:tl2br w:val="nil"/>
                    <w:tr2bl w:val="nil"/>
                  </w:tcBorders>
                  <w:vAlign w:val="center"/>
                </w:tcPr>
                <w:p w14:paraId="08E9FE2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1</w:t>
                  </w:r>
                </w:p>
              </w:tc>
              <w:tc>
                <w:tcPr>
                  <w:tcW w:w="518" w:type="dxa"/>
                  <w:vMerge w:val="restart"/>
                  <w:tcBorders>
                    <w:tl2br w:val="nil"/>
                    <w:tr2bl w:val="nil"/>
                  </w:tcBorders>
                  <w:vAlign w:val="center"/>
                </w:tcPr>
                <w:p w14:paraId="13C7258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选址选线</w:t>
                  </w:r>
                </w:p>
              </w:tc>
              <w:tc>
                <w:tcPr>
                  <w:tcW w:w="3433" w:type="dxa"/>
                  <w:tcBorders>
                    <w:tl2br w:val="nil"/>
                    <w:tr2bl w:val="nil"/>
                  </w:tcBorders>
                  <w:vAlign w:val="center"/>
                </w:tcPr>
                <w:p w14:paraId="59F7C1A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输变电建设项目选址选线应符合生态保护红线管控要求，避让自然保护区、饮用水水源保护区等环境敏感区。</w:t>
                  </w:r>
                </w:p>
              </w:tc>
              <w:tc>
                <w:tcPr>
                  <w:tcW w:w="2565" w:type="dxa"/>
                  <w:tcBorders>
                    <w:tl2br w:val="nil"/>
                    <w:tr2bl w:val="nil"/>
                  </w:tcBorders>
                  <w:vAlign w:val="center"/>
                </w:tcPr>
                <w:p w14:paraId="10CDD993">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输电线路不在生态保护红线管控区内，不涉及自然保护区、饮用水水源保护区等环境敏感区。</w:t>
                  </w:r>
                </w:p>
              </w:tc>
              <w:tc>
                <w:tcPr>
                  <w:tcW w:w="518" w:type="dxa"/>
                  <w:tcBorders>
                    <w:tl2br w:val="nil"/>
                    <w:tr2bl w:val="nil"/>
                  </w:tcBorders>
                  <w:vAlign w:val="center"/>
                </w:tcPr>
                <w:p w14:paraId="44209A1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符合</w:t>
                  </w:r>
                </w:p>
              </w:tc>
            </w:tr>
            <w:tr w14:paraId="78CA7D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30E5E2AA">
                  <w:pPr>
                    <w:pStyle w:val="10"/>
                    <w:shd w:val="clear"/>
                    <w:rPr>
                      <w:color w:val="000000" w:themeColor="text1"/>
                      <w:sz w:val="18"/>
                      <w:highlight w:val="none"/>
                      <w14:textFill>
                        <w14:solidFill>
                          <w14:schemeClr w14:val="tx1"/>
                        </w14:solidFill>
                      </w14:textFill>
                    </w:rPr>
                  </w:pPr>
                </w:p>
              </w:tc>
              <w:tc>
                <w:tcPr>
                  <w:tcW w:w="518" w:type="dxa"/>
                  <w:vMerge w:val="continue"/>
                  <w:tcBorders>
                    <w:tl2br w:val="nil"/>
                    <w:tr2bl w:val="nil"/>
                  </w:tcBorders>
                  <w:vAlign w:val="center"/>
                </w:tcPr>
                <w:p w14:paraId="7E356E91">
                  <w:pPr>
                    <w:pStyle w:val="10"/>
                    <w:shd w:val="clear"/>
                    <w:rPr>
                      <w:color w:val="000000" w:themeColor="text1"/>
                      <w:sz w:val="18"/>
                      <w:highlight w:val="none"/>
                      <w14:textFill>
                        <w14:solidFill>
                          <w14:schemeClr w14:val="tx1"/>
                        </w14:solidFill>
                      </w14:textFill>
                    </w:rPr>
                  </w:pPr>
                </w:p>
              </w:tc>
              <w:tc>
                <w:tcPr>
                  <w:tcW w:w="3433" w:type="dxa"/>
                  <w:tcBorders>
                    <w:tl2br w:val="nil"/>
                    <w:tr2bl w:val="nil"/>
                  </w:tcBorders>
                  <w:vAlign w:val="center"/>
                </w:tcPr>
                <w:p w14:paraId="62DFB692">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变电工程在选址时应按终期规模综合考虑进出线走廊规划，避免进出线进入自然保护区、饮用水水源保护区等环境敏感区。</w:t>
                  </w:r>
                </w:p>
                <w:p w14:paraId="3B6BEFA8">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进入自然保护区的输电线路，应按照HJ19的要求开展生态现状调查，避让保护对象的集中分布区。</w:t>
                  </w:r>
                </w:p>
              </w:tc>
              <w:tc>
                <w:tcPr>
                  <w:tcW w:w="2565" w:type="dxa"/>
                  <w:tcBorders>
                    <w:tl2br w:val="nil"/>
                    <w:tr2bl w:val="nil"/>
                  </w:tcBorders>
                  <w:vAlign w:val="center"/>
                </w:tcPr>
                <w:p w14:paraId="36D5DA19">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本项目评价范围内不涉及自然保护区、饮用水水源保护区等环境敏感区。</w:t>
                  </w:r>
                </w:p>
              </w:tc>
              <w:tc>
                <w:tcPr>
                  <w:tcW w:w="518" w:type="dxa"/>
                  <w:tcBorders>
                    <w:tl2br w:val="nil"/>
                    <w:tr2bl w:val="nil"/>
                  </w:tcBorders>
                  <w:vAlign w:val="center"/>
                </w:tcPr>
                <w:p w14:paraId="451CB14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符合</w:t>
                  </w:r>
                </w:p>
              </w:tc>
            </w:tr>
            <w:tr w14:paraId="699B7A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0B42A591">
                  <w:pPr>
                    <w:pStyle w:val="10"/>
                    <w:shd w:val="clear"/>
                    <w:rPr>
                      <w:color w:val="000000" w:themeColor="text1"/>
                      <w:sz w:val="18"/>
                      <w:highlight w:val="none"/>
                      <w14:textFill>
                        <w14:solidFill>
                          <w14:schemeClr w14:val="tx1"/>
                        </w14:solidFill>
                      </w14:textFill>
                    </w:rPr>
                  </w:pPr>
                </w:p>
              </w:tc>
              <w:tc>
                <w:tcPr>
                  <w:tcW w:w="518" w:type="dxa"/>
                  <w:vMerge w:val="continue"/>
                  <w:tcBorders>
                    <w:tl2br w:val="nil"/>
                    <w:tr2bl w:val="nil"/>
                  </w:tcBorders>
                  <w:vAlign w:val="center"/>
                </w:tcPr>
                <w:p w14:paraId="16D66CF1">
                  <w:pPr>
                    <w:pStyle w:val="10"/>
                    <w:shd w:val="clear"/>
                    <w:rPr>
                      <w:color w:val="000000" w:themeColor="text1"/>
                      <w:sz w:val="18"/>
                      <w:highlight w:val="none"/>
                      <w14:textFill>
                        <w14:solidFill>
                          <w14:schemeClr w14:val="tx1"/>
                        </w14:solidFill>
                      </w14:textFill>
                    </w:rPr>
                  </w:pPr>
                </w:p>
              </w:tc>
              <w:tc>
                <w:tcPr>
                  <w:tcW w:w="3433" w:type="dxa"/>
                  <w:tcBorders>
                    <w:tl2br w:val="nil"/>
                    <w:tr2bl w:val="nil"/>
                  </w:tcBorders>
                  <w:vAlign w:val="center"/>
                </w:tcPr>
                <w:p w14:paraId="3B1E150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户外变电工程及规划架空进出线选址选线时，应关注以居住、医疗卫生、文化教育、科研、行政办公等为主要功能的区域，采取综合措施，减少电磁和声环境影响。</w:t>
                  </w:r>
                </w:p>
              </w:tc>
              <w:tc>
                <w:tcPr>
                  <w:tcW w:w="2565" w:type="dxa"/>
                  <w:tcBorders>
                    <w:tl2br w:val="nil"/>
                    <w:tr2bl w:val="nil"/>
                  </w:tcBorders>
                  <w:vAlign w:val="center"/>
                </w:tcPr>
                <w:p w14:paraId="0C1A2961">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建设项目不涉及医疗卫生、文化教育、科研、行政办公等功能的区域，避让集中居住区。</w:t>
                  </w:r>
                </w:p>
              </w:tc>
              <w:tc>
                <w:tcPr>
                  <w:tcW w:w="518" w:type="dxa"/>
                  <w:tcBorders>
                    <w:tl2br w:val="nil"/>
                    <w:tr2bl w:val="nil"/>
                  </w:tcBorders>
                  <w:vAlign w:val="center"/>
                </w:tcPr>
                <w:p w14:paraId="62B234AB">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符合</w:t>
                  </w:r>
                </w:p>
              </w:tc>
            </w:tr>
            <w:tr w14:paraId="43F25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0CB4C6E6">
                  <w:pPr>
                    <w:pStyle w:val="10"/>
                    <w:shd w:val="clear"/>
                    <w:rPr>
                      <w:color w:val="000000" w:themeColor="text1"/>
                      <w:sz w:val="18"/>
                      <w:highlight w:val="none"/>
                      <w14:textFill>
                        <w14:solidFill>
                          <w14:schemeClr w14:val="tx1"/>
                        </w14:solidFill>
                      </w14:textFill>
                    </w:rPr>
                  </w:pPr>
                </w:p>
              </w:tc>
              <w:tc>
                <w:tcPr>
                  <w:tcW w:w="518" w:type="dxa"/>
                  <w:vMerge w:val="continue"/>
                  <w:tcBorders>
                    <w:tl2br w:val="nil"/>
                    <w:tr2bl w:val="nil"/>
                  </w:tcBorders>
                  <w:vAlign w:val="center"/>
                </w:tcPr>
                <w:p w14:paraId="0E3F1F7A">
                  <w:pPr>
                    <w:pStyle w:val="10"/>
                    <w:shd w:val="clear"/>
                    <w:rPr>
                      <w:color w:val="000000" w:themeColor="text1"/>
                      <w:sz w:val="18"/>
                      <w:highlight w:val="none"/>
                      <w14:textFill>
                        <w14:solidFill>
                          <w14:schemeClr w14:val="tx1"/>
                        </w14:solidFill>
                      </w14:textFill>
                    </w:rPr>
                  </w:pPr>
                </w:p>
              </w:tc>
              <w:tc>
                <w:tcPr>
                  <w:tcW w:w="3433" w:type="dxa"/>
                  <w:tcBorders>
                    <w:tl2br w:val="nil"/>
                    <w:tr2bl w:val="nil"/>
                  </w:tcBorders>
                  <w:vAlign w:val="center"/>
                </w:tcPr>
                <w:p w14:paraId="26A74E75">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原则上避免在0类声环境功能区建设变电工程。</w:t>
                  </w:r>
                </w:p>
              </w:tc>
              <w:tc>
                <w:tcPr>
                  <w:tcW w:w="2565" w:type="dxa"/>
                  <w:tcBorders>
                    <w:tl2br w:val="nil"/>
                    <w:tr2bl w:val="nil"/>
                  </w:tcBorders>
                  <w:vAlign w:val="center"/>
                </w:tcPr>
                <w:p w14:paraId="7B79AEC0">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本项目拟建</w:t>
                  </w:r>
                  <w:r>
                    <w:rPr>
                      <w:rFonts w:hint="eastAsia"/>
                      <w:color w:val="000000" w:themeColor="text1"/>
                      <w:sz w:val="18"/>
                      <w:highlight w:val="none"/>
                      <w:lang w:val="en-US" w:eastAsia="zh-CN"/>
                      <w14:textFill>
                        <w14:solidFill>
                          <w14:schemeClr w14:val="tx1"/>
                        </w14:solidFill>
                      </w14:textFill>
                    </w:rPr>
                    <w:t>升压站</w:t>
                  </w:r>
                  <w:r>
                    <w:rPr>
                      <w:color w:val="000000" w:themeColor="text1"/>
                      <w:sz w:val="18"/>
                      <w:highlight w:val="none"/>
                      <w14:textFill>
                        <w14:solidFill>
                          <w14:schemeClr w14:val="tx1"/>
                        </w14:solidFill>
                      </w14:textFill>
                    </w:rPr>
                    <w:t>选址所在区域属于2类声环境功能区。</w:t>
                  </w:r>
                </w:p>
              </w:tc>
              <w:tc>
                <w:tcPr>
                  <w:tcW w:w="518" w:type="dxa"/>
                  <w:tcBorders>
                    <w:tl2br w:val="nil"/>
                    <w:tr2bl w:val="nil"/>
                  </w:tcBorders>
                  <w:vAlign w:val="center"/>
                </w:tcPr>
                <w:p w14:paraId="0631EA33">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符合</w:t>
                  </w:r>
                </w:p>
              </w:tc>
            </w:tr>
            <w:tr w14:paraId="4F708D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6" w:type="dxa"/>
                  <w:vMerge w:val="continue"/>
                  <w:tcBorders>
                    <w:tl2br w:val="nil"/>
                    <w:tr2bl w:val="nil"/>
                  </w:tcBorders>
                  <w:vAlign w:val="center"/>
                </w:tcPr>
                <w:p w14:paraId="41F83B1B">
                  <w:pPr>
                    <w:pStyle w:val="10"/>
                    <w:shd w:val="clear"/>
                    <w:rPr>
                      <w:color w:val="000000" w:themeColor="text1"/>
                      <w:sz w:val="18"/>
                      <w:highlight w:val="none"/>
                      <w14:textFill>
                        <w14:solidFill>
                          <w14:schemeClr w14:val="tx1"/>
                        </w14:solidFill>
                      </w14:textFill>
                    </w:rPr>
                  </w:pPr>
                </w:p>
              </w:tc>
              <w:tc>
                <w:tcPr>
                  <w:tcW w:w="518" w:type="dxa"/>
                  <w:vMerge w:val="continue"/>
                  <w:tcBorders>
                    <w:tl2br w:val="nil"/>
                    <w:tr2bl w:val="nil"/>
                  </w:tcBorders>
                  <w:vAlign w:val="center"/>
                </w:tcPr>
                <w:p w14:paraId="6B005B17">
                  <w:pPr>
                    <w:pStyle w:val="10"/>
                    <w:shd w:val="clear"/>
                    <w:rPr>
                      <w:color w:val="000000" w:themeColor="text1"/>
                      <w:sz w:val="18"/>
                      <w:highlight w:val="none"/>
                      <w14:textFill>
                        <w14:solidFill>
                          <w14:schemeClr w14:val="tx1"/>
                        </w14:solidFill>
                      </w14:textFill>
                    </w:rPr>
                  </w:pPr>
                </w:p>
              </w:tc>
              <w:tc>
                <w:tcPr>
                  <w:tcW w:w="3433" w:type="dxa"/>
                  <w:tcBorders>
                    <w:tl2br w:val="nil"/>
                    <w:tr2bl w:val="nil"/>
                  </w:tcBorders>
                  <w:vAlign w:val="center"/>
                </w:tcPr>
                <w:p w14:paraId="07B36ADC">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变电工程选址时，应综合考虑减少土地占用、植被砍伐和弃土弃渣，以减少对生态环境的不利影响。</w:t>
                  </w:r>
                </w:p>
              </w:tc>
              <w:tc>
                <w:tcPr>
                  <w:tcW w:w="2565" w:type="dxa"/>
                  <w:tcBorders>
                    <w:tl2br w:val="nil"/>
                    <w:tr2bl w:val="nil"/>
                  </w:tcBorders>
                  <w:vAlign w:val="center"/>
                </w:tcPr>
                <w:p w14:paraId="091723CF">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本项目变电站占地面积较少，站址区域现状为未利用地，植被稀少，站址位于冲洪积平原，地形较平缓，地形开阔。</w:t>
                  </w:r>
                </w:p>
              </w:tc>
              <w:tc>
                <w:tcPr>
                  <w:tcW w:w="518" w:type="dxa"/>
                  <w:tcBorders>
                    <w:tl2br w:val="nil"/>
                    <w:tr2bl w:val="nil"/>
                  </w:tcBorders>
                  <w:vAlign w:val="center"/>
                </w:tcPr>
                <w:p w14:paraId="57C58447">
                  <w:pPr>
                    <w:pStyle w:val="10"/>
                    <w:shd w:val="clear"/>
                    <w:rPr>
                      <w:color w:val="000000" w:themeColor="text1"/>
                      <w:sz w:val="18"/>
                      <w:highlight w:val="none"/>
                      <w14:textFill>
                        <w14:solidFill>
                          <w14:schemeClr w14:val="tx1"/>
                        </w14:solidFill>
                      </w14:textFill>
                    </w:rPr>
                  </w:pPr>
                  <w:r>
                    <w:rPr>
                      <w:color w:val="000000" w:themeColor="text1"/>
                      <w:sz w:val="18"/>
                      <w:highlight w:val="none"/>
                      <w14:textFill>
                        <w14:solidFill>
                          <w14:schemeClr w14:val="tx1"/>
                        </w14:solidFill>
                      </w14:textFill>
                    </w:rPr>
                    <w:t>符合</w:t>
                  </w:r>
                </w:p>
              </w:tc>
            </w:tr>
          </w:tbl>
          <w:p w14:paraId="2C02B4A4">
            <w:pPr>
              <w:shd w:val="clea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以工程初步设计的站址和路径作为推荐路径环境影响程度可接受，符合《输变电建设项目环境保护技术要求》（HJ1113-2020）中选址选线等相关技术要求，故建设项目的选址选线环境合理。</w:t>
            </w:r>
          </w:p>
          <w:p w14:paraId="7ED8B9BC">
            <w:pPr>
              <w:pStyle w:val="11"/>
              <w:numPr>
                <w:ilvl w:val="0"/>
                <w:numId w:val="0"/>
              </w:numPr>
              <w:shd w:val="clear"/>
              <w:rPr>
                <w:color w:val="000000" w:themeColor="text1"/>
                <w:highlight w:val="none"/>
                <w14:textFill>
                  <w14:solidFill>
                    <w14:schemeClr w14:val="tx1"/>
                  </w14:solidFill>
                </w14:textFill>
              </w:rPr>
            </w:pPr>
          </w:p>
          <w:p w14:paraId="5B5A7069">
            <w:pPr>
              <w:pStyle w:val="11"/>
              <w:numPr>
                <w:ilvl w:val="0"/>
                <w:numId w:val="0"/>
              </w:numPr>
              <w:shd w:val="clear"/>
              <w:rPr>
                <w:color w:val="000000" w:themeColor="text1"/>
                <w:highlight w:val="none"/>
                <w14:textFill>
                  <w14:solidFill>
                    <w14:schemeClr w14:val="tx1"/>
                  </w14:solidFill>
                </w14:textFill>
              </w:rPr>
            </w:pPr>
          </w:p>
          <w:p w14:paraId="37974396">
            <w:pPr>
              <w:pStyle w:val="11"/>
              <w:numPr>
                <w:ilvl w:val="0"/>
                <w:numId w:val="0"/>
              </w:numPr>
              <w:shd w:val="clear"/>
              <w:rPr>
                <w:color w:val="000000" w:themeColor="text1"/>
                <w:highlight w:val="none"/>
                <w14:textFill>
                  <w14:solidFill>
                    <w14:schemeClr w14:val="tx1"/>
                  </w14:solidFill>
                </w14:textFill>
              </w:rPr>
            </w:pPr>
          </w:p>
          <w:p w14:paraId="4108AA5B">
            <w:pPr>
              <w:pStyle w:val="11"/>
              <w:numPr>
                <w:ilvl w:val="0"/>
                <w:numId w:val="0"/>
              </w:numPr>
              <w:shd w:val="clear"/>
              <w:rPr>
                <w:color w:val="000000" w:themeColor="text1"/>
                <w:highlight w:val="none"/>
                <w14:textFill>
                  <w14:solidFill>
                    <w14:schemeClr w14:val="tx1"/>
                  </w14:solidFill>
                </w14:textFill>
              </w:rPr>
            </w:pPr>
          </w:p>
          <w:p w14:paraId="047C4F3C">
            <w:pPr>
              <w:pStyle w:val="11"/>
              <w:numPr>
                <w:ilvl w:val="0"/>
                <w:numId w:val="0"/>
              </w:numPr>
              <w:shd w:val="clear"/>
              <w:rPr>
                <w:color w:val="000000" w:themeColor="text1"/>
                <w:highlight w:val="none"/>
                <w14:textFill>
                  <w14:solidFill>
                    <w14:schemeClr w14:val="tx1"/>
                  </w14:solidFill>
                </w14:textFill>
              </w:rPr>
            </w:pPr>
          </w:p>
          <w:p w14:paraId="2FF87309">
            <w:pPr>
              <w:pStyle w:val="11"/>
              <w:numPr>
                <w:ilvl w:val="0"/>
                <w:numId w:val="0"/>
              </w:numPr>
              <w:shd w:val="clear"/>
              <w:rPr>
                <w:color w:val="000000" w:themeColor="text1"/>
                <w:highlight w:val="none"/>
                <w14:textFill>
                  <w14:solidFill>
                    <w14:schemeClr w14:val="tx1"/>
                  </w14:solidFill>
                </w14:textFill>
              </w:rPr>
            </w:pPr>
          </w:p>
          <w:p w14:paraId="6961E99F">
            <w:pPr>
              <w:pStyle w:val="11"/>
              <w:numPr>
                <w:ilvl w:val="0"/>
                <w:numId w:val="0"/>
              </w:numPr>
              <w:shd w:val="clear"/>
              <w:rPr>
                <w:color w:val="000000" w:themeColor="text1"/>
                <w:highlight w:val="none"/>
                <w14:textFill>
                  <w14:solidFill>
                    <w14:schemeClr w14:val="tx1"/>
                  </w14:solidFill>
                </w14:textFill>
              </w:rPr>
            </w:pPr>
          </w:p>
          <w:p w14:paraId="6C4C724B">
            <w:pPr>
              <w:pStyle w:val="11"/>
              <w:numPr>
                <w:ilvl w:val="0"/>
                <w:numId w:val="0"/>
              </w:numPr>
              <w:shd w:val="clear"/>
              <w:rPr>
                <w:color w:val="000000" w:themeColor="text1"/>
                <w:highlight w:val="none"/>
                <w14:textFill>
                  <w14:solidFill>
                    <w14:schemeClr w14:val="tx1"/>
                  </w14:solidFill>
                </w14:textFill>
              </w:rPr>
            </w:pPr>
          </w:p>
          <w:p w14:paraId="4BC998E9">
            <w:pPr>
              <w:pStyle w:val="11"/>
              <w:numPr>
                <w:ilvl w:val="0"/>
                <w:numId w:val="0"/>
              </w:numPr>
              <w:shd w:val="clear"/>
              <w:rPr>
                <w:color w:val="000000" w:themeColor="text1"/>
                <w:highlight w:val="none"/>
                <w14:textFill>
                  <w14:solidFill>
                    <w14:schemeClr w14:val="tx1"/>
                  </w14:solidFill>
                </w14:textFill>
              </w:rPr>
            </w:pPr>
          </w:p>
          <w:p w14:paraId="0FFC119E">
            <w:pPr>
              <w:pStyle w:val="11"/>
              <w:numPr>
                <w:ilvl w:val="0"/>
                <w:numId w:val="0"/>
              </w:numPr>
              <w:shd w:val="clear"/>
              <w:rPr>
                <w:color w:val="000000" w:themeColor="text1"/>
                <w:highlight w:val="none"/>
                <w14:textFill>
                  <w14:solidFill>
                    <w14:schemeClr w14:val="tx1"/>
                  </w14:solidFill>
                </w14:textFill>
              </w:rPr>
            </w:pPr>
          </w:p>
          <w:p w14:paraId="543C8E3F">
            <w:pPr>
              <w:pStyle w:val="11"/>
              <w:numPr>
                <w:ilvl w:val="0"/>
                <w:numId w:val="0"/>
              </w:numPr>
              <w:shd w:val="clear"/>
              <w:rPr>
                <w:color w:val="000000" w:themeColor="text1"/>
                <w:highlight w:val="none"/>
                <w14:textFill>
                  <w14:solidFill>
                    <w14:schemeClr w14:val="tx1"/>
                  </w14:solidFill>
                </w14:textFill>
              </w:rPr>
            </w:pPr>
          </w:p>
          <w:p w14:paraId="3229FB67">
            <w:pPr>
              <w:pStyle w:val="11"/>
              <w:numPr>
                <w:ilvl w:val="0"/>
                <w:numId w:val="0"/>
              </w:numPr>
              <w:shd w:val="clear"/>
              <w:rPr>
                <w:color w:val="000000" w:themeColor="text1"/>
                <w:highlight w:val="none"/>
                <w14:textFill>
                  <w14:solidFill>
                    <w14:schemeClr w14:val="tx1"/>
                  </w14:solidFill>
                </w14:textFill>
              </w:rPr>
            </w:pPr>
          </w:p>
          <w:p w14:paraId="0F9E6335">
            <w:pPr>
              <w:pStyle w:val="11"/>
              <w:numPr>
                <w:ilvl w:val="0"/>
                <w:numId w:val="0"/>
              </w:numPr>
              <w:shd w:val="clear"/>
              <w:rPr>
                <w:color w:val="000000" w:themeColor="text1"/>
                <w:highlight w:val="none"/>
                <w14:textFill>
                  <w14:solidFill>
                    <w14:schemeClr w14:val="tx1"/>
                  </w14:solidFill>
                </w14:textFill>
              </w:rPr>
            </w:pPr>
          </w:p>
          <w:p w14:paraId="4A5091FD">
            <w:pPr>
              <w:pStyle w:val="11"/>
              <w:numPr>
                <w:ilvl w:val="0"/>
                <w:numId w:val="0"/>
              </w:numPr>
              <w:shd w:val="clear"/>
              <w:rPr>
                <w:color w:val="000000" w:themeColor="text1"/>
                <w:highlight w:val="none"/>
                <w14:textFill>
                  <w14:solidFill>
                    <w14:schemeClr w14:val="tx1"/>
                  </w14:solidFill>
                </w14:textFill>
              </w:rPr>
            </w:pPr>
          </w:p>
          <w:p w14:paraId="0FFD776C">
            <w:pPr>
              <w:pStyle w:val="11"/>
              <w:numPr>
                <w:ilvl w:val="0"/>
                <w:numId w:val="0"/>
              </w:numPr>
              <w:shd w:val="clear"/>
              <w:rPr>
                <w:color w:val="000000" w:themeColor="text1"/>
                <w:highlight w:val="none"/>
                <w14:textFill>
                  <w14:solidFill>
                    <w14:schemeClr w14:val="tx1"/>
                  </w14:solidFill>
                </w14:textFill>
              </w:rPr>
            </w:pPr>
          </w:p>
          <w:p w14:paraId="09DB1BEA">
            <w:pPr>
              <w:pStyle w:val="11"/>
              <w:numPr>
                <w:ilvl w:val="0"/>
                <w:numId w:val="0"/>
              </w:numPr>
              <w:shd w:val="clear"/>
              <w:rPr>
                <w:color w:val="000000" w:themeColor="text1"/>
                <w:highlight w:val="none"/>
                <w14:textFill>
                  <w14:solidFill>
                    <w14:schemeClr w14:val="tx1"/>
                  </w14:solidFill>
                </w14:textFill>
              </w:rPr>
            </w:pPr>
          </w:p>
          <w:p w14:paraId="35CAA3E5">
            <w:pPr>
              <w:pStyle w:val="11"/>
              <w:numPr>
                <w:ilvl w:val="0"/>
                <w:numId w:val="0"/>
              </w:numPr>
              <w:shd w:val="clear"/>
              <w:rPr>
                <w:color w:val="000000" w:themeColor="text1"/>
                <w:highlight w:val="none"/>
                <w14:textFill>
                  <w14:solidFill>
                    <w14:schemeClr w14:val="tx1"/>
                  </w14:solidFill>
                </w14:textFill>
              </w:rPr>
            </w:pPr>
          </w:p>
          <w:p w14:paraId="39FE5166">
            <w:pPr>
              <w:pStyle w:val="11"/>
              <w:numPr>
                <w:ilvl w:val="0"/>
                <w:numId w:val="0"/>
              </w:numPr>
              <w:shd w:val="clear"/>
              <w:rPr>
                <w:color w:val="000000" w:themeColor="text1"/>
                <w:highlight w:val="none"/>
                <w14:textFill>
                  <w14:solidFill>
                    <w14:schemeClr w14:val="tx1"/>
                  </w14:solidFill>
                </w14:textFill>
              </w:rPr>
            </w:pPr>
          </w:p>
          <w:p w14:paraId="6C857B49">
            <w:pPr>
              <w:pStyle w:val="11"/>
              <w:numPr>
                <w:ilvl w:val="0"/>
                <w:numId w:val="0"/>
              </w:numPr>
              <w:shd w:val="clear"/>
              <w:rPr>
                <w:color w:val="000000" w:themeColor="text1"/>
                <w:highlight w:val="none"/>
                <w14:textFill>
                  <w14:solidFill>
                    <w14:schemeClr w14:val="tx1"/>
                  </w14:solidFill>
                </w14:textFill>
              </w:rPr>
            </w:pPr>
          </w:p>
          <w:p w14:paraId="57D7996D">
            <w:pPr>
              <w:pStyle w:val="11"/>
              <w:numPr>
                <w:ilvl w:val="0"/>
                <w:numId w:val="0"/>
              </w:numPr>
              <w:shd w:val="clear"/>
              <w:rPr>
                <w:color w:val="000000" w:themeColor="text1"/>
                <w:highlight w:val="none"/>
                <w14:textFill>
                  <w14:solidFill>
                    <w14:schemeClr w14:val="tx1"/>
                  </w14:solidFill>
                </w14:textFill>
              </w:rPr>
            </w:pPr>
          </w:p>
          <w:p w14:paraId="3E5C273F">
            <w:pPr>
              <w:pStyle w:val="11"/>
              <w:numPr>
                <w:ilvl w:val="0"/>
                <w:numId w:val="0"/>
              </w:numPr>
              <w:shd w:val="clear"/>
              <w:rPr>
                <w:color w:val="000000" w:themeColor="text1"/>
                <w:highlight w:val="none"/>
                <w14:textFill>
                  <w14:solidFill>
                    <w14:schemeClr w14:val="tx1"/>
                  </w14:solidFill>
                </w14:textFill>
              </w:rPr>
            </w:pPr>
          </w:p>
        </w:tc>
      </w:tr>
    </w:tbl>
    <w:p w14:paraId="564F95AD">
      <w:pPr>
        <w:pStyle w:val="28"/>
        <w:shd w:val="clear"/>
        <w:ind w:firstLine="720"/>
        <w:jc w:val="center"/>
        <w:rPr>
          <w:rFonts w:ascii="Times New Roman" w:hAnsi="Times New Roman"/>
          <w:snapToGrid w:val="0"/>
          <w:sz w:val="36"/>
          <w:szCs w:val="36"/>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462DF7DF">
      <w:pPr>
        <w:pStyle w:val="28"/>
        <w:shd w:val="clear"/>
        <w:jc w:val="center"/>
        <w:outlineLvl w:val="0"/>
        <w:rPr>
          <w:rFonts w:ascii="Times New Roman" w:hAnsi="Times New Roman"/>
          <w:snapToGrid w:val="0"/>
          <w:sz w:val="30"/>
          <w:szCs w:val="30"/>
          <w:highlight w:val="none"/>
        </w:rPr>
      </w:pPr>
      <w:bookmarkStart w:id="316" w:name="_Toc29687"/>
      <w:bookmarkStart w:id="317" w:name="_Toc12486"/>
      <w:bookmarkStart w:id="318" w:name="_Toc400"/>
      <w:bookmarkStart w:id="319" w:name="_Toc9397"/>
      <w:r>
        <w:rPr>
          <w:rFonts w:ascii="Times New Roman" w:hAnsi="Times New Roman"/>
          <w:snapToGrid w:val="0"/>
          <w:sz w:val="30"/>
          <w:szCs w:val="30"/>
          <w:highlight w:val="none"/>
        </w:rPr>
        <w:t>五、主要生态环境保护措施</w:t>
      </w:r>
      <w:bookmarkEnd w:id="316"/>
      <w:bookmarkEnd w:id="317"/>
      <w:bookmarkEnd w:id="318"/>
      <w:bookmarkEnd w:id="319"/>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7719"/>
      </w:tblGrid>
      <w:tr w14:paraId="77D65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6C8B00AC">
            <w:pPr>
              <w:shd w:val="clear"/>
              <w:ind w:firstLine="0" w:firstLineChars="0"/>
              <w:jc w:val="center"/>
              <w:rPr>
                <w:bCs/>
                <w:highlight w:val="none"/>
              </w:rPr>
            </w:pPr>
            <w:r>
              <w:rPr>
                <w:bCs/>
                <w:spacing w:val="10"/>
                <w:highlight w:val="none"/>
              </w:rPr>
              <w:t>施工期生态环境保护措施</w:t>
            </w:r>
          </w:p>
        </w:tc>
        <w:tc>
          <w:tcPr>
            <w:tcW w:w="0" w:type="auto"/>
            <w:vAlign w:val="center"/>
          </w:tcPr>
          <w:p w14:paraId="2BA5BE72">
            <w:pPr>
              <w:pStyle w:val="3"/>
              <w:shd w:val="clear"/>
              <w:rPr>
                <w:highlight w:val="none"/>
              </w:rPr>
            </w:pPr>
            <w:bookmarkStart w:id="320" w:name="_Toc21144"/>
            <w:bookmarkStart w:id="321" w:name="_Toc21467"/>
            <w:bookmarkStart w:id="322" w:name="_Toc17434"/>
            <w:bookmarkStart w:id="323" w:name="_Toc167859200"/>
            <w:bookmarkStart w:id="324" w:name="_Toc168121571"/>
            <w:bookmarkStart w:id="325" w:name="_Toc168121379"/>
            <w:bookmarkStart w:id="326" w:name="_Toc156819103"/>
            <w:bookmarkStart w:id="327" w:name="_Toc168312904"/>
            <w:r>
              <w:rPr>
                <w:highlight w:val="none"/>
              </w:rPr>
              <w:t>1、施工期生态保护措施</w:t>
            </w:r>
            <w:bookmarkEnd w:id="320"/>
            <w:bookmarkEnd w:id="321"/>
            <w:bookmarkEnd w:id="322"/>
          </w:p>
          <w:p w14:paraId="1087EDEA">
            <w:pPr>
              <w:pStyle w:val="3"/>
              <w:shd w:val="clear"/>
              <w:rPr>
                <w:highlight w:val="none"/>
              </w:rPr>
            </w:pPr>
            <w:bookmarkStart w:id="328" w:name="_Toc5123"/>
            <w:bookmarkStart w:id="329" w:name="_Toc17768"/>
            <w:bookmarkStart w:id="330" w:name="_Toc8862"/>
            <w:r>
              <w:rPr>
                <w:highlight w:val="none"/>
              </w:rPr>
              <w:t>1.1人员行为规范</w:t>
            </w:r>
            <w:bookmarkEnd w:id="328"/>
            <w:bookmarkEnd w:id="329"/>
            <w:bookmarkEnd w:id="330"/>
          </w:p>
          <w:p w14:paraId="49BEDCF5">
            <w:pPr>
              <w:shd w:val="clear"/>
              <w:ind w:firstLine="480"/>
              <w:rPr>
                <w:highlight w:val="none"/>
              </w:rPr>
            </w:pPr>
            <w:r>
              <w:rPr>
                <w:highlight w:val="none"/>
              </w:rPr>
              <w:t>（1）加强对管理人员和施工人员的教育，增强其环保意识。</w:t>
            </w:r>
          </w:p>
          <w:p w14:paraId="3A2F90A0">
            <w:pPr>
              <w:shd w:val="clear"/>
              <w:ind w:firstLine="480"/>
              <w:rPr>
                <w:highlight w:val="none"/>
              </w:rPr>
            </w:pPr>
            <w:r>
              <w:rPr>
                <w:highlight w:val="none"/>
              </w:rPr>
              <w:t>（2）注意保护野生动植物，禁止车辆随意碾压植被。</w:t>
            </w:r>
          </w:p>
          <w:p w14:paraId="4DCC19FF">
            <w:pPr>
              <w:shd w:val="clear"/>
              <w:ind w:firstLine="480"/>
              <w:rPr>
                <w:highlight w:val="none"/>
              </w:rPr>
            </w:pPr>
            <w:r>
              <w:rPr>
                <w:highlight w:val="none"/>
              </w:rPr>
              <w:t>（3）施工人员和施工机械不得在规定区域范围外随意活动和行驶。</w:t>
            </w:r>
          </w:p>
          <w:p w14:paraId="2A0E3D9B">
            <w:pPr>
              <w:shd w:val="clear"/>
              <w:ind w:firstLine="480"/>
              <w:rPr>
                <w:highlight w:val="none"/>
              </w:rPr>
            </w:pPr>
            <w:r>
              <w:rPr>
                <w:highlight w:val="none"/>
              </w:rPr>
              <w:t>（4）建筑垃圾集中收集处理，不得随意丢弃。</w:t>
            </w:r>
          </w:p>
          <w:p w14:paraId="7F5E2158">
            <w:pPr>
              <w:shd w:val="clear"/>
              <w:ind w:firstLine="480"/>
              <w:rPr>
                <w:highlight w:val="none"/>
              </w:rPr>
            </w:pPr>
            <w:r>
              <w:rPr>
                <w:highlight w:val="none"/>
              </w:rPr>
              <w:t>（5）严格控制施工作业带范围，塔基控制在作业面3m范围内，施工道路、牵张场等场地严格控制在占地范围内施工。</w:t>
            </w:r>
          </w:p>
          <w:p w14:paraId="59323C75">
            <w:pPr>
              <w:pStyle w:val="3"/>
              <w:shd w:val="clear"/>
              <w:rPr>
                <w:highlight w:val="none"/>
              </w:rPr>
            </w:pPr>
            <w:bookmarkStart w:id="331" w:name="_Toc7818"/>
            <w:bookmarkStart w:id="332" w:name="_Toc6574"/>
            <w:bookmarkStart w:id="333" w:name="_Toc8833"/>
            <w:r>
              <w:rPr>
                <w:highlight w:val="none"/>
              </w:rPr>
              <w:t>1.2 植物保护措施</w:t>
            </w:r>
            <w:bookmarkEnd w:id="331"/>
            <w:bookmarkEnd w:id="332"/>
            <w:bookmarkEnd w:id="333"/>
          </w:p>
          <w:p w14:paraId="77462858">
            <w:pPr>
              <w:shd w:val="clear"/>
              <w:ind w:firstLine="480"/>
              <w:rPr>
                <w:highlight w:val="none"/>
              </w:rPr>
            </w:pPr>
            <w:r>
              <w:rPr>
                <w:highlight w:val="none"/>
              </w:rPr>
              <w:t>（1）合理规划、设计施工场地，尽量控制施工范围、减少扰动面积，作业区四周设置彩带控制作业范围。</w:t>
            </w:r>
          </w:p>
          <w:p w14:paraId="5986C1FC">
            <w:pPr>
              <w:shd w:val="clear"/>
              <w:ind w:firstLine="480"/>
              <w:rPr>
                <w:highlight w:val="none"/>
              </w:rPr>
            </w:pPr>
            <w:r>
              <w:rPr>
                <w:highlight w:val="none"/>
              </w:rPr>
              <w:t>（2）各种机械和车辆固定行车路线，不能随意下道行驶或另开辟便道，以保证周围地表和植被不受破坏。</w:t>
            </w:r>
          </w:p>
          <w:p w14:paraId="21CCD0DE">
            <w:pPr>
              <w:shd w:val="clear"/>
              <w:ind w:firstLine="480"/>
              <w:rPr>
                <w:highlight w:val="none"/>
              </w:rPr>
            </w:pPr>
            <w:r>
              <w:rPr>
                <w:highlight w:val="none"/>
              </w:rPr>
              <w:t>（3）材料运输过程中尽量避免过多扰动原地貌，避免在植被完好的地段进行道路修筑工作。尽可能的依托现有道路，选择合适的位置进行堆放，减少场地的占用。</w:t>
            </w:r>
          </w:p>
          <w:p w14:paraId="497592D7">
            <w:pPr>
              <w:shd w:val="clear"/>
              <w:ind w:firstLine="480"/>
              <w:rPr>
                <w:highlight w:val="none"/>
              </w:rPr>
            </w:pPr>
            <w:r>
              <w:rPr>
                <w:highlight w:val="none"/>
              </w:rPr>
              <w:t>（4）施工时应在工期安排上合理有序，先设置围栏措施，后进行工程建设，尽量减少对地表和植被的破坏，除施工必须不得不铲除或碾压植被外，不允许以其它任何理由铲除植被，以减少对生态环境的破坏。</w:t>
            </w:r>
          </w:p>
          <w:p w14:paraId="3E8F12CE">
            <w:pPr>
              <w:shd w:val="clear"/>
              <w:ind w:firstLine="480"/>
              <w:rPr>
                <w:highlight w:val="none"/>
              </w:rPr>
            </w:pPr>
            <w:r>
              <w:rPr>
                <w:highlight w:val="none"/>
              </w:rPr>
              <w:t>（5）塔基开挖时要将表层熟土分装在编织袋内，用于施工结束后基坑回填，临时堆土采取上铺下盖（彩条布铺垫、苫布苫盖）的措施，回填后及时整平。</w:t>
            </w:r>
          </w:p>
          <w:p w14:paraId="11D1345E">
            <w:pPr>
              <w:shd w:val="clear"/>
              <w:ind w:firstLine="480"/>
              <w:rPr>
                <w:highlight w:val="none"/>
              </w:rPr>
            </w:pPr>
            <w:r>
              <w:rPr>
                <w:highlight w:val="none"/>
              </w:rPr>
              <w:t>（6）基坑开挖尽量保持坑壁成形完好，并做好临时堆土的挡护及苫盖，基础坑开挖好后应尽快浇筑混凝土。</w:t>
            </w:r>
          </w:p>
          <w:p w14:paraId="21D2B139">
            <w:pPr>
              <w:shd w:val="clear"/>
              <w:ind w:firstLine="480"/>
              <w:rPr>
                <w:highlight w:val="none"/>
              </w:rPr>
            </w:pPr>
            <w:r>
              <w:rPr>
                <w:highlight w:val="none"/>
              </w:rPr>
              <w:t>（7）严格控制施工范围，应尽量控制作业面，施工后期对各类站场及留作检修道路的施工便道予以土地整治，尽量采用砾石覆盖。</w:t>
            </w:r>
          </w:p>
          <w:p w14:paraId="2AE59E97">
            <w:pPr>
              <w:shd w:val="clear"/>
              <w:ind w:firstLine="480"/>
              <w:rPr>
                <w:highlight w:val="none"/>
              </w:rPr>
            </w:pPr>
            <w:r>
              <w:rPr>
                <w:highlight w:val="none"/>
              </w:rPr>
              <w:t>（8）在塔基基础及杆塔等施工完毕后，应按设计要求立即对塔基基础周边开挖部分进行覆土，并进行平整夯实，以减少水土流失；对作业区、牵张场等施工扰动区地表进行平整，必要时进行喷水增湿，以便自然植被的生长恢复。</w:t>
            </w:r>
          </w:p>
          <w:p w14:paraId="4601DA40">
            <w:pPr>
              <w:shd w:val="clear"/>
              <w:ind w:firstLine="480"/>
              <w:rPr>
                <w:highlight w:val="none"/>
              </w:rPr>
            </w:pPr>
            <w:r>
              <w:rPr>
                <w:highlight w:val="none"/>
              </w:rPr>
              <w:t>（9）施工结束后，及时清理施工现场，按照相关技术要求进行植被恢复和重建，尽可能早地恢复遭受破坏地段的自然生境。</w:t>
            </w:r>
          </w:p>
          <w:p w14:paraId="501EA975">
            <w:pPr>
              <w:pStyle w:val="3"/>
              <w:shd w:val="clear"/>
              <w:rPr>
                <w:highlight w:val="none"/>
              </w:rPr>
            </w:pPr>
            <w:bookmarkStart w:id="334" w:name="_Toc1447"/>
            <w:bookmarkStart w:id="335" w:name="_Toc25222"/>
            <w:bookmarkStart w:id="336" w:name="_Toc2146"/>
            <w:r>
              <w:rPr>
                <w:highlight w:val="none"/>
              </w:rPr>
              <w:t>1.3 野生动物保护措施</w:t>
            </w:r>
            <w:bookmarkEnd w:id="334"/>
            <w:bookmarkEnd w:id="335"/>
            <w:bookmarkEnd w:id="336"/>
          </w:p>
          <w:p w14:paraId="4357D009">
            <w:pPr>
              <w:shd w:val="clear"/>
              <w:ind w:firstLine="480"/>
              <w:rPr>
                <w:highlight w:val="none"/>
              </w:rPr>
            </w:pPr>
            <w:r>
              <w:rPr>
                <w:highlight w:val="none"/>
              </w:rPr>
              <w:t>（1）线路施工前对施工人员进行宣传和教育，严禁发生捕捉伤害野生动物的行为，增强保护野生动物的意识。</w:t>
            </w:r>
          </w:p>
          <w:p w14:paraId="1AD4BDA4">
            <w:pPr>
              <w:shd w:val="clear"/>
              <w:ind w:firstLine="480"/>
              <w:rPr>
                <w:highlight w:val="none"/>
              </w:rPr>
            </w:pPr>
            <w:r>
              <w:rPr>
                <w:highlight w:val="none"/>
              </w:rPr>
              <w:t>（2）选用低噪声的施工设备及工艺，施工活动主要集中在白天进行，减少夜间作业，避免灯光、噪声对夜间动物活动的惊扰。在施工过程中若发现野生动物的活动，应进行避让和保护，以防影响野生动物的栖息。</w:t>
            </w:r>
          </w:p>
          <w:p w14:paraId="6E7C0448">
            <w:pPr>
              <w:shd w:val="clear"/>
              <w:ind w:firstLine="480"/>
              <w:rPr>
                <w:highlight w:val="none"/>
              </w:rPr>
            </w:pPr>
            <w:r>
              <w:rPr>
                <w:highlight w:val="none"/>
              </w:rPr>
              <w:t>（3）施工期如发现野生保护动物应采取妥善措施进行保护，不得捕杀保护动物。对受伤的动物应及时联系野生动物保护部门，及时救治。</w:t>
            </w:r>
          </w:p>
          <w:p w14:paraId="3B003E66">
            <w:pPr>
              <w:pStyle w:val="3"/>
              <w:shd w:val="clear"/>
              <w:rPr>
                <w:highlight w:val="none"/>
              </w:rPr>
            </w:pPr>
            <w:bookmarkStart w:id="337" w:name="_Toc1535"/>
            <w:bookmarkStart w:id="338" w:name="_Toc5011"/>
            <w:bookmarkStart w:id="339" w:name="_Toc32214"/>
            <w:r>
              <w:rPr>
                <w:highlight w:val="none"/>
              </w:rPr>
              <w:t xml:space="preserve">1.4 </w:t>
            </w:r>
            <w:bookmarkEnd w:id="337"/>
            <w:bookmarkStart w:id="340" w:name="_Toc5487"/>
            <w:r>
              <w:rPr>
                <w:rFonts w:hint="default"/>
                <w:highlight w:val="none"/>
              </w:rPr>
              <w:t>水土保持措施</w:t>
            </w:r>
            <w:bookmarkEnd w:id="338"/>
            <w:bookmarkEnd w:id="339"/>
          </w:p>
          <w:p w14:paraId="3799C1FA">
            <w:pPr>
              <w:shd w:val="clear"/>
              <w:ind w:firstLine="480"/>
              <w:rPr>
                <w:rFonts w:hint="default"/>
                <w:highlight w:val="none"/>
              </w:rPr>
            </w:pPr>
            <w:r>
              <w:rPr>
                <w:rFonts w:hint="default"/>
                <w:highlight w:val="none"/>
              </w:rPr>
              <w:t>根据水土流失防治分区和水土流失预测结果，参照《输变电工程水土保持施工技术规范》（T/CEC 1157-2025）的要求，按照“预防为主、保护优先、全面规划、综合治理、因地制宜、突出重点、科学管理、注重效益”的原则，采取工程措施、植物措施和临时措施相结合的水土流失综合防治体系。各项措施须严格遵循《中华人民共和国水土保持法》第二十五条至第三十二条及《生产建设项目水土保持方案管理办法》（水利部令第53号，2025年修订）等法规要求，依法履行水土保持方案编报审批程序，落实水土保持“三同时”制度。</w:t>
            </w:r>
          </w:p>
          <w:p w14:paraId="241D71F9">
            <w:pPr>
              <w:shd w:val="clear"/>
              <w:ind w:firstLine="480"/>
              <w:rPr>
                <w:rFonts w:hint="default"/>
                <w:b/>
                <w:bCs/>
                <w:highlight w:val="none"/>
              </w:rPr>
            </w:pPr>
            <w:r>
              <w:rPr>
                <w:rFonts w:hint="eastAsia"/>
                <w:b/>
                <w:bCs/>
                <w:highlight w:val="none"/>
                <w:lang w:val="en-US" w:eastAsia="zh-CN"/>
              </w:rPr>
              <w:t>1.4.1</w:t>
            </w:r>
            <w:r>
              <w:rPr>
                <w:rFonts w:hint="default"/>
                <w:b/>
                <w:bCs/>
                <w:highlight w:val="none"/>
              </w:rPr>
              <w:t>工程措施</w:t>
            </w:r>
          </w:p>
          <w:p w14:paraId="40C9F797">
            <w:pPr>
              <w:shd w:val="clear"/>
              <w:ind w:firstLine="480"/>
              <w:rPr>
                <w:rFonts w:hint="default"/>
                <w:highlight w:val="none"/>
              </w:rPr>
            </w:pPr>
            <w:r>
              <w:rPr>
                <w:rFonts w:hint="default"/>
                <w:highlight w:val="none"/>
              </w:rPr>
              <w:t>（1）表土剥离与保护：剥离塔基区和升压站区的表层土（厚度约5cm～10cm），集中堆放于临时堆土场，表面用防尘布覆盖，周围设编织袋挡护，用于施工结束后的土地恢复。</w:t>
            </w:r>
          </w:p>
          <w:p w14:paraId="49686DBE">
            <w:pPr>
              <w:shd w:val="clear"/>
              <w:ind w:firstLine="480"/>
              <w:rPr>
                <w:rFonts w:hint="default"/>
                <w:highlight w:val="none"/>
              </w:rPr>
            </w:pPr>
            <w:r>
              <w:rPr>
                <w:rFonts w:hint="default"/>
                <w:highlight w:val="none"/>
              </w:rPr>
              <w:t>（2）土地平整与整治：施工结束后，对升压站区、塔基区、牵张场、临时堆土场等扰动区进行全面土地平整，压实松散沙土表面并适度洒水固结，减少风蚀。</w:t>
            </w:r>
          </w:p>
          <w:p w14:paraId="43B0A073">
            <w:pPr>
              <w:shd w:val="clear"/>
              <w:ind w:firstLine="480"/>
              <w:rPr>
                <w:rFonts w:hint="default"/>
                <w:highlight w:val="none"/>
              </w:rPr>
            </w:pPr>
            <w:r>
              <w:rPr>
                <w:rFonts w:hint="default"/>
                <w:highlight w:val="none"/>
              </w:rPr>
              <w:t>（3）挡护与排水：对升压站边坡、塔基边坡设置浆砌石挡土墙，挡土墙按《水土保持工程设计规范》（GB 51018）标准设计；沿站区围墙外侧和塔基区设置排水沟（砖砌或混凝土结构），断面尺寸0.5m×0.5m，引导雨水有序排放，减少径流冲刷。</w:t>
            </w:r>
          </w:p>
          <w:p w14:paraId="3F7CC8BC">
            <w:pPr>
              <w:shd w:val="clear"/>
              <w:ind w:firstLine="480"/>
              <w:rPr>
                <w:rFonts w:hint="default"/>
                <w:highlight w:val="none"/>
              </w:rPr>
            </w:pPr>
            <w:r>
              <w:rPr>
                <w:rFonts w:hint="default"/>
                <w:highlight w:val="none"/>
              </w:rPr>
              <w:t>（4）草方格沙障：对位于荒漠区的塔基和临时占地扰动面铺设1m×1m规格的芦苇草方格沙障，降低近地表风速，阻滞风沙流，为植被自然恢复创造稳定条件。新疆750千伏输变电工程已在流动沙漠区域铺设草方格22.5万平方米，有效阻滞了风沙流动，为植被自然恢复创造了条件</w:t>
            </w:r>
            <w:r>
              <w:rPr>
                <w:rFonts w:hint="eastAsia"/>
                <w:highlight w:val="none"/>
                <w:lang w:eastAsia="zh-CN"/>
              </w:rPr>
              <w:t>。</w:t>
            </w:r>
            <w:r>
              <w:rPr>
                <w:rFonts w:hint="default"/>
                <w:highlight w:val="none"/>
              </w:rPr>
              <w:t>国网新疆电力在电网施工中，以铺设草甸、播撒草籽等方式恢复损坏的地面，在沙漠化严重的区域增加草方格建设，有效防止了水土流失。类似实践已在全国范围内推广，例如</w:t>
            </w:r>
            <w:r>
              <w:rPr>
                <w:rFonts w:hint="eastAsia"/>
                <w:highlight w:val="none"/>
                <w:lang w:eastAsia="zh-CN"/>
              </w:rPr>
              <w:t>“</w:t>
            </w:r>
            <w:r>
              <w:rPr>
                <w:rFonts w:hint="default"/>
                <w:highlight w:val="none"/>
              </w:rPr>
              <w:t>疆电外送</w:t>
            </w:r>
            <w:r>
              <w:rPr>
                <w:rFonts w:hint="eastAsia"/>
                <w:highlight w:val="none"/>
                <w:lang w:eastAsia="zh-CN"/>
              </w:rPr>
              <w:t>”</w:t>
            </w:r>
            <w:r>
              <w:rPr>
                <w:rFonts w:hint="default"/>
                <w:highlight w:val="none"/>
              </w:rPr>
              <w:t>第四通道生态治沙工程中，设置了芦苇低立式方格、HDPE网低立式方格、高立式沙障等综合防沙体系。本项目草方格沙障铺设面积约4000m</w:t>
            </w:r>
            <w:r>
              <w:rPr>
                <w:rFonts w:hint="eastAsia"/>
                <w:highlight w:val="none"/>
                <w:vertAlign w:val="superscript"/>
                <w:lang w:val="en-US" w:eastAsia="zh-CN"/>
              </w:rPr>
              <w:t>2</w:t>
            </w:r>
            <w:r>
              <w:rPr>
                <w:rFonts w:hint="default"/>
                <w:highlight w:val="none"/>
              </w:rPr>
              <w:t>，优先布设于塔基周边及牵张场区域。</w:t>
            </w:r>
          </w:p>
          <w:p w14:paraId="47BF1D90">
            <w:pPr>
              <w:shd w:val="clear"/>
              <w:ind w:firstLine="480"/>
              <w:rPr>
                <w:rFonts w:hint="default"/>
                <w:highlight w:val="none"/>
              </w:rPr>
            </w:pPr>
            <w:r>
              <w:rPr>
                <w:rFonts w:hint="default"/>
                <w:highlight w:val="none"/>
              </w:rPr>
              <w:t>（5）砾石覆盖：在升压</w:t>
            </w:r>
            <w:r>
              <w:rPr>
                <w:rFonts w:hint="eastAsia"/>
                <w:highlight w:val="none"/>
                <w:lang w:eastAsia="zh-CN"/>
              </w:rPr>
              <w:t>站</w:t>
            </w:r>
            <w:r>
              <w:rPr>
                <w:rFonts w:hint="default"/>
                <w:highlight w:val="none"/>
              </w:rPr>
              <w:t>内空地及永久占地范围内非硬化区域，铺撒砾石层（厚度不小于10cm），增强地表抗风蚀能力。</w:t>
            </w:r>
          </w:p>
          <w:p w14:paraId="038CAA31">
            <w:pPr>
              <w:shd w:val="clear"/>
              <w:ind w:firstLine="480"/>
              <w:rPr>
                <w:rFonts w:hint="default"/>
                <w:b/>
                <w:bCs/>
                <w:highlight w:val="none"/>
                <w:lang w:val="en-US" w:eastAsia="zh-CN"/>
              </w:rPr>
            </w:pPr>
            <w:r>
              <w:rPr>
                <w:rFonts w:hint="eastAsia"/>
                <w:b/>
                <w:bCs/>
                <w:highlight w:val="none"/>
                <w:lang w:val="en-US" w:eastAsia="zh-CN"/>
              </w:rPr>
              <w:t>1.4.2</w:t>
            </w:r>
            <w:r>
              <w:rPr>
                <w:rFonts w:hint="default"/>
                <w:b/>
                <w:bCs/>
                <w:highlight w:val="none"/>
                <w:lang w:val="en-US" w:eastAsia="zh-CN"/>
              </w:rPr>
              <w:t xml:space="preserve"> 植物措施</w:t>
            </w:r>
          </w:p>
          <w:p w14:paraId="58DDE5F4">
            <w:pPr>
              <w:shd w:val="clear"/>
              <w:ind w:firstLine="480"/>
              <w:rPr>
                <w:rFonts w:hint="default"/>
                <w:highlight w:val="none"/>
              </w:rPr>
            </w:pPr>
            <w:r>
              <w:rPr>
                <w:rFonts w:hint="default"/>
                <w:highlight w:val="none"/>
              </w:rPr>
              <w:t>（1）植被恢复原则：以“自然恢复为主、人工辅助为辅”为原则，优先利用原地表保存的表土中所含的草籽和腐殖质，促进原生植被自然萌发。在扰动较重区域，人工播撒适生乡土植物（如罗布麻、梭梭等）种子，草籽用量控制在适宜密度。</w:t>
            </w:r>
          </w:p>
          <w:p w14:paraId="2132E1AC">
            <w:pPr>
              <w:shd w:val="clear"/>
              <w:ind w:firstLine="480"/>
              <w:rPr>
                <w:rFonts w:hint="default"/>
                <w:highlight w:val="none"/>
              </w:rPr>
            </w:pPr>
            <w:r>
              <w:rPr>
                <w:rFonts w:hint="default"/>
                <w:highlight w:val="none"/>
              </w:rPr>
              <w:t>（2）播撒区：塔基扰动区、升压站周边、牵张场临时占地等区域，经土地整治后播撒乡土植物组合种子。</w:t>
            </w:r>
          </w:p>
          <w:p w14:paraId="14873CD7">
            <w:pPr>
              <w:shd w:val="clear"/>
              <w:ind w:firstLine="480"/>
              <w:rPr>
                <w:rFonts w:hint="default"/>
                <w:highlight w:val="none"/>
              </w:rPr>
            </w:pPr>
            <w:r>
              <w:rPr>
                <w:rFonts w:hint="default"/>
                <w:highlight w:val="none"/>
              </w:rPr>
              <w:t>（3）升压站绿化：站内道路两侧及办公生活区周边，配置低矮灌木及宿根花卉，以净化空气、降低场地辐射热、减少噪声，并起到一定的固土防风作用。</w:t>
            </w:r>
          </w:p>
          <w:p w14:paraId="4ACFEC02">
            <w:pPr>
              <w:shd w:val="clear"/>
              <w:ind w:firstLine="480"/>
              <w:rPr>
                <w:rFonts w:hint="default"/>
                <w:highlight w:val="none"/>
              </w:rPr>
            </w:pPr>
            <w:r>
              <w:rPr>
                <w:rFonts w:hint="default"/>
                <w:highlight w:val="none"/>
              </w:rPr>
              <w:t>（4）季节性养护：植物措施在春季或秋季实施，播撒后采取适当洒水养护，确保种子萌发和幼苗越冬。根据《水土保持工程设计规范》（GB 51018），荒漠区植被恢复工程设计应充分考虑水分条件的限制。</w:t>
            </w:r>
          </w:p>
          <w:p w14:paraId="237264BE">
            <w:pPr>
              <w:shd w:val="clear"/>
              <w:ind w:firstLine="480"/>
              <w:rPr>
                <w:rFonts w:hint="default"/>
                <w:b/>
                <w:bCs/>
                <w:highlight w:val="none"/>
                <w:lang w:val="en-US" w:eastAsia="zh-CN"/>
              </w:rPr>
            </w:pPr>
            <w:r>
              <w:rPr>
                <w:rFonts w:hint="eastAsia"/>
                <w:b/>
                <w:bCs/>
                <w:highlight w:val="none"/>
                <w:lang w:val="en-US" w:eastAsia="zh-CN"/>
              </w:rPr>
              <w:t>1.4.3</w:t>
            </w:r>
            <w:r>
              <w:rPr>
                <w:rFonts w:hint="default"/>
                <w:b/>
                <w:bCs/>
                <w:highlight w:val="none"/>
                <w:lang w:val="en-US" w:eastAsia="zh-CN"/>
              </w:rPr>
              <w:t>临时措施</w:t>
            </w:r>
          </w:p>
          <w:p w14:paraId="3EA88A54">
            <w:pPr>
              <w:shd w:val="clear"/>
              <w:ind w:firstLine="480"/>
              <w:rPr>
                <w:rFonts w:hint="default"/>
                <w:highlight w:val="none"/>
              </w:rPr>
            </w:pPr>
            <w:r>
              <w:rPr>
                <w:rFonts w:hint="default"/>
                <w:highlight w:val="none"/>
              </w:rPr>
              <w:t>（1）彩条布铺垫与苫盖：塔基开挖时，在作业区铺设彩条布，减少对原地表的直接碾压和扰动；临时堆土表面覆盖密目防尘网或彩条布，用石块压实边缘，防止风蚀。</w:t>
            </w:r>
          </w:p>
          <w:p w14:paraId="166A5498">
            <w:pPr>
              <w:shd w:val="clear"/>
              <w:ind w:firstLine="480"/>
              <w:rPr>
                <w:rFonts w:hint="default"/>
                <w:highlight w:val="none"/>
              </w:rPr>
            </w:pPr>
            <w:r>
              <w:rPr>
                <w:rFonts w:hint="default"/>
                <w:highlight w:val="none"/>
              </w:rPr>
              <w:t>（2）编织袋挡护：在临时堆土场和表土堆放区周围，采用编织袋装土、按“品”字形紧密排列堆砌临时拦挡，高度不小于0.5m，防止土方外溢和被风吹散。</w:t>
            </w:r>
          </w:p>
          <w:p w14:paraId="41D3F00B">
            <w:pPr>
              <w:shd w:val="clear"/>
              <w:ind w:firstLine="480"/>
              <w:rPr>
                <w:rFonts w:hint="default"/>
                <w:highlight w:val="none"/>
              </w:rPr>
            </w:pPr>
            <w:r>
              <w:rPr>
                <w:rFonts w:hint="default"/>
                <w:highlight w:val="none"/>
              </w:rPr>
              <w:t>（3）洒水抑尘与压实：在大风和干燥天气，对裸露地表和施工道路洒水增湿；施工车辆行驶路线严格限定，避免无序碾压扩大地表扰动范围。</w:t>
            </w:r>
          </w:p>
          <w:p w14:paraId="4DAB93BF">
            <w:pPr>
              <w:shd w:val="clear"/>
              <w:ind w:firstLine="480"/>
              <w:rPr>
                <w:rFonts w:hint="default"/>
                <w:highlight w:val="none"/>
              </w:rPr>
            </w:pPr>
            <w:r>
              <w:rPr>
                <w:rFonts w:hint="default"/>
                <w:highlight w:val="none"/>
              </w:rPr>
              <w:t>（4）施工围挡：在升压站施工区四周设置彩钢板围挡（高度不低于1.8m），减少施工扬尘扩散和风沙吹蚀。</w:t>
            </w:r>
          </w:p>
          <w:p w14:paraId="4896D673">
            <w:pPr>
              <w:shd w:val="clear"/>
              <w:ind w:firstLine="480"/>
              <w:rPr>
                <w:rFonts w:hint="default"/>
                <w:highlight w:val="none"/>
              </w:rPr>
            </w:pPr>
            <w:r>
              <w:rPr>
                <w:rFonts w:hint="default"/>
                <w:highlight w:val="none"/>
              </w:rPr>
              <w:t>（5）分段施工要求：塔基开挖避开大风和暴雨天气，减少开挖裸露时间；基坑开挖后尽快浇筑混凝土，缩短松散土体裸露期。</w:t>
            </w:r>
          </w:p>
          <w:p w14:paraId="1D69079D">
            <w:pPr>
              <w:shd w:val="clear"/>
              <w:ind w:firstLine="480"/>
              <w:rPr>
                <w:rFonts w:hint="default"/>
                <w:b/>
                <w:bCs/>
                <w:highlight w:val="none"/>
                <w:lang w:val="en-US" w:eastAsia="zh-CN"/>
              </w:rPr>
            </w:pPr>
            <w:r>
              <w:rPr>
                <w:rFonts w:hint="eastAsia"/>
                <w:b/>
                <w:bCs/>
                <w:highlight w:val="none"/>
                <w:lang w:val="en-US" w:eastAsia="zh-CN"/>
              </w:rPr>
              <w:t>1.4</w:t>
            </w:r>
            <w:r>
              <w:rPr>
                <w:rFonts w:hint="default"/>
                <w:b/>
                <w:bCs/>
                <w:highlight w:val="none"/>
                <w:lang w:val="en-US" w:eastAsia="zh-CN"/>
              </w:rPr>
              <w:t>.4 优化施工工艺</w:t>
            </w:r>
          </w:p>
          <w:p w14:paraId="456949D5">
            <w:pPr>
              <w:shd w:val="clear"/>
              <w:ind w:firstLine="480"/>
              <w:rPr>
                <w:rFonts w:hint="default"/>
                <w:highlight w:val="none"/>
              </w:rPr>
            </w:pPr>
            <w:r>
              <w:rPr>
                <w:rFonts w:hint="default"/>
                <w:highlight w:val="none"/>
              </w:rPr>
              <w:t>参照《输变电工程水土保持施工技术规范》（T/CEC 1157-2025）和《输变电工程水土保持技术规程》（Q/GDW 11970）系列标准的相关要求，优化施工工艺以减少水土流失：</w:t>
            </w:r>
          </w:p>
          <w:p w14:paraId="4E389588">
            <w:pPr>
              <w:shd w:val="clear"/>
              <w:ind w:firstLine="480"/>
              <w:rPr>
                <w:rFonts w:hint="default"/>
                <w:highlight w:val="none"/>
              </w:rPr>
            </w:pPr>
            <w:r>
              <w:rPr>
                <w:rFonts w:hint="default"/>
                <w:highlight w:val="none"/>
              </w:rPr>
              <w:t>（1）塔基分腿开挖工艺：采用“塔腿分开开挖、单独浇筑、分段回填”的施工方式，将塔基区扰动面积降至常规方式的70%左右。新疆五彩湾北750千伏输变电工程实践表明，采取</w:t>
            </w:r>
            <w:r>
              <w:rPr>
                <w:rFonts w:hint="eastAsia"/>
                <w:highlight w:val="none"/>
                <w:lang w:eastAsia="zh-CN"/>
              </w:rPr>
              <w:t>分体</w:t>
            </w:r>
            <w:r>
              <w:rPr>
                <w:rFonts w:hint="default"/>
                <w:highlight w:val="none"/>
              </w:rPr>
              <w:t>开挖方式较集中施工模式可减少临时占地约30%</w:t>
            </w:r>
            <w:r>
              <w:rPr>
                <w:rFonts w:hint="default"/>
                <w:highlight w:val="none"/>
              </w:rPr>
              <w:fldChar w:fldCharType="begin"/>
            </w:r>
            <w:r>
              <w:rPr>
                <w:rFonts w:hint="default"/>
                <w:highlight w:val="none"/>
              </w:rPr>
              <w:instrText xml:space="preserve"> HYPERLINK "https://res.cenews.com.cn/hjw/news.html?aid=1754338" \t "https://chat.deepseek.com/a/chat/s/_blank" </w:instrText>
            </w:r>
            <w:r>
              <w:rPr>
                <w:rFonts w:hint="default"/>
                <w:highlight w:val="none"/>
              </w:rPr>
              <w:fldChar w:fldCharType="separate"/>
            </w:r>
            <w:r>
              <w:rPr>
                <w:rFonts w:hint="default"/>
                <w:highlight w:val="none"/>
              </w:rPr>
              <w:t>-37</w:t>
            </w:r>
            <w:r>
              <w:rPr>
                <w:rFonts w:hint="default"/>
                <w:highlight w:val="none"/>
              </w:rPr>
              <w:fldChar w:fldCharType="end"/>
            </w:r>
            <w:r>
              <w:rPr>
                <w:rFonts w:hint="default"/>
                <w:highlight w:val="none"/>
              </w:rPr>
              <w:t>。</w:t>
            </w:r>
          </w:p>
          <w:p w14:paraId="747EB64B">
            <w:pPr>
              <w:shd w:val="clear"/>
              <w:ind w:firstLine="480"/>
              <w:rPr>
                <w:rFonts w:hint="default"/>
                <w:highlight w:val="none"/>
              </w:rPr>
            </w:pPr>
            <w:r>
              <w:rPr>
                <w:rFonts w:hint="default"/>
                <w:highlight w:val="none"/>
              </w:rPr>
              <w:t>（2）永临结合设计：升压站施工生产生活区充分利用站内临时空地和永久占地范围，不另设临时施工营地；进站道路按永临结合原则建设，面层分两次浇筑，竣工前增打至设计标高-。输电线路塔基永久占地与临时施工场地一体化规划，减少新开施工便道。</w:t>
            </w:r>
          </w:p>
          <w:p w14:paraId="584435CA">
            <w:pPr>
              <w:shd w:val="clear"/>
              <w:ind w:firstLine="480"/>
              <w:rPr>
                <w:rFonts w:hint="default"/>
                <w:highlight w:val="none"/>
              </w:rPr>
            </w:pPr>
            <w:r>
              <w:rPr>
                <w:rFonts w:hint="default"/>
                <w:highlight w:val="none"/>
              </w:rPr>
              <w:t>（3）牵张场布设优化：选择在地势平坦、无植被或植被稀少区域布设牵张场，尽量利用既有道路沿线空地，减少新辟占地；设置临时排水沟，防止周边径流冲刷。</w:t>
            </w:r>
          </w:p>
          <w:p w14:paraId="3D3BE5CA">
            <w:pPr>
              <w:shd w:val="clear"/>
              <w:ind w:firstLine="480"/>
              <w:rPr>
                <w:rFonts w:hint="default"/>
                <w:highlight w:val="none"/>
              </w:rPr>
            </w:pPr>
            <w:r>
              <w:rPr>
                <w:rFonts w:hint="default"/>
                <w:highlight w:val="none"/>
              </w:rPr>
              <w:t>（4）土方调配优化：全线</w:t>
            </w:r>
            <w:r>
              <w:rPr>
                <w:rFonts w:hint="eastAsia"/>
                <w:highlight w:val="none"/>
                <w:lang w:eastAsia="zh-CN"/>
              </w:rPr>
              <w:t>土石方</w:t>
            </w:r>
            <w:r>
              <w:rPr>
                <w:rFonts w:hint="default"/>
                <w:highlight w:val="none"/>
              </w:rPr>
              <w:t>统筹调配，尽量做到挖填平衡，减少弃土和借土量；弃方优先用作塔基边坡回填或护坡，如有剩余须运至指定消纳场处置，严禁随意倾倒。</w:t>
            </w:r>
          </w:p>
          <w:p w14:paraId="6F817814">
            <w:pPr>
              <w:shd w:val="clear"/>
              <w:ind w:firstLine="480"/>
              <w:rPr>
                <w:rFonts w:hint="default"/>
                <w:b/>
                <w:bCs/>
                <w:highlight w:val="none"/>
                <w:lang w:val="en-US" w:eastAsia="zh-CN"/>
              </w:rPr>
            </w:pPr>
            <w:r>
              <w:rPr>
                <w:rFonts w:hint="eastAsia"/>
                <w:b/>
                <w:bCs/>
                <w:highlight w:val="none"/>
                <w:lang w:val="en-US" w:eastAsia="zh-CN"/>
              </w:rPr>
              <w:t>1.4.</w:t>
            </w:r>
            <w:r>
              <w:rPr>
                <w:rFonts w:hint="default"/>
                <w:b/>
                <w:bCs/>
                <w:highlight w:val="none"/>
                <w:lang w:val="en-US" w:eastAsia="zh-CN"/>
              </w:rPr>
              <w:t>5 管理与制度措施</w:t>
            </w:r>
          </w:p>
          <w:p w14:paraId="3DCCEC40">
            <w:pPr>
              <w:shd w:val="clear"/>
              <w:ind w:firstLine="480"/>
              <w:rPr>
                <w:rFonts w:hint="default"/>
                <w:highlight w:val="none"/>
              </w:rPr>
            </w:pPr>
            <w:r>
              <w:rPr>
                <w:rFonts w:hint="default"/>
                <w:highlight w:val="none"/>
              </w:rPr>
              <w:t>（1）建立水土保持管理责任体系：建设单位是水土流失防治的责任主体，</w:t>
            </w:r>
            <w:r>
              <w:rPr>
                <w:rFonts w:hint="eastAsia"/>
                <w:highlight w:val="none"/>
                <w:lang w:eastAsia="zh-CN"/>
              </w:rPr>
              <w:t>设立</w:t>
            </w:r>
            <w:r>
              <w:rPr>
                <w:rFonts w:hint="default"/>
                <w:highlight w:val="none"/>
              </w:rPr>
              <w:t>项目水土保持管理专员，负责施工期水土保持措施的组织实施和日常巡查。施工单位须在施工合同中明确水土保持任务，配备专职水保管理人员。</w:t>
            </w:r>
          </w:p>
          <w:p w14:paraId="3E114353">
            <w:pPr>
              <w:shd w:val="clear"/>
              <w:ind w:firstLine="480"/>
              <w:rPr>
                <w:rFonts w:hint="default"/>
                <w:highlight w:val="none"/>
              </w:rPr>
            </w:pPr>
            <w:r>
              <w:rPr>
                <w:rFonts w:hint="default"/>
                <w:highlight w:val="none"/>
              </w:rPr>
              <w:t>（2）落实水土保持“三同时”制度：水土保持工程与主体工程同时设计、同时施工、同时投产使用，水保设施未经验收或验收不合格的，主体工程不得投入运行。</w:t>
            </w:r>
          </w:p>
          <w:p w14:paraId="41E5EA7D">
            <w:pPr>
              <w:shd w:val="clear"/>
              <w:ind w:firstLine="480"/>
              <w:rPr>
                <w:rFonts w:hint="default"/>
                <w:highlight w:val="none"/>
              </w:rPr>
            </w:pPr>
            <w:r>
              <w:rPr>
                <w:rFonts w:hint="default"/>
                <w:highlight w:val="none"/>
              </w:rPr>
              <w:t>（3）加强监理与监测：按照《关于规范自治区生产建设项目水土保持方案审批加强事中事后监督管理的通知》（新水规〔2022〕1号）要求，落实水土保持监理制度。施工期间对塔基区、升压站区等重点区域开展水土保持监测，监测内容包括扰动地表面积、土壤流失量、林草覆盖率等。监测方法采用定点监测与巡查监测相结合，风蚀监测点位布设不少于3处，每季度监测1次，大风天气（≥17m/s）后加测，监测成果纳入水土保持监理报告，并定期向水行政主管部门报告方案实施情况。</w:t>
            </w:r>
          </w:p>
          <w:p w14:paraId="35A5FA12">
            <w:pPr>
              <w:shd w:val="clear"/>
              <w:ind w:firstLine="480"/>
              <w:rPr>
                <w:rFonts w:hint="default"/>
                <w:highlight w:val="none"/>
              </w:rPr>
            </w:pPr>
            <w:r>
              <w:rPr>
                <w:rFonts w:hint="default"/>
                <w:highlight w:val="none"/>
              </w:rPr>
              <w:t>（4）施工期巡查检查：每周对水土保持设施和措施落实情况进行现场检查，重点检查临时苫盖、挡护和洒水措施，发现问题及时整改。做好水土保持措施实施台账记录，建立水土保持档案，作为竣工阶段水土保持设施验收的依据。</w:t>
            </w:r>
          </w:p>
          <w:p w14:paraId="4C63F45E">
            <w:pPr>
              <w:shd w:val="clear"/>
              <w:ind w:firstLine="480"/>
              <w:rPr>
                <w:rFonts w:hint="default"/>
                <w:highlight w:val="none"/>
              </w:rPr>
            </w:pPr>
            <w:r>
              <w:rPr>
                <w:rFonts w:hint="default"/>
                <w:highlight w:val="none"/>
              </w:rPr>
              <w:t>（5）制定水土保持应急预案：针对可能发生的强风沙尘天气和施工期水土流失加剧风险，制定相应应急预案，明确应急响应程序、责任人、物资储备和处置措施。</w:t>
            </w:r>
          </w:p>
          <w:p w14:paraId="4D0935AD">
            <w:pPr>
              <w:shd w:val="clear"/>
              <w:ind w:firstLine="480"/>
              <w:rPr>
                <w:rFonts w:hint="default"/>
                <w:highlight w:val="none"/>
              </w:rPr>
            </w:pPr>
            <w:r>
              <w:rPr>
                <w:rFonts w:hint="default"/>
                <w:highlight w:val="none"/>
              </w:rPr>
              <w:t>（6）强化分包单位管理：总包单位将水土保持责任纳入对分包单位的考核管理体系，在分包合同中约定水土保持责任条款，明确违约处罚措施。</w:t>
            </w:r>
          </w:p>
          <w:p w14:paraId="7E529B40">
            <w:pPr>
              <w:shd w:val="clear"/>
              <w:ind w:firstLine="480"/>
              <w:rPr>
                <w:rFonts w:hint="default"/>
                <w:b/>
                <w:bCs/>
                <w:highlight w:val="none"/>
                <w:lang w:val="en-US" w:eastAsia="zh-CN"/>
              </w:rPr>
            </w:pPr>
            <w:r>
              <w:rPr>
                <w:rFonts w:hint="eastAsia"/>
                <w:b/>
                <w:bCs/>
                <w:highlight w:val="none"/>
                <w:lang w:val="en-US" w:eastAsia="zh-CN"/>
              </w:rPr>
              <w:t>1.4</w:t>
            </w:r>
            <w:r>
              <w:rPr>
                <w:rFonts w:hint="default"/>
                <w:b/>
                <w:bCs/>
                <w:highlight w:val="none"/>
                <w:lang w:val="en-US" w:eastAsia="zh-CN"/>
              </w:rPr>
              <w:t>.6 分区防治措施汇总</w:t>
            </w:r>
          </w:p>
          <w:p w14:paraId="3A9EA20B">
            <w:pPr>
              <w:keepNext w:val="0"/>
              <w:keepLines w:val="0"/>
              <w:pageBreakBefore w:val="0"/>
              <w:widowControl w:val="0"/>
              <w:shd w:val="clear"/>
              <w:kinsoku/>
              <w:wordWrap/>
              <w:overflowPunct/>
              <w:topLinePunct w:val="0"/>
              <w:autoSpaceDE/>
              <w:autoSpaceDN/>
              <w:bidi w:val="0"/>
              <w:adjustRightInd w:val="0"/>
              <w:snapToGrid w:val="0"/>
              <w:spacing w:line="240" w:lineRule="auto"/>
              <w:ind w:firstLine="480"/>
              <w:textAlignment w:val="auto"/>
              <w:rPr>
                <w:rFonts w:hint="default"/>
                <w:b/>
                <w:bCs/>
                <w:highlight w:val="none"/>
                <w:vertAlign w:val="baseline"/>
                <w:lang w:val="en-US" w:eastAsia="zh-CN"/>
              </w:rPr>
            </w:pPr>
            <w:r>
              <w:rPr>
                <w:rFonts w:hint="eastAsia"/>
                <w:b/>
                <w:bCs/>
                <w:highlight w:val="none"/>
                <w:lang w:val="en-US" w:eastAsia="zh-CN"/>
              </w:rPr>
              <w:t>表5-1    分区防治措施汇总表</w:t>
            </w:r>
          </w:p>
          <w:tbl>
            <w:tblPr>
              <w:tblStyle w:val="34"/>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268"/>
              <w:gridCol w:w="2099"/>
              <w:gridCol w:w="2279"/>
            </w:tblGrid>
            <w:tr w14:paraId="1ACB7D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14:paraId="2FCE798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防治分区</w:t>
                  </w:r>
                </w:p>
              </w:tc>
              <w:tc>
                <w:tcPr>
                  <w:tcW w:w="1511" w:type="pct"/>
                  <w:tcBorders>
                    <w:tl2br w:val="nil"/>
                    <w:tr2bl w:val="nil"/>
                  </w:tcBorders>
                  <w:vAlign w:val="center"/>
                </w:tcPr>
                <w:p w14:paraId="5DA1D05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工程措施</w:t>
                  </w:r>
                </w:p>
              </w:tc>
              <w:tc>
                <w:tcPr>
                  <w:tcW w:w="1398" w:type="pct"/>
                  <w:tcBorders>
                    <w:tl2br w:val="nil"/>
                    <w:tr2bl w:val="nil"/>
                  </w:tcBorders>
                  <w:vAlign w:val="center"/>
                </w:tcPr>
                <w:p w14:paraId="14B5B325">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植物措施</w:t>
                  </w:r>
                </w:p>
              </w:tc>
              <w:tc>
                <w:tcPr>
                  <w:tcW w:w="1518" w:type="pct"/>
                  <w:tcBorders>
                    <w:tl2br w:val="nil"/>
                    <w:tr2bl w:val="nil"/>
                  </w:tcBorders>
                  <w:vAlign w:val="center"/>
                </w:tcPr>
                <w:p w14:paraId="195DEAB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临时措施</w:t>
                  </w:r>
                </w:p>
              </w:tc>
            </w:tr>
            <w:tr w14:paraId="2D2190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14:paraId="6C46BF1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升压站区</w:t>
                  </w:r>
                </w:p>
              </w:tc>
              <w:tc>
                <w:tcPr>
                  <w:tcW w:w="1511" w:type="pct"/>
                  <w:tcBorders>
                    <w:tl2br w:val="nil"/>
                    <w:tr2bl w:val="nil"/>
                  </w:tcBorders>
                  <w:vAlign w:val="center"/>
                </w:tcPr>
                <w:p w14:paraId="6283185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表土剥离、土地平整、挡土墙、排水沟、砾石覆盖</w:t>
                  </w:r>
                </w:p>
              </w:tc>
              <w:tc>
                <w:tcPr>
                  <w:tcW w:w="1398" w:type="pct"/>
                  <w:tcBorders>
                    <w:tl2br w:val="nil"/>
                    <w:tr2bl w:val="nil"/>
                  </w:tcBorders>
                  <w:vAlign w:val="center"/>
                </w:tcPr>
                <w:p w14:paraId="29168709">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周边种植耐旱乔木，空余地种植灌木及地被</w:t>
                  </w:r>
                </w:p>
              </w:tc>
              <w:tc>
                <w:tcPr>
                  <w:tcW w:w="1518" w:type="pct"/>
                  <w:tcBorders>
                    <w:tl2br w:val="nil"/>
                    <w:tr2bl w:val="nil"/>
                  </w:tcBorders>
                  <w:vAlign w:val="center"/>
                </w:tcPr>
                <w:p w14:paraId="2AA00D6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彩条布铺垫、防尘网苫盖、洒水抑尘、施工围挡</w:t>
                  </w:r>
                </w:p>
              </w:tc>
            </w:tr>
            <w:tr w14:paraId="08E41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14:paraId="30CEF1A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塔基区</w:t>
                  </w:r>
                </w:p>
              </w:tc>
              <w:tc>
                <w:tcPr>
                  <w:tcW w:w="1511" w:type="pct"/>
                  <w:tcBorders>
                    <w:tl2br w:val="nil"/>
                    <w:tr2bl w:val="nil"/>
                  </w:tcBorders>
                  <w:vAlign w:val="center"/>
                </w:tcPr>
                <w:p w14:paraId="7785831A">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表土剥离、土地平整、草方格沙障、浆砌石挡墙</w:t>
                  </w:r>
                </w:p>
              </w:tc>
              <w:tc>
                <w:tcPr>
                  <w:tcW w:w="1398" w:type="pct"/>
                  <w:tcBorders>
                    <w:tl2br w:val="nil"/>
                    <w:tr2bl w:val="nil"/>
                  </w:tcBorders>
                  <w:vAlign w:val="center"/>
                </w:tcPr>
                <w:p w14:paraId="19CBAF5B">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扰动面播撒乡土草籽</w:t>
                  </w:r>
                </w:p>
              </w:tc>
              <w:tc>
                <w:tcPr>
                  <w:tcW w:w="1518" w:type="pct"/>
                  <w:tcBorders>
                    <w:tl2br w:val="nil"/>
                    <w:tr2bl w:val="nil"/>
                  </w:tcBorders>
                  <w:vAlign w:val="center"/>
                </w:tcPr>
                <w:p w14:paraId="49D8B0D4">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彩条布铺垫、编织袋挡护、防尘网苫盖</w:t>
                  </w:r>
                </w:p>
              </w:tc>
            </w:tr>
            <w:tr w14:paraId="2C1AC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14:paraId="045BEE50">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输电线路区</w:t>
                  </w:r>
                </w:p>
              </w:tc>
              <w:tc>
                <w:tcPr>
                  <w:tcW w:w="1511" w:type="pct"/>
                  <w:tcBorders>
                    <w:tl2br w:val="nil"/>
                    <w:tr2bl w:val="nil"/>
                  </w:tcBorders>
                  <w:vAlign w:val="center"/>
                </w:tcPr>
                <w:p w14:paraId="11B07A6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土地平整、草方格沙障（荒漠区）</w:t>
                  </w:r>
                </w:p>
              </w:tc>
              <w:tc>
                <w:tcPr>
                  <w:tcW w:w="1398" w:type="pct"/>
                  <w:tcBorders>
                    <w:tl2br w:val="nil"/>
                    <w:tr2bl w:val="nil"/>
                  </w:tcBorders>
                  <w:vAlign w:val="center"/>
                </w:tcPr>
                <w:p w14:paraId="6B5D03F1">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扰动面播撒草籽</w:t>
                  </w:r>
                </w:p>
              </w:tc>
              <w:tc>
                <w:tcPr>
                  <w:tcW w:w="1518" w:type="pct"/>
                  <w:tcBorders>
                    <w:tl2br w:val="nil"/>
                    <w:tr2bl w:val="nil"/>
                  </w:tcBorders>
                  <w:vAlign w:val="center"/>
                </w:tcPr>
                <w:p w14:paraId="6EEA1A6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彩条布铺垫、分段施工</w:t>
                  </w:r>
                </w:p>
              </w:tc>
            </w:tr>
            <w:tr w14:paraId="70BBA3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1" w:type="pct"/>
                  <w:tcBorders>
                    <w:tl2br w:val="nil"/>
                    <w:tr2bl w:val="nil"/>
                  </w:tcBorders>
                  <w:vAlign w:val="center"/>
                </w:tcPr>
                <w:p w14:paraId="7BDBE0D8">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临时堆</w:t>
                  </w:r>
                  <w:r>
                    <w:rPr>
                      <w:rFonts w:hint="eastAsia"/>
                      <w:sz w:val="18"/>
                      <w:szCs w:val="18"/>
                      <w:highlight w:val="none"/>
                      <w:lang w:val="en-US" w:eastAsia="zh-CN"/>
                    </w:rPr>
                    <w:t>放</w:t>
                  </w:r>
                  <w:r>
                    <w:rPr>
                      <w:rFonts w:hint="default"/>
                      <w:sz w:val="18"/>
                      <w:szCs w:val="18"/>
                      <w:highlight w:val="none"/>
                      <w:lang w:val="en-US" w:eastAsia="zh-CN"/>
                    </w:rPr>
                    <w:t>场</w:t>
                  </w:r>
                </w:p>
              </w:tc>
              <w:tc>
                <w:tcPr>
                  <w:tcW w:w="1511" w:type="pct"/>
                  <w:tcBorders>
                    <w:tl2br w:val="nil"/>
                    <w:tr2bl w:val="nil"/>
                  </w:tcBorders>
                  <w:vAlign w:val="center"/>
                </w:tcPr>
                <w:p w14:paraId="7274C2F6">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土地平整、砾石覆盖</w:t>
                  </w:r>
                </w:p>
              </w:tc>
              <w:tc>
                <w:tcPr>
                  <w:tcW w:w="1398" w:type="pct"/>
                  <w:tcBorders>
                    <w:tl2br w:val="nil"/>
                    <w:tr2bl w:val="nil"/>
                  </w:tcBorders>
                  <w:vAlign w:val="center"/>
                </w:tcPr>
                <w:p w14:paraId="51703DBD">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w:t>
                  </w:r>
                </w:p>
              </w:tc>
              <w:tc>
                <w:tcPr>
                  <w:tcW w:w="1518" w:type="pct"/>
                  <w:tcBorders>
                    <w:tl2br w:val="nil"/>
                    <w:tr2bl w:val="nil"/>
                  </w:tcBorders>
                  <w:vAlign w:val="center"/>
                </w:tcPr>
                <w:p w14:paraId="6EF51ACC">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b/>
                      <w:bCs/>
                      <w:sz w:val="18"/>
                      <w:szCs w:val="18"/>
                      <w:highlight w:val="none"/>
                      <w:vertAlign w:val="baseline"/>
                      <w:lang w:val="en-US" w:eastAsia="zh-CN"/>
                    </w:rPr>
                  </w:pPr>
                  <w:r>
                    <w:rPr>
                      <w:rFonts w:hint="default"/>
                      <w:sz w:val="18"/>
                      <w:szCs w:val="18"/>
                      <w:highlight w:val="none"/>
                      <w:lang w:val="en-US" w:eastAsia="zh-CN"/>
                    </w:rPr>
                    <w:t>编织袋挡护、防尘网苫盖、洒水固结</w:t>
                  </w:r>
                </w:p>
              </w:tc>
            </w:tr>
          </w:tbl>
          <w:p w14:paraId="34CDEA3D">
            <w:pPr>
              <w:pStyle w:val="3"/>
              <w:shd w:val="clear"/>
              <w:rPr>
                <w:highlight w:val="none"/>
              </w:rPr>
            </w:pPr>
            <w:bookmarkStart w:id="341" w:name="_Toc23716"/>
            <w:bookmarkStart w:id="342" w:name="_Toc15763"/>
            <w:r>
              <w:rPr>
                <w:highlight w:val="none"/>
              </w:rPr>
              <w:t>1.5 线路施工的主要环保措施</w:t>
            </w:r>
            <w:bookmarkEnd w:id="340"/>
            <w:bookmarkEnd w:id="341"/>
            <w:bookmarkEnd w:id="342"/>
          </w:p>
          <w:p w14:paraId="5A9FF30A">
            <w:pPr>
              <w:shd w:val="clear"/>
              <w:ind w:firstLine="480"/>
              <w:rPr>
                <w:highlight w:val="none"/>
              </w:rPr>
            </w:pPr>
            <w:r>
              <w:rPr>
                <w:highlight w:val="none"/>
              </w:rPr>
              <w:t>（1）施工尽量利用植被少的空旷地，少占有植被的土地，不得不占用时，应保存好表土层，施工结束后将表层土附</w:t>
            </w:r>
            <w:r>
              <w:rPr>
                <w:rFonts w:hint="eastAsia"/>
                <w:highlight w:val="none"/>
                <w:lang w:eastAsia="zh-CN"/>
              </w:rPr>
              <w:t>在</w:t>
            </w:r>
            <w:r>
              <w:rPr>
                <w:highlight w:val="none"/>
              </w:rPr>
              <w:t>上面，并用砾石覆盖。</w:t>
            </w:r>
          </w:p>
          <w:p w14:paraId="453B9F0C">
            <w:pPr>
              <w:shd w:val="clear"/>
              <w:ind w:firstLine="480"/>
              <w:rPr>
                <w:highlight w:val="none"/>
              </w:rPr>
            </w:pPr>
            <w:r>
              <w:rPr>
                <w:highlight w:val="none"/>
              </w:rPr>
              <w:t>（2）尽量利用已有</w:t>
            </w:r>
            <w:r>
              <w:rPr>
                <w:rFonts w:hint="eastAsia"/>
                <w:highlight w:val="none"/>
                <w:lang w:val="en-US" w:eastAsia="zh-CN"/>
              </w:rPr>
              <w:t>道路</w:t>
            </w:r>
            <w:r>
              <w:rPr>
                <w:highlight w:val="none"/>
              </w:rPr>
              <w:t>，不随意开辟新的施工便道。</w:t>
            </w:r>
          </w:p>
          <w:p w14:paraId="1B517617">
            <w:pPr>
              <w:shd w:val="clear"/>
              <w:ind w:firstLine="480"/>
              <w:rPr>
                <w:highlight w:val="none"/>
              </w:rPr>
            </w:pPr>
            <w:r>
              <w:rPr>
                <w:highlight w:val="none"/>
              </w:rPr>
              <w:t>（3）在杆塔立完后，应按照设计要求对塔基基础、杆塔根部进行压实平整。</w:t>
            </w:r>
          </w:p>
          <w:p w14:paraId="1F2C04F5">
            <w:pPr>
              <w:shd w:val="clear"/>
              <w:ind w:firstLine="480"/>
              <w:rPr>
                <w:highlight w:val="none"/>
              </w:rPr>
            </w:pPr>
            <w:r>
              <w:rPr>
                <w:highlight w:val="none"/>
              </w:rPr>
              <w:t>（4）工程完结后，对扰动的场地进行洒水，令其自然板结，降低水土流失量。</w:t>
            </w:r>
          </w:p>
          <w:p w14:paraId="76C6F21C">
            <w:pPr>
              <w:pStyle w:val="3"/>
              <w:shd w:val="clear"/>
              <w:rPr>
                <w:highlight w:val="none"/>
              </w:rPr>
            </w:pPr>
            <w:bookmarkStart w:id="343" w:name="_Toc24885"/>
            <w:bookmarkStart w:id="344" w:name="_Toc12283"/>
            <w:bookmarkStart w:id="345" w:name="_Toc7659"/>
            <w:r>
              <w:rPr>
                <w:highlight w:val="none"/>
              </w:rPr>
              <w:t>1.6施工期结束后的生态恢复措施</w:t>
            </w:r>
            <w:bookmarkEnd w:id="343"/>
            <w:bookmarkEnd w:id="344"/>
            <w:bookmarkEnd w:id="345"/>
          </w:p>
          <w:p w14:paraId="49430479">
            <w:pPr>
              <w:shd w:val="clear"/>
              <w:ind w:firstLine="480"/>
              <w:rPr>
                <w:highlight w:val="none"/>
              </w:rPr>
            </w:pPr>
            <w:r>
              <w:rPr>
                <w:highlight w:val="none"/>
              </w:rPr>
              <w:t xml:space="preserve">项目建设对区域生态环境影响主要表现在施工对土壤的影响、对地表植被的破坏、对土地利用类型的改变以及山丘坡地施工可能引发的水土流失等。工程施工过程中，各单项工程施工开挖前均进行表土清理和保护措施；基础开挖施工过程中进行临时挡护，并采取排水措施，施工结束后对基础周边进行土地平整及植被恢复；施工结束后施工临时建筑、施工生活区、施工期环保设施等临时设施全部拆除，进行土地平整，使其恢复至原有土地利用功能。因此工程的建设对区域内地表植被的破坏影响较小。区域动植物物种均为周边区域常见种，因此项目的建设不会造成生物物种的减少，对野生动物和人工饲养动物的栖息、活动影响较小。 </w:t>
            </w:r>
          </w:p>
          <w:p w14:paraId="2B0F69CE">
            <w:pPr>
              <w:pStyle w:val="3"/>
              <w:shd w:val="clear"/>
              <w:rPr>
                <w:highlight w:val="none"/>
              </w:rPr>
            </w:pPr>
            <w:bookmarkStart w:id="346" w:name="_Toc5355"/>
            <w:bookmarkStart w:id="347" w:name="_Toc5835"/>
            <w:bookmarkStart w:id="348" w:name="_Toc8388"/>
            <w:r>
              <w:rPr>
                <w:highlight w:val="none"/>
              </w:rPr>
              <w:t>2、施工期大气</w:t>
            </w:r>
            <w:bookmarkEnd w:id="323"/>
            <w:bookmarkEnd w:id="324"/>
            <w:bookmarkEnd w:id="325"/>
            <w:bookmarkEnd w:id="326"/>
            <w:bookmarkEnd w:id="327"/>
            <w:r>
              <w:rPr>
                <w:highlight w:val="none"/>
              </w:rPr>
              <w:t>环境保护措施</w:t>
            </w:r>
            <w:bookmarkEnd w:id="346"/>
            <w:bookmarkEnd w:id="347"/>
            <w:bookmarkEnd w:id="348"/>
          </w:p>
          <w:p w14:paraId="095AC122">
            <w:pPr>
              <w:shd w:val="clear"/>
              <w:ind w:firstLine="480"/>
              <w:rPr>
                <w:highlight w:val="none"/>
              </w:rPr>
            </w:pPr>
            <w:r>
              <w:rPr>
                <w:highlight w:val="none"/>
              </w:rPr>
              <w:t>施工期的大气污染主要来源于材料运输和堆放、车辆行驶、土石方挖掘等产生的扬尘，以及施工机械和机动车辆排出的尾气。</w:t>
            </w:r>
          </w:p>
          <w:p w14:paraId="79AFD8CA">
            <w:pPr>
              <w:pStyle w:val="3"/>
              <w:shd w:val="clear"/>
              <w:rPr>
                <w:highlight w:val="none"/>
              </w:rPr>
            </w:pPr>
            <w:bookmarkStart w:id="349" w:name="_Toc17352"/>
            <w:bookmarkStart w:id="350" w:name="_Toc27308"/>
            <w:bookmarkStart w:id="351" w:name="_Toc21954"/>
            <w:r>
              <w:rPr>
                <w:highlight w:val="none"/>
              </w:rPr>
              <w:t>2.1施工扬尘</w:t>
            </w:r>
            <w:bookmarkEnd w:id="349"/>
            <w:bookmarkEnd w:id="350"/>
            <w:bookmarkEnd w:id="351"/>
          </w:p>
          <w:p w14:paraId="6A1CBA5C">
            <w:pPr>
              <w:shd w:val="clear"/>
              <w:ind w:firstLine="480"/>
              <w:rPr>
                <w:highlight w:val="none"/>
              </w:rPr>
            </w:pPr>
            <w:r>
              <w:rPr>
                <w:highlight w:val="none"/>
              </w:rPr>
              <w:t xml:space="preserve">项目施工期较短，随着施工期结束，影响也随之结束。为了最大限度减小施工扬尘对环境的影响，根据国务院关于印发《大气污染防治行动计划》的通知对扬尘污染防治的规定，项目施工期采取以下措施： </w:t>
            </w:r>
          </w:p>
          <w:p w14:paraId="6B265AB9">
            <w:pPr>
              <w:shd w:val="clear"/>
              <w:ind w:firstLine="480"/>
              <w:rPr>
                <w:highlight w:val="none"/>
              </w:rPr>
            </w:pPr>
            <w:r>
              <w:rPr>
                <w:highlight w:val="none"/>
              </w:rPr>
              <w:t>（1）施工作业应符合技术操作规程，落实扬尘污染防治措施：施工单位应有专人负责逸散性材料、垃圾、渣土、裸地等密闭、覆盖、洒水作业和车辆清洗作业，并记录扬尘抑制措施的实施情况；</w:t>
            </w:r>
          </w:p>
          <w:p w14:paraId="39735C59">
            <w:pPr>
              <w:shd w:val="clear"/>
              <w:ind w:firstLine="480"/>
              <w:rPr>
                <w:highlight w:val="none"/>
              </w:rPr>
            </w:pPr>
            <w:r>
              <w:rPr>
                <w:highlight w:val="none"/>
              </w:rPr>
              <w:t>（2）施工现场设置稳固整齐的围挡，高度不低于1.8m；</w:t>
            </w:r>
          </w:p>
          <w:p w14:paraId="19AAA6F7">
            <w:pPr>
              <w:shd w:val="clear"/>
              <w:ind w:firstLine="480"/>
              <w:rPr>
                <w:highlight w:val="none"/>
              </w:rPr>
            </w:pPr>
            <w:r>
              <w:rPr>
                <w:highlight w:val="none"/>
              </w:rPr>
              <w:t>（3）施工现场工程材料、砂土、土方或废弃物等易产生扬尘的物质应当密闭处理，若在工地内堆置，则应采取覆盖防尘布、覆盖防尘网、配合定期喷洒粉尘抑制剂等措施，防止风蚀起尘；</w:t>
            </w:r>
          </w:p>
          <w:p w14:paraId="42D40309">
            <w:pPr>
              <w:shd w:val="clear"/>
              <w:ind w:firstLine="480"/>
              <w:rPr>
                <w:highlight w:val="none"/>
              </w:rPr>
            </w:pPr>
            <w:r>
              <w:rPr>
                <w:highlight w:val="none"/>
              </w:rPr>
              <w:t>（4）进出工地的物料、渣土、运输车辆，装载的物料、垃圾、渣土高度不得超过车辆槽帮上沿，车斗用苫布遮盖或者采用密闭车斗。若车斗用苫布遮盖，应到实密闭，苫布边缘至少要遮住槽帮上沿以下15cm，保证物料、渣土、垃圾等不露出，车辆应当按照批准的路线和时间进行物料、渣土、垃圾的运输；</w:t>
            </w:r>
          </w:p>
          <w:p w14:paraId="5A8537AD">
            <w:pPr>
              <w:shd w:val="clear"/>
              <w:ind w:firstLine="480"/>
              <w:rPr>
                <w:highlight w:val="none"/>
              </w:rPr>
            </w:pPr>
            <w:r>
              <w:rPr>
                <w:highlight w:val="none"/>
              </w:rPr>
              <w:t>（5）施工期间工地内建筑上层具有粉尘逸散性的工程材料、渣土或废弃物禁止从高空直接</w:t>
            </w:r>
            <w:r>
              <w:rPr>
                <w:rFonts w:hint="eastAsia"/>
                <w:highlight w:val="none"/>
                <w:lang w:eastAsia="zh-CN"/>
              </w:rPr>
              <w:t>抛洒</w:t>
            </w:r>
            <w:r>
              <w:rPr>
                <w:highlight w:val="none"/>
              </w:rPr>
              <w:t>。工地建筑结构脚手架外侧设置有效抑尘的防尘网或防尘布；</w:t>
            </w:r>
          </w:p>
          <w:p w14:paraId="43B5C5A8">
            <w:pPr>
              <w:shd w:val="clear"/>
              <w:ind w:firstLine="480"/>
              <w:rPr>
                <w:highlight w:val="none"/>
              </w:rPr>
            </w:pPr>
            <w:r>
              <w:rPr>
                <w:highlight w:val="none"/>
              </w:rPr>
              <w:t>（6）施工期间土方、建筑等易产生扬尘应采用洒水湿式施工方式，天气预报4级风以上天气停止产生扬尘的施工作业；</w:t>
            </w:r>
          </w:p>
          <w:p w14:paraId="2F6CA7C2">
            <w:pPr>
              <w:shd w:val="clear"/>
              <w:ind w:firstLine="480"/>
              <w:rPr>
                <w:highlight w:val="none"/>
              </w:rPr>
            </w:pPr>
            <w:r>
              <w:rPr>
                <w:highlight w:val="none"/>
              </w:rPr>
              <w:t>（7）施工期间，对于工地内裸露地面，对应地表压实处理并洒水；</w:t>
            </w:r>
          </w:p>
          <w:p w14:paraId="766C7C43">
            <w:pPr>
              <w:shd w:val="clear"/>
              <w:ind w:firstLine="480"/>
              <w:rPr>
                <w:highlight w:val="none"/>
              </w:rPr>
            </w:pPr>
            <w:r>
              <w:rPr>
                <w:highlight w:val="none"/>
              </w:rPr>
              <w:t>（8）施工过程中产生的建筑垃圾在施工期间应当及时清运，并按照当地人民政府市容环境卫生主管部门的规定处置，防止污染环境。</w:t>
            </w:r>
          </w:p>
          <w:p w14:paraId="3AE81EC9">
            <w:pPr>
              <w:shd w:val="clear"/>
              <w:ind w:firstLine="480"/>
              <w:rPr>
                <w:highlight w:val="none"/>
              </w:rPr>
            </w:pPr>
            <w:r>
              <w:rPr>
                <w:highlight w:val="none"/>
              </w:rPr>
              <w:t>由于工程施工区布置分散，污染源源强小，加之施工区地形开阔，当地风速较大，地形及气象条件有利于污染物的扩散，这在一定程度上可减轻扬尘的影响。施工扬尘造成的污染仅是短期的、局部的影响，施工完成后就会消失，同时，光伏电站内由于施工</w:t>
            </w:r>
            <w:r>
              <w:rPr>
                <w:rFonts w:hint="eastAsia"/>
                <w:highlight w:val="none"/>
                <w:lang w:eastAsia="zh-CN"/>
              </w:rPr>
              <w:t>期间</w:t>
            </w:r>
            <w:r>
              <w:rPr>
                <w:highlight w:val="none"/>
              </w:rPr>
              <w:t>扬尘产生量不大、影响范围较小，因此对周围环境的不利影响较小。</w:t>
            </w:r>
          </w:p>
          <w:p w14:paraId="75F1D604">
            <w:pPr>
              <w:pStyle w:val="3"/>
              <w:shd w:val="clear"/>
              <w:rPr>
                <w:highlight w:val="none"/>
              </w:rPr>
            </w:pPr>
            <w:bookmarkStart w:id="352" w:name="_Toc10183"/>
            <w:bookmarkStart w:id="353" w:name="_Toc25117"/>
            <w:bookmarkStart w:id="354" w:name="_Toc14948"/>
            <w:r>
              <w:rPr>
                <w:highlight w:val="none"/>
              </w:rPr>
              <w:t>2.2焊接烟尘</w:t>
            </w:r>
            <w:bookmarkEnd w:id="352"/>
            <w:bookmarkEnd w:id="353"/>
            <w:bookmarkEnd w:id="354"/>
          </w:p>
          <w:p w14:paraId="59AC3EDA">
            <w:pPr>
              <w:shd w:val="clear"/>
              <w:ind w:firstLine="480"/>
              <w:rPr>
                <w:highlight w:val="none"/>
              </w:rPr>
            </w:pPr>
            <w:r>
              <w:rPr>
                <w:highlight w:val="none"/>
              </w:rPr>
              <w:t xml:space="preserve">焊接烟尘是焊接过程中产生的高温蒸汽经氧化后冷凝而形成的。焊接烟尘主要来自焊条或焊丝端部的液态金属及熔渣。焊接烟尘中存在大量的可吸入物质（如氧化锰、六价铬，以及钾、钠的氧化物等），这些物质进入人体，会对人体产生巨大的伤害，因此应采取有效的措施进行防治。焊接烟尘污染防治的具体措施如下： </w:t>
            </w:r>
          </w:p>
          <w:p w14:paraId="3FF42483">
            <w:pPr>
              <w:shd w:val="clear"/>
              <w:ind w:firstLine="480"/>
              <w:rPr>
                <w:highlight w:val="none"/>
              </w:rPr>
            </w:pPr>
            <w:r>
              <w:rPr>
                <w:highlight w:val="none"/>
              </w:rPr>
              <w:t xml:space="preserve">（1）在工艺确定的前提下，选用机械化、自动化程度高的设备。应采用低尘低毒焊条，以降低烟尘浓度和毒性。 </w:t>
            </w:r>
          </w:p>
          <w:p w14:paraId="14297DF9">
            <w:pPr>
              <w:shd w:val="clear"/>
              <w:ind w:firstLine="480"/>
              <w:rPr>
                <w:highlight w:val="none"/>
              </w:rPr>
            </w:pPr>
            <w:r>
              <w:rPr>
                <w:highlight w:val="none"/>
              </w:rPr>
              <w:t>（2）应选用成熟的隐弧焊代替明弧焊，可大大降低污染物的污染程度。</w:t>
            </w:r>
          </w:p>
          <w:p w14:paraId="16D27EC5">
            <w:pPr>
              <w:shd w:val="clear"/>
              <w:ind w:firstLine="480"/>
              <w:rPr>
                <w:highlight w:val="none"/>
              </w:rPr>
            </w:pPr>
            <w:r>
              <w:rPr>
                <w:highlight w:val="none"/>
              </w:rPr>
              <w:t>（3）采用环保型的药芯焊丝代替普通焊丝，可在一定程度上降低焊接烟尘的产生量。本项目所在地地域开阔，空气流动性较好，可在一定程度上加速焊接烟尘的扩散，对焊接烟尘起到稀释作用。</w:t>
            </w:r>
          </w:p>
          <w:p w14:paraId="2455FFB8">
            <w:pPr>
              <w:pStyle w:val="3"/>
              <w:shd w:val="clear"/>
              <w:rPr>
                <w:highlight w:val="none"/>
              </w:rPr>
            </w:pPr>
            <w:bookmarkStart w:id="355" w:name="_Toc9690"/>
            <w:bookmarkStart w:id="356" w:name="_Toc15995"/>
            <w:bookmarkStart w:id="357" w:name="_Toc25970"/>
            <w:r>
              <w:rPr>
                <w:highlight w:val="none"/>
              </w:rPr>
              <w:t>2.3机械车辆废气</w:t>
            </w:r>
            <w:bookmarkEnd w:id="355"/>
            <w:bookmarkEnd w:id="356"/>
            <w:bookmarkEnd w:id="357"/>
          </w:p>
          <w:p w14:paraId="123FF982">
            <w:pPr>
              <w:shd w:val="clear"/>
              <w:ind w:firstLine="480"/>
              <w:rPr>
                <w:highlight w:val="none"/>
              </w:rPr>
            </w:pPr>
            <w:r>
              <w:rPr>
                <w:highlight w:val="none"/>
              </w:rPr>
              <w:t>（1） 加强施工车辆运行管理与维护保养。</w:t>
            </w:r>
          </w:p>
          <w:p w14:paraId="3B53A487">
            <w:pPr>
              <w:shd w:val="clear"/>
              <w:ind w:firstLine="480"/>
              <w:rPr>
                <w:highlight w:val="none"/>
              </w:rPr>
            </w:pPr>
            <w:r>
              <w:rPr>
                <w:highlight w:val="none"/>
              </w:rPr>
              <w:t>（2） 使用满足《车用柴油》（GB19147-2016）标准的柴油，柴油废气排放满足《重型柴油车污染物排放限值及测量方法（中国第六阶段）》（GB17691-2018）及《非道路柴油移动机械排气烟度限值及测量方法》（GB36886-2018）。</w:t>
            </w:r>
          </w:p>
          <w:p w14:paraId="12DBA0A5">
            <w:pPr>
              <w:pStyle w:val="3"/>
              <w:shd w:val="clear"/>
              <w:rPr>
                <w:highlight w:val="none"/>
              </w:rPr>
            </w:pPr>
            <w:bookmarkStart w:id="358" w:name="_Toc167859202"/>
            <w:bookmarkStart w:id="359" w:name="_Toc168121573"/>
            <w:bookmarkStart w:id="360" w:name="_Toc168121381"/>
            <w:bookmarkStart w:id="361" w:name="_Toc168312906"/>
            <w:bookmarkStart w:id="362" w:name="_Toc156819106"/>
            <w:bookmarkStart w:id="363" w:name="_Toc23958"/>
            <w:bookmarkStart w:id="364" w:name="_Toc32043"/>
            <w:bookmarkStart w:id="365" w:name="_Toc23233"/>
            <w:r>
              <w:rPr>
                <w:highlight w:val="none"/>
              </w:rPr>
              <w:t>3、施工期水</w:t>
            </w:r>
            <w:bookmarkEnd w:id="358"/>
            <w:bookmarkEnd w:id="359"/>
            <w:bookmarkEnd w:id="360"/>
            <w:bookmarkEnd w:id="361"/>
            <w:bookmarkEnd w:id="362"/>
            <w:r>
              <w:rPr>
                <w:highlight w:val="none"/>
              </w:rPr>
              <w:t>环境保护措施</w:t>
            </w:r>
            <w:bookmarkEnd w:id="363"/>
            <w:bookmarkEnd w:id="364"/>
            <w:bookmarkEnd w:id="365"/>
          </w:p>
          <w:p w14:paraId="0EAE8601">
            <w:pPr>
              <w:shd w:val="clear"/>
              <w:ind w:firstLine="480"/>
              <w:rPr>
                <w:highlight w:val="none"/>
              </w:rPr>
            </w:pPr>
            <w:r>
              <w:rPr>
                <w:highlight w:val="none"/>
              </w:rPr>
              <w:t>施工期生产废水和生活污水若不妥善处理将会造成一定的环境污染，因此建议施工期废水做好以下防治措施：</w:t>
            </w:r>
          </w:p>
          <w:p w14:paraId="58578058">
            <w:pPr>
              <w:shd w:val="clear"/>
              <w:ind w:firstLine="480"/>
              <w:rPr>
                <w:highlight w:val="none"/>
              </w:rPr>
            </w:pPr>
            <w:r>
              <w:rPr>
                <w:highlight w:val="none"/>
              </w:rPr>
              <w:t>（1）工程施工期间，施工单位应严格执行《建设工程施工场地文明施工及环境管理暂行规定》，对地面水的排放进行组织设计，严禁乱排，乱流污染道路、环境。</w:t>
            </w:r>
          </w:p>
          <w:p w14:paraId="2FE3A1B6">
            <w:pPr>
              <w:shd w:val="clear"/>
              <w:ind w:firstLine="480"/>
              <w:rPr>
                <w:highlight w:val="none"/>
              </w:rPr>
            </w:pPr>
            <w:r>
              <w:rPr>
                <w:highlight w:val="none"/>
              </w:rPr>
              <w:t>（2） 施工营地区设置一处防渗污水收集池，将易于收集的施工及清洗废水等进行收集沉淀后取上部较清洁废水用于施工道路洒水降尘，循环使用，不外排。</w:t>
            </w:r>
          </w:p>
          <w:p w14:paraId="4ABF929E">
            <w:pPr>
              <w:shd w:val="clear"/>
              <w:ind w:firstLine="480"/>
              <w:rPr>
                <w:highlight w:val="none"/>
              </w:rPr>
            </w:pPr>
            <w:r>
              <w:rPr>
                <w:highlight w:val="none"/>
              </w:rPr>
              <w:t>（3）施工时产生的泥浆水及输送系统的擦拭废水应设置临时沉沙池，含泥沙雨水、泥浆水经过沉沙池沉淀后回用到洒水降尘等施工环节。施工期产生的废水得到了有效的处理，无废水外排，对周边水环境影响较小。</w:t>
            </w:r>
          </w:p>
          <w:p w14:paraId="32688686">
            <w:pPr>
              <w:shd w:val="clear"/>
              <w:ind w:firstLine="480"/>
              <w:rPr>
                <w:highlight w:val="none"/>
              </w:rPr>
            </w:pPr>
            <w:r>
              <w:rPr>
                <w:highlight w:val="none"/>
              </w:rPr>
              <w:t>（4）施工营地内设置</w:t>
            </w:r>
            <w:r>
              <w:rPr>
                <w:color w:val="FF0000"/>
                <w:highlight w:val="none"/>
              </w:rPr>
              <w:t>移动环保</w:t>
            </w:r>
            <w:r>
              <w:rPr>
                <w:rFonts w:hint="eastAsia"/>
                <w:color w:val="FF0000"/>
                <w:highlight w:val="none"/>
                <w:lang w:val="en-US" w:eastAsia="zh-CN"/>
              </w:rPr>
              <w:t>水冲厕</w:t>
            </w:r>
            <w:r>
              <w:rPr>
                <w:color w:val="FF0000"/>
                <w:highlight w:val="none"/>
              </w:rPr>
              <w:t>用</w:t>
            </w:r>
            <w:r>
              <w:rPr>
                <w:highlight w:val="none"/>
              </w:rPr>
              <w:t>于解决施工人员生活排污，定期清运。生活污水集中收集，定期拉运至尉犁县污水处理厂处理。</w:t>
            </w:r>
          </w:p>
          <w:p w14:paraId="6EFD9553">
            <w:pPr>
              <w:pStyle w:val="3"/>
              <w:shd w:val="clear"/>
              <w:rPr>
                <w:highlight w:val="none"/>
              </w:rPr>
            </w:pPr>
            <w:bookmarkStart w:id="366" w:name="_Toc23236"/>
            <w:bookmarkStart w:id="367" w:name="_Toc13690"/>
            <w:bookmarkStart w:id="368" w:name="_Toc17790"/>
            <w:r>
              <w:rPr>
                <w:highlight w:val="none"/>
              </w:rPr>
              <w:t>4、施工期噪声环境保护措施</w:t>
            </w:r>
            <w:bookmarkEnd w:id="366"/>
            <w:bookmarkEnd w:id="367"/>
            <w:bookmarkEnd w:id="368"/>
          </w:p>
          <w:p w14:paraId="11567868">
            <w:pPr>
              <w:shd w:val="clear"/>
              <w:ind w:firstLine="480"/>
              <w:rPr>
                <w:highlight w:val="none"/>
              </w:rPr>
            </w:pPr>
            <w:r>
              <w:rPr>
                <w:highlight w:val="none"/>
              </w:rPr>
              <w:t>施工期的噪声具有阶段性、临时性和不固定性等特点。</w:t>
            </w:r>
          </w:p>
          <w:p w14:paraId="3D55ECF2">
            <w:pPr>
              <w:shd w:val="clear"/>
              <w:ind w:firstLine="480"/>
              <w:rPr>
                <w:highlight w:val="none"/>
              </w:rPr>
            </w:pPr>
            <w:r>
              <w:rPr>
                <w:highlight w:val="none"/>
              </w:rPr>
              <w:t>本项目周围没有学校、医院、居民等环境敏感点，因此，施工噪声主要对现场施工人员产生影响。本项目采取的噪声污染防治措施如下所示：</w:t>
            </w:r>
          </w:p>
          <w:p w14:paraId="246FDE7A">
            <w:pPr>
              <w:shd w:val="clear"/>
              <w:ind w:firstLine="480"/>
              <w:rPr>
                <w:highlight w:val="none"/>
              </w:rPr>
            </w:pPr>
            <w:r>
              <w:rPr>
                <w:highlight w:val="none"/>
              </w:rPr>
              <w:t>（1）合理布置施工现场，以减轻施工噪声的影响。</w:t>
            </w:r>
          </w:p>
          <w:p w14:paraId="72B6AAA3">
            <w:pPr>
              <w:shd w:val="clear"/>
              <w:ind w:firstLine="480"/>
              <w:rPr>
                <w:highlight w:val="none"/>
              </w:rPr>
            </w:pPr>
            <w:r>
              <w:rPr>
                <w:highlight w:val="none"/>
              </w:rPr>
              <w:t>（2）积极采取各种噪声控制措施，如尽量采用低噪施工设备，以液压工具代替气压工具，严禁使用冲击式打桩机，选用静压式打桩机。对于高噪声设备应搭建隔声棚。</w:t>
            </w:r>
          </w:p>
          <w:p w14:paraId="64BD1185">
            <w:pPr>
              <w:shd w:val="clear"/>
              <w:ind w:firstLine="480"/>
              <w:rPr>
                <w:highlight w:val="none"/>
              </w:rPr>
            </w:pPr>
            <w:r>
              <w:rPr>
                <w:highlight w:val="none"/>
              </w:rPr>
              <w:t>（3）施工机械产生的噪声往往具有突发、无规则、不连续和高强度等特点，施工单位应采取合理安排施工机械操作时间的方法加以缓解，并减少同时作业的高噪施工机械数量，尽可能减轻声源叠加影响。</w:t>
            </w:r>
          </w:p>
          <w:p w14:paraId="44560125">
            <w:pPr>
              <w:shd w:val="clear"/>
              <w:ind w:firstLine="480"/>
              <w:rPr>
                <w:highlight w:val="none"/>
              </w:rPr>
            </w:pPr>
            <w:r>
              <w:rPr>
                <w:highlight w:val="none"/>
              </w:rPr>
              <w:t>（4）对于施工期间的材料运输、敲击、人的喊叫等噪声源，要求施工单位文明施工、加强有效管理以缓解其影响。</w:t>
            </w:r>
          </w:p>
          <w:p w14:paraId="3276BC83">
            <w:pPr>
              <w:shd w:val="clear"/>
              <w:ind w:firstLine="480"/>
              <w:rPr>
                <w:highlight w:val="none"/>
              </w:rPr>
            </w:pPr>
            <w:r>
              <w:rPr>
                <w:highlight w:val="none"/>
              </w:rPr>
              <w:t>（5）优化施工车辆行车路线。</w:t>
            </w:r>
          </w:p>
          <w:p w14:paraId="102ABFCA">
            <w:pPr>
              <w:shd w:val="clear"/>
              <w:ind w:firstLine="480"/>
              <w:rPr>
                <w:highlight w:val="none"/>
              </w:rPr>
            </w:pPr>
            <w:r>
              <w:rPr>
                <w:highlight w:val="none"/>
              </w:rPr>
              <w:t>施工期环境噪声影响是短期的，随着施工期的结束而消失，受人为和自然条件的影响较大，因此应加强对施工现场管理，并采取有效的防护措施，则项目施工期噪声对环境影响较小。</w:t>
            </w:r>
          </w:p>
          <w:p w14:paraId="530C65D3">
            <w:pPr>
              <w:pStyle w:val="3"/>
              <w:shd w:val="clear"/>
              <w:rPr>
                <w:highlight w:val="none"/>
              </w:rPr>
            </w:pPr>
            <w:bookmarkStart w:id="369" w:name="_Toc527339390"/>
            <w:bookmarkStart w:id="370" w:name="_Toc519840850"/>
            <w:bookmarkStart w:id="371" w:name="_Toc13105922"/>
            <w:bookmarkStart w:id="372" w:name="_Toc508028298"/>
            <w:bookmarkStart w:id="373" w:name="_Toc527339557"/>
            <w:bookmarkStart w:id="374" w:name="_Toc41270224"/>
            <w:bookmarkStart w:id="375" w:name="_Toc520705159"/>
            <w:bookmarkStart w:id="376" w:name="_Toc20187"/>
            <w:bookmarkStart w:id="377" w:name="_Toc10288"/>
            <w:bookmarkStart w:id="378" w:name="_Toc2961"/>
            <w:r>
              <w:rPr>
                <w:highlight w:val="none"/>
              </w:rPr>
              <w:t>5、施工期固废</w:t>
            </w:r>
            <w:bookmarkEnd w:id="369"/>
            <w:bookmarkEnd w:id="370"/>
            <w:bookmarkEnd w:id="371"/>
            <w:bookmarkEnd w:id="372"/>
            <w:bookmarkEnd w:id="373"/>
            <w:bookmarkEnd w:id="374"/>
            <w:bookmarkEnd w:id="375"/>
            <w:r>
              <w:rPr>
                <w:highlight w:val="none"/>
              </w:rPr>
              <w:t>环境保护措施</w:t>
            </w:r>
            <w:bookmarkEnd w:id="376"/>
            <w:bookmarkEnd w:id="377"/>
            <w:bookmarkEnd w:id="378"/>
          </w:p>
          <w:p w14:paraId="1DAB2765">
            <w:pPr>
              <w:shd w:val="clear"/>
              <w:ind w:firstLine="480"/>
              <w:rPr>
                <w:highlight w:val="none"/>
              </w:rPr>
            </w:pPr>
            <w:r>
              <w:rPr>
                <w:highlight w:val="none"/>
              </w:rPr>
              <w:t>（1）设置生活垃圾箱，固定的堆放，分类收集，定期运往当地环卫部门指定的垃圾堆放点。</w:t>
            </w:r>
          </w:p>
          <w:p w14:paraId="4A131C11">
            <w:pPr>
              <w:shd w:val="clear"/>
              <w:ind w:firstLine="480"/>
              <w:rPr>
                <w:highlight w:val="none"/>
              </w:rPr>
            </w:pPr>
            <w:r>
              <w:rPr>
                <w:highlight w:val="none"/>
              </w:rPr>
              <w:t>（2）地基处理，开挖产生的土石方及其他建筑类垃圾，要尽可能回填于工业场地内部地基处理。</w:t>
            </w:r>
          </w:p>
          <w:p w14:paraId="5A2891DD">
            <w:pPr>
              <w:shd w:val="clear"/>
              <w:ind w:firstLine="480"/>
              <w:rPr>
                <w:highlight w:val="none"/>
              </w:rPr>
            </w:pPr>
            <w:r>
              <w:rPr>
                <w:highlight w:val="none"/>
              </w:rPr>
              <w:t>（3）施工期建筑垃圾与生活垃圾应分类堆放，分别处置，严禁乱堆乱倒。</w:t>
            </w:r>
          </w:p>
          <w:p w14:paraId="6170B562">
            <w:pPr>
              <w:shd w:val="clear"/>
              <w:ind w:firstLine="480"/>
              <w:rPr>
                <w:highlight w:val="none"/>
              </w:rPr>
            </w:pPr>
            <w:r>
              <w:rPr>
                <w:highlight w:val="none"/>
              </w:rPr>
              <w:t>（4）包装袋由施工单位统一回收，综合利用；</w:t>
            </w:r>
          </w:p>
          <w:p w14:paraId="3BEB523C">
            <w:pPr>
              <w:shd w:val="clear"/>
              <w:ind w:firstLine="480"/>
              <w:rPr>
                <w:highlight w:val="none"/>
              </w:rPr>
            </w:pPr>
            <w:r>
              <w:rPr>
                <w:highlight w:val="none"/>
              </w:rPr>
              <w:t>（5）生活垃圾及时清理并集中存放，委托环卫部门清运；</w:t>
            </w:r>
          </w:p>
          <w:p w14:paraId="4DBE9546">
            <w:pPr>
              <w:shd w:val="clear"/>
              <w:ind w:firstLine="480"/>
              <w:rPr>
                <w:highlight w:val="none"/>
              </w:rPr>
            </w:pPr>
            <w:r>
              <w:rPr>
                <w:highlight w:val="none"/>
              </w:rPr>
              <w:t>本项目施工期各固体废弃物均得到了合理处置，不会造成周边环境的污染。</w:t>
            </w:r>
          </w:p>
          <w:p w14:paraId="2371713A">
            <w:pPr>
              <w:pStyle w:val="3"/>
              <w:shd w:val="clear"/>
              <w:rPr>
                <w:highlight w:val="none"/>
              </w:rPr>
            </w:pPr>
            <w:bookmarkStart w:id="379" w:name="_Toc6756"/>
            <w:bookmarkStart w:id="380" w:name="_Toc14810"/>
            <w:bookmarkStart w:id="381" w:name="_Toc6055"/>
            <w:r>
              <w:rPr>
                <w:highlight w:val="none"/>
              </w:rPr>
              <w:t>6、施工期生态环境保护措施及预期效果</w:t>
            </w:r>
            <w:bookmarkEnd w:id="379"/>
            <w:bookmarkEnd w:id="380"/>
            <w:bookmarkEnd w:id="381"/>
          </w:p>
          <w:p w14:paraId="52118CE5">
            <w:pPr>
              <w:shd w:val="clear"/>
              <w:ind w:firstLine="480"/>
              <w:jc w:val="left"/>
              <w:rPr>
                <w:highlight w:val="none"/>
              </w:rPr>
            </w:pPr>
            <w:r>
              <w:rPr>
                <w:highlight w:val="none"/>
              </w:rPr>
              <w:t>本项目施工期主要生态环境保护措施及预期效果详见表5-1。</w:t>
            </w:r>
          </w:p>
          <w:p w14:paraId="06570A55">
            <w:pPr>
              <w:shd w:val="clear"/>
              <w:overflowPunct w:val="0"/>
              <w:spacing w:line="240" w:lineRule="auto"/>
              <w:ind w:firstLine="422"/>
              <w:rPr>
                <w:b/>
                <w:sz w:val="21"/>
                <w:szCs w:val="21"/>
                <w:highlight w:val="none"/>
              </w:rPr>
            </w:pPr>
            <w:r>
              <w:rPr>
                <w:b/>
                <w:sz w:val="21"/>
                <w:szCs w:val="21"/>
                <w:highlight w:val="none"/>
              </w:rPr>
              <w:t>表5-1       施工期生态环境保护措施及预期效果一览表</w:t>
            </w:r>
          </w:p>
          <w:tbl>
            <w:tblPr>
              <w:tblStyle w:val="33"/>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9"/>
              <w:gridCol w:w="3222"/>
              <w:gridCol w:w="1309"/>
              <w:gridCol w:w="2538"/>
            </w:tblGrid>
            <w:tr w14:paraId="661AD74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14:paraId="543409E3">
                  <w:pPr>
                    <w:pStyle w:val="10"/>
                    <w:shd w:val="clear"/>
                    <w:rPr>
                      <w:sz w:val="18"/>
                      <w:highlight w:val="none"/>
                    </w:rPr>
                  </w:pPr>
                  <w:r>
                    <w:rPr>
                      <w:sz w:val="18"/>
                      <w:highlight w:val="none"/>
                    </w:rPr>
                    <w:t>序号</w:t>
                  </w:r>
                </w:p>
              </w:tc>
              <w:tc>
                <w:tcPr>
                  <w:tcW w:w="0" w:type="auto"/>
                  <w:vAlign w:val="center"/>
                </w:tcPr>
                <w:p w14:paraId="6B6C2D58">
                  <w:pPr>
                    <w:pStyle w:val="10"/>
                    <w:shd w:val="clear"/>
                    <w:rPr>
                      <w:sz w:val="18"/>
                      <w:highlight w:val="none"/>
                    </w:rPr>
                  </w:pPr>
                  <w:r>
                    <w:rPr>
                      <w:sz w:val="18"/>
                      <w:highlight w:val="none"/>
                    </w:rPr>
                    <w:t>生态保护措施要求</w:t>
                  </w:r>
                </w:p>
              </w:tc>
              <w:tc>
                <w:tcPr>
                  <w:tcW w:w="0" w:type="auto"/>
                  <w:vAlign w:val="center"/>
                </w:tcPr>
                <w:p w14:paraId="301467AE">
                  <w:pPr>
                    <w:pStyle w:val="10"/>
                    <w:shd w:val="clear"/>
                    <w:rPr>
                      <w:sz w:val="18"/>
                      <w:highlight w:val="none"/>
                    </w:rPr>
                  </w:pPr>
                  <w:r>
                    <w:rPr>
                      <w:sz w:val="18"/>
                      <w:highlight w:val="none"/>
                    </w:rPr>
                    <w:t>实施保障</w:t>
                  </w:r>
                </w:p>
              </w:tc>
              <w:tc>
                <w:tcPr>
                  <w:tcW w:w="0" w:type="auto"/>
                  <w:vAlign w:val="center"/>
                </w:tcPr>
                <w:p w14:paraId="19DA4878">
                  <w:pPr>
                    <w:pStyle w:val="10"/>
                    <w:shd w:val="clear"/>
                    <w:rPr>
                      <w:sz w:val="18"/>
                      <w:highlight w:val="none"/>
                    </w:rPr>
                  </w:pPr>
                  <w:r>
                    <w:rPr>
                      <w:sz w:val="18"/>
                      <w:highlight w:val="none"/>
                    </w:rPr>
                    <w:t>实施效果</w:t>
                  </w:r>
                </w:p>
              </w:tc>
            </w:tr>
            <w:tr w14:paraId="404700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Merge w:val="restart"/>
                  <w:vAlign w:val="center"/>
                </w:tcPr>
                <w:p w14:paraId="2EC23ED3">
                  <w:pPr>
                    <w:pStyle w:val="10"/>
                    <w:shd w:val="clear"/>
                    <w:rPr>
                      <w:sz w:val="18"/>
                      <w:highlight w:val="none"/>
                    </w:rPr>
                  </w:pPr>
                  <w:r>
                    <w:rPr>
                      <w:sz w:val="18"/>
                      <w:highlight w:val="none"/>
                    </w:rPr>
                    <w:t>1</w:t>
                  </w:r>
                </w:p>
              </w:tc>
              <w:tc>
                <w:tcPr>
                  <w:tcW w:w="0" w:type="auto"/>
                  <w:vMerge w:val="restart"/>
                  <w:vAlign w:val="center"/>
                </w:tcPr>
                <w:p w14:paraId="6CF0F1AD">
                  <w:pPr>
                    <w:pStyle w:val="10"/>
                    <w:shd w:val="clear"/>
                    <w:rPr>
                      <w:sz w:val="18"/>
                      <w:highlight w:val="none"/>
                    </w:rPr>
                  </w:pPr>
                  <w:r>
                    <w:rPr>
                      <w:sz w:val="18"/>
                      <w:highlight w:val="none"/>
                    </w:rPr>
                    <w:t>尽量减少占地、控制施工范围、减少扰动面积，作业区四周设置彩带控制作业范围。分层开挖分层回填，同时采取拦护等措施。</w:t>
                  </w:r>
                </w:p>
              </w:tc>
              <w:tc>
                <w:tcPr>
                  <w:tcW w:w="0" w:type="auto"/>
                  <w:vMerge w:val="restart"/>
                  <w:vAlign w:val="center"/>
                </w:tcPr>
                <w:p w14:paraId="72746F8F">
                  <w:pPr>
                    <w:pStyle w:val="10"/>
                    <w:shd w:val="clear"/>
                    <w:rPr>
                      <w:sz w:val="18"/>
                      <w:highlight w:val="none"/>
                    </w:rPr>
                  </w:pPr>
                  <w:r>
                    <w:rPr>
                      <w:sz w:val="18"/>
                      <w:highlight w:val="none"/>
                    </w:rPr>
                    <w:t>①建立环境管理机构，配备专职或兼职环保管理人员；</w:t>
                  </w:r>
                </w:p>
                <w:p w14:paraId="77E8A892">
                  <w:pPr>
                    <w:pStyle w:val="10"/>
                    <w:shd w:val="clear"/>
                    <w:rPr>
                      <w:sz w:val="18"/>
                      <w:highlight w:val="none"/>
                    </w:rPr>
                  </w:pPr>
                  <w:r>
                    <w:rPr>
                      <w:sz w:val="18"/>
                      <w:highlight w:val="none"/>
                    </w:rPr>
                    <w:t>②制定相关方环境管理条例、质量管理规定；</w:t>
                  </w:r>
                </w:p>
                <w:p w14:paraId="3397F156">
                  <w:pPr>
                    <w:pStyle w:val="10"/>
                    <w:shd w:val="clear"/>
                    <w:rPr>
                      <w:sz w:val="18"/>
                      <w:highlight w:val="none"/>
                    </w:rPr>
                  </w:pPr>
                  <w:r>
                    <w:rPr>
                      <w:sz w:val="18"/>
                      <w:highlight w:val="none"/>
                    </w:rPr>
                    <w:t>③开展经常性检查、监督，发现问题及时解决、纠正</w:t>
                  </w:r>
                </w:p>
              </w:tc>
              <w:tc>
                <w:tcPr>
                  <w:tcW w:w="0" w:type="auto"/>
                  <w:vAlign w:val="center"/>
                </w:tcPr>
                <w:p w14:paraId="6712334D">
                  <w:pPr>
                    <w:pStyle w:val="10"/>
                    <w:shd w:val="clear"/>
                    <w:rPr>
                      <w:sz w:val="18"/>
                      <w:highlight w:val="none"/>
                    </w:rPr>
                  </w:pPr>
                  <w:r>
                    <w:rPr>
                      <w:sz w:val="18"/>
                      <w:highlight w:val="none"/>
                    </w:rPr>
                    <w:t>划定施工作业范围，将施工占地控制在最小范围。</w:t>
                  </w:r>
                </w:p>
              </w:tc>
            </w:tr>
            <w:tr w14:paraId="29122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0" w:type="auto"/>
                  <w:vMerge w:val="continue"/>
                  <w:vAlign w:val="center"/>
                </w:tcPr>
                <w:p w14:paraId="7EEF7999">
                  <w:pPr>
                    <w:pStyle w:val="10"/>
                    <w:shd w:val="clear"/>
                    <w:rPr>
                      <w:sz w:val="18"/>
                      <w:highlight w:val="none"/>
                    </w:rPr>
                  </w:pPr>
                </w:p>
              </w:tc>
              <w:tc>
                <w:tcPr>
                  <w:tcW w:w="0" w:type="auto"/>
                  <w:vMerge w:val="continue"/>
                  <w:vAlign w:val="center"/>
                </w:tcPr>
                <w:p w14:paraId="4418D85F">
                  <w:pPr>
                    <w:pStyle w:val="10"/>
                    <w:shd w:val="clear"/>
                    <w:rPr>
                      <w:sz w:val="18"/>
                      <w:highlight w:val="none"/>
                    </w:rPr>
                  </w:pPr>
                </w:p>
              </w:tc>
              <w:tc>
                <w:tcPr>
                  <w:tcW w:w="0" w:type="auto"/>
                  <w:vMerge w:val="continue"/>
                  <w:vAlign w:val="center"/>
                </w:tcPr>
                <w:p w14:paraId="08317CAC">
                  <w:pPr>
                    <w:pStyle w:val="10"/>
                    <w:shd w:val="clear"/>
                    <w:rPr>
                      <w:sz w:val="18"/>
                      <w:highlight w:val="none"/>
                    </w:rPr>
                  </w:pPr>
                </w:p>
              </w:tc>
              <w:tc>
                <w:tcPr>
                  <w:tcW w:w="0" w:type="auto"/>
                  <w:vMerge w:val="restart"/>
                  <w:vAlign w:val="center"/>
                </w:tcPr>
                <w:p w14:paraId="6D8882E3">
                  <w:pPr>
                    <w:pStyle w:val="10"/>
                    <w:shd w:val="clear"/>
                    <w:rPr>
                      <w:sz w:val="18"/>
                      <w:highlight w:val="none"/>
                    </w:rPr>
                  </w:pPr>
                  <w:r>
                    <w:rPr>
                      <w:sz w:val="18"/>
                      <w:highlight w:val="none"/>
                    </w:rPr>
                    <w:t>减少土壤养分的流失，恢复土壤肥力和土壤理化性质，使土壤、植被受影响程度最低。</w:t>
                  </w:r>
                </w:p>
              </w:tc>
            </w:tr>
            <w:tr w14:paraId="3C1C0E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0" w:type="auto"/>
                  <w:vMerge w:val="restart"/>
                  <w:vAlign w:val="center"/>
                </w:tcPr>
                <w:p w14:paraId="382F6395">
                  <w:pPr>
                    <w:pStyle w:val="10"/>
                    <w:shd w:val="clear"/>
                    <w:rPr>
                      <w:sz w:val="18"/>
                      <w:highlight w:val="none"/>
                    </w:rPr>
                  </w:pPr>
                  <w:r>
                    <w:rPr>
                      <w:sz w:val="18"/>
                      <w:highlight w:val="none"/>
                    </w:rPr>
                    <w:t>2</w:t>
                  </w:r>
                </w:p>
              </w:tc>
              <w:tc>
                <w:tcPr>
                  <w:tcW w:w="0" w:type="auto"/>
                  <w:vMerge w:val="restart"/>
                  <w:vAlign w:val="center"/>
                </w:tcPr>
                <w:p w14:paraId="0D0C10F7">
                  <w:pPr>
                    <w:pStyle w:val="10"/>
                    <w:shd w:val="clear"/>
                    <w:rPr>
                      <w:sz w:val="18"/>
                      <w:highlight w:val="none"/>
                    </w:rPr>
                  </w:pPr>
                  <w:r>
                    <w:rPr>
                      <w:sz w:val="18"/>
                      <w:highlight w:val="none"/>
                    </w:rPr>
                    <w:t>减少地表开挖裸露时间、避开雨季及大风天气施工、及时进行迹地恢复等。</w:t>
                  </w:r>
                </w:p>
              </w:tc>
              <w:tc>
                <w:tcPr>
                  <w:tcW w:w="0" w:type="auto"/>
                  <w:vMerge w:val="continue"/>
                  <w:vAlign w:val="center"/>
                </w:tcPr>
                <w:p w14:paraId="22F3924C">
                  <w:pPr>
                    <w:pStyle w:val="10"/>
                    <w:shd w:val="clear"/>
                    <w:rPr>
                      <w:sz w:val="18"/>
                      <w:highlight w:val="none"/>
                    </w:rPr>
                  </w:pPr>
                </w:p>
              </w:tc>
              <w:tc>
                <w:tcPr>
                  <w:tcW w:w="0" w:type="auto"/>
                  <w:vMerge w:val="continue"/>
                  <w:vAlign w:val="center"/>
                </w:tcPr>
                <w:p w14:paraId="75403AC8">
                  <w:pPr>
                    <w:pStyle w:val="10"/>
                    <w:shd w:val="clear"/>
                    <w:rPr>
                      <w:sz w:val="18"/>
                      <w:highlight w:val="none"/>
                    </w:rPr>
                  </w:pPr>
                </w:p>
              </w:tc>
            </w:tr>
            <w:tr w14:paraId="61D74F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0" w:type="auto"/>
                  <w:vMerge w:val="continue"/>
                  <w:vAlign w:val="center"/>
                </w:tcPr>
                <w:p w14:paraId="1B5DA5B9">
                  <w:pPr>
                    <w:pStyle w:val="10"/>
                    <w:shd w:val="clear"/>
                    <w:rPr>
                      <w:sz w:val="18"/>
                      <w:highlight w:val="none"/>
                    </w:rPr>
                  </w:pPr>
                </w:p>
              </w:tc>
              <w:tc>
                <w:tcPr>
                  <w:tcW w:w="0" w:type="auto"/>
                  <w:vMerge w:val="continue"/>
                  <w:vAlign w:val="center"/>
                </w:tcPr>
                <w:p w14:paraId="72AB6672">
                  <w:pPr>
                    <w:pStyle w:val="10"/>
                    <w:shd w:val="clear"/>
                    <w:rPr>
                      <w:sz w:val="18"/>
                      <w:highlight w:val="none"/>
                    </w:rPr>
                  </w:pPr>
                </w:p>
              </w:tc>
              <w:tc>
                <w:tcPr>
                  <w:tcW w:w="0" w:type="auto"/>
                  <w:vMerge w:val="continue"/>
                  <w:vAlign w:val="center"/>
                </w:tcPr>
                <w:p w14:paraId="3486251E">
                  <w:pPr>
                    <w:pStyle w:val="10"/>
                    <w:shd w:val="clear"/>
                    <w:rPr>
                      <w:sz w:val="18"/>
                      <w:highlight w:val="none"/>
                    </w:rPr>
                  </w:pPr>
                </w:p>
              </w:tc>
              <w:tc>
                <w:tcPr>
                  <w:tcW w:w="0" w:type="auto"/>
                  <w:vMerge w:val="continue"/>
                  <w:vAlign w:val="center"/>
                </w:tcPr>
                <w:p w14:paraId="194AB390">
                  <w:pPr>
                    <w:pStyle w:val="10"/>
                    <w:shd w:val="clear"/>
                    <w:rPr>
                      <w:sz w:val="18"/>
                      <w:highlight w:val="none"/>
                    </w:rPr>
                  </w:pPr>
                </w:p>
              </w:tc>
            </w:tr>
            <w:tr w14:paraId="033D1D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14:paraId="1C160BA2">
                  <w:pPr>
                    <w:pStyle w:val="10"/>
                    <w:shd w:val="clear"/>
                    <w:rPr>
                      <w:sz w:val="18"/>
                      <w:highlight w:val="none"/>
                    </w:rPr>
                  </w:pPr>
                  <w:r>
                    <w:rPr>
                      <w:sz w:val="18"/>
                      <w:highlight w:val="none"/>
                    </w:rPr>
                    <w:t>3</w:t>
                  </w:r>
                </w:p>
              </w:tc>
              <w:tc>
                <w:tcPr>
                  <w:tcW w:w="0" w:type="auto"/>
                  <w:vAlign w:val="center"/>
                </w:tcPr>
                <w:p w14:paraId="14C91847">
                  <w:pPr>
                    <w:pStyle w:val="10"/>
                    <w:shd w:val="clear"/>
                    <w:rPr>
                      <w:sz w:val="18"/>
                      <w:highlight w:val="none"/>
                    </w:rPr>
                  </w:pPr>
                  <w:r>
                    <w:rPr>
                      <w:sz w:val="18"/>
                      <w:highlight w:val="none"/>
                    </w:rPr>
                    <w:t>占地范围内清理平整，恢复地貌。</w:t>
                  </w:r>
                </w:p>
              </w:tc>
              <w:tc>
                <w:tcPr>
                  <w:tcW w:w="0" w:type="auto"/>
                  <w:vMerge w:val="continue"/>
                  <w:vAlign w:val="center"/>
                </w:tcPr>
                <w:p w14:paraId="01B507C8">
                  <w:pPr>
                    <w:pStyle w:val="10"/>
                    <w:shd w:val="clear"/>
                    <w:rPr>
                      <w:sz w:val="18"/>
                      <w:highlight w:val="none"/>
                    </w:rPr>
                  </w:pPr>
                </w:p>
              </w:tc>
              <w:tc>
                <w:tcPr>
                  <w:tcW w:w="0" w:type="auto"/>
                  <w:vAlign w:val="center"/>
                </w:tcPr>
                <w:p w14:paraId="18F828AC">
                  <w:pPr>
                    <w:pStyle w:val="10"/>
                    <w:shd w:val="clear"/>
                    <w:rPr>
                      <w:sz w:val="18"/>
                      <w:highlight w:val="none"/>
                    </w:rPr>
                  </w:pPr>
                  <w:r>
                    <w:rPr>
                      <w:sz w:val="18"/>
                      <w:highlight w:val="none"/>
                    </w:rPr>
                    <w:t>施工后做到工完料净场地清。</w:t>
                  </w:r>
                </w:p>
              </w:tc>
            </w:tr>
            <w:tr w14:paraId="6C346F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14:paraId="5AB432AC">
                  <w:pPr>
                    <w:pStyle w:val="10"/>
                    <w:shd w:val="clear"/>
                    <w:rPr>
                      <w:sz w:val="18"/>
                      <w:highlight w:val="none"/>
                    </w:rPr>
                  </w:pPr>
                  <w:r>
                    <w:rPr>
                      <w:sz w:val="18"/>
                      <w:highlight w:val="none"/>
                    </w:rPr>
                    <w:t>4</w:t>
                  </w:r>
                </w:p>
              </w:tc>
              <w:tc>
                <w:tcPr>
                  <w:tcW w:w="0" w:type="auto"/>
                  <w:vAlign w:val="center"/>
                </w:tcPr>
                <w:p w14:paraId="4E08E06E">
                  <w:pPr>
                    <w:pStyle w:val="10"/>
                    <w:shd w:val="clear"/>
                    <w:rPr>
                      <w:sz w:val="18"/>
                      <w:highlight w:val="none"/>
                    </w:rPr>
                  </w:pPr>
                  <w:r>
                    <w:rPr>
                      <w:sz w:val="18"/>
                      <w:highlight w:val="none"/>
                    </w:rPr>
                    <w:t>加强宣传教育，设置环保宣传牌。</w:t>
                  </w:r>
                </w:p>
              </w:tc>
              <w:tc>
                <w:tcPr>
                  <w:tcW w:w="0" w:type="auto"/>
                  <w:vMerge w:val="continue"/>
                  <w:vAlign w:val="center"/>
                </w:tcPr>
                <w:p w14:paraId="4596B4AD">
                  <w:pPr>
                    <w:pStyle w:val="10"/>
                    <w:shd w:val="clear"/>
                    <w:rPr>
                      <w:sz w:val="18"/>
                      <w:highlight w:val="none"/>
                    </w:rPr>
                  </w:pPr>
                </w:p>
              </w:tc>
              <w:tc>
                <w:tcPr>
                  <w:tcW w:w="0" w:type="auto"/>
                  <w:vAlign w:val="center"/>
                </w:tcPr>
                <w:p w14:paraId="419E2D16">
                  <w:pPr>
                    <w:pStyle w:val="10"/>
                    <w:shd w:val="clear"/>
                    <w:rPr>
                      <w:sz w:val="18"/>
                      <w:highlight w:val="none"/>
                    </w:rPr>
                  </w:pPr>
                  <w:r>
                    <w:rPr>
                      <w:sz w:val="18"/>
                      <w:highlight w:val="none"/>
                    </w:rPr>
                    <w:t>增强大家的环保意识，避免发生施工人员随意惊吓、捕猎、宰杀野生动物，踩踏、破坏植被的现象。</w:t>
                  </w:r>
                </w:p>
              </w:tc>
            </w:tr>
            <w:tr w14:paraId="6A4888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14:paraId="32A53D90">
                  <w:pPr>
                    <w:pStyle w:val="10"/>
                    <w:shd w:val="clear"/>
                    <w:rPr>
                      <w:sz w:val="18"/>
                      <w:highlight w:val="none"/>
                    </w:rPr>
                  </w:pPr>
                  <w:r>
                    <w:rPr>
                      <w:sz w:val="18"/>
                      <w:highlight w:val="none"/>
                    </w:rPr>
                    <w:t>5</w:t>
                  </w:r>
                </w:p>
              </w:tc>
              <w:tc>
                <w:tcPr>
                  <w:tcW w:w="0" w:type="auto"/>
                  <w:vAlign w:val="center"/>
                </w:tcPr>
                <w:p w14:paraId="0837979B">
                  <w:pPr>
                    <w:pStyle w:val="10"/>
                    <w:shd w:val="clear"/>
                    <w:rPr>
                      <w:sz w:val="18"/>
                      <w:highlight w:val="none"/>
                    </w:rPr>
                  </w:pPr>
                  <w:r>
                    <w:rPr>
                      <w:sz w:val="18"/>
                      <w:highlight w:val="none"/>
                    </w:rPr>
                    <w:t>施工废水设置沉淀池，可循环使用；施工营地内设置移动式环保厕所；生活污水定期拉运至</w:t>
                  </w:r>
                  <w:r>
                    <w:rPr>
                      <w:rFonts w:hint="eastAsia"/>
                      <w:sz w:val="18"/>
                      <w:highlight w:val="none"/>
                      <w:lang w:val="en-US" w:eastAsia="zh-CN"/>
                    </w:rPr>
                    <w:t>尉犁县</w:t>
                  </w:r>
                  <w:r>
                    <w:rPr>
                      <w:sz w:val="18"/>
                      <w:highlight w:val="none"/>
                    </w:rPr>
                    <w:t>污水处理厂处理</w:t>
                  </w:r>
                </w:p>
              </w:tc>
              <w:tc>
                <w:tcPr>
                  <w:tcW w:w="0" w:type="auto"/>
                  <w:vMerge w:val="continue"/>
                  <w:vAlign w:val="center"/>
                </w:tcPr>
                <w:p w14:paraId="57BFC410">
                  <w:pPr>
                    <w:pStyle w:val="10"/>
                    <w:shd w:val="clear"/>
                    <w:rPr>
                      <w:sz w:val="18"/>
                      <w:highlight w:val="none"/>
                    </w:rPr>
                  </w:pPr>
                </w:p>
              </w:tc>
              <w:tc>
                <w:tcPr>
                  <w:tcW w:w="0" w:type="auto"/>
                  <w:vAlign w:val="center"/>
                </w:tcPr>
                <w:p w14:paraId="72D180D6">
                  <w:pPr>
                    <w:pStyle w:val="10"/>
                    <w:shd w:val="clear"/>
                    <w:rPr>
                      <w:sz w:val="18"/>
                      <w:highlight w:val="none"/>
                    </w:rPr>
                  </w:pPr>
                  <w:r>
                    <w:rPr>
                      <w:sz w:val="18"/>
                      <w:highlight w:val="none"/>
                    </w:rPr>
                    <w:t>无废水外排。</w:t>
                  </w:r>
                </w:p>
              </w:tc>
            </w:tr>
            <w:tr w14:paraId="4214A1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14:paraId="7BAC72E6">
                  <w:pPr>
                    <w:pStyle w:val="10"/>
                    <w:shd w:val="clear"/>
                    <w:rPr>
                      <w:sz w:val="18"/>
                      <w:highlight w:val="none"/>
                    </w:rPr>
                  </w:pPr>
                  <w:r>
                    <w:rPr>
                      <w:sz w:val="18"/>
                      <w:highlight w:val="none"/>
                    </w:rPr>
                    <w:t>6</w:t>
                  </w:r>
                </w:p>
              </w:tc>
              <w:tc>
                <w:tcPr>
                  <w:tcW w:w="0" w:type="auto"/>
                  <w:vAlign w:val="center"/>
                </w:tcPr>
                <w:p w14:paraId="21C0D94B">
                  <w:pPr>
                    <w:pStyle w:val="10"/>
                    <w:shd w:val="clear"/>
                    <w:rPr>
                      <w:sz w:val="18"/>
                      <w:highlight w:val="none"/>
                    </w:rPr>
                  </w:pPr>
                  <w:r>
                    <w:rPr>
                      <w:sz w:val="18"/>
                      <w:highlight w:val="none"/>
                    </w:rPr>
                    <w:t>采用低噪声设备，加强维护保养，严格操作规程，禁止夜间施工，施工运输线路及牵张场选择时尽量避开居民区。</w:t>
                  </w:r>
                </w:p>
              </w:tc>
              <w:tc>
                <w:tcPr>
                  <w:tcW w:w="0" w:type="auto"/>
                  <w:vMerge w:val="continue"/>
                  <w:vAlign w:val="center"/>
                </w:tcPr>
                <w:p w14:paraId="7E5CCFE9">
                  <w:pPr>
                    <w:pStyle w:val="10"/>
                    <w:shd w:val="clear"/>
                    <w:rPr>
                      <w:sz w:val="18"/>
                      <w:highlight w:val="none"/>
                    </w:rPr>
                  </w:pPr>
                </w:p>
              </w:tc>
              <w:tc>
                <w:tcPr>
                  <w:tcW w:w="0" w:type="auto"/>
                  <w:vAlign w:val="center"/>
                </w:tcPr>
                <w:p w14:paraId="49A10A4A">
                  <w:pPr>
                    <w:pStyle w:val="10"/>
                    <w:shd w:val="clear"/>
                    <w:rPr>
                      <w:sz w:val="18"/>
                      <w:highlight w:val="none"/>
                    </w:rPr>
                  </w:pPr>
                  <w:r>
                    <w:rPr>
                      <w:sz w:val="18"/>
                      <w:highlight w:val="none"/>
                    </w:rPr>
                    <w:t>满足《建筑施工噪声排放标准》</w:t>
                  </w:r>
                  <w:r>
                    <w:rPr>
                      <w:rFonts w:hint="eastAsia"/>
                      <w:sz w:val="18"/>
                      <w:highlight w:val="none"/>
                      <w:lang w:eastAsia="zh-CN"/>
                    </w:rPr>
                    <w:t>（</w:t>
                  </w:r>
                  <w:r>
                    <w:rPr>
                      <w:sz w:val="18"/>
                      <w:highlight w:val="none"/>
                    </w:rPr>
                    <w:t>GB 12523-2025</w:t>
                  </w:r>
                  <w:r>
                    <w:rPr>
                      <w:rFonts w:hint="eastAsia"/>
                      <w:sz w:val="18"/>
                      <w:highlight w:val="none"/>
                      <w:lang w:eastAsia="zh-CN"/>
                    </w:rPr>
                    <w:t>）</w:t>
                  </w:r>
                  <w:r>
                    <w:rPr>
                      <w:sz w:val="18"/>
                      <w:highlight w:val="none"/>
                    </w:rPr>
                    <w:t>中的相应标准要求</w:t>
                  </w:r>
                </w:p>
              </w:tc>
            </w:tr>
            <w:tr w14:paraId="4730DF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14:paraId="2C80FB88">
                  <w:pPr>
                    <w:pStyle w:val="10"/>
                    <w:shd w:val="clear"/>
                    <w:rPr>
                      <w:sz w:val="18"/>
                      <w:highlight w:val="none"/>
                    </w:rPr>
                  </w:pPr>
                  <w:r>
                    <w:rPr>
                      <w:sz w:val="18"/>
                      <w:highlight w:val="none"/>
                    </w:rPr>
                    <w:t>7</w:t>
                  </w:r>
                </w:p>
              </w:tc>
              <w:tc>
                <w:tcPr>
                  <w:tcW w:w="0" w:type="auto"/>
                  <w:vAlign w:val="center"/>
                </w:tcPr>
                <w:p w14:paraId="6B3E67B2">
                  <w:pPr>
                    <w:pStyle w:val="10"/>
                    <w:shd w:val="clear"/>
                    <w:rPr>
                      <w:sz w:val="18"/>
                      <w:highlight w:val="none"/>
                    </w:rPr>
                  </w:pPr>
                  <w:r>
                    <w:rPr>
                      <w:sz w:val="18"/>
                      <w:highlight w:val="none"/>
                    </w:rPr>
                    <w:t>道路及施工面洒水降尘、物料运输篷布遮盖、土石方采用防尘布（网）苫盖、禁止焚烧可燃垃圾。</w:t>
                  </w:r>
                </w:p>
              </w:tc>
              <w:tc>
                <w:tcPr>
                  <w:tcW w:w="0" w:type="auto"/>
                  <w:vMerge w:val="continue"/>
                  <w:vAlign w:val="center"/>
                </w:tcPr>
                <w:p w14:paraId="541D08F4">
                  <w:pPr>
                    <w:pStyle w:val="10"/>
                    <w:shd w:val="clear"/>
                    <w:rPr>
                      <w:sz w:val="18"/>
                      <w:highlight w:val="none"/>
                    </w:rPr>
                  </w:pPr>
                </w:p>
              </w:tc>
              <w:tc>
                <w:tcPr>
                  <w:tcW w:w="0" w:type="auto"/>
                  <w:vAlign w:val="center"/>
                </w:tcPr>
                <w:p w14:paraId="78ED6B0E">
                  <w:pPr>
                    <w:pStyle w:val="10"/>
                    <w:shd w:val="clear"/>
                    <w:rPr>
                      <w:sz w:val="18"/>
                      <w:highlight w:val="none"/>
                    </w:rPr>
                  </w:pPr>
                  <w:r>
                    <w:rPr>
                      <w:sz w:val="18"/>
                      <w:highlight w:val="none"/>
                    </w:rPr>
                    <w:t>对周边大气环境影响较小。</w:t>
                  </w:r>
                </w:p>
              </w:tc>
            </w:tr>
            <w:tr w14:paraId="6BC2E7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0" w:type="auto"/>
                  <w:vAlign w:val="center"/>
                </w:tcPr>
                <w:p w14:paraId="390BCABC">
                  <w:pPr>
                    <w:pStyle w:val="10"/>
                    <w:shd w:val="clear"/>
                    <w:rPr>
                      <w:sz w:val="18"/>
                      <w:highlight w:val="none"/>
                    </w:rPr>
                  </w:pPr>
                  <w:r>
                    <w:rPr>
                      <w:sz w:val="18"/>
                      <w:highlight w:val="none"/>
                    </w:rPr>
                    <w:t>8</w:t>
                  </w:r>
                </w:p>
              </w:tc>
              <w:tc>
                <w:tcPr>
                  <w:tcW w:w="0" w:type="auto"/>
                  <w:vAlign w:val="center"/>
                </w:tcPr>
                <w:p w14:paraId="146D7241">
                  <w:pPr>
                    <w:pStyle w:val="10"/>
                    <w:shd w:val="clear"/>
                    <w:rPr>
                      <w:sz w:val="18"/>
                      <w:highlight w:val="none"/>
                    </w:rPr>
                  </w:pPr>
                  <w:r>
                    <w:rPr>
                      <w:sz w:val="18"/>
                      <w:highlight w:val="none"/>
                    </w:rPr>
                    <w:t>施工营地，设置有生活垃圾箱，固定地堆放，分类收集，定期运往当地环卫部门指定的垃圾堆放点；施工土方回填、护坡、平整及迹地恢复；可用包装袋统一回收、综合利用。</w:t>
                  </w:r>
                </w:p>
              </w:tc>
              <w:tc>
                <w:tcPr>
                  <w:tcW w:w="0" w:type="auto"/>
                  <w:vMerge w:val="continue"/>
                  <w:vAlign w:val="center"/>
                </w:tcPr>
                <w:p w14:paraId="45C4E6ED">
                  <w:pPr>
                    <w:pStyle w:val="10"/>
                    <w:shd w:val="clear"/>
                    <w:rPr>
                      <w:sz w:val="18"/>
                      <w:highlight w:val="none"/>
                    </w:rPr>
                  </w:pPr>
                </w:p>
              </w:tc>
              <w:tc>
                <w:tcPr>
                  <w:tcW w:w="0" w:type="auto"/>
                  <w:vAlign w:val="center"/>
                </w:tcPr>
                <w:p w14:paraId="2DDBFE98">
                  <w:pPr>
                    <w:pStyle w:val="10"/>
                    <w:shd w:val="clear"/>
                    <w:rPr>
                      <w:sz w:val="18"/>
                      <w:highlight w:val="none"/>
                    </w:rPr>
                  </w:pPr>
                  <w:r>
                    <w:rPr>
                      <w:sz w:val="18"/>
                      <w:highlight w:val="none"/>
                    </w:rPr>
                    <w:t>固废均得到有效处置，施工迹地得以恢复。</w:t>
                  </w:r>
                </w:p>
              </w:tc>
            </w:tr>
          </w:tbl>
          <w:p w14:paraId="2F3DFB16">
            <w:pPr>
              <w:shd w:val="clear"/>
              <w:ind w:firstLine="480"/>
              <w:rPr>
                <w:highlight w:val="none"/>
              </w:rPr>
            </w:pPr>
          </w:p>
        </w:tc>
      </w:tr>
      <w:tr w14:paraId="5BE987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7544B841">
            <w:pPr>
              <w:shd w:val="clear"/>
              <w:ind w:firstLine="0" w:firstLineChars="0"/>
              <w:jc w:val="center"/>
              <w:rPr>
                <w:bCs/>
                <w:spacing w:val="10"/>
                <w:highlight w:val="none"/>
              </w:rPr>
            </w:pPr>
            <w:r>
              <w:rPr>
                <w:bCs/>
                <w:spacing w:val="10"/>
                <w:highlight w:val="none"/>
              </w:rPr>
              <w:t>运营期生态环境保护措施</w:t>
            </w:r>
          </w:p>
        </w:tc>
        <w:tc>
          <w:tcPr>
            <w:tcW w:w="0" w:type="auto"/>
          </w:tcPr>
          <w:p w14:paraId="685D89D3">
            <w:pPr>
              <w:pStyle w:val="3"/>
              <w:shd w:val="clear"/>
              <w:rPr>
                <w:highlight w:val="none"/>
              </w:rPr>
            </w:pPr>
            <w:bookmarkStart w:id="382" w:name="_Toc17635"/>
            <w:bookmarkStart w:id="383" w:name="_Toc5393"/>
            <w:bookmarkStart w:id="384" w:name="_Toc31915"/>
            <w:r>
              <w:rPr>
                <w:highlight w:val="none"/>
              </w:rPr>
              <w:t>1、生态环境保护措施</w:t>
            </w:r>
            <w:bookmarkEnd w:id="382"/>
            <w:bookmarkEnd w:id="383"/>
            <w:bookmarkEnd w:id="384"/>
          </w:p>
          <w:p w14:paraId="677D595D">
            <w:pPr>
              <w:shd w:val="clear"/>
              <w:ind w:firstLine="480"/>
              <w:rPr>
                <w:highlight w:val="none"/>
              </w:rPr>
            </w:pPr>
            <w:r>
              <w:rPr>
                <w:highlight w:val="none"/>
              </w:rPr>
              <w:t>建设项目运营期利用已有道路作为巡检道路，运行期巡检便道不需要另行修建，对于无法通行路段可采用人工巡线或无人机巡线，运行期巡检对生态环境影响很小。</w:t>
            </w:r>
          </w:p>
          <w:p w14:paraId="4EDA2C56">
            <w:pPr>
              <w:pStyle w:val="3"/>
              <w:shd w:val="clear"/>
              <w:rPr>
                <w:highlight w:val="none"/>
              </w:rPr>
            </w:pPr>
            <w:bookmarkStart w:id="385" w:name="_Toc17252"/>
            <w:bookmarkStart w:id="386" w:name="_Toc20258"/>
            <w:bookmarkStart w:id="387" w:name="_Toc27968"/>
            <w:r>
              <w:rPr>
                <w:highlight w:val="none"/>
              </w:rPr>
              <w:t>2、运营期</w:t>
            </w:r>
            <w:bookmarkStart w:id="388" w:name="_Toc383796787"/>
            <w:bookmarkStart w:id="389" w:name="_Toc332103629"/>
            <w:bookmarkStart w:id="390" w:name="_Toc249693706"/>
            <w:bookmarkStart w:id="391" w:name="_Toc15851"/>
            <w:bookmarkStart w:id="392" w:name="_Toc382903248"/>
            <w:bookmarkStart w:id="393" w:name="_Toc332103729"/>
            <w:bookmarkStart w:id="394" w:name="_Toc319228417"/>
            <w:bookmarkStart w:id="395" w:name="_Toc381340753"/>
            <w:r>
              <w:rPr>
                <w:highlight w:val="none"/>
              </w:rPr>
              <w:t>水环境</w:t>
            </w:r>
            <w:bookmarkEnd w:id="388"/>
            <w:bookmarkEnd w:id="389"/>
            <w:bookmarkEnd w:id="390"/>
            <w:bookmarkEnd w:id="391"/>
            <w:bookmarkEnd w:id="392"/>
            <w:bookmarkEnd w:id="393"/>
            <w:bookmarkEnd w:id="394"/>
            <w:bookmarkEnd w:id="395"/>
            <w:r>
              <w:rPr>
                <w:highlight w:val="none"/>
              </w:rPr>
              <w:t>保护措施</w:t>
            </w:r>
            <w:bookmarkEnd w:id="385"/>
            <w:bookmarkEnd w:id="386"/>
            <w:bookmarkEnd w:id="387"/>
          </w:p>
          <w:p w14:paraId="22E3BA22">
            <w:pPr>
              <w:shd w:val="clear"/>
              <w:ind w:firstLine="480"/>
              <w:rPr>
                <w:highlight w:val="none"/>
              </w:rPr>
            </w:pPr>
            <w:r>
              <w:rPr>
                <w:highlight w:val="none"/>
              </w:rPr>
              <w:t>项目运行时，用水主要为生活污水，项目生活污水产生量约0.32t/d，116.8t/a。鉴于生活污水排放量较小，水质简单，采用隔油池+A/O工艺的一体化污水处理设施，主要工艺流程：隔油池—格栅—调节池—好氧池—二沉池—消毒池，日处理能力：2m</w:t>
            </w:r>
            <w:r>
              <w:rPr>
                <w:highlight w:val="none"/>
                <w:vertAlign w:val="superscript"/>
              </w:rPr>
              <w:t>3</w:t>
            </w:r>
            <w:r>
              <w:rPr>
                <w:highlight w:val="none"/>
              </w:rPr>
              <w:t>/d，处理后水质执行《农村生活污水处理排放标准》（DB65 4275-2019）表2中B级标准限值，设置40m</w:t>
            </w:r>
            <w:r>
              <w:rPr>
                <w:highlight w:val="none"/>
                <w:vertAlign w:val="superscript"/>
              </w:rPr>
              <w:t>3</w:t>
            </w:r>
            <w:r>
              <w:rPr>
                <w:highlight w:val="none"/>
              </w:rPr>
              <w:t>的</w:t>
            </w:r>
            <w:r>
              <w:rPr>
                <w:rFonts w:hint="eastAsia"/>
                <w:highlight w:val="none"/>
                <w:lang w:eastAsia="zh-CN"/>
              </w:rPr>
              <w:t>集水池</w:t>
            </w:r>
            <w:r>
              <w:rPr>
                <w:highlight w:val="none"/>
              </w:rPr>
              <w:t>，用于冬季储水，夏季用于站区周边荒漠灌溉，根据《新疆维吾尔自治区农业用水定额》中灌溉用水为425m</w:t>
            </w:r>
            <w:r>
              <w:rPr>
                <w:highlight w:val="none"/>
                <w:vertAlign w:val="superscript"/>
              </w:rPr>
              <w:t>3</w:t>
            </w:r>
            <w:r>
              <w:rPr>
                <w:highlight w:val="none"/>
              </w:rPr>
              <w:t>/亩，本单位产生的水可灌溉182m</w:t>
            </w:r>
            <w:r>
              <w:rPr>
                <w:highlight w:val="none"/>
                <w:vertAlign w:val="superscript"/>
              </w:rPr>
              <w:t>2</w:t>
            </w:r>
            <w:r>
              <w:rPr>
                <w:highlight w:val="none"/>
              </w:rPr>
              <w:t>，周边荒漠灌溉面积大于182m</w:t>
            </w:r>
            <w:r>
              <w:rPr>
                <w:highlight w:val="none"/>
                <w:vertAlign w:val="superscript"/>
              </w:rPr>
              <w:t>2</w:t>
            </w:r>
            <w:r>
              <w:rPr>
                <w:highlight w:val="none"/>
              </w:rPr>
              <w:t>，可消纳本项目处理后的水。</w:t>
            </w:r>
            <w:bookmarkStart w:id="396" w:name="_Toc19122"/>
            <w:bookmarkStart w:id="397" w:name="_Toc382903249"/>
            <w:bookmarkStart w:id="398" w:name="_Toc381340754"/>
            <w:bookmarkStart w:id="399" w:name="_Toc319228418"/>
            <w:bookmarkStart w:id="400" w:name="_Toc249693707"/>
            <w:bookmarkStart w:id="401" w:name="_Toc332103730"/>
            <w:bookmarkStart w:id="402" w:name="_Toc383796788"/>
            <w:bookmarkStart w:id="403" w:name="_Toc332103630"/>
          </w:p>
          <w:p w14:paraId="15686A7E">
            <w:pPr>
              <w:shd w:val="clear"/>
              <w:ind w:firstLine="480"/>
              <w:rPr>
                <w:highlight w:val="none"/>
              </w:rPr>
            </w:pPr>
            <w:r>
              <w:rPr>
                <w:highlight w:val="none"/>
              </w:rPr>
              <w:t>根据《排污许可证申请与核发技术规范 水处理通用工序》（HJ1120-2020）中表A.1，本项目生活污水处理工艺属于可行技术。</w:t>
            </w:r>
          </w:p>
          <w:p w14:paraId="61CA29D4">
            <w:pPr>
              <w:pStyle w:val="3"/>
              <w:shd w:val="clear"/>
              <w:rPr>
                <w:szCs w:val="24"/>
                <w:highlight w:val="none"/>
              </w:rPr>
            </w:pPr>
            <w:bookmarkStart w:id="404" w:name="_Toc20248"/>
            <w:bookmarkStart w:id="405" w:name="_Toc1333"/>
            <w:bookmarkStart w:id="406" w:name="_Toc7380"/>
            <w:r>
              <w:rPr>
                <w:highlight w:val="none"/>
              </w:rPr>
              <w:t>3</w:t>
            </w:r>
            <w:r>
              <w:rPr>
                <w:rStyle w:val="41"/>
                <w:b/>
                <w:bCs/>
                <w:highlight w:val="none"/>
              </w:rPr>
              <w:t>、电磁环境保护措施</w:t>
            </w:r>
            <w:bookmarkEnd w:id="404"/>
            <w:bookmarkEnd w:id="405"/>
            <w:bookmarkEnd w:id="406"/>
          </w:p>
          <w:p w14:paraId="23B3A3DA">
            <w:pPr>
              <w:shd w:val="clear"/>
              <w:ind w:firstLine="480"/>
              <w:rPr>
                <w:highlight w:val="none"/>
              </w:rPr>
            </w:pPr>
            <w:r>
              <w:rPr>
                <w:highlight w:val="none"/>
              </w:rPr>
              <w:t>（1）合理布局站内电气设备及配电装置。</w:t>
            </w:r>
          </w:p>
          <w:p w14:paraId="3DA1A302">
            <w:pPr>
              <w:shd w:val="clear"/>
              <w:ind w:firstLine="480"/>
              <w:rPr>
                <w:highlight w:val="none"/>
              </w:rPr>
            </w:pPr>
            <w:r>
              <w:rPr>
                <w:highlight w:val="none"/>
              </w:rPr>
              <w:t>（2）线路建成后，应加强输电线路防护距离宣传教育和督查工作，导线下方不得再建设房屋。</w:t>
            </w:r>
          </w:p>
          <w:p w14:paraId="7CF76222">
            <w:pPr>
              <w:shd w:val="clear"/>
              <w:ind w:firstLine="480"/>
              <w:rPr>
                <w:highlight w:val="none"/>
              </w:rPr>
            </w:pPr>
            <w:r>
              <w:rPr>
                <w:highlight w:val="none"/>
              </w:rPr>
              <w:t>（3）线路选用的导线质量应符合国家相关标准的要求，防止由于导线缺陷导致的电晕增加，降低线路运行时产生的噪声。</w:t>
            </w:r>
          </w:p>
          <w:p w14:paraId="397CAD76">
            <w:pPr>
              <w:shd w:val="clear"/>
              <w:ind w:firstLine="480"/>
              <w:rPr>
                <w:highlight w:val="none"/>
              </w:rPr>
            </w:pPr>
            <w:r>
              <w:rPr>
                <w:highlight w:val="none"/>
              </w:rPr>
              <w:t>（4）做好警示和防护指示标志及环保标志的悬挂设立工作，禁止无关人员进入</w:t>
            </w:r>
            <w:r>
              <w:rPr>
                <w:rFonts w:hint="eastAsia"/>
                <w:highlight w:val="none"/>
                <w:lang w:eastAsia="zh-CN"/>
              </w:rPr>
              <w:t>升压站</w:t>
            </w:r>
            <w:r>
              <w:rPr>
                <w:highlight w:val="none"/>
              </w:rPr>
              <w:t>或靠近带电架构。</w:t>
            </w:r>
          </w:p>
          <w:p w14:paraId="7F174C20">
            <w:pPr>
              <w:shd w:val="clear"/>
              <w:ind w:firstLine="480"/>
              <w:rPr>
                <w:highlight w:val="none"/>
              </w:rPr>
            </w:pPr>
            <w:r>
              <w:rPr>
                <w:highlight w:val="none"/>
              </w:rPr>
              <w:t>（5）建设单位应设立一名兼职的环保工作人员，负责输电线路运行期间的环境保护工作，并做好对线路沿线群众的电磁环境知识的宣传。</w:t>
            </w:r>
          </w:p>
          <w:p w14:paraId="3BD053AC">
            <w:pPr>
              <w:shd w:val="clear"/>
              <w:ind w:firstLine="480"/>
              <w:rPr>
                <w:highlight w:val="none"/>
              </w:rPr>
            </w:pPr>
            <w:r>
              <w:rPr>
                <w:highlight w:val="none"/>
              </w:rPr>
              <w:t>（6）对员工进行电磁基础知识培训，在巡检带电维修过程中，尽可能减少曝露在电磁场中的时间。</w:t>
            </w:r>
          </w:p>
          <w:p w14:paraId="4226C4A0">
            <w:pPr>
              <w:shd w:val="clear"/>
              <w:ind w:firstLine="480"/>
              <w:rPr>
                <w:highlight w:val="none"/>
              </w:rPr>
            </w:pPr>
            <w:r>
              <w:rPr>
                <w:highlight w:val="none"/>
              </w:rPr>
              <w:t>（7）本项目线路工频电场、工频磁场强满足设计规范要求，线路与公路、通讯线、电力线时，严格按照有关规范要求留有足够净空距离，控制地面最大场强。</w:t>
            </w:r>
          </w:p>
          <w:p w14:paraId="6452117A">
            <w:pPr>
              <w:shd w:val="clear"/>
              <w:ind w:firstLine="480"/>
              <w:rPr>
                <w:highlight w:val="none"/>
              </w:rPr>
            </w:pPr>
            <w:r>
              <w:rPr>
                <w:highlight w:val="none"/>
              </w:rPr>
              <w:t>（8）制定安全操作规程，加强职工安全教育，加强电磁水平监测。</w:t>
            </w:r>
          </w:p>
          <w:p w14:paraId="3B756FFB">
            <w:pPr>
              <w:shd w:val="clear"/>
              <w:ind w:firstLine="480"/>
              <w:rPr>
                <w:highlight w:val="none"/>
              </w:rPr>
            </w:pPr>
            <w:r>
              <w:rPr>
                <w:highlight w:val="none"/>
              </w:rPr>
              <w:t>通过落实上述措施，本项目运行期升压站及线路产生的电磁场对周边环境影响较小，在可接受范围内。</w:t>
            </w:r>
          </w:p>
          <w:p w14:paraId="2355B0EC">
            <w:pPr>
              <w:pStyle w:val="3"/>
              <w:shd w:val="clear"/>
              <w:rPr>
                <w:highlight w:val="none"/>
              </w:rPr>
            </w:pPr>
            <w:bookmarkStart w:id="407" w:name="_Toc26279"/>
            <w:bookmarkStart w:id="408" w:name="_Toc12982"/>
            <w:bookmarkStart w:id="409" w:name="_Toc4477"/>
            <w:r>
              <w:rPr>
                <w:highlight w:val="none"/>
              </w:rPr>
              <w:t>4、声环境</w:t>
            </w:r>
            <w:bookmarkEnd w:id="396"/>
            <w:bookmarkEnd w:id="397"/>
            <w:bookmarkEnd w:id="398"/>
            <w:bookmarkEnd w:id="399"/>
            <w:bookmarkEnd w:id="400"/>
            <w:bookmarkEnd w:id="401"/>
            <w:bookmarkEnd w:id="402"/>
            <w:bookmarkEnd w:id="403"/>
            <w:r>
              <w:rPr>
                <w:highlight w:val="none"/>
              </w:rPr>
              <w:t>保护措施</w:t>
            </w:r>
            <w:bookmarkEnd w:id="407"/>
            <w:bookmarkEnd w:id="408"/>
            <w:bookmarkEnd w:id="409"/>
          </w:p>
          <w:p w14:paraId="2971252D">
            <w:pPr>
              <w:shd w:val="clear"/>
              <w:ind w:firstLine="480"/>
              <w:rPr>
                <w:highlight w:val="none"/>
              </w:rPr>
            </w:pPr>
            <w:r>
              <w:rPr>
                <w:rFonts w:hint="eastAsia"/>
                <w:highlight w:val="none"/>
                <w:lang w:eastAsia="zh-CN"/>
              </w:rPr>
              <w:t>升压站</w:t>
            </w:r>
            <w:r>
              <w:rPr>
                <w:highlight w:val="none"/>
              </w:rPr>
              <w:t>首先选择低噪声的设备，合理布局站内电气设备及配电装置；加强站内电气设备的日常维护，避免设备异常噪声排放以减少噪声对站区环境的影响，站界噪声可满足《工业企业厂界环境噪声排放标准》（GB12348-2008）中的2类限值要求。输电线路沿线声环境应符合《声环境质量标准》（GB3096-2008）中2类声环境功能区标准要求。</w:t>
            </w:r>
          </w:p>
          <w:p w14:paraId="74AC0836">
            <w:pPr>
              <w:shd w:val="clear"/>
              <w:ind w:firstLine="480"/>
              <w:rPr>
                <w:highlight w:val="none"/>
              </w:rPr>
            </w:pPr>
            <w:r>
              <w:rPr>
                <w:highlight w:val="none"/>
              </w:rPr>
              <w:t>加强对线路沿线声环境保护目标的监测，及时发现问题并按照相关要求进行处理。</w:t>
            </w:r>
          </w:p>
          <w:p w14:paraId="06C3E9CB">
            <w:pPr>
              <w:pStyle w:val="3"/>
              <w:shd w:val="clear"/>
              <w:rPr>
                <w:highlight w:val="none"/>
              </w:rPr>
            </w:pPr>
            <w:bookmarkStart w:id="410" w:name="_Toc319228420"/>
            <w:bookmarkStart w:id="411" w:name="_Toc383796790"/>
            <w:bookmarkStart w:id="412" w:name="_Toc249693709"/>
            <w:bookmarkStart w:id="413" w:name="_Toc332103632"/>
            <w:bookmarkStart w:id="414" w:name="_Toc381340756"/>
            <w:bookmarkStart w:id="415" w:name="_Toc16383"/>
            <w:bookmarkStart w:id="416" w:name="_Toc382903251"/>
            <w:bookmarkStart w:id="417" w:name="_Toc332103732"/>
            <w:bookmarkStart w:id="418" w:name="_Toc16536"/>
            <w:bookmarkStart w:id="419" w:name="_Toc26101"/>
            <w:bookmarkStart w:id="420" w:name="_Toc30586"/>
            <w:r>
              <w:rPr>
                <w:highlight w:val="none"/>
              </w:rPr>
              <w:t>5、固体废弃物</w:t>
            </w:r>
            <w:bookmarkEnd w:id="410"/>
            <w:bookmarkEnd w:id="411"/>
            <w:bookmarkEnd w:id="412"/>
            <w:bookmarkEnd w:id="413"/>
            <w:bookmarkEnd w:id="414"/>
            <w:bookmarkEnd w:id="415"/>
            <w:bookmarkEnd w:id="416"/>
            <w:bookmarkEnd w:id="417"/>
            <w:r>
              <w:rPr>
                <w:highlight w:val="none"/>
              </w:rPr>
              <w:t>环境保护措施</w:t>
            </w:r>
            <w:bookmarkEnd w:id="418"/>
            <w:bookmarkEnd w:id="419"/>
            <w:bookmarkEnd w:id="420"/>
          </w:p>
          <w:p w14:paraId="24ECD30F">
            <w:pPr>
              <w:pStyle w:val="3"/>
              <w:shd w:val="clear"/>
              <w:rPr>
                <w:highlight w:val="none"/>
              </w:rPr>
            </w:pPr>
            <w:bookmarkStart w:id="421" w:name="_Toc22800"/>
            <w:bookmarkStart w:id="422" w:name="_Toc12339"/>
            <w:bookmarkStart w:id="423" w:name="_Toc11812"/>
            <w:r>
              <w:rPr>
                <w:highlight w:val="none"/>
              </w:rPr>
              <w:t>5.1固体废弃物处置措施</w:t>
            </w:r>
            <w:bookmarkEnd w:id="421"/>
            <w:bookmarkEnd w:id="422"/>
            <w:bookmarkEnd w:id="423"/>
          </w:p>
          <w:p w14:paraId="2C69B6C6">
            <w:pPr>
              <w:shd w:val="clear"/>
              <w:ind w:firstLine="480"/>
              <w:rPr>
                <w:highlight w:val="none"/>
              </w:rPr>
            </w:pPr>
            <w:r>
              <w:rPr>
                <w:highlight w:val="none"/>
              </w:rPr>
              <w:t>本项目营运期产生的固体废物主要是生活垃圾、废磷酸铁锂电池、废电子电器设备、废变压器油和废弃的含油抹布、劳保用品。</w:t>
            </w:r>
          </w:p>
          <w:p w14:paraId="6E9598FA">
            <w:pPr>
              <w:shd w:val="clear"/>
              <w:ind w:firstLine="480"/>
              <w:rPr>
                <w:highlight w:val="none"/>
              </w:rPr>
            </w:pPr>
            <w:r>
              <w:rPr>
                <w:highlight w:val="none"/>
              </w:rPr>
              <w:t>（1）生活垃圾集中收集至垃圾箱内，委托环卫部门定期清运。</w:t>
            </w:r>
          </w:p>
          <w:p w14:paraId="7C1AA0DC">
            <w:pPr>
              <w:shd w:val="clear"/>
              <w:ind w:firstLine="480"/>
              <w:rPr>
                <w:highlight w:val="none"/>
              </w:rPr>
            </w:pPr>
            <w:r>
              <w:rPr>
                <w:highlight w:val="none"/>
              </w:rPr>
              <w:t>（2）磷酸铁锂电池8-10年寿命到期更换前事先联系厂家，磷酸铁锂电池整体更换下来直接由厂家运走，不在项目区储存，全程不落地。</w:t>
            </w:r>
          </w:p>
          <w:p w14:paraId="249A0372">
            <w:pPr>
              <w:shd w:val="clear"/>
              <w:ind w:firstLine="480"/>
              <w:rPr>
                <w:highlight w:val="none"/>
              </w:rPr>
            </w:pPr>
            <w:r>
              <w:rPr>
                <w:highlight w:val="none"/>
              </w:rPr>
              <w:t>（3）废电子电器设备集中收集至一般工业固废储存间，定期外售，可回收利用。</w:t>
            </w:r>
          </w:p>
          <w:p w14:paraId="4382F911">
            <w:pPr>
              <w:shd w:val="clear"/>
              <w:ind w:firstLine="480"/>
              <w:rPr>
                <w:highlight w:val="none"/>
              </w:rPr>
            </w:pPr>
            <w:r>
              <w:rPr>
                <w:highlight w:val="none"/>
              </w:rPr>
              <w:t>（4）废变压器油8-10年更换，属于危险废物。</w:t>
            </w:r>
            <w:r>
              <w:rPr>
                <w:rFonts w:hint="eastAsia"/>
                <w:highlight w:val="none"/>
                <w:lang w:val="en-US" w:eastAsia="zh-CN"/>
              </w:rPr>
              <w:t>废</w:t>
            </w:r>
            <w:r>
              <w:rPr>
                <w:highlight w:val="none"/>
              </w:rPr>
              <w:t>变压器油</w:t>
            </w:r>
            <w:r>
              <w:rPr>
                <w:rFonts w:hint="eastAsia"/>
                <w:highlight w:val="none"/>
                <w:lang w:val="en-US" w:eastAsia="zh-CN"/>
              </w:rPr>
              <w:t>暂存于事故油池内</w:t>
            </w:r>
            <w:r>
              <w:rPr>
                <w:highlight w:val="none"/>
              </w:rPr>
              <w:t>，委托有资质单位</w:t>
            </w:r>
            <w:r>
              <w:rPr>
                <w:rFonts w:hint="eastAsia"/>
                <w:highlight w:val="none"/>
                <w:lang w:val="en-US" w:eastAsia="zh-CN"/>
              </w:rPr>
              <w:t>及时清运</w:t>
            </w:r>
            <w:r>
              <w:rPr>
                <w:highlight w:val="none"/>
              </w:rPr>
              <w:t>处</w:t>
            </w:r>
            <w:r>
              <w:rPr>
                <w:rFonts w:hint="eastAsia"/>
                <w:highlight w:val="none"/>
                <w:lang w:val="en-US" w:eastAsia="zh-CN"/>
              </w:rPr>
              <w:t>置</w:t>
            </w:r>
            <w:r>
              <w:rPr>
                <w:highlight w:val="none"/>
              </w:rPr>
              <w:t>。</w:t>
            </w:r>
          </w:p>
          <w:p w14:paraId="46E6F6F9">
            <w:pPr>
              <w:shd w:val="clear"/>
              <w:autoSpaceDE w:val="0"/>
              <w:autoSpaceDN w:val="0"/>
              <w:ind w:firstLine="480"/>
              <w:rPr>
                <w:rFonts w:hint="default" w:eastAsia="宋体"/>
                <w:highlight w:val="none"/>
                <w:lang w:val="en-US" w:eastAsia="zh-CN"/>
              </w:rPr>
            </w:pPr>
            <w:r>
              <w:rPr>
                <w:highlight w:val="none"/>
              </w:rPr>
              <w:t>（5）</w:t>
            </w:r>
            <w:r>
              <w:rPr>
                <w:rFonts w:hint="eastAsia"/>
                <w:highlight w:val="none"/>
                <w:lang w:val="en-US" w:eastAsia="zh-CN"/>
              </w:rPr>
              <w:t>废铅酸电池属于危险废物，集中收集至危险废物贮存库内贮存，及时交由有资质单位进行处置。</w:t>
            </w:r>
          </w:p>
          <w:p w14:paraId="1299D40D">
            <w:pPr>
              <w:shd w:val="clear"/>
              <w:autoSpaceDE w:val="0"/>
              <w:autoSpaceDN w:val="0"/>
              <w:ind w:firstLine="480"/>
              <w:rPr>
                <w:highlight w:val="none"/>
              </w:rPr>
            </w:pPr>
            <w:r>
              <w:rPr>
                <w:rFonts w:hint="eastAsia"/>
                <w:highlight w:val="none"/>
                <w:lang w:eastAsia="zh-CN"/>
              </w:rPr>
              <w:t>（</w:t>
            </w:r>
            <w:r>
              <w:rPr>
                <w:rFonts w:hint="eastAsia"/>
                <w:highlight w:val="none"/>
                <w:lang w:val="en-US" w:eastAsia="zh-CN"/>
              </w:rPr>
              <w:t>6</w:t>
            </w:r>
            <w:r>
              <w:rPr>
                <w:rFonts w:hint="eastAsia"/>
                <w:highlight w:val="none"/>
                <w:lang w:eastAsia="zh-CN"/>
              </w:rPr>
              <w:t>）</w:t>
            </w:r>
            <w:r>
              <w:rPr>
                <w:highlight w:val="none"/>
              </w:rPr>
              <w:t>含油抹布、手套集中收集至危险废物贮存库内</w:t>
            </w:r>
            <w:r>
              <w:rPr>
                <w:rFonts w:hint="eastAsia"/>
                <w:highlight w:val="none"/>
                <w:lang w:val="en-US" w:eastAsia="zh-CN"/>
              </w:rPr>
              <w:t>贮存</w:t>
            </w:r>
            <w:r>
              <w:rPr>
                <w:highlight w:val="none"/>
              </w:rPr>
              <w:t>，</w:t>
            </w:r>
            <w:r>
              <w:rPr>
                <w:rFonts w:hint="eastAsia"/>
                <w:highlight w:val="none"/>
                <w:lang w:val="en-US" w:eastAsia="zh-CN"/>
              </w:rPr>
              <w:t>及时</w:t>
            </w:r>
            <w:r>
              <w:rPr>
                <w:highlight w:val="none"/>
              </w:rPr>
              <w:t>交由有资质单位进行处置。</w:t>
            </w:r>
          </w:p>
          <w:p w14:paraId="3268A627">
            <w:pPr>
              <w:pStyle w:val="3"/>
              <w:shd w:val="clear"/>
              <w:rPr>
                <w:highlight w:val="none"/>
              </w:rPr>
            </w:pPr>
            <w:bookmarkStart w:id="424" w:name="_Toc2893"/>
            <w:bookmarkStart w:id="425" w:name="_Toc22356"/>
            <w:bookmarkStart w:id="426" w:name="_Toc11774"/>
            <w:r>
              <w:rPr>
                <w:highlight w:val="none"/>
              </w:rPr>
              <w:t>5.2环境管理要求</w:t>
            </w:r>
            <w:bookmarkEnd w:id="424"/>
            <w:bookmarkEnd w:id="425"/>
            <w:bookmarkEnd w:id="426"/>
          </w:p>
          <w:p w14:paraId="73BAFF2E">
            <w:pPr>
              <w:shd w:val="clear"/>
              <w:ind w:firstLine="482"/>
              <w:rPr>
                <w:b/>
                <w:bCs/>
                <w:highlight w:val="none"/>
              </w:rPr>
            </w:pPr>
            <w:r>
              <w:rPr>
                <w:b/>
                <w:bCs/>
                <w:highlight w:val="none"/>
              </w:rPr>
              <w:t>一般工业固废管理要求：</w:t>
            </w:r>
          </w:p>
          <w:p w14:paraId="67DC7FD2">
            <w:pPr>
              <w:shd w:val="clear"/>
              <w:ind w:firstLine="480"/>
              <w:rPr>
                <w:highlight w:val="none"/>
              </w:rPr>
            </w:pPr>
            <w:r>
              <w:rPr>
                <w:highlight w:val="none"/>
              </w:rPr>
              <w:t>一般工业固废主要储存废电子电器，根据《中华人民共和国固体废物污染环境防治法》，企业在贮存固废时需要遵守以下原则：</w:t>
            </w:r>
          </w:p>
          <w:p w14:paraId="11207BBA">
            <w:pPr>
              <w:shd w:val="clear"/>
              <w:ind w:firstLine="480"/>
              <w:rPr>
                <w:highlight w:val="none"/>
              </w:rPr>
            </w:pPr>
            <w:r>
              <w:rPr>
                <w:highlight w:val="none"/>
              </w:rPr>
              <w:t>（1）储存要求：</w:t>
            </w:r>
          </w:p>
          <w:p w14:paraId="26373948">
            <w:pPr>
              <w:shd w:val="clear"/>
              <w:ind w:firstLine="480"/>
              <w:rPr>
                <w:highlight w:val="none"/>
              </w:rPr>
            </w:pPr>
            <w:r>
              <w:rPr>
                <w:highlight w:val="none"/>
              </w:rPr>
              <w:t>①一般固废临时储存场所需防风、防雨、防渗漏。</w:t>
            </w:r>
          </w:p>
          <w:p w14:paraId="2F9D472A">
            <w:pPr>
              <w:shd w:val="clear"/>
              <w:ind w:firstLine="480"/>
              <w:rPr>
                <w:highlight w:val="none"/>
              </w:rPr>
            </w:pPr>
            <w:r>
              <w:rPr>
                <w:highlight w:val="none"/>
              </w:rPr>
              <w:t>②对暂时不利用或者不能利用的，应当按照国务院生态环境等主管部门的规定建设贮存设施、场所，安全分类存放，或者采取无害化处置措施。贮存工业固体废物应当采取符合国家环境保护标准的防护措施。</w:t>
            </w:r>
          </w:p>
          <w:p w14:paraId="3FBFDF17">
            <w:pPr>
              <w:shd w:val="clear"/>
              <w:ind w:firstLine="480"/>
              <w:rPr>
                <w:highlight w:val="none"/>
              </w:rPr>
            </w:pPr>
            <w:r>
              <w:rPr>
                <w:highlight w:val="none"/>
              </w:rPr>
              <w:t>③张贴一般固废贮存场所标牌。</w:t>
            </w:r>
          </w:p>
          <w:p w14:paraId="3EDE3E1C">
            <w:pPr>
              <w:shd w:val="clear"/>
              <w:ind w:firstLine="480"/>
              <w:rPr>
                <w:highlight w:val="none"/>
              </w:rPr>
            </w:pPr>
            <w:r>
              <w:rPr>
                <w:highlight w:val="none"/>
              </w:rPr>
              <w:t>④产生工业固体废物的单位终止的，应当在终止前对工业固体废物的贮存、处置的设施、场所采取污染防治措施，并对未处置的工业固体废物作出妥善处置，防止污染环境。</w:t>
            </w:r>
          </w:p>
          <w:p w14:paraId="6F01A052">
            <w:pPr>
              <w:shd w:val="clear"/>
              <w:ind w:firstLine="480"/>
              <w:rPr>
                <w:highlight w:val="none"/>
              </w:rPr>
            </w:pPr>
            <w:r>
              <w:rPr>
                <w:highlight w:val="none"/>
              </w:rPr>
              <w:t>（2）建立台账：建立工业固体废物管理台账，内容包括工业固体废物种类、产生量、流向、贮存、处置等。</w:t>
            </w:r>
          </w:p>
          <w:p w14:paraId="2C705610">
            <w:pPr>
              <w:shd w:val="clear"/>
              <w:ind w:firstLine="480"/>
              <w:rPr>
                <w:highlight w:val="none"/>
              </w:rPr>
            </w:pPr>
            <w:r>
              <w:rPr>
                <w:highlight w:val="none"/>
              </w:rPr>
              <w:t>（3）无害处理：对其产生的不能利用的一般工业固体废物，要按照环境保护的有关规定处置，委托有处置资质和处置能力的单位依法处置，禁止擅自处置。</w:t>
            </w:r>
          </w:p>
          <w:p w14:paraId="6CA2696B">
            <w:pPr>
              <w:shd w:val="clear"/>
              <w:ind w:firstLine="480"/>
              <w:rPr>
                <w:highlight w:val="none"/>
              </w:rPr>
            </w:pPr>
            <w:r>
              <w:rPr>
                <w:highlight w:val="none"/>
              </w:rPr>
              <w:t>（5）申报登记：需执行工业固体废物申报登记制度，按年度如实向环保部门申报登记。</w:t>
            </w:r>
          </w:p>
          <w:p w14:paraId="2DB32442">
            <w:pPr>
              <w:shd w:val="clear"/>
              <w:ind w:firstLine="480"/>
              <w:rPr>
                <w:highlight w:val="none"/>
              </w:rPr>
            </w:pPr>
            <w:r>
              <w:rPr>
                <w:highlight w:val="none"/>
              </w:rPr>
              <w:t>（6）运输要求：产生工业固体废物的单位委托他人运输、利用、处置工业固体废物的，应当对受托方的主体资格和技术能力进行核实，依法签订书面合同，在合同中约定污染防治要求。</w:t>
            </w:r>
          </w:p>
          <w:p w14:paraId="2E905E5C">
            <w:pPr>
              <w:shd w:val="clear"/>
              <w:autoSpaceDE w:val="0"/>
              <w:autoSpaceDN w:val="0"/>
              <w:ind w:firstLine="480"/>
              <w:rPr>
                <w:b/>
                <w:bCs/>
                <w:highlight w:val="none"/>
              </w:rPr>
            </w:pPr>
            <w:r>
              <w:rPr>
                <w:rFonts w:hint="default"/>
                <w:b/>
                <w:bCs/>
                <w:highlight w:val="none"/>
              </w:rPr>
              <w:t>危险废物管理要求：</w:t>
            </w:r>
          </w:p>
          <w:p w14:paraId="54B22F77">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（1）危险废物识别标志设置要求</w:t>
            </w:r>
          </w:p>
          <w:p w14:paraId="40C3D8EB">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本项目危险废物贮存库、危险废物容器和包装物应当按照 《危险废物识别标志设置技术规范》（HJ 1276-2022） 的要求设置识别标志，具体要求如下：</w:t>
            </w:r>
          </w:p>
          <w:p w14:paraId="0CF293A4">
            <w:pPr>
              <w:shd w:val="clear"/>
              <w:ind w:firstLine="480"/>
              <w:rPr>
                <w:rFonts w:ascii="Times New Roman" w:hAnsi="Times New Roman" w:eastAsia="宋体" w:cs="Times New Roman"/>
                <w:highlight w:val="none"/>
              </w:rPr>
            </w:pPr>
            <w:r>
              <w:rPr>
                <w:rFonts w:hint="default" w:ascii="Times New Roman" w:hAnsi="Times New Roman" w:eastAsia="宋体" w:cs="Times New Roman"/>
                <w:highlight w:val="none"/>
              </w:rPr>
              <w:t>贮存设施标志：在危险废物贮存库外醒目处设置危险废物贮存设施标志，包含设施名称、危废类别、负责人及联系方式、二维码等信息。</w:t>
            </w:r>
          </w:p>
          <w:p w14:paraId="0FA59434">
            <w:pPr>
              <w:shd w:val="clear"/>
              <w:ind w:firstLine="480"/>
              <w:rPr>
                <w:rFonts w:ascii="Times New Roman" w:hAnsi="Times New Roman" w:eastAsia="宋体" w:cs="Times New Roman"/>
                <w:highlight w:val="none"/>
              </w:rPr>
            </w:pPr>
            <w:r>
              <w:rPr>
                <w:rFonts w:hint="default" w:ascii="Times New Roman" w:hAnsi="Times New Roman" w:eastAsia="宋体" w:cs="Times New Roman"/>
                <w:highlight w:val="none"/>
              </w:rPr>
              <w:t>危废标签：每个危险废物容器或包装物上应粘贴危险废物标签，标明危废名称、类别、代码、主要成分、危险特性、产生日期、产生单位、重量、去向等信息。标签尺寸、颜色、材质应符合HJ 1276-2022附录A的规定。</w:t>
            </w:r>
          </w:p>
          <w:p w14:paraId="1781A8D1">
            <w:pPr>
              <w:shd w:val="clear"/>
              <w:ind w:firstLine="480"/>
              <w:rPr>
                <w:rFonts w:ascii="Times New Roman" w:hAnsi="Times New Roman" w:eastAsia="宋体" w:cs="Times New Roman"/>
                <w:highlight w:val="none"/>
              </w:rPr>
            </w:pPr>
            <w:r>
              <w:rPr>
                <w:rFonts w:hint="default" w:ascii="Times New Roman" w:hAnsi="Times New Roman" w:eastAsia="宋体" w:cs="Times New Roman"/>
                <w:highlight w:val="none"/>
              </w:rPr>
              <w:t>分区标志：贮存库内不同危险废物贮存分区应设置分区标志，明确该区域贮存的危废种类。</w:t>
            </w:r>
          </w:p>
          <w:p w14:paraId="3E70C886">
            <w:pPr>
              <w:shd w:val="clear"/>
              <w:ind w:firstLine="480"/>
              <w:rPr>
                <w:rFonts w:ascii="Times New Roman" w:hAnsi="Times New Roman" w:eastAsia="宋体" w:cs="Times New Roman"/>
                <w:highlight w:val="none"/>
              </w:rPr>
            </w:pPr>
            <w:r>
              <w:rPr>
                <w:rFonts w:hint="default" w:ascii="Times New Roman" w:hAnsi="Times New Roman" w:eastAsia="宋体" w:cs="Times New Roman"/>
                <w:highlight w:val="none"/>
              </w:rPr>
              <w:t>二维码管理：鼓励采用二维码电子标签，实现危险废物信息化管理，便于扫码查阅和追溯。</w:t>
            </w:r>
          </w:p>
          <w:p w14:paraId="4CD72D1C">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（2）危险废物转移管理要求</w:t>
            </w:r>
          </w:p>
          <w:p w14:paraId="4149C4D1">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危险废物委托有资质单位处置过程必须严格按照 《危险废物转移管理办法》（生态环境部 公安部 交通运输部 部令第23号） 执行，具体要求如下：</w:t>
            </w:r>
          </w:p>
          <w:p w14:paraId="6591419B">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① 转移计划：产生危险废物的单位应当通过国家危险废物信息管理系统（以下简称</w:t>
            </w:r>
            <w:r>
              <w:rPr>
                <w:rFonts w:hint="eastAsia" w:cs="Times New Roman"/>
                <w:highlight w:val="none"/>
                <w:lang w:eastAsia="zh-CN"/>
              </w:rPr>
              <w:t>“</w:t>
            </w:r>
            <w:r>
              <w:rPr>
                <w:rFonts w:hint="default" w:ascii="Times New Roman" w:hAnsi="Times New Roman" w:eastAsia="宋体" w:cs="Times New Roman"/>
                <w:highlight w:val="none"/>
              </w:rPr>
              <w:t>信息系统</w:t>
            </w:r>
            <w:r>
              <w:rPr>
                <w:rFonts w:hint="eastAsia" w:cs="Times New Roman"/>
                <w:highlight w:val="none"/>
                <w:lang w:eastAsia="zh-CN"/>
              </w:rPr>
              <w:t>”</w:t>
            </w:r>
            <w:r>
              <w:rPr>
                <w:rFonts w:hint="default" w:ascii="Times New Roman" w:hAnsi="Times New Roman" w:eastAsia="宋体" w:cs="Times New Roman"/>
                <w:highlight w:val="none"/>
              </w:rPr>
              <w:t>）填写、运行危险废物电子转移联单。不再需要单独报批转移计划，但需在信息系统中备案。</w:t>
            </w:r>
          </w:p>
          <w:p w14:paraId="366D9CDA">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② 转移联单：每转移一车（次）同类危险废物，应当填写一份联单。每车（次）有多类危险废物的，应当按每一类危险废物填写一份联单。联单数据应在信息系统中如实填报，并打印留存。</w:t>
            </w:r>
          </w:p>
          <w:p w14:paraId="21EDEE32">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③ 核实责任：产生单位应当核实</w:t>
            </w:r>
            <w:r>
              <w:rPr>
                <w:rFonts w:hint="eastAsia" w:cs="Times New Roman"/>
                <w:highlight w:val="none"/>
                <w:lang w:eastAsia="zh-CN"/>
              </w:rPr>
              <w:t>接收单位</w:t>
            </w:r>
            <w:r>
              <w:rPr>
                <w:rFonts w:hint="default" w:ascii="Times New Roman" w:hAnsi="Times New Roman" w:eastAsia="宋体" w:cs="Times New Roman"/>
                <w:highlight w:val="none"/>
              </w:rPr>
              <w:t>的资质、运输单位的许可信息，确保受托方具备相应能力。在转移前，应如实告知运输单位危险废物的危险特性及应急处置措施。</w:t>
            </w:r>
          </w:p>
          <w:p w14:paraId="0F05DC24">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④ 交接查验：产生单位、运输单位和</w:t>
            </w:r>
            <w:r>
              <w:rPr>
                <w:rFonts w:hint="eastAsia" w:cs="Times New Roman"/>
                <w:highlight w:val="none"/>
                <w:lang w:eastAsia="zh-CN"/>
              </w:rPr>
              <w:t>接收单位</w:t>
            </w:r>
            <w:r>
              <w:rPr>
                <w:rFonts w:hint="default" w:ascii="Times New Roman" w:hAnsi="Times New Roman" w:eastAsia="宋体" w:cs="Times New Roman"/>
                <w:highlight w:val="none"/>
              </w:rPr>
              <w:t>在危险废物交接时，应当对危险废物的名称、数量、特性、形态、包装方式、转移联单等进行核对，发现不符的，应立即向当地生态环境主管部门报告。</w:t>
            </w:r>
          </w:p>
          <w:p w14:paraId="020B99A4">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⑤ 时限要求：</w:t>
            </w:r>
            <w:r>
              <w:rPr>
                <w:rFonts w:hint="eastAsia" w:cs="Times New Roman"/>
                <w:highlight w:val="none"/>
                <w:lang w:eastAsia="zh-CN"/>
              </w:rPr>
              <w:t>接收单位</w:t>
            </w:r>
            <w:r>
              <w:rPr>
                <w:rFonts w:hint="default" w:ascii="Times New Roman" w:hAnsi="Times New Roman" w:eastAsia="宋体" w:cs="Times New Roman"/>
                <w:highlight w:val="none"/>
              </w:rPr>
              <w:t>应当于接收之日起10个工作日内，通过信息系统确认</w:t>
            </w:r>
            <w:r>
              <w:rPr>
                <w:rFonts w:hint="eastAsia" w:cs="Times New Roman"/>
                <w:highlight w:val="none"/>
                <w:lang w:eastAsia="zh-CN"/>
              </w:rPr>
              <w:t>接收</w:t>
            </w:r>
            <w:r>
              <w:rPr>
                <w:rFonts w:hint="default" w:ascii="Times New Roman" w:hAnsi="Times New Roman" w:eastAsia="宋体" w:cs="Times New Roman"/>
                <w:highlight w:val="none"/>
              </w:rPr>
              <w:t>，并将接收情况反馈产生单位。联单保存期限至少5年。</w:t>
            </w:r>
          </w:p>
          <w:p w14:paraId="1885BD23">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⑥ 跨省转移：本项目若涉及危险废物跨省转移，应当依法向移出地省级生态环境主管部门申请，未经批准不得转移。</w:t>
            </w:r>
          </w:p>
          <w:p w14:paraId="68426919">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（3）制度管理与台账要求</w:t>
            </w:r>
          </w:p>
          <w:p w14:paraId="3A0A3DF8">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① 制度建立：公司应制定并上墙以下管理制度（可合并制定）：危险废物污染环境防治责任制度、危险废物标识标牌管理制度、危险废物贮存场所管理制度、危险废物分类分区贮存管理制度、危险废物转移联单管理制度、危险废物应急预案及备案制度等。</w:t>
            </w:r>
          </w:p>
          <w:p w14:paraId="656D04B6">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② 台账管理：按照《危险废物管理计划和管理台账制定技术导则》（HJ 1259-2022）的要求，建立危险废物电子管理台账，如实记录危险废物的种类、产生量、流向、贮存、处置等信息，并通过国家危险废物信息管理系统进行申报登记。台账保存期限不少于10年。</w:t>
            </w:r>
          </w:p>
          <w:p w14:paraId="48D76E26">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③ 培训演练：定期对从事危险废物管理的员工进行法律法规、应急知识、操作规程的培训，并组织应急演练，记录存档。</w:t>
            </w:r>
          </w:p>
          <w:p w14:paraId="340846B5">
            <w:pPr>
              <w:shd w:val="clear"/>
              <w:ind w:firstLine="480"/>
              <w:rPr>
                <w:rFonts w:hint="default" w:ascii="Times New Roman" w:hAnsi="Times New Roman" w:eastAsia="宋体" w:cs="Times New Roman"/>
                <w:highlight w:val="none"/>
              </w:rPr>
            </w:pPr>
            <w:r>
              <w:rPr>
                <w:rFonts w:hint="default" w:ascii="Times New Roman" w:hAnsi="Times New Roman" w:eastAsia="宋体" w:cs="Times New Roman"/>
                <w:highlight w:val="none"/>
              </w:rPr>
              <w:t>④ 严禁混合：危险废物不得混入一般工业固废或生活垃圾中贮存或处置。本项目产生的废弃含油抹布、手套属于危险废物（HW49，代码900-041-49），必须单独收集，暂存于危险废物贮存库，定期交由有资质单位处置，严禁混入生活垃圾。</w:t>
            </w:r>
          </w:p>
          <w:p w14:paraId="10DEADD4">
            <w:pPr>
              <w:shd w:val="clear"/>
              <w:ind w:firstLine="480"/>
              <w:rPr>
                <w:highlight w:val="none"/>
              </w:rPr>
            </w:pPr>
            <w:r>
              <w:rPr>
                <w:rFonts w:hint="default" w:ascii="Times New Roman" w:hAnsi="Times New Roman" w:eastAsia="宋体" w:cs="Times New Roman"/>
                <w:highlight w:val="none"/>
              </w:rPr>
              <w:t>⑤ 贮存库管理：危险废物贮存库应满足《危险废物贮存污染控制标准》（GB18597-2023）要求，做到防风、防雨、防晒、防渗漏，配备泄漏液体收集装置</w:t>
            </w:r>
            <w:r>
              <w:rPr>
                <w:rFonts w:hint="eastAsia" w:ascii="Times New Roman" w:hAnsi="Times New Roman" w:eastAsia="宋体" w:cs="Times New Roman"/>
                <w:highlight w:val="none"/>
                <w:lang w:eastAsia="zh-CN"/>
              </w:rPr>
              <w:t>。</w:t>
            </w:r>
          </w:p>
          <w:p w14:paraId="49BF5889">
            <w:pPr>
              <w:pStyle w:val="3"/>
              <w:shd w:val="clear"/>
              <w:rPr>
                <w:highlight w:val="none"/>
              </w:rPr>
            </w:pPr>
            <w:bookmarkStart w:id="427" w:name="_Toc27053"/>
            <w:bookmarkStart w:id="428" w:name="_Toc5606"/>
            <w:bookmarkStart w:id="429" w:name="_Toc27435"/>
            <w:r>
              <w:rPr>
                <w:highlight w:val="none"/>
              </w:rPr>
              <w:t>6、地下水、土壤的措施</w:t>
            </w:r>
            <w:bookmarkEnd w:id="427"/>
            <w:bookmarkEnd w:id="428"/>
            <w:bookmarkEnd w:id="429"/>
          </w:p>
          <w:p w14:paraId="4CB4544A">
            <w:pPr>
              <w:shd w:val="clear"/>
              <w:ind w:firstLine="480"/>
              <w:rPr>
                <w:highlight w:val="none"/>
              </w:rPr>
            </w:pPr>
            <w:r>
              <w:rPr>
                <w:highlight w:val="none"/>
              </w:rPr>
              <w:t>建立和完善污水的收集设施，加强日常环境管理，管网维护、对易腐蚀的管网及附属设施等采取防腐蚀措施，严格控制设备和管道的跑、冒、滴、漏现象。为有效预防土壤、地下水污染，本项目采取分区防渗措施。本项目按重点防渗、一般防渗区和简单防渗区分区域进行防渗处理。详见表5-2。</w:t>
            </w:r>
          </w:p>
          <w:p w14:paraId="3D127087">
            <w:pPr>
              <w:pStyle w:val="5"/>
              <w:shd w:val="clear"/>
              <w:ind w:firstLine="422"/>
              <w:rPr>
                <w:highlight w:val="none"/>
              </w:rPr>
            </w:pPr>
            <w:r>
              <w:rPr>
                <w:highlight w:val="none"/>
              </w:rPr>
              <w:t>表5-2        项目污染地下水、土壤途径及防治措施一览表</w:t>
            </w:r>
          </w:p>
          <w:tbl>
            <w:tblPr>
              <w:tblStyle w:val="33"/>
              <w:tblW w:w="4997"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37"/>
              <w:gridCol w:w="1163"/>
              <w:gridCol w:w="1583"/>
              <w:gridCol w:w="4315"/>
            </w:tblGrid>
            <w:tr w14:paraId="6D893D83">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 w:type="pct"/>
                  <w:tcBorders>
                    <w:top w:val="single" w:color="auto" w:sz="12" w:space="0"/>
                    <w:left w:val="nil"/>
                    <w:bottom w:val="single" w:color="auto" w:sz="6" w:space="0"/>
                    <w:right w:val="single" w:color="auto" w:sz="6" w:space="0"/>
                  </w:tcBorders>
                  <w:vAlign w:val="center"/>
                </w:tcPr>
                <w:p w14:paraId="0773B620">
                  <w:pPr>
                    <w:pStyle w:val="10"/>
                    <w:shd w:val="clear"/>
                    <w:rPr>
                      <w:sz w:val="18"/>
                      <w:highlight w:val="none"/>
                    </w:rPr>
                  </w:pPr>
                  <w:r>
                    <w:rPr>
                      <w:sz w:val="18"/>
                      <w:highlight w:val="none"/>
                    </w:rPr>
                    <w:t>序号</w:t>
                  </w:r>
                </w:p>
              </w:tc>
              <w:tc>
                <w:tcPr>
                  <w:tcW w:w="775" w:type="pct"/>
                  <w:tcBorders>
                    <w:top w:val="single" w:color="auto" w:sz="12" w:space="0"/>
                    <w:left w:val="single" w:color="auto" w:sz="6" w:space="0"/>
                    <w:bottom w:val="single" w:color="auto" w:sz="6" w:space="0"/>
                    <w:right w:val="single" w:color="auto" w:sz="6" w:space="0"/>
                  </w:tcBorders>
                  <w:vAlign w:val="center"/>
                </w:tcPr>
                <w:p w14:paraId="7D1E9D3F">
                  <w:pPr>
                    <w:pStyle w:val="10"/>
                    <w:shd w:val="clear"/>
                    <w:rPr>
                      <w:sz w:val="18"/>
                      <w:highlight w:val="none"/>
                    </w:rPr>
                  </w:pPr>
                  <w:r>
                    <w:rPr>
                      <w:sz w:val="18"/>
                      <w:highlight w:val="none"/>
                    </w:rPr>
                    <w:t>类别</w:t>
                  </w:r>
                </w:p>
              </w:tc>
              <w:tc>
                <w:tcPr>
                  <w:tcW w:w="1055" w:type="pct"/>
                  <w:tcBorders>
                    <w:top w:val="single" w:color="auto" w:sz="12" w:space="0"/>
                    <w:left w:val="single" w:color="auto" w:sz="6" w:space="0"/>
                    <w:bottom w:val="single" w:color="auto" w:sz="6" w:space="0"/>
                    <w:right w:val="single" w:color="auto" w:sz="6" w:space="0"/>
                  </w:tcBorders>
                  <w:vAlign w:val="center"/>
                </w:tcPr>
                <w:p w14:paraId="1A837FDC">
                  <w:pPr>
                    <w:pStyle w:val="10"/>
                    <w:shd w:val="clear"/>
                    <w:rPr>
                      <w:sz w:val="18"/>
                      <w:highlight w:val="none"/>
                    </w:rPr>
                  </w:pPr>
                  <w:r>
                    <w:rPr>
                      <w:sz w:val="18"/>
                      <w:highlight w:val="none"/>
                    </w:rPr>
                    <w:t>项目</w:t>
                  </w:r>
                </w:p>
              </w:tc>
              <w:tc>
                <w:tcPr>
                  <w:tcW w:w="2876" w:type="pct"/>
                  <w:tcBorders>
                    <w:top w:val="single" w:color="auto" w:sz="12" w:space="0"/>
                    <w:left w:val="single" w:color="auto" w:sz="6" w:space="0"/>
                    <w:bottom w:val="single" w:color="auto" w:sz="6" w:space="0"/>
                    <w:right w:val="nil"/>
                  </w:tcBorders>
                  <w:vAlign w:val="center"/>
                </w:tcPr>
                <w:p w14:paraId="41CCEC12">
                  <w:pPr>
                    <w:pStyle w:val="10"/>
                    <w:shd w:val="clear"/>
                    <w:rPr>
                      <w:sz w:val="18"/>
                      <w:highlight w:val="none"/>
                    </w:rPr>
                  </w:pPr>
                  <w:r>
                    <w:rPr>
                      <w:sz w:val="18"/>
                      <w:highlight w:val="none"/>
                    </w:rPr>
                    <w:t>保护措施</w:t>
                  </w:r>
                </w:p>
              </w:tc>
            </w:tr>
            <w:tr w14:paraId="6AE99D92">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 w:type="pct"/>
                  <w:tcBorders>
                    <w:top w:val="single" w:color="auto" w:sz="6" w:space="0"/>
                    <w:left w:val="nil"/>
                    <w:bottom w:val="single" w:color="auto" w:sz="4" w:space="0"/>
                    <w:right w:val="single" w:color="auto" w:sz="6" w:space="0"/>
                  </w:tcBorders>
                  <w:vAlign w:val="center"/>
                </w:tcPr>
                <w:p w14:paraId="4509B5AA">
                  <w:pPr>
                    <w:pStyle w:val="10"/>
                    <w:shd w:val="clear"/>
                    <w:rPr>
                      <w:sz w:val="18"/>
                      <w:highlight w:val="none"/>
                    </w:rPr>
                  </w:pPr>
                  <w:r>
                    <w:rPr>
                      <w:sz w:val="18"/>
                      <w:highlight w:val="none"/>
                    </w:rPr>
                    <w:t>1</w:t>
                  </w:r>
                </w:p>
              </w:tc>
              <w:tc>
                <w:tcPr>
                  <w:tcW w:w="775" w:type="pct"/>
                  <w:tcBorders>
                    <w:top w:val="single" w:color="auto" w:sz="6" w:space="0"/>
                    <w:left w:val="single" w:color="auto" w:sz="6" w:space="0"/>
                    <w:bottom w:val="single" w:color="auto" w:sz="4" w:space="0"/>
                    <w:right w:val="single" w:color="auto" w:sz="6" w:space="0"/>
                  </w:tcBorders>
                  <w:vAlign w:val="center"/>
                </w:tcPr>
                <w:p w14:paraId="208B03F7">
                  <w:pPr>
                    <w:pStyle w:val="10"/>
                    <w:shd w:val="clear"/>
                    <w:rPr>
                      <w:sz w:val="18"/>
                      <w:highlight w:val="none"/>
                    </w:rPr>
                  </w:pPr>
                  <w:r>
                    <w:rPr>
                      <w:sz w:val="18"/>
                      <w:highlight w:val="none"/>
                    </w:rPr>
                    <w:t>重点防渗区</w:t>
                  </w:r>
                </w:p>
              </w:tc>
              <w:tc>
                <w:tcPr>
                  <w:tcW w:w="1055" w:type="pct"/>
                  <w:tcBorders>
                    <w:top w:val="single" w:color="auto" w:sz="6" w:space="0"/>
                    <w:left w:val="single" w:color="auto" w:sz="6" w:space="0"/>
                    <w:bottom w:val="single" w:color="auto" w:sz="6" w:space="0"/>
                    <w:right w:val="single" w:color="auto" w:sz="6" w:space="0"/>
                  </w:tcBorders>
                  <w:vAlign w:val="center"/>
                </w:tcPr>
                <w:p w14:paraId="1023DFF8">
                  <w:pPr>
                    <w:pStyle w:val="10"/>
                    <w:shd w:val="clear"/>
                    <w:rPr>
                      <w:rFonts w:hint="default" w:eastAsia="宋体"/>
                      <w:sz w:val="18"/>
                      <w:highlight w:val="none"/>
                      <w:lang w:val="en-US" w:eastAsia="zh-CN"/>
                    </w:rPr>
                  </w:pPr>
                  <w:r>
                    <w:rPr>
                      <w:sz w:val="18"/>
                      <w:highlight w:val="none"/>
                    </w:rPr>
                    <w:t>事故油池</w:t>
                  </w:r>
                  <w:r>
                    <w:rPr>
                      <w:rFonts w:hint="eastAsia"/>
                      <w:sz w:val="18"/>
                      <w:highlight w:val="none"/>
                      <w:lang w:eastAsia="zh-CN"/>
                    </w:rPr>
                    <w:t>、</w:t>
                  </w:r>
                  <w:r>
                    <w:rPr>
                      <w:rFonts w:hint="eastAsia"/>
                      <w:sz w:val="18"/>
                      <w:highlight w:val="none"/>
                      <w:lang w:val="en-US" w:eastAsia="zh-CN"/>
                    </w:rPr>
                    <w:t>危险废物贮存库</w:t>
                  </w:r>
                </w:p>
              </w:tc>
              <w:tc>
                <w:tcPr>
                  <w:tcW w:w="2876" w:type="pct"/>
                  <w:tcBorders>
                    <w:top w:val="single" w:color="auto" w:sz="6" w:space="0"/>
                    <w:left w:val="single" w:color="auto" w:sz="6" w:space="0"/>
                    <w:bottom w:val="single" w:color="auto" w:sz="6" w:space="0"/>
                    <w:right w:val="nil"/>
                  </w:tcBorders>
                  <w:vAlign w:val="center"/>
                </w:tcPr>
                <w:p w14:paraId="4B53DA46">
                  <w:pPr>
                    <w:pStyle w:val="10"/>
                    <w:shd w:val="clear"/>
                    <w:rPr>
                      <w:sz w:val="18"/>
                      <w:highlight w:val="none"/>
                    </w:rPr>
                  </w:pPr>
                  <w:r>
                    <w:rPr>
                      <w:sz w:val="18"/>
                      <w:highlight w:val="none"/>
                    </w:rPr>
                    <w:t>防渗层为至少1m厚黏土层（渗透系数不大于10</w:t>
                  </w:r>
                  <w:r>
                    <w:rPr>
                      <w:sz w:val="18"/>
                      <w:highlight w:val="none"/>
                      <w:vertAlign w:val="superscript"/>
                    </w:rPr>
                    <w:t>-7</w:t>
                  </w:r>
                  <w:r>
                    <w:rPr>
                      <w:sz w:val="18"/>
                      <w:highlight w:val="none"/>
                    </w:rPr>
                    <w:t>cm/s），或至少2mm厚高密度聚乙烯膜等人工防渗材料（渗透系数不大于10</w:t>
                  </w:r>
                  <w:r>
                    <w:rPr>
                      <w:sz w:val="18"/>
                      <w:highlight w:val="none"/>
                      <w:vertAlign w:val="superscript"/>
                    </w:rPr>
                    <w:t>-10</w:t>
                  </w:r>
                  <w:r>
                    <w:rPr>
                      <w:sz w:val="18"/>
                      <w:highlight w:val="none"/>
                    </w:rPr>
                    <w:t>cms），或其他防渗性能等效的材料，执行GB18597；或达到等效黏土防渗层Mb≥6m，K≤1×10</w:t>
                  </w:r>
                  <w:r>
                    <w:rPr>
                      <w:sz w:val="18"/>
                      <w:highlight w:val="none"/>
                      <w:vertAlign w:val="superscript"/>
                    </w:rPr>
                    <w:t>-7</w:t>
                  </w:r>
                  <w:r>
                    <w:rPr>
                      <w:sz w:val="18"/>
                      <w:highlight w:val="none"/>
                    </w:rPr>
                    <w:t xml:space="preserve"> cm/s</w:t>
                  </w:r>
                </w:p>
              </w:tc>
            </w:tr>
            <w:tr w14:paraId="51D1D9BB">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 w:type="pct"/>
                  <w:tcBorders>
                    <w:top w:val="single" w:color="auto" w:sz="6" w:space="0"/>
                    <w:left w:val="nil"/>
                    <w:bottom w:val="single" w:color="auto" w:sz="4" w:space="0"/>
                    <w:right w:val="single" w:color="auto" w:sz="6" w:space="0"/>
                  </w:tcBorders>
                  <w:vAlign w:val="center"/>
                </w:tcPr>
                <w:p w14:paraId="1F4EEAB1">
                  <w:pPr>
                    <w:pStyle w:val="10"/>
                    <w:shd w:val="clear"/>
                    <w:rPr>
                      <w:sz w:val="18"/>
                      <w:highlight w:val="none"/>
                    </w:rPr>
                  </w:pPr>
                  <w:r>
                    <w:rPr>
                      <w:sz w:val="18"/>
                      <w:highlight w:val="none"/>
                    </w:rPr>
                    <w:t>2</w:t>
                  </w:r>
                </w:p>
              </w:tc>
              <w:tc>
                <w:tcPr>
                  <w:tcW w:w="775" w:type="pct"/>
                  <w:tcBorders>
                    <w:top w:val="single" w:color="auto" w:sz="6" w:space="0"/>
                    <w:left w:val="single" w:color="auto" w:sz="6" w:space="0"/>
                    <w:bottom w:val="single" w:color="auto" w:sz="4" w:space="0"/>
                    <w:right w:val="single" w:color="auto" w:sz="6" w:space="0"/>
                  </w:tcBorders>
                  <w:vAlign w:val="center"/>
                </w:tcPr>
                <w:p w14:paraId="318E5D7F">
                  <w:pPr>
                    <w:pStyle w:val="10"/>
                    <w:shd w:val="clear"/>
                    <w:rPr>
                      <w:sz w:val="18"/>
                      <w:highlight w:val="none"/>
                    </w:rPr>
                  </w:pPr>
                  <w:r>
                    <w:rPr>
                      <w:sz w:val="18"/>
                      <w:highlight w:val="none"/>
                    </w:rPr>
                    <w:t>一般防渗</w:t>
                  </w:r>
                </w:p>
              </w:tc>
              <w:tc>
                <w:tcPr>
                  <w:tcW w:w="1055" w:type="pct"/>
                  <w:tcBorders>
                    <w:top w:val="single" w:color="auto" w:sz="6" w:space="0"/>
                    <w:left w:val="single" w:color="auto" w:sz="6" w:space="0"/>
                    <w:bottom w:val="single" w:color="auto" w:sz="6" w:space="0"/>
                    <w:right w:val="single" w:color="auto" w:sz="6" w:space="0"/>
                  </w:tcBorders>
                  <w:vAlign w:val="center"/>
                </w:tcPr>
                <w:p w14:paraId="3DA598C5">
                  <w:pPr>
                    <w:pStyle w:val="10"/>
                    <w:shd w:val="clear"/>
                    <w:rPr>
                      <w:sz w:val="18"/>
                      <w:highlight w:val="none"/>
                    </w:rPr>
                  </w:pPr>
                  <w:r>
                    <w:rPr>
                      <w:rFonts w:hint="eastAsia"/>
                      <w:sz w:val="18"/>
                      <w:highlight w:val="none"/>
                      <w:lang w:val="en-US" w:eastAsia="zh-CN"/>
                    </w:rPr>
                    <w:t>污水设备</w:t>
                  </w:r>
                  <w:r>
                    <w:rPr>
                      <w:sz w:val="18"/>
                      <w:highlight w:val="none"/>
                    </w:rPr>
                    <w:t>、一般工业固废贮存区</w:t>
                  </w:r>
                </w:p>
              </w:tc>
              <w:tc>
                <w:tcPr>
                  <w:tcW w:w="2876" w:type="pct"/>
                  <w:tcBorders>
                    <w:top w:val="single" w:color="auto" w:sz="6" w:space="0"/>
                    <w:left w:val="single" w:color="auto" w:sz="6" w:space="0"/>
                    <w:bottom w:val="single" w:color="auto" w:sz="6" w:space="0"/>
                    <w:right w:val="nil"/>
                  </w:tcBorders>
                  <w:vAlign w:val="center"/>
                </w:tcPr>
                <w:p w14:paraId="14E289EC">
                  <w:pPr>
                    <w:pStyle w:val="10"/>
                    <w:shd w:val="clear"/>
                    <w:rPr>
                      <w:sz w:val="18"/>
                      <w:highlight w:val="none"/>
                    </w:rPr>
                  </w:pPr>
                  <w:r>
                    <w:rPr>
                      <w:sz w:val="18"/>
                      <w:highlight w:val="none"/>
                    </w:rPr>
                    <w:t>地面采用黏土铺底，再铺上10～15cm的抗渗混凝土进行硬化，达到等效黏土防渗层Mb≥1.5m，K≤1×10</w:t>
                  </w:r>
                  <w:r>
                    <w:rPr>
                      <w:sz w:val="18"/>
                      <w:highlight w:val="none"/>
                      <w:vertAlign w:val="superscript"/>
                    </w:rPr>
                    <w:t>-7</w:t>
                  </w:r>
                  <w:r>
                    <w:rPr>
                      <w:sz w:val="18"/>
                      <w:highlight w:val="none"/>
                    </w:rPr>
                    <w:t xml:space="preserve"> cm/s；或参照GB16889执行</w:t>
                  </w:r>
                </w:p>
              </w:tc>
            </w:tr>
            <w:tr w14:paraId="4F693599">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292" w:type="pct"/>
                  <w:tcBorders>
                    <w:top w:val="single" w:color="auto" w:sz="6" w:space="0"/>
                    <w:left w:val="nil"/>
                    <w:bottom w:val="single" w:color="auto" w:sz="12" w:space="0"/>
                    <w:right w:val="single" w:color="auto" w:sz="6" w:space="0"/>
                  </w:tcBorders>
                  <w:vAlign w:val="center"/>
                </w:tcPr>
                <w:p w14:paraId="7A9AC135">
                  <w:pPr>
                    <w:pStyle w:val="10"/>
                    <w:shd w:val="clear"/>
                    <w:rPr>
                      <w:sz w:val="18"/>
                      <w:highlight w:val="none"/>
                    </w:rPr>
                  </w:pPr>
                  <w:r>
                    <w:rPr>
                      <w:sz w:val="18"/>
                      <w:highlight w:val="none"/>
                    </w:rPr>
                    <w:t>3</w:t>
                  </w:r>
                </w:p>
              </w:tc>
              <w:tc>
                <w:tcPr>
                  <w:tcW w:w="775" w:type="pct"/>
                  <w:tcBorders>
                    <w:top w:val="single" w:color="auto" w:sz="6" w:space="0"/>
                    <w:left w:val="single" w:color="auto" w:sz="6" w:space="0"/>
                    <w:bottom w:val="single" w:color="auto" w:sz="12" w:space="0"/>
                    <w:right w:val="single" w:color="auto" w:sz="6" w:space="0"/>
                  </w:tcBorders>
                  <w:vAlign w:val="center"/>
                </w:tcPr>
                <w:p w14:paraId="1DF30C23">
                  <w:pPr>
                    <w:pStyle w:val="10"/>
                    <w:shd w:val="clear"/>
                    <w:rPr>
                      <w:sz w:val="18"/>
                      <w:highlight w:val="none"/>
                    </w:rPr>
                  </w:pPr>
                  <w:r>
                    <w:rPr>
                      <w:sz w:val="18"/>
                      <w:highlight w:val="none"/>
                    </w:rPr>
                    <w:t>简单防渗区</w:t>
                  </w:r>
                </w:p>
              </w:tc>
              <w:tc>
                <w:tcPr>
                  <w:tcW w:w="1055" w:type="pct"/>
                  <w:tcBorders>
                    <w:top w:val="single" w:color="auto" w:sz="6" w:space="0"/>
                    <w:left w:val="single" w:color="auto" w:sz="6" w:space="0"/>
                    <w:bottom w:val="single" w:color="auto" w:sz="12" w:space="0"/>
                    <w:right w:val="single" w:color="auto" w:sz="6" w:space="0"/>
                  </w:tcBorders>
                  <w:vAlign w:val="center"/>
                </w:tcPr>
                <w:p w14:paraId="10255430">
                  <w:pPr>
                    <w:pStyle w:val="10"/>
                    <w:shd w:val="clear"/>
                    <w:rPr>
                      <w:sz w:val="18"/>
                      <w:highlight w:val="none"/>
                    </w:rPr>
                  </w:pPr>
                  <w:r>
                    <w:rPr>
                      <w:sz w:val="18"/>
                      <w:highlight w:val="none"/>
                    </w:rPr>
                    <w:t>办公生活区、管理用房、站区道路</w:t>
                  </w:r>
                </w:p>
              </w:tc>
              <w:tc>
                <w:tcPr>
                  <w:tcW w:w="2876" w:type="pct"/>
                  <w:tcBorders>
                    <w:top w:val="single" w:color="auto" w:sz="6" w:space="0"/>
                    <w:left w:val="single" w:color="auto" w:sz="6" w:space="0"/>
                    <w:bottom w:val="single" w:color="auto" w:sz="12" w:space="0"/>
                    <w:right w:val="nil"/>
                  </w:tcBorders>
                  <w:vAlign w:val="center"/>
                </w:tcPr>
                <w:p w14:paraId="031B7521">
                  <w:pPr>
                    <w:pStyle w:val="10"/>
                    <w:shd w:val="clear"/>
                    <w:rPr>
                      <w:sz w:val="18"/>
                      <w:highlight w:val="none"/>
                    </w:rPr>
                  </w:pPr>
                  <w:r>
                    <w:rPr>
                      <w:sz w:val="18"/>
                      <w:highlight w:val="none"/>
                    </w:rPr>
                    <w:t>地面硬化</w:t>
                  </w:r>
                </w:p>
              </w:tc>
            </w:tr>
          </w:tbl>
          <w:p w14:paraId="5A224039">
            <w:pPr>
              <w:shd w:val="clear"/>
              <w:ind w:firstLine="480"/>
              <w:rPr>
                <w:highlight w:val="none"/>
              </w:rPr>
            </w:pPr>
            <w:r>
              <w:rPr>
                <w:highlight w:val="none"/>
              </w:rPr>
              <w:t>综上，本项目在采取完善的防渗措施后，可有效阻止污染物下渗，从水文地质角度分析，本项目建设运行对地下水、土壤环境影响程度较小。</w:t>
            </w:r>
          </w:p>
          <w:p w14:paraId="6F06B52D">
            <w:pPr>
              <w:pStyle w:val="3"/>
              <w:shd w:val="clear"/>
              <w:rPr>
                <w:highlight w:val="none"/>
              </w:rPr>
            </w:pPr>
            <w:bookmarkStart w:id="430" w:name="_Toc1732"/>
            <w:bookmarkStart w:id="431" w:name="_Toc30617"/>
            <w:bookmarkStart w:id="432" w:name="_Toc4800"/>
            <w:r>
              <w:rPr>
                <w:highlight w:val="none"/>
              </w:rPr>
              <w:t>7、环境风险措施</w:t>
            </w:r>
            <w:bookmarkEnd w:id="430"/>
            <w:bookmarkEnd w:id="431"/>
            <w:bookmarkEnd w:id="432"/>
          </w:p>
          <w:p w14:paraId="6F6183D1">
            <w:pPr>
              <w:shd w:val="clear"/>
              <w:ind w:firstLine="480"/>
              <w:rPr>
                <w:highlight w:val="none"/>
              </w:rPr>
            </w:pPr>
            <w:r>
              <w:rPr>
                <w:highlight w:val="none"/>
              </w:rPr>
              <w:t>（1）建设项目事故油池容积50m</w:t>
            </w:r>
            <w:r>
              <w:rPr>
                <w:highlight w:val="none"/>
                <w:vertAlign w:val="superscript"/>
              </w:rPr>
              <w:t>3</w:t>
            </w:r>
            <w:r>
              <w:rPr>
                <w:highlight w:val="none"/>
              </w:rPr>
              <w:t>，满足最大单台变压器100%排油量要求，</w:t>
            </w:r>
            <w:r>
              <w:rPr>
                <w:color w:val="FF0000"/>
                <w:highlight w:val="none"/>
              </w:rPr>
              <w:t>变压器底部设地下钢筋混凝土贮油坑，大于主变压器油量的20%；坑底要设有排油管，能将事故油排至事故油池中，满足事故排油要求。</w:t>
            </w:r>
          </w:p>
          <w:p w14:paraId="0B0AEE87">
            <w:pPr>
              <w:shd w:val="clear"/>
              <w:ind w:firstLine="480"/>
              <w:rPr>
                <w:highlight w:val="none"/>
              </w:rPr>
            </w:pPr>
            <w:r>
              <w:rPr>
                <w:highlight w:val="none"/>
              </w:rPr>
              <w:t>（2）</w:t>
            </w:r>
            <w:r>
              <w:rPr>
                <w:rFonts w:hint="eastAsia"/>
                <w:highlight w:val="none"/>
                <w:lang w:eastAsia="zh-CN"/>
              </w:rPr>
              <w:t>升压站</w:t>
            </w:r>
            <w:r>
              <w:rPr>
                <w:highlight w:val="none"/>
              </w:rPr>
              <w:t>为禁烟区，设置</w:t>
            </w:r>
            <w:r>
              <w:rPr>
                <w:rFonts w:hint="eastAsia"/>
                <w:highlight w:val="none"/>
                <w:lang w:eastAsia="zh-CN"/>
              </w:rPr>
              <w:t>“</w:t>
            </w:r>
            <w:r>
              <w:rPr>
                <w:highlight w:val="none"/>
              </w:rPr>
              <w:t>禁止烟火</w:t>
            </w:r>
            <w:r>
              <w:rPr>
                <w:rFonts w:hint="eastAsia"/>
                <w:highlight w:val="none"/>
                <w:lang w:eastAsia="zh-CN"/>
              </w:rPr>
              <w:t>”</w:t>
            </w:r>
            <w:r>
              <w:rPr>
                <w:highlight w:val="none"/>
              </w:rPr>
              <w:t>的警示标志。</w:t>
            </w:r>
          </w:p>
          <w:p w14:paraId="3D6D5F6D">
            <w:pPr>
              <w:shd w:val="clear"/>
              <w:ind w:firstLine="480"/>
              <w:rPr>
                <w:highlight w:val="none"/>
              </w:rPr>
            </w:pPr>
            <w:r>
              <w:rPr>
                <w:highlight w:val="none"/>
              </w:rPr>
              <w:t>（3）配备灭火器等应急救援保障设备及器材。</w:t>
            </w:r>
          </w:p>
          <w:p w14:paraId="27F29CC9">
            <w:pPr>
              <w:shd w:val="clear"/>
              <w:ind w:firstLine="480"/>
              <w:rPr>
                <w:highlight w:val="none"/>
              </w:rPr>
            </w:pPr>
            <w:r>
              <w:rPr>
                <w:highlight w:val="none"/>
              </w:rPr>
              <w:t>（4）加强日常巡视及实地巡查检修。</w:t>
            </w:r>
          </w:p>
          <w:p w14:paraId="217589BD">
            <w:pPr>
              <w:shd w:val="clear"/>
              <w:ind w:firstLine="480"/>
              <w:rPr>
                <w:highlight w:val="none"/>
              </w:rPr>
            </w:pPr>
            <w:r>
              <w:rPr>
                <w:highlight w:val="none"/>
              </w:rPr>
              <w:t>（5）建设单位应设有消防设施布置图、互救信息等，并明确应急物资存放地点。</w:t>
            </w:r>
          </w:p>
          <w:p w14:paraId="3531CC69">
            <w:pPr>
              <w:shd w:val="clear"/>
              <w:ind w:firstLine="480"/>
              <w:rPr>
                <w:highlight w:val="none"/>
              </w:rPr>
            </w:pPr>
            <w:r>
              <w:rPr>
                <w:highlight w:val="none"/>
              </w:rPr>
              <w:t>（7）制定突发环境事件应急预案，加强员工的安全意识，制定培训学习计划并实施。</w:t>
            </w:r>
          </w:p>
          <w:p w14:paraId="527BAD30">
            <w:pPr>
              <w:shd w:val="clear"/>
              <w:ind w:firstLine="480"/>
              <w:rPr>
                <w:highlight w:val="none"/>
              </w:rPr>
            </w:pPr>
            <w:r>
              <w:rPr>
                <w:highlight w:val="none"/>
              </w:rPr>
              <w:t>（8）施工单位对事故油池应做好防渗要求，工程验收时应出具质量检测报告或者工程签证。</w:t>
            </w:r>
          </w:p>
          <w:p w14:paraId="6DAFEA7E">
            <w:pPr>
              <w:shd w:val="clear"/>
              <w:ind w:firstLine="480"/>
              <w:rPr>
                <w:highlight w:val="none"/>
              </w:rPr>
            </w:pPr>
            <w:r>
              <w:rPr>
                <w:highlight w:val="none"/>
              </w:rPr>
              <w:t>（9）建设单位应设有兼职的安全环保管理人员，通过技能培训，承担工程运行后的环保安全工作。落实各项安全管理制度、生产操作规则和事故应急计划及相应的应急处理手段。</w:t>
            </w:r>
          </w:p>
          <w:p w14:paraId="10C3DEBC">
            <w:pPr>
              <w:shd w:val="clear"/>
              <w:ind w:firstLine="480"/>
              <w:rPr>
                <w:highlight w:val="none"/>
              </w:rPr>
            </w:pPr>
            <w:r>
              <w:rPr>
                <w:highlight w:val="none"/>
              </w:rPr>
              <w:t>在建设单位落实好本报告提出的风险防范措施的要求后，可降低环境风险事故的发生概率，事故能够得到有效控制，使其局限于项目区域，不会波及周边环境，本项目的环境风险处于可接受水平。</w:t>
            </w:r>
          </w:p>
          <w:p w14:paraId="4544889F">
            <w:pPr>
              <w:pStyle w:val="3"/>
              <w:shd w:val="clear"/>
              <w:rPr>
                <w:highlight w:val="none"/>
              </w:rPr>
            </w:pPr>
            <w:bookmarkStart w:id="433" w:name="_Toc21019"/>
            <w:bookmarkStart w:id="434" w:name="_Toc25692"/>
            <w:bookmarkStart w:id="435" w:name="_Toc29402"/>
            <w:r>
              <w:rPr>
                <w:highlight w:val="none"/>
              </w:rPr>
              <w:t>8、运营期环境保护措施及预期效果</w:t>
            </w:r>
            <w:bookmarkEnd w:id="433"/>
            <w:bookmarkEnd w:id="434"/>
            <w:bookmarkEnd w:id="435"/>
          </w:p>
          <w:p w14:paraId="713A09AF">
            <w:pPr>
              <w:shd w:val="clear"/>
              <w:ind w:firstLine="480"/>
              <w:jc w:val="left"/>
              <w:rPr>
                <w:highlight w:val="none"/>
              </w:rPr>
            </w:pPr>
            <w:r>
              <w:rPr>
                <w:highlight w:val="none"/>
              </w:rPr>
              <w:t>运营期主要环境保护措施及预期效果详见表5-3。</w:t>
            </w:r>
          </w:p>
          <w:p w14:paraId="5A927B2E">
            <w:pPr>
              <w:pStyle w:val="5"/>
              <w:shd w:val="clear"/>
              <w:ind w:firstLine="422"/>
              <w:rPr>
                <w:highlight w:val="none"/>
              </w:rPr>
            </w:pPr>
            <w:r>
              <w:rPr>
                <w:highlight w:val="none"/>
              </w:rPr>
              <w:t>表5-3         运营期环境保护措施及预期效果一览表</w:t>
            </w:r>
          </w:p>
          <w:tbl>
            <w:tblPr>
              <w:tblStyle w:val="3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351"/>
              <w:gridCol w:w="3507"/>
              <w:gridCol w:w="1175"/>
              <w:gridCol w:w="2470"/>
            </w:tblGrid>
            <w:tr w14:paraId="71CBC3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234" w:type="pct"/>
                  <w:vAlign w:val="center"/>
                </w:tcPr>
                <w:p w14:paraId="408C703F">
                  <w:pPr>
                    <w:pStyle w:val="10"/>
                    <w:shd w:val="clear"/>
                    <w:rPr>
                      <w:sz w:val="18"/>
                      <w:highlight w:val="none"/>
                    </w:rPr>
                  </w:pPr>
                  <w:r>
                    <w:rPr>
                      <w:sz w:val="18"/>
                      <w:highlight w:val="none"/>
                    </w:rPr>
                    <w:t>序号</w:t>
                  </w:r>
                </w:p>
              </w:tc>
              <w:tc>
                <w:tcPr>
                  <w:tcW w:w="2336" w:type="pct"/>
                  <w:vAlign w:val="center"/>
                </w:tcPr>
                <w:p w14:paraId="66BB073D">
                  <w:pPr>
                    <w:pStyle w:val="10"/>
                    <w:shd w:val="clear"/>
                    <w:rPr>
                      <w:sz w:val="18"/>
                      <w:highlight w:val="none"/>
                    </w:rPr>
                  </w:pPr>
                  <w:r>
                    <w:rPr>
                      <w:sz w:val="18"/>
                      <w:highlight w:val="none"/>
                    </w:rPr>
                    <w:t>环境保护措施要求</w:t>
                  </w:r>
                </w:p>
              </w:tc>
              <w:tc>
                <w:tcPr>
                  <w:tcW w:w="783" w:type="pct"/>
                  <w:vAlign w:val="center"/>
                </w:tcPr>
                <w:p w14:paraId="30118DA5">
                  <w:pPr>
                    <w:pStyle w:val="10"/>
                    <w:shd w:val="clear"/>
                    <w:rPr>
                      <w:sz w:val="18"/>
                      <w:highlight w:val="none"/>
                    </w:rPr>
                  </w:pPr>
                  <w:r>
                    <w:rPr>
                      <w:sz w:val="18"/>
                      <w:highlight w:val="none"/>
                    </w:rPr>
                    <w:t>实施保障</w:t>
                  </w:r>
                </w:p>
              </w:tc>
              <w:tc>
                <w:tcPr>
                  <w:tcW w:w="1645" w:type="pct"/>
                  <w:vAlign w:val="center"/>
                </w:tcPr>
                <w:p w14:paraId="2C73CEA8">
                  <w:pPr>
                    <w:pStyle w:val="10"/>
                    <w:shd w:val="clear"/>
                    <w:rPr>
                      <w:sz w:val="18"/>
                      <w:highlight w:val="none"/>
                    </w:rPr>
                  </w:pPr>
                  <w:r>
                    <w:rPr>
                      <w:sz w:val="18"/>
                      <w:highlight w:val="none"/>
                    </w:rPr>
                    <w:t>实施效果</w:t>
                  </w:r>
                </w:p>
              </w:tc>
            </w:tr>
            <w:tr w14:paraId="730E44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34" w:hRule="atLeast"/>
                <w:jc w:val="center"/>
              </w:trPr>
              <w:tc>
                <w:tcPr>
                  <w:tcW w:w="234" w:type="pct"/>
                  <w:vAlign w:val="center"/>
                </w:tcPr>
                <w:p w14:paraId="3108552C">
                  <w:pPr>
                    <w:pStyle w:val="10"/>
                    <w:shd w:val="clear"/>
                    <w:rPr>
                      <w:sz w:val="18"/>
                      <w:highlight w:val="none"/>
                    </w:rPr>
                  </w:pPr>
                  <w:r>
                    <w:rPr>
                      <w:sz w:val="18"/>
                      <w:highlight w:val="none"/>
                    </w:rPr>
                    <w:t>1</w:t>
                  </w:r>
                </w:p>
              </w:tc>
              <w:tc>
                <w:tcPr>
                  <w:tcW w:w="2336" w:type="pct"/>
                  <w:vAlign w:val="center"/>
                </w:tcPr>
                <w:p w14:paraId="27B850BA">
                  <w:pPr>
                    <w:pStyle w:val="10"/>
                    <w:shd w:val="clear"/>
                    <w:rPr>
                      <w:sz w:val="18"/>
                      <w:highlight w:val="none"/>
                    </w:rPr>
                  </w:pPr>
                  <w:r>
                    <w:rPr>
                      <w:sz w:val="18"/>
                      <w:highlight w:val="none"/>
                    </w:rPr>
                    <w:t>生态：运营期利用已有道路作为巡检道路，严格限制行驶路线。</w:t>
                  </w:r>
                </w:p>
              </w:tc>
              <w:tc>
                <w:tcPr>
                  <w:tcW w:w="783" w:type="pct"/>
                  <w:vMerge w:val="restart"/>
                  <w:vAlign w:val="center"/>
                </w:tcPr>
                <w:p w14:paraId="64FDBDF2">
                  <w:pPr>
                    <w:pStyle w:val="10"/>
                    <w:shd w:val="clear"/>
                    <w:rPr>
                      <w:sz w:val="18"/>
                      <w:highlight w:val="none"/>
                    </w:rPr>
                  </w:pPr>
                  <w:r>
                    <w:rPr>
                      <w:sz w:val="18"/>
                      <w:highlight w:val="none"/>
                    </w:rPr>
                    <w:t>①建立环境管理机构，配备专职或兼职环保管理人员；</w:t>
                  </w:r>
                </w:p>
                <w:p w14:paraId="756CC69A">
                  <w:pPr>
                    <w:pStyle w:val="10"/>
                    <w:shd w:val="clear"/>
                    <w:rPr>
                      <w:sz w:val="18"/>
                      <w:highlight w:val="none"/>
                    </w:rPr>
                  </w:pPr>
                  <w:r>
                    <w:rPr>
                      <w:sz w:val="18"/>
                      <w:highlight w:val="none"/>
                    </w:rPr>
                    <w:t>②制定相关方环境管理条例、质量管理规定；</w:t>
                  </w:r>
                </w:p>
                <w:p w14:paraId="690BEC0B">
                  <w:pPr>
                    <w:pStyle w:val="10"/>
                    <w:shd w:val="clear"/>
                    <w:rPr>
                      <w:sz w:val="18"/>
                      <w:highlight w:val="none"/>
                    </w:rPr>
                  </w:pPr>
                  <w:r>
                    <w:rPr>
                      <w:sz w:val="18"/>
                      <w:highlight w:val="none"/>
                    </w:rPr>
                    <w:t>③开展经常性检查、监督，发现问题及时解决、纠正</w:t>
                  </w:r>
                </w:p>
              </w:tc>
              <w:tc>
                <w:tcPr>
                  <w:tcW w:w="1645" w:type="pct"/>
                  <w:vAlign w:val="center"/>
                </w:tcPr>
                <w:p w14:paraId="096B43A2">
                  <w:pPr>
                    <w:pStyle w:val="10"/>
                    <w:shd w:val="clear"/>
                    <w:rPr>
                      <w:sz w:val="18"/>
                      <w:highlight w:val="none"/>
                    </w:rPr>
                  </w:pPr>
                  <w:r>
                    <w:rPr>
                      <w:sz w:val="18"/>
                      <w:highlight w:val="none"/>
                    </w:rPr>
                    <w:t>运行期巡检对生态环境影响很小。</w:t>
                  </w:r>
                </w:p>
              </w:tc>
            </w:tr>
            <w:tr w14:paraId="59D220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jc w:val="center"/>
              </w:trPr>
              <w:tc>
                <w:tcPr>
                  <w:tcW w:w="234" w:type="pct"/>
                  <w:vAlign w:val="center"/>
                </w:tcPr>
                <w:p w14:paraId="05788A88">
                  <w:pPr>
                    <w:pStyle w:val="10"/>
                    <w:shd w:val="clear"/>
                    <w:rPr>
                      <w:sz w:val="18"/>
                      <w:highlight w:val="none"/>
                    </w:rPr>
                  </w:pPr>
                  <w:r>
                    <w:rPr>
                      <w:sz w:val="18"/>
                      <w:highlight w:val="none"/>
                    </w:rPr>
                    <w:t>2</w:t>
                  </w:r>
                </w:p>
              </w:tc>
              <w:tc>
                <w:tcPr>
                  <w:tcW w:w="2336" w:type="pct"/>
                  <w:vAlign w:val="center"/>
                </w:tcPr>
                <w:p w14:paraId="7C672BF0">
                  <w:pPr>
                    <w:pStyle w:val="10"/>
                    <w:shd w:val="clear"/>
                    <w:rPr>
                      <w:sz w:val="18"/>
                      <w:highlight w:val="none"/>
                    </w:rPr>
                  </w:pPr>
                  <w:r>
                    <w:rPr>
                      <w:sz w:val="18"/>
                      <w:highlight w:val="none"/>
                    </w:rPr>
                    <w:t>废水：生活污水经隔油池+一体化污水处理设施处理，设置40m</w:t>
                  </w:r>
                  <w:r>
                    <w:rPr>
                      <w:sz w:val="18"/>
                      <w:highlight w:val="none"/>
                      <w:vertAlign w:val="superscript"/>
                    </w:rPr>
                    <w:t>3</w:t>
                  </w:r>
                  <w:r>
                    <w:rPr>
                      <w:sz w:val="18"/>
                      <w:highlight w:val="none"/>
                    </w:rPr>
                    <w:t>的</w:t>
                  </w:r>
                  <w:r>
                    <w:rPr>
                      <w:rFonts w:hint="eastAsia"/>
                      <w:sz w:val="18"/>
                      <w:highlight w:val="none"/>
                      <w:lang w:eastAsia="zh-CN"/>
                    </w:rPr>
                    <w:t>集水池</w:t>
                  </w:r>
                  <w:r>
                    <w:rPr>
                      <w:sz w:val="18"/>
                      <w:highlight w:val="none"/>
                    </w:rPr>
                    <w:t>，用于冬季储水，夏季用于站区周边荒漠灌溉。</w:t>
                  </w:r>
                </w:p>
              </w:tc>
              <w:tc>
                <w:tcPr>
                  <w:tcW w:w="783" w:type="pct"/>
                  <w:vMerge w:val="continue"/>
                  <w:vAlign w:val="center"/>
                </w:tcPr>
                <w:p w14:paraId="1D0DA0A8">
                  <w:pPr>
                    <w:pStyle w:val="10"/>
                    <w:shd w:val="clear"/>
                    <w:rPr>
                      <w:sz w:val="18"/>
                      <w:highlight w:val="none"/>
                    </w:rPr>
                  </w:pPr>
                </w:p>
              </w:tc>
              <w:tc>
                <w:tcPr>
                  <w:tcW w:w="1645" w:type="pct"/>
                  <w:vAlign w:val="center"/>
                </w:tcPr>
                <w:p w14:paraId="2ED91A49">
                  <w:pPr>
                    <w:pStyle w:val="10"/>
                    <w:shd w:val="clear"/>
                    <w:rPr>
                      <w:sz w:val="18"/>
                      <w:highlight w:val="none"/>
                    </w:rPr>
                  </w:pPr>
                  <w:r>
                    <w:rPr>
                      <w:sz w:val="18"/>
                      <w:highlight w:val="none"/>
                    </w:rPr>
                    <w:t>执行《农村生活污水处理排放标准》（DB65 4275-2019）表2中B级标准限值要求</w:t>
                  </w:r>
                </w:p>
              </w:tc>
            </w:tr>
            <w:tr w14:paraId="4ED9EA1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63" w:hRule="atLeast"/>
                <w:jc w:val="center"/>
              </w:trPr>
              <w:tc>
                <w:tcPr>
                  <w:tcW w:w="234" w:type="pct"/>
                  <w:vAlign w:val="center"/>
                </w:tcPr>
                <w:p w14:paraId="6D323754">
                  <w:pPr>
                    <w:pStyle w:val="10"/>
                    <w:shd w:val="clear"/>
                    <w:rPr>
                      <w:sz w:val="18"/>
                      <w:highlight w:val="none"/>
                    </w:rPr>
                  </w:pPr>
                  <w:r>
                    <w:rPr>
                      <w:sz w:val="18"/>
                      <w:highlight w:val="none"/>
                    </w:rPr>
                    <w:t>3</w:t>
                  </w:r>
                </w:p>
              </w:tc>
              <w:tc>
                <w:tcPr>
                  <w:tcW w:w="2336" w:type="pct"/>
                  <w:vAlign w:val="center"/>
                </w:tcPr>
                <w:p w14:paraId="3A8193E4">
                  <w:pPr>
                    <w:pStyle w:val="10"/>
                    <w:shd w:val="clear"/>
                    <w:rPr>
                      <w:sz w:val="18"/>
                      <w:highlight w:val="none"/>
                    </w:rPr>
                  </w:pPr>
                  <w:r>
                    <w:rPr>
                      <w:sz w:val="18"/>
                      <w:highlight w:val="none"/>
                    </w:rPr>
                    <w:t>噪声：选择低噪声设施，加强日常维护。</w:t>
                  </w:r>
                </w:p>
              </w:tc>
              <w:tc>
                <w:tcPr>
                  <w:tcW w:w="783" w:type="pct"/>
                  <w:vMerge w:val="continue"/>
                  <w:vAlign w:val="center"/>
                </w:tcPr>
                <w:p w14:paraId="18136DC5">
                  <w:pPr>
                    <w:pStyle w:val="10"/>
                    <w:shd w:val="clear"/>
                    <w:rPr>
                      <w:sz w:val="18"/>
                      <w:highlight w:val="none"/>
                    </w:rPr>
                  </w:pPr>
                </w:p>
              </w:tc>
              <w:tc>
                <w:tcPr>
                  <w:tcW w:w="1645" w:type="pct"/>
                  <w:vAlign w:val="center"/>
                </w:tcPr>
                <w:p w14:paraId="3C66CD2C">
                  <w:pPr>
                    <w:pStyle w:val="10"/>
                    <w:shd w:val="clear"/>
                    <w:rPr>
                      <w:sz w:val="18"/>
                      <w:highlight w:val="none"/>
                    </w:rPr>
                  </w:pPr>
                  <w:r>
                    <w:rPr>
                      <w:rFonts w:hint="eastAsia"/>
                      <w:sz w:val="18"/>
                      <w:highlight w:val="none"/>
                      <w:lang w:eastAsia="zh-CN"/>
                    </w:rPr>
                    <w:t>升压站</w:t>
                  </w:r>
                  <w:r>
                    <w:rPr>
                      <w:sz w:val="18"/>
                      <w:highlight w:val="none"/>
                    </w:rPr>
                    <w:t>厂界及线路沿线声环境满足《工业企业厂界环境噪声排放标准》（GB12348-2008）中的2类限值要求。</w:t>
                  </w:r>
                </w:p>
              </w:tc>
            </w:tr>
            <w:tr w14:paraId="3FF8B1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63" w:hRule="atLeast"/>
                <w:jc w:val="center"/>
              </w:trPr>
              <w:tc>
                <w:tcPr>
                  <w:tcW w:w="234" w:type="pct"/>
                  <w:vAlign w:val="center"/>
                </w:tcPr>
                <w:p w14:paraId="18F5B39F">
                  <w:pPr>
                    <w:pStyle w:val="10"/>
                    <w:shd w:val="clear"/>
                    <w:rPr>
                      <w:sz w:val="18"/>
                      <w:highlight w:val="none"/>
                    </w:rPr>
                  </w:pPr>
                  <w:r>
                    <w:rPr>
                      <w:sz w:val="18"/>
                      <w:highlight w:val="none"/>
                    </w:rPr>
                    <w:t>4</w:t>
                  </w:r>
                </w:p>
              </w:tc>
              <w:tc>
                <w:tcPr>
                  <w:tcW w:w="2336" w:type="pct"/>
                  <w:vAlign w:val="center"/>
                </w:tcPr>
                <w:p w14:paraId="24F890A3">
                  <w:pPr>
                    <w:pStyle w:val="10"/>
                    <w:shd w:val="clear"/>
                    <w:rPr>
                      <w:sz w:val="18"/>
                      <w:highlight w:val="none"/>
                    </w:rPr>
                  </w:pPr>
                  <w:r>
                    <w:rPr>
                      <w:sz w:val="18"/>
                      <w:highlight w:val="none"/>
                    </w:rPr>
                    <w:t>固废：生活垃圾集中收集后委托 环卫部门清运；磷酸铁锂电池定期更换，委托厂家回收；废电子电器设备集中收集至一般工业固废储存间（24m</w:t>
                  </w:r>
                  <w:r>
                    <w:rPr>
                      <w:sz w:val="18"/>
                      <w:highlight w:val="none"/>
                      <w:vertAlign w:val="superscript"/>
                    </w:rPr>
                    <w:t>3</w:t>
                  </w:r>
                  <w:r>
                    <w:rPr>
                      <w:sz w:val="18"/>
                      <w:highlight w:val="none"/>
                    </w:rPr>
                    <w:t>），定期外售；废变压器油更换时直接抽取，委托有资质单位处置；</w:t>
                  </w:r>
                  <w:r>
                    <w:rPr>
                      <w:rFonts w:hint="eastAsia"/>
                      <w:sz w:val="18"/>
                      <w:highlight w:val="none"/>
                      <w:lang w:val="en-US" w:eastAsia="zh-CN"/>
                    </w:rPr>
                    <w:t>废铅酸电池、</w:t>
                  </w:r>
                  <w:r>
                    <w:rPr>
                      <w:sz w:val="18"/>
                      <w:highlight w:val="none"/>
                    </w:rPr>
                    <w:t>含油抹布、手套集中收集至危险废物贮存库内，定期交由有资质单位进行处置。</w:t>
                  </w:r>
                </w:p>
              </w:tc>
              <w:tc>
                <w:tcPr>
                  <w:tcW w:w="783" w:type="pct"/>
                  <w:vMerge w:val="continue"/>
                  <w:vAlign w:val="center"/>
                </w:tcPr>
                <w:p w14:paraId="6ED187B1">
                  <w:pPr>
                    <w:pStyle w:val="10"/>
                    <w:shd w:val="clear"/>
                    <w:rPr>
                      <w:sz w:val="18"/>
                      <w:highlight w:val="none"/>
                    </w:rPr>
                  </w:pPr>
                </w:p>
              </w:tc>
              <w:tc>
                <w:tcPr>
                  <w:tcW w:w="1645" w:type="pct"/>
                  <w:vAlign w:val="center"/>
                </w:tcPr>
                <w:p w14:paraId="774F8044">
                  <w:pPr>
                    <w:pStyle w:val="10"/>
                    <w:shd w:val="clear"/>
                    <w:rPr>
                      <w:sz w:val="18"/>
                      <w:highlight w:val="none"/>
                    </w:rPr>
                  </w:pPr>
                  <w:r>
                    <w:rPr>
                      <w:sz w:val="18"/>
                      <w:highlight w:val="none"/>
                    </w:rPr>
                    <w:t>各类固体废弃物能够妥善处置。</w:t>
                  </w:r>
                </w:p>
              </w:tc>
            </w:tr>
            <w:tr w14:paraId="173884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63" w:hRule="atLeast"/>
                <w:jc w:val="center"/>
              </w:trPr>
              <w:tc>
                <w:tcPr>
                  <w:tcW w:w="234" w:type="pct"/>
                  <w:vAlign w:val="center"/>
                </w:tcPr>
                <w:p w14:paraId="42B8C541">
                  <w:pPr>
                    <w:pStyle w:val="10"/>
                    <w:shd w:val="clear"/>
                    <w:rPr>
                      <w:sz w:val="18"/>
                      <w:highlight w:val="none"/>
                    </w:rPr>
                  </w:pPr>
                  <w:r>
                    <w:rPr>
                      <w:sz w:val="18"/>
                      <w:highlight w:val="none"/>
                    </w:rPr>
                    <w:t>5</w:t>
                  </w:r>
                </w:p>
              </w:tc>
              <w:tc>
                <w:tcPr>
                  <w:tcW w:w="2336" w:type="pct"/>
                  <w:vAlign w:val="center"/>
                </w:tcPr>
                <w:p w14:paraId="4574163F">
                  <w:pPr>
                    <w:pStyle w:val="10"/>
                    <w:shd w:val="clear"/>
                    <w:rPr>
                      <w:sz w:val="18"/>
                      <w:highlight w:val="none"/>
                    </w:rPr>
                  </w:pPr>
                  <w:r>
                    <w:rPr>
                      <w:sz w:val="18"/>
                      <w:highlight w:val="none"/>
                    </w:rPr>
                    <w:t>设置标识标牌，设置专职人员维护</w:t>
                  </w:r>
                </w:p>
              </w:tc>
              <w:tc>
                <w:tcPr>
                  <w:tcW w:w="783" w:type="pct"/>
                  <w:vMerge w:val="continue"/>
                  <w:vAlign w:val="center"/>
                </w:tcPr>
                <w:p w14:paraId="11863B3E">
                  <w:pPr>
                    <w:pStyle w:val="10"/>
                    <w:shd w:val="clear"/>
                    <w:rPr>
                      <w:sz w:val="18"/>
                      <w:highlight w:val="none"/>
                    </w:rPr>
                  </w:pPr>
                </w:p>
              </w:tc>
              <w:tc>
                <w:tcPr>
                  <w:tcW w:w="1645" w:type="pct"/>
                  <w:vAlign w:val="center"/>
                </w:tcPr>
                <w:p w14:paraId="659B7085">
                  <w:pPr>
                    <w:pStyle w:val="10"/>
                    <w:shd w:val="clear"/>
                    <w:rPr>
                      <w:sz w:val="18"/>
                      <w:highlight w:val="none"/>
                    </w:rPr>
                  </w:pPr>
                  <w:r>
                    <w:rPr>
                      <w:sz w:val="18"/>
                      <w:highlight w:val="none"/>
                    </w:rPr>
                    <w:t>工频电场强度、工频磁感应强度满足《电磁环境控制限值》（GB 8702-2014）中的（电场强度≤4000V/m；磁感应强度≤100μT）。</w:t>
                  </w:r>
                </w:p>
              </w:tc>
            </w:tr>
            <w:tr w14:paraId="08A65E8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63" w:hRule="atLeast"/>
                <w:jc w:val="center"/>
              </w:trPr>
              <w:tc>
                <w:tcPr>
                  <w:tcW w:w="234" w:type="pct"/>
                  <w:vAlign w:val="center"/>
                </w:tcPr>
                <w:p w14:paraId="6E4392BC">
                  <w:pPr>
                    <w:pStyle w:val="10"/>
                    <w:shd w:val="clear"/>
                    <w:rPr>
                      <w:sz w:val="18"/>
                      <w:highlight w:val="none"/>
                    </w:rPr>
                  </w:pPr>
                  <w:r>
                    <w:rPr>
                      <w:sz w:val="18"/>
                      <w:highlight w:val="none"/>
                    </w:rPr>
                    <w:t>6</w:t>
                  </w:r>
                </w:p>
              </w:tc>
              <w:tc>
                <w:tcPr>
                  <w:tcW w:w="2336" w:type="pct"/>
                  <w:vAlign w:val="center"/>
                </w:tcPr>
                <w:p w14:paraId="31611622">
                  <w:pPr>
                    <w:pStyle w:val="10"/>
                    <w:shd w:val="clear"/>
                    <w:rPr>
                      <w:sz w:val="18"/>
                      <w:highlight w:val="none"/>
                    </w:rPr>
                  </w:pPr>
                  <w:r>
                    <w:rPr>
                      <w:sz w:val="18"/>
                      <w:highlight w:val="none"/>
                    </w:rPr>
                    <w:t>地下水、土壤：采取分区防渗措施</w:t>
                  </w:r>
                </w:p>
              </w:tc>
              <w:tc>
                <w:tcPr>
                  <w:tcW w:w="783" w:type="pct"/>
                  <w:vMerge w:val="continue"/>
                  <w:vAlign w:val="center"/>
                </w:tcPr>
                <w:p w14:paraId="749AD61D">
                  <w:pPr>
                    <w:pStyle w:val="10"/>
                    <w:shd w:val="clear"/>
                    <w:rPr>
                      <w:sz w:val="18"/>
                      <w:highlight w:val="none"/>
                    </w:rPr>
                  </w:pPr>
                </w:p>
              </w:tc>
              <w:tc>
                <w:tcPr>
                  <w:tcW w:w="1645" w:type="pct"/>
                  <w:vAlign w:val="center"/>
                </w:tcPr>
                <w:p w14:paraId="7315067A">
                  <w:pPr>
                    <w:pStyle w:val="10"/>
                    <w:shd w:val="clear"/>
                    <w:rPr>
                      <w:sz w:val="18"/>
                      <w:highlight w:val="none"/>
                    </w:rPr>
                  </w:pPr>
                  <w:r>
                    <w:rPr>
                      <w:sz w:val="18"/>
                      <w:highlight w:val="none"/>
                    </w:rPr>
                    <w:t>正常工况下无污染途径。</w:t>
                  </w:r>
                </w:p>
              </w:tc>
            </w:tr>
            <w:tr w14:paraId="16F020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63" w:hRule="atLeast"/>
                <w:jc w:val="center"/>
              </w:trPr>
              <w:tc>
                <w:tcPr>
                  <w:tcW w:w="234" w:type="pct"/>
                  <w:vAlign w:val="center"/>
                </w:tcPr>
                <w:p w14:paraId="7185EDCF">
                  <w:pPr>
                    <w:pStyle w:val="10"/>
                    <w:shd w:val="clear"/>
                    <w:rPr>
                      <w:sz w:val="18"/>
                      <w:highlight w:val="none"/>
                    </w:rPr>
                  </w:pPr>
                  <w:r>
                    <w:rPr>
                      <w:sz w:val="18"/>
                      <w:highlight w:val="none"/>
                    </w:rPr>
                    <w:t>7</w:t>
                  </w:r>
                </w:p>
              </w:tc>
              <w:tc>
                <w:tcPr>
                  <w:tcW w:w="2336" w:type="pct"/>
                  <w:vAlign w:val="center"/>
                </w:tcPr>
                <w:p w14:paraId="3A010CF2">
                  <w:pPr>
                    <w:pStyle w:val="10"/>
                    <w:shd w:val="clear"/>
                    <w:rPr>
                      <w:sz w:val="18"/>
                      <w:highlight w:val="none"/>
                    </w:rPr>
                  </w:pPr>
                  <w:r>
                    <w:rPr>
                      <w:sz w:val="18"/>
                      <w:highlight w:val="none"/>
                    </w:rPr>
                    <w:t>风险：设置事故应急池50m</w:t>
                  </w:r>
                  <w:r>
                    <w:rPr>
                      <w:sz w:val="18"/>
                      <w:highlight w:val="none"/>
                      <w:vertAlign w:val="superscript"/>
                    </w:rPr>
                    <w:t>3</w:t>
                  </w:r>
                  <w:r>
                    <w:rPr>
                      <w:sz w:val="18"/>
                      <w:highlight w:val="none"/>
                    </w:rPr>
                    <w:t>，配备应急物资、人员，制定应急预案等</w:t>
                  </w:r>
                </w:p>
              </w:tc>
              <w:tc>
                <w:tcPr>
                  <w:tcW w:w="783" w:type="pct"/>
                  <w:vMerge w:val="continue"/>
                  <w:vAlign w:val="center"/>
                </w:tcPr>
                <w:p w14:paraId="555A655F">
                  <w:pPr>
                    <w:pStyle w:val="10"/>
                    <w:shd w:val="clear"/>
                    <w:rPr>
                      <w:sz w:val="18"/>
                      <w:highlight w:val="none"/>
                    </w:rPr>
                  </w:pPr>
                </w:p>
              </w:tc>
              <w:tc>
                <w:tcPr>
                  <w:tcW w:w="1645" w:type="pct"/>
                  <w:vAlign w:val="center"/>
                </w:tcPr>
                <w:p w14:paraId="07EFD5F7">
                  <w:pPr>
                    <w:pStyle w:val="10"/>
                    <w:shd w:val="clear"/>
                    <w:rPr>
                      <w:sz w:val="18"/>
                      <w:highlight w:val="none"/>
                    </w:rPr>
                  </w:pPr>
                  <w:r>
                    <w:rPr>
                      <w:sz w:val="18"/>
                      <w:highlight w:val="none"/>
                    </w:rPr>
                    <w:t>事故油池容积满足事故排油需求，容量按100%最大单台变压器油量设计。</w:t>
                  </w:r>
                </w:p>
              </w:tc>
            </w:tr>
          </w:tbl>
          <w:p w14:paraId="150E2D38">
            <w:pPr>
              <w:pStyle w:val="55"/>
              <w:shd w:val="clear"/>
              <w:rPr>
                <w:rFonts w:ascii="Times New Roman" w:hAnsi="Times New Roman" w:cs="Times New Roman"/>
                <w:color w:val="auto"/>
                <w:highlight w:val="none"/>
              </w:rPr>
            </w:pPr>
          </w:p>
        </w:tc>
      </w:tr>
      <w:tr w14:paraId="7F89E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290F5221">
            <w:pPr>
              <w:shd w:val="clear"/>
              <w:ind w:firstLine="0" w:firstLineChars="0"/>
              <w:rPr>
                <w:bCs/>
                <w:spacing w:val="10"/>
                <w:highlight w:val="none"/>
              </w:rPr>
            </w:pPr>
            <w:r>
              <w:rPr>
                <w:bCs/>
                <w:highlight w:val="none"/>
              </w:rPr>
              <w:t>其他</w:t>
            </w:r>
          </w:p>
        </w:tc>
        <w:tc>
          <w:tcPr>
            <w:tcW w:w="0" w:type="auto"/>
          </w:tcPr>
          <w:p w14:paraId="60415548">
            <w:pPr>
              <w:pStyle w:val="3"/>
              <w:shd w:val="clear"/>
              <w:rPr>
                <w:highlight w:val="none"/>
              </w:rPr>
            </w:pPr>
            <w:bookmarkStart w:id="436" w:name="_Toc22830"/>
            <w:bookmarkStart w:id="437" w:name="_Toc28"/>
            <w:bookmarkStart w:id="438" w:name="_Toc16226"/>
            <w:r>
              <w:rPr>
                <w:rFonts w:hint="eastAsia"/>
                <w:highlight w:val="none"/>
                <w:lang w:val="en-US" w:eastAsia="zh-CN"/>
              </w:rPr>
              <w:t>1</w:t>
            </w:r>
            <w:r>
              <w:rPr>
                <w:highlight w:val="none"/>
              </w:rPr>
              <w:t>、监测计划</w:t>
            </w:r>
            <w:bookmarkEnd w:id="436"/>
            <w:bookmarkEnd w:id="437"/>
            <w:bookmarkEnd w:id="438"/>
          </w:p>
          <w:p w14:paraId="45718A04">
            <w:pPr>
              <w:shd w:val="clear"/>
              <w:ind w:firstLine="480"/>
              <w:rPr>
                <w:highlight w:val="none"/>
              </w:rPr>
            </w:pPr>
            <w:r>
              <w:rPr>
                <w:highlight w:val="none"/>
              </w:rPr>
              <w:t>本项目运营后监测计划如下表5-</w:t>
            </w:r>
            <w:r>
              <w:rPr>
                <w:rFonts w:hint="eastAsia"/>
                <w:highlight w:val="none"/>
                <w:lang w:val="en-US" w:eastAsia="zh-CN"/>
              </w:rPr>
              <w:t>4</w:t>
            </w:r>
            <w:r>
              <w:rPr>
                <w:highlight w:val="none"/>
              </w:rPr>
              <w:t>：</w:t>
            </w:r>
          </w:p>
          <w:p w14:paraId="2FC893A5">
            <w:pPr>
              <w:pStyle w:val="5"/>
              <w:shd w:val="clear"/>
              <w:ind w:firstLine="422"/>
              <w:rPr>
                <w:highlight w:val="none"/>
              </w:rPr>
            </w:pPr>
            <w:r>
              <w:rPr>
                <w:highlight w:val="none"/>
              </w:rPr>
              <w:t>表5-</w:t>
            </w:r>
            <w:r>
              <w:rPr>
                <w:rFonts w:hint="eastAsia"/>
                <w:highlight w:val="none"/>
                <w:lang w:val="en-US" w:eastAsia="zh-CN"/>
              </w:rPr>
              <w:t>4</w:t>
            </w:r>
            <w:r>
              <w:rPr>
                <w:highlight w:val="none"/>
              </w:rPr>
              <w:t xml:space="preserve">              环境监测计划</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1"/>
              <w:gridCol w:w="1899"/>
              <w:gridCol w:w="2129"/>
              <w:gridCol w:w="3014"/>
            </w:tblGrid>
            <w:tr w14:paraId="0FE509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2" w:hRule="atLeast"/>
              </w:trPr>
              <w:tc>
                <w:tcPr>
                  <w:tcW w:w="307" w:type="pct"/>
                  <w:vAlign w:val="center"/>
                </w:tcPr>
                <w:p w14:paraId="3CD4F2C3">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w:t>
                  </w:r>
                </w:p>
                <w:p w14:paraId="50720A2A">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内容</w:t>
                  </w:r>
                </w:p>
              </w:tc>
              <w:tc>
                <w:tcPr>
                  <w:tcW w:w="1265" w:type="pct"/>
                  <w:vAlign w:val="center"/>
                </w:tcPr>
                <w:p w14:paraId="41FCD99B">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监测因子、频次</w:t>
                  </w:r>
                </w:p>
              </w:tc>
              <w:tc>
                <w:tcPr>
                  <w:tcW w:w="1418" w:type="pct"/>
                  <w:vAlign w:val="center"/>
                </w:tcPr>
                <w:p w14:paraId="1C34DBD0">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监测点位、监测要求、监管要求</w:t>
                  </w:r>
                </w:p>
              </w:tc>
              <w:tc>
                <w:tcPr>
                  <w:tcW w:w="2008" w:type="pct"/>
                  <w:vAlign w:val="center"/>
                </w:tcPr>
                <w:p w14:paraId="32E17F7F">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监测调查范围及执行标准</w:t>
                  </w:r>
                </w:p>
              </w:tc>
            </w:tr>
            <w:tr w14:paraId="18A079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69" w:hRule="atLeast"/>
              </w:trPr>
              <w:tc>
                <w:tcPr>
                  <w:tcW w:w="307" w:type="pct"/>
                  <w:vAlign w:val="center"/>
                </w:tcPr>
                <w:p w14:paraId="609DB540">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电磁环境监测</w:t>
                  </w:r>
                </w:p>
              </w:tc>
              <w:tc>
                <w:tcPr>
                  <w:tcW w:w="1265" w:type="pct"/>
                  <w:vAlign w:val="center"/>
                </w:tcPr>
                <w:p w14:paraId="1D3F310B">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监测因子：工频电场、工频磁场</w:t>
                  </w:r>
                </w:p>
                <w:p w14:paraId="1C492FD7">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监测频次：竣工环保验收时监测一次，出现环保投诉时建设单位组织开展监测。</w:t>
                  </w:r>
                </w:p>
              </w:tc>
              <w:tc>
                <w:tcPr>
                  <w:tcW w:w="1418" w:type="pct"/>
                  <w:vAlign w:val="center"/>
                </w:tcPr>
                <w:p w14:paraId="3EBD1177">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1、若有新增电磁环境敏感目标，电磁环境敏感目标处布点监测。</w:t>
                  </w:r>
                </w:p>
                <w:p w14:paraId="7653CB35">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2、输电线路沿线选择有代表性的点位进行监测，必要时设置监测断面。</w:t>
                  </w:r>
                </w:p>
                <w:p w14:paraId="07A7AD50">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3、</w:t>
                  </w:r>
                  <w:r>
                    <w:rPr>
                      <w:rFonts w:hint="eastAsia" w:cs="Times New Roman"/>
                      <w:b w:val="0"/>
                      <w:bCs w:val="0"/>
                      <w:sz w:val="18"/>
                      <w:szCs w:val="18"/>
                      <w:highlight w:val="none"/>
                      <w:lang w:eastAsia="zh-CN"/>
                    </w:rPr>
                    <w:t>升压站</w:t>
                  </w:r>
                  <w:r>
                    <w:rPr>
                      <w:rFonts w:hint="default" w:ascii="Times New Roman" w:hAnsi="Times New Roman" w:eastAsia="宋体" w:cs="Times New Roman"/>
                      <w:b w:val="0"/>
                      <w:bCs w:val="0"/>
                      <w:sz w:val="18"/>
                      <w:szCs w:val="18"/>
                      <w:highlight w:val="none"/>
                    </w:rPr>
                    <w:t>厂界四周布点监测。</w:t>
                  </w:r>
                </w:p>
                <w:p w14:paraId="46B08FAF">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监测点位及要求应满足《建设项目竣工环境保护验收技术规范 输变电》</w:t>
                  </w:r>
                  <w:r>
                    <w:rPr>
                      <w:rFonts w:hint="eastAsia" w:cs="Times New Roman"/>
                      <w:b w:val="0"/>
                      <w:bCs w:val="0"/>
                      <w:sz w:val="18"/>
                      <w:szCs w:val="18"/>
                      <w:highlight w:val="none"/>
                      <w:lang w:eastAsia="zh-CN"/>
                    </w:rPr>
                    <w:t>（</w:t>
                  </w:r>
                  <w:r>
                    <w:rPr>
                      <w:rFonts w:hint="default" w:ascii="Times New Roman" w:hAnsi="Times New Roman" w:eastAsia="宋体" w:cs="Times New Roman"/>
                      <w:b w:val="0"/>
                      <w:bCs w:val="0"/>
                      <w:sz w:val="18"/>
                      <w:szCs w:val="18"/>
                      <w:highlight w:val="none"/>
                    </w:rPr>
                    <w:t>HJ705-2020</w:t>
                  </w:r>
                  <w:r>
                    <w:rPr>
                      <w:rFonts w:hint="eastAsia" w:cs="Times New Roman"/>
                      <w:b w:val="0"/>
                      <w:bCs w:val="0"/>
                      <w:sz w:val="18"/>
                      <w:szCs w:val="18"/>
                      <w:highlight w:val="none"/>
                      <w:lang w:eastAsia="zh-CN"/>
                    </w:rPr>
                    <w:t>）</w:t>
                  </w:r>
                  <w:r>
                    <w:rPr>
                      <w:rFonts w:hint="default" w:ascii="Times New Roman" w:hAnsi="Times New Roman" w:eastAsia="宋体" w:cs="Times New Roman"/>
                      <w:b w:val="0"/>
                      <w:bCs w:val="0"/>
                      <w:sz w:val="18"/>
                      <w:szCs w:val="18"/>
                      <w:highlight w:val="none"/>
                    </w:rPr>
                    <w:t>。</w:t>
                  </w:r>
                </w:p>
              </w:tc>
              <w:tc>
                <w:tcPr>
                  <w:tcW w:w="2008" w:type="pct"/>
                  <w:vAlign w:val="center"/>
                </w:tcPr>
                <w:p w14:paraId="7E84FA32">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监测调查范围：</w:t>
                  </w:r>
                </w:p>
                <w:p w14:paraId="4E7F5742">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eastAsia" w:cs="Times New Roman"/>
                      <w:b w:val="0"/>
                      <w:bCs w:val="0"/>
                      <w:sz w:val="18"/>
                      <w:szCs w:val="18"/>
                      <w:highlight w:val="none"/>
                      <w:lang w:eastAsia="zh-CN"/>
                    </w:rPr>
                    <w:t>升压站</w:t>
                  </w:r>
                  <w:r>
                    <w:rPr>
                      <w:rFonts w:hint="default" w:ascii="Times New Roman" w:hAnsi="Times New Roman" w:eastAsia="宋体" w:cs="Times New Roman"/>
                      <w:b w:val="0"/>
                      <w:bCs w:val="0"/>
                      <w:sz w:val="18"/>
                      <w:szCs w:val="18"/>
                      <w:highlight w:val="none"/>
                    </w:rPr>
                    <w:t>厂界围墙外30m，110kV输变电线路地面投影外两侧各30m。</w:t>
                  </w:r>
                </w:p>
                <w:p w14:paraId="06436C00">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执行标准：</w:t>
                  </w:r>
                </w:p>
                <w:p w14:paraId="6392FA7D">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《电磁环境控制限值》（GB 8702-2014）</w:t>
                  </w:r>
                </w:p>
              </w:tc>
            </w:tr>
            <w:tr w14:paraId="1DD124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 w:hRule="atLeast"/>
              </w:trPr>
              <w:tc>
                <w:tcPr>
                  <w:tcW w:w="307" w:type="pct"/>
                  <w:vAlign w:val="center"/>
                </w:tcPr>
                <w:p w14:paraId="5F747397">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声环境监测</w:t>
                  </w:r>
                </w:p>
              </w:tc>
              <w:tc>
                <w:tcPr>
                  <w:tcW w:w="1265" w:type="pct"/>
                  <w:vAlign w:val="center"/>
                </w:tcPr>
                <w:p w14:paraId="118346CB">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监测因子：噪声</w:t>
                  </w:r>
                </w:p>
                <w:p w14:paraId="743F928A">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监测频次：竣工环保验收时监测一次，</w:t>
                  </w:r>
                  <w:r>
                    <w:rPr>
                      <w:rFonts w:hint="eastAsia" w:cs="Times New Roman"/>
                      <w:b w:val="0"/>
                      <w:bCs w:val="0"/>
                      <w:sz w:val="18"/>
                      <w:szCs w:val="18"/>
                      <w:highlight w:val="none"/>
                      <w:lang w:eastAsia="zh-CN"/>
                    </w:rPr>
                    <w:t>升压站</w:t>
                  </w:r>
                  <w:r>
                    <w:rPr>
                      <w:rFonts w:hint="default" w:ascii="Times New Roman" w:hAnsi="Times New Roman" w:eastAsia="宋体" w:cs="Times New Roman"/>
                      <w:b w:val="0"/>
                      <w:bCs w:val="0"/>
                      <w:sz w:val="18"/>
                      <w:szCs w:val="18"/>
                      <w:highlight w:val="none"/>
                    </w:rPr>
                    <w:t>主要声源设备大修前后单位组织开展监测。</w:t>
                  </w:r>
                </w:p>
              </w:tc>
              <w:tc>
                <w:tcPr>
                  <w:tcW w:w="1418" w:type="pct"/>
                  <w:vAlign w:val="center"/>
                </w:tcPr>
                <w:p w14:paraId="45E5AC32">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1、若有新增声环境保护目标，声环境保护目标处布点监测。</w:t>
                  </w:r>
                </w:p>
                <w:p w14:paraId="170BE1F1">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2、输电线路沿线选择有代表性的点位进行监测。</w:t>
                  </w:r>
                </w:p>
                <w:p w14:paraId="3DE7A3FB">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3、</w:t>
                  </w:r>
                  <w:r>
                    <w:rPr>
                      <w:rFonts w:hint="eastAsia" w:cs="Times New Roman"/>
                      <w:b w:val="0"/>
                      <w:bCs w:val="0"/>
                      <w:sz w:val="18"/>
                      <w:szCs w:val="18"/>
                      <w:highlight w:val="none"/>
                      <w:lang w:eastAsia="zh-CN"/>
                    </w:rPr>
                    <w:t>升压站</w:t>
                  </w:r>
                  <w:r>
                    <w:rPr>
                      <w:rFonts w:hint="default" w:ascii="Times New Roman" w:hAnsi="Times New Roman" w:eastAsia="宋体" w:cs="Times New Roman"/>
                      <w:b w:val="0"/>
                      <w:bCs w:val="0"/>
                      <w:sz w:val="18"/>
                      <w:szCs w:val="18"/>
                      <w:highlight w:val="none"/>
                    </w:rPr>
                    <w:t>厂界四周布点监测。</w:t>
                  </w:r>
                </w:p>
                <w:p w14:paraId="7A8AAE52">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监测点位及要求应满足《建设项目竣工环境保护验收技术规范 输变电》</w:t>
                  </w:r>
                  <w:r>
                    <w:rPr>
                      <w:rFonts w:hint="eastAsia" w:cs="Times New Roman"/>
                      <w:b w:val="0"/>
                      <w:bCs w:val="0"/>
                      <w:sz w:val="18"/>
                      <w:szCs w:val="18"/>
                      <w:highlight w:val="none"/>
                      <w:lang w:eastAsia="zh-CN"/>
                    </w:rPr>
                    <w:t>（</w:t>
                  </w:r>
                  <w:r>
                    <w:rPr>
                      <w:rFonts w:hint="default" w:ascii="Times New Roman" w:hAnsi="Times New Roman" w:eastAsia="宋体" w:cs="Times New Roman"/>
                      <w:b w:val="0"/>
                      <w:bCs w:val="0"/>
                      <w:sz w:val="18"/>
                      <w:szCs w:val="18"/>
                      <w:highlight w:val="none"/>
                    </w:rPr>
                    <w:t>HJ705-2020</w:t>
                  </w:r>
                  <w:r>
                    <w:rPr>
                      <w:rFonts w:hint="eastAsia" w:cs="Times New Roman"/>
                      <w:b w:val="0"/>
                      <w:bCs w:val="0"/>
                      <w:sz w:val="18"/>
                      <w:szCs w:val="18"/>
                      <w:highlight w:val="none"/>
                      <w:lang w:eastAsia="zh-CN"/>
                    </w:rPr>
                    <w:t>）</w:t>
                  </w:r>
                  <w:r>
                    <w:rPr>
                      <w:rFonts w:hint="default" w:ascii="Times New Roman" w:hAnsi="Times New Roman" w:eastAsia="宋体" w:cs="Times New Roman"/>
                      <w:b w:val="0"/>
                      <w:bCs w:val="0"/>
                      <w:sz w:val="18"/>
                      <w:szCs w:val="18"/>
                      <w:highlight w:val="none"/>
                    </w:rPr>
                    <w:t>。</w:t>
                  </w:r>
                </w:p>
              </w:tc>
              <w:tc>
                <w:tcPr>
                  <w:tcW w:w="2008" w:type="pct"/>
                  <w:vAlign w:val="center"/>
                </w:tcPr>
                <w:p w14:paraId="4260FCDB">
                  <w:pPr>
                    <w:pStyle w:val="10"/>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监测调查范围：①</w:t>
                  </w:r>
                  <w:r>
                    <w:rPr>
                      <w:rFonts w:hint="eastAsia" w:cs="Times New Roman"/>
                      <w:b w:val="0"/>
                      <w:bCs w:val="0"/>
                      <w:sz w:val="18"/>
                      <w:szCs w:val="18"/>
                      <w:highlight w:val="none"/>
                      <w:lang w:eastAsia="zh-CN"/>
                    </w:rPr>
                    <w:t>升压站</w:t>
                  </w:r>
                  <w:r>
                    <w:rPr>
                      <w:rFonts w:hint="default" w:ascii="Times New Roman" w:hAnsi="Times New Roman" w:eastAsia="宋体" w:cs="Times New Roman"/>
                      <w:b w:val="0"/>
                      <w:bCs w:val="0"/>
                      <w:sz w:val="18"/>
                      <w:szCs w:val="18"/>
                      <w:highlight w:val="none"/>
                    </w:rPr>
                    <w:t>：厂界围墙外1m处（厂界噪声），并延伸至声环境影响评价范围（厂界外200m）内的声环境保护目标（如有）；②110kV输电线路：边导线地面投影外两侧各30m带状区域内，选择有代表性的点位。执行标准：</w:t>
                  </w:r>
                  <w:r>
                    <w:rPr>
                      <w:rFonts w:hint="eastAsia" w:cs="Times New Roman"/>
                      <w:b w:val="0"/>
                      <w:bCs w:val="0"/>
                      <w:sz w:val="18"/>
                      <w:szCs w:val="18"/>
                      <w:highlight w:val="none"/>
                      <w:lang w:eastAsia="zh-CN"/>
                    </w:rPr>
                    <w:t>升压站</w:t>
                  </w:r>
                  <w:r>
                    <w:rPr>
                      <w:rFonts w:hint="default" w:ascii="Times New Roman" w:hAnsi="Times New Roman" w:eastAsia="宋体" w:cs="Times New Roman"/>
                      <w:b w:val="0"/>
                      <w:bCs w:val="0"/>
                      <w:sz w:val="18"/>
                      <w:szCs w:val="18"/>
                      <w:highlight w:val="none"/>
                    </w:rPr>
                    <w:t>厂界执行《工业企业厂界环境噪声排放标准》（GB12348-2008）2类标准；输电线路沿线及声环境保护目标执行《声环境质量标准》（GB3096-2008）2类标准。</w:t>
                  </w:r>
                </w:p>
              </w:tc>
            </w:tr>
            <w:tr w14:paraId="7B828A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87" w:hRule="atLeast"/>
              </w:trPr>
              <w:tc>
                <w:tcPr>
                  <w:tcW w:w="307" w:type="pct"/>
                  <w:vAlign w:val="center"/>
                </w:tcPr>
                <w:p w14:paraId="7B75962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态恢复监管</w:t>
                  </w:r>
                </w:p>
              </w:tc>
              <w:tc>
                <w:tcPr>
                  <w:tcW w:w="1265" w:type="pct"/>
                  <w:vAlign w:val="center"/>
                </w:tcPr>
                <w:p w14:paraId="0C31D4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1.监测因子：植被恢复率（%）</w:t>
                  </w:r>
                </w:p>
                <w:p w14:paraId="74BFC9F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水土流失治理率（%）</w:t>
                  </w:r>
                </w:p>
                <w:p w14:paraId="46B24FA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植被覆盖度（%）</w:t>
                  </w:r>
                </w:p>
                <w:p w14:paraId="0ACB1D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物种组成（乡土植物比例）</w:t>
                  </w:r>
                </w:p>
                <w:p w14:paraId="674E185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土壤风蚀强度2.监测频次：</w:t>
                  </w:r>
                </w:p>
                <w:p w14:paraId="7FAE018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施工结束当年：1次（秋季）</w:t>
                  </w:r>
                </w:p>
                <w:p w14:paraId="733BA1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运营期第1年：2次（春季、秋季）</w:t>
                  </w:r>
                </w:p>
                <w:p w14:paraId="2B161F7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运营期第2年：2次（春季、秋季）</w:t>
                  </w:r>
                </w:p>
                <w:p w14:paraId="690F87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运营期第3年：1次（秋季）（注：遇极端干旱或大风年份应加测1次）</w:t>
                  </w:r>
                </w:p>
              </w:tc>
              <w:tc>
                <w:tcPr>
                  <w:tcW w:w="1418" w:type="pct"/>
                  <w:vAlign w:val="center"/>
                </w:tcPr>
                <w:p w14:paraId="4F2CEA9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1.监测点位（共设6个固定样地）：</w:t>
                  </w:r>
                </w:p>
                <w:p w14:paraId="06BD641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塔基临时占地区（2个，代表不同塔位）</w:t>
                  </w:r>
                </w:p>
                <w:p w14:paraId="596915D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牵张场区（1个）</w:t>
                  </w:r>
                </w:p>
                <w:p w14:paraId="3C839D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施工生产生活区（1个）</w:t>
                  </w:r>
                </w:p>
                <w:p w14:paraId="2C00A9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升压站周边扰动区（1个）</w:t>
                  </w:r>
                </w:p>
                <w:p w14:paraId="72D2077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自然对照样地（1个，位于项目区外未扰动区域）</w:t>
                  </w:r>
                </w:p>
                <w:p w14:paraId="7E063F1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2.监测方法：</w:t>
                  </w:r>
                </w:p>
                <w:p w14:paraId="725846A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植被样方调查法（每个样地设3个1m×1m样方）</w:t>
                  </w:r>
                </w:p>
                <w:p w14:paraId="420A996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定点重复摄影法</w:t>
                  </w:r>
                </w:p>
                <w:p w14:paraId="62C04BB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风蚀监测采用测钎法</w:t>
                  </w:r>
                </w:p>
                <w:p w14:paraId="0298236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3.监管要求：</w:t>
                  </w:r>
                </w:p>
                <w:p w14:paraId="51AE224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建立生态恢复档案，含影像资料</w:t>
                  </w:r>
                </w:p>
                <w:p w14:paraId="6DC325B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每年9月底前提交年度生态监测报告</w:t>
                  </w:r>
                </w:p>
                <w:p w14:paraId="13CA5D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未达标区域次年春季补播乡土草籽</w:t>
                  </w:r>
                </w:p>
              </w:tc>
              <w:tc>
                <w:tcPr>
                  <w:tcW w:w="2008" w:type="pct"/>
                  <w:vAlign w:val="center"/>
                </w:tcPr>
                <w:p w14:paraId="47A6A3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监测范围：塔基施工场地、牵张场、施工生产生活区等全部临时占地及其周边50m缓冲区。</w:t>
                  </w:r>
                </w:p>
                <w:p w14:paraId="4F8CEB2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执行标准及目标值：</w:t>
                  </w:r>
                </w:p>
                <w:p w14:paraId="49A00F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植被恢复率≥85%（扰动区域经恢复后，植被覆盖度达到或超过背景值的地块面积占扰动区域总面积的比例）</w:t>
                  </w:r>
                </w:p>
                <w:p w14:paraId="58AAE79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水土流失治理率≥90%（水土流失治理达标面积占水土流失总面积的比例）</w:t>
                  </w:r>
                </w:p>
                <w:p w14:paraId="4FFDCB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乡土植物比例≥80%（恢复植被中优先选用罗布麻、梭梭等本地耐旱植物）</w:t>
                  </w:r>
                </w:p>
                <w:p w14:paraId="0A5860B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土壤风蚀强度≤轻度（参照《土壤侵蚀分类分级标准》SL190-2007）</w:t>
                  </w:r>
                </w:p>
              </w:tc>
            </w:tr>
          </w:tbl>
          <w:p w14:paraId="5A1555D0">
            <w:pPr>
              <w:pStyle w:val="55"/>
              <w:shd w:val="clear"/>
              <w:rPr>
                <w:rFonts w:ascii="Times New Roman" w:hAnsi="Times New Roman" w:cs="Times New Roman"/>
                <w:color w:val="auto"/>
                <w:highlight w:val="none"/>
              </w:rPr>
            </w:pPr>
          </w:p>
        </w:tc>
      </w:tr>
      <w:tr w14:paraId="214D32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7B7D654">
            <w:pPr>
              <w:shd w:val="clear"/>
              <w:ind w:firstLine="0" w:firstLineChars="0"/>
              <w:jc w:val="center"/>
              <w:rPr>
                <w:bCs/>
                <w:spacing w:val="10"/>
                <w:highlight w:val="none"/>
              </w:rPr>
            </w:pPr>
            <w:r>
              <w:rPr>
                <w:bCs/>
                <w:highlight w:val="none"/>
              </w:rPr>
              <w:t>环保投资</w:t>
            </w:r>
          </w:p>
        </w:tc>
        <w:tc>
          <w:tcPr>
            <w:tcW w:w="0" w:type="auto"/>
          </w:tcPr>
          <w:p w14:paraId="12A65505">
            <w:pPr>
              <w:pStyle w:val="3"/>
              <w:shd w:val="clear"/>
              <w:rPr>
                <w:highlight w:val="none"/>
              </w:rPr>
            </w:pPr>
            <w:bookmarkStart w:id="439" w:name="_Toc14167"/>
            <w:bookmarkStart w:id="440" w:name="_Toc477"/>
            <w:bookmarkStart w:id="441" w:name="_Toc1047"/>
            <w:r>
              <w:rPr>
                <w:highlight w:val="none"/>
              </w:rPr>
              <w:t>1、环保措施投资估算</w:t>
            </w:r>
            <w:bookmarkEnd w:id="439"/>
            <w:bookmarkEnd w:id="440"/>
            <w:bookmarkEnd w:id="441"/>
          </w:p>
          <w:p w14:paraId="12186800">
            <w:pPr>
              <w:shd w:val="clear"/>
              <w:ind w:firstLine="480"/>
              <w:rPr>
                <w:highlight w:val="none"/>
              </w:rPr>
            </w:pPr>
            <w:r>
              <w:rPr>
                <w:highlight w:val="none"/>
              </w:rPr>
              <w:t>建设项目环保投资合计为130万元，占项目总投资20000万元的0.65%，本项目环保投资分析估算见下表。</w:t>
            </w:r>
          </w:p>
          <w:p w14:paraId="4D5A90E8">
            <w:pPr>
              <w:pStyle w:val="5"/>
              <w:shd w:val="clear"/>
              <w:ind w:firstLine="422"/>
              <w:rPr>
                <w:szCs w:val="21"/>
                <w:highlight w:val="none"/>
                <w:lang w:val="zh-CN"/>
              </w:rPr>
            </w:pPr>
            <w:r>
              <w:rPr>
                <w:szCs w:val="21"/>
                <w:highlight w:val="none"/>
                <w:lang w:val="zh-CN"/>
              </w:rPr>
              <w:t>表</w:t>
            </w:r>
            <w:r>
              <w:rPr>
                <w:szCs w:val="21"/>
                <w:highlight w:val="none"/>
              </w:rPr>
              <w:t>5-</w:t>
            </w:r>
            <w:r>
              <w:rPr>
                <w:rFonts w:hint="eastAsia"/>
                <w:szCs w:val="21"/>
                <w:highlight w:val="none"/>
                <w:lang w:val="en-US" w:eastAsia="zh-CN"/>
              </w:rPr>
              <w:t>5</w:t>
            </w:r>
            <w:r>
              <w:rPr>
                <w:szCs w:val="21"/>
                <w:highlight w:val="none"/>
              </w:rPr>
              <w:t xml:space="preserve">                 </w:t>
            </w:r>
            <w:r>
              <w:rPr>
                <w:szCs w:val="21"/>
                <w:highlight w:val="none"/>
                <w:lang w:val="zh-CN"/>
              </w:rPr>
              <w:t>项目环保措施及投资一览表</w:t>
            </w:r>
          </w:p>
          <w:tbl>
            <w:tblPr>
              <w:tblStyle w:val="3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64"/>
              <w:gridCol w:w="522"/>
              <w:gridCol w:w="5699"/>
              <w:gridCol w:w="818"/>
            </w:tblGrid>
            <w:tr w14:paraId="32D1CE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57" w:type="pct"/>
                  <w:gridSpan w:val="2"/>
                  <w:tcBorders>
                    <w:tl2br w:val="nil"/>
                    <w:tr2bl w:val="nil"/>
                  </w:tcBorders>
                  <w:vAlign w:val="center"/>
                </w:tcPr>
                <w:p w14:paraId="2675E402">
                  <w:pPr>
                    <w:pStyle w:val="10"/>
                    <w:shd w:val="clear"/>
                    <w:rPr>
                      <w:sz w:val="18"/>
                      <w:highlight w:val="none"/>
                    </w:rPr>
                  </w:pPr>
                  <w:r>
                    <w:rPr>
                      <w:sz w:val="18"/>
                      <w:highlight w:val="none"/>
                    </w:rPr>
                    <w:t>项目</w:t>
                  </w:r>
                </w:p>
              </w:tc>
              <w:tc>
                <w:tcPr>
                  <w:tcW w:w="3798" w:type="pct"/>
                  <w:tcBorders>
                    <w:tl2br w:val="nil"/>
                    <w:tr2bl w:val="nil"/>
                  </w:tcBorders>
                  <w:vAlign w:val="center"/>
                </w:tcPr>
                <w:p w14:paraId="13B8DE65">
                  <w:pPr>
                    <w:pStyle w:val="10"/>
                    <w:shd w:val="clear"/>
                    <w:rPr>
                      <w:sz w:val="18"/>
                      <w:highlight w:val="none"/>
                    </w:rPr>
                  </w:pPr>
                  <w:r>
                    <w:rPr>
                      <w:sz w:val="18"/>
                      <w:highlight w:val="none"/>
                    </w:rPr>
                    <w:t>措施</w:t>
                  </w:r>
                </w:p>
              </w:tc>
              <w:tc>
                <w:tcPr>
                  <w:tcW w:w="0" w:type="auto"/>
                  <w:tcBorders>
                    <w:tl2br w:val="nil"/>
                    <w:tr2bl w:val="nil"/>
                  </w:tcBorders>
                  <w:vAlign w:val="center"/>
                </w:tcPr>
                <w:p w14:paraId="36388EFA">
                  <w:pPr>
                    <w:pStyle w:val="10"/>
                    <w:shd w:val="clear"/>
                    <w:rPr>
                      <w:sz w:val="18"/>
                      <w:highlight w:val="none"/>
                    </w:rPr>
                  </w:pPr>
                  <w:r>
                    <w:rPr>
                      <w:sz w:val="18"/>
                      <w:highlight w:val="none"/>
                    </w:rPr>
                    <w:t>投资（万元）</w:t>
                  </w:r>
                </w:p>
              </w:tc>
            </w:tr>
            <w:tr w14:paraId="4FE97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restart"/>
                  <w:tcBorders>
                    <w:tl2br w:val="nil"/>
                    <w:tr2bl w:val="nil"/>
                  </w:tcBorders>
                  <w:vAlign w:val="center"/>
                </w:tcPr>
                <w:p w14:paraId="35F89C31">
                  <w:pPr>
                    <w:pStyle w:val="10"/>
                    <w:shd w:val="clear"/>
                    <w:rPr>
                      <w:sz w:val="18"/>
                      <w:highlight w:val="none"/>
                    </w:rPr>
                  </w:pPr>
                  <w:r>
                    <w:rPr>
                      <w:sz w:val="18"/>
                      <w:highlight w:val="none"/>
                    </w:rPr>
                    <w:t>施工期</w:t>
                  </w:r>
                </w:p>
              </w:tc>
              <w:tc>
                <w:tcPr>
                  <w:tcW w:w="348" w:type="pct"/>
                  <w:tcBorders>
                    <w:tl2br w:val="nil"/>
                    <w:tr2bl w:val="nil"/>
                  </w:tcBorders>
                  <w:vAlign w:val="center"/>
                </w:tcPr>
                <w:p w14:paraId="1D8CE356">
                  <w:pPr>
                    <w:pStyle w:val="10"/>
                    <w:shd w:val="clear"/>
                    <w:rPr>
                      <w:sz w:val="18"/>
                      <w:highlight w:val="none"/>
                    </w:rPr>
                  </w:pPr>
                  <w:r>
                    <w:rPr>
                      <w:sz w:val="18"/>
                      <w:highlight w:val="none"/>
                    </w:rPr>
                    <w:t>生态</w:t>
                  </w:r>
                </w:p>
              </w:tc>
              <w:tc>
                <w:tcPr>
                  <w:tcW w:w="3798" w:type="pct"/>
                  <w:tcBorders>
                    <w:tl2br w:val="nil"/>
                    <w:tr2bl w:val="nil"/>
                  </w:tcBorders>
                  <w:vAlign w:val="center"/>
                </w:tcPr>
                <w:p w14:paraId="40FA246C">
                  <w:pPr>
                    <w:pStyle w:val="10"/>
                    <w:shd w:val="clear"/>
                    <w:rPr>
                      <w:sz w:val="18"/>
                      <w:highlight w:val="none"/>
                    </w:rPr>
                  </w:pPr>
                  <w:r>
                    <w:rPr>
                      <w:sz w:val="18"/>
                      <w:highlight w:val="none"/>
                    </w:rPr>
                    <w:t>彩旗、标识标牌、表土分层养护、表土恢复，土方使用防尘网、规划活动范围；加强施工现场管理，施工结</w:t>
                  </w:r>
                  <w:r>
                    <w:rPr>
                      <w:rFonts w:hint="eastAsia"/>
                      <w:sz w:val="18"/>
                      <w:highlight w:val="none"/>
                      <w:lang w:eastAsia="zh-CN"/>
                    </w:rPr>
                    <w:t>束后</w:t>
                  </w:r>
                  <w:r>
                    <w:rPr>
                      <w:sz w:val="18"/>
                      <w:highlight w:val="none"/>
                    </w:rPr>
                    <w:t>做到</w:t>
                  </w:r>
                  <w:r>
                    <w:rPr>
                      <w:rFonts w:hint="eastAsia"/>
                      <w:sz w:val="18"/>
                      <w:highlight w:val="none"/>
                      <w:lang w:eastAsia="zh-CN"/>
                    </w:rPr>
                    <w:t>“</w:t>
                  </w:r>
                  <w:r>
                    <w:rPr>
                      <w:sz w:val="18"/>
                      <w:highlight w:val="none"/>
                    </w:rPr>
                    <w:t>工完、料尽、场清、整洁</w:t>
                  </w:r>
                  <w:r>
                    <w:rPr>
                      <w:rFonts w:hint="eastAsia"/>
                      <w:sz w:val="18"/>
                      <w:highlight w:val="none"/>
                      <w:lang w:eastAsia="zh-CN"/>
                    </w:rPr>
                    <w:t>”</w:t>
                  </w:r>
                  <w:r>
                    <w:rPr>
                      <w:sz w:val="18"/>
                      <w:highlight w:val="none"/>
                    </w:rPr>
                    <w:t>。</w:t>
                  </w:r>
                </w:p>
              </w:tc>
              <w:tc>
                <w:tcPr>
                  <w:tcW w:w="0" w:type="auto"/>
                  <w:tcBorders>
                    <w:tl2br w:val="nil"/>
                    <w:tr2bl w:val="nil"/>
                  </w:tcBorders>
                  <w:vAlign w:val="center"/>
                </w:tcPr>
                <w:p w14:paraId="57541654">
                  <w:pPr>
                    <w:pStyle w:val="10"/>
                    <w:shd w:val="clear"/>
                    <w:rPr>
                      <w:sz w:val="18"/>
                      <w:highlight w:val="none"/>
                    </w:rPr>
                  </w:pPr>
                  <w:r>
                    <w:rPr>
                      <w:sz w:val="18"/>
                      <w:highlight w:val="none"/>
                    </w:rPr>
                    <w:t>20</w:t>
                  </w:r>
                </w:p>
              </w:tc>
            </w:tr>
            <w:tr w14:paraId="043FA1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4BC22DA2">
                  <w:pPr>
                    <w:pStyle w:val="10"/>
                    <w:shd w:val="clear"/>
                    <w:rPr>
                      <w:sz w:val="18"/>
                      <w:highlight w:val="none"/>
                    </w:rPr>
                  </w:pPr>
                </w:p>
              </w:tc>
              <w:tc>
                <w:tcPr>
                  <w:tcW w:w="348" w:type="pct"/>
                  <w:tcBorders>
                    <w:tl2br w:val="nil"/>
                    <w:tr2bl w:val="nil"/>
                  </w:tcBorders>
                  <w:vAlign w:val="center"/>
                </w:tcPr>
                <w:p w14:paraId="735D72B8">
                  <w:pPr>
                    <w:pStyle w:val="10"/>
                    <w:shd w:val="clear"/>
                    <w:rPr>
                      <w:sz w:val="18"/>
                      <w:highlight w:val="none"/>
                    </w:rPr>
                  </w:pPr>
                  <w:r>
                    <w:rPr>
                      <w:sz w:val="18"/>
                      <w:highlight w:val="none"/>
                    </w:rPr>
                    <w:t>废气</w:t>
                  </w:r>
                </w:p>
              </w:tc>
              <w:tc>
                <w:tcPr>
                  <w:tcW w:w="3798" w:type="pct"/>
                  <w:tcBorders>
                    <w:tl2br w:val="nil"/>
                    <w:tr2bl w:val="nil"/>
                  </w:tcBorders>
                  <w:vAlign w:val="center"/>
                </w:tcPr>
                <w:p w14:paraId="6306F900">
                  <w:pPr>
                    <w:pStyle w:val="10"/>
                    <w:shd w:val="clear"/>
                    <w:rPr>
                      <w:sz w:val="18"/>
                      <w:highlight w:val="none"/>
                    </w:rPr>
                  </w:pPr>
                  <w:r>
                    <w:rPr>
                      <w:sz w:val="18"/>
                      <w:highlight w:val="none"/>
                    </w:rPr>
                    <w:t>洒水、遮盖篷布等</w:t>
                  </w:r>
                </w:p>
              </w:tc>
              <w:tc>
                <w:tcPr>
                  <w:tcW w:w="0" w:type="auto"/>
                  <w:tcBorders>
                    <w:tl2br w:val="nil"/>
                    <w:tr2bl w:val="nil"/>
                  </w:tcBorders>
                  <w:vAlign w:val="center"/>
                </w:tcPr>
                <w:p w14:paraId="1D8B4E18">
                  <w:pPr>
                    <w:pStyle w:val="10"/>
                    <w:shd w:val="clear"/>
                    <w:rPr>
                      <w:sz w:val="18"/>
                      <w:highlight w:val="none"/>
                    </w:rPr>
                  </w:pPr>
                  <w:r>
                    <w:rPr>
                      <w:sz w:val="18"/>
                      <w:highlight w:val="none"/>
                    </w:rPr>
                    <w:t>1</w:t>
                  </w:r>
                </w:p>
              </w:tc>
            </w:tr>
            <w:tr w14:paraId="395FE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18130BC7">
                  <w:pPr>
                    <w:pStyle w:val="10"/>
                    <w:shd w:val="clear"/>
                    <w:rPr>
                      <w:sz w:val="18"/>
                      <w:highlight w:val="none"/>
                    </w:rPr>
                  </w:pPr>
                </w:p>
              </w:tc>
              <w:tc>
                <w:tcPr>
                  <w:tcW w:w="348" w:type="pct"/>
                  <w:tcBorders>
                    <w:tl2br w:val="nil"/>
                    <w:tr2bl w:val="nil"/>
                  </w:tcBorders>
                  <w:vAlign w:val="center"/>
                </w:tcPr>
                <w:p w14:paraId="2DB79BC6">
                  <w:pPr>
                    <w:pStyle w:val="10"/>
                    <w:shd w:val="clear"/>
                    <w:rPr>
                      <w:sz w:val="18"/>
                      <w:highlight w:val="none"/>
                    </w:rPr>
                  </w:pPr>
                  <w:r>
                    <w:rPr>
                      <w:sz w:val="18"/>
                      <w:highlight w:val="none"/>
                    </w:rPr>
                    <w:t>噪声</w:t>
                  </w:r>
                </w:p>
              </w:tc>
              <w:tc>
                <w:tcPr>
                  <w:tcW w:w="3798" w:type="pct"/>
                  <w:tcBorders>
                    <w:tl2br w:val="nil"/>
                    <w:tr2bl w:val="nil"/>
                  </w:tcBorders>
                  <w:vAlign w:val="center"/>
                </w:tcPr>
                <w:p w14:paraId="77DFC388">
                  <w:pPr>
                    <w:pStyle w:val="10"/>
                    <w:shd w:val="clear"/>
                    <w:rPr>
                      <w:sz w:val="18"/>
                      <w:highlight w:val="none"/>
                    </w:rPr>
                  </w:pPr>
                  <w:r>
                    <w:rPr>
                      <w:sz w:val="18"/>
                      <w:highlight w:val="none"/>
                    </w:rPr>
                    <w:t>隔声围挡、施工设备降噪</w:t>
                  </w:r>
                </w:p>
              </w:tc>
              <w:tc>
                <w:tcPr>
                  <w:tcW w:w="0" w:type="auto"/>
                  <w:tcBorders>
                    <w:tl2br w:val="nil"/>
                    <w:tr2bl w:val="nil"/>
                  </w:tcBorders>
                  <w:vAlign w:val="center"/>
                </w:tcPr>
                <w:p w14:paraId="5E5D38FB">
                  <w:pPr>
                    <w:pStyle w:val="10"/>
                    <w:shd w:val="clear"/>
                    <w:rPr>
                      <w:sz w:val="18"/>
                      <w:highlight w:val="none"/>
                    </w:rPr>
                  </w:pPr>
                  <w:r>
                    <w:rPr>
                      <w:sz w:val="18"/>
                      <w:highlight w:val="none"/>
                    </w:rPr>
                    <w:t>5</w:t>
                  </w:r>
                </w:p>
              </w:tc>
            </w:tr>
            <w:tr w14:paraId="41601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2F953CD0">
                  <w:pPr>
                    <w:pStyle w:val="10"/>
                    <w:shd w:val="clear"/>
                    <w:rPr>
                      <w:sz w:val="18"/>
                      <w:highlight w:val="none"/>
                    </w:rPr>
                  </w:pPr>
                </w:p>
              </w:tc>
              <w:tc>
                <w:tcPr>
                  <w:tcW w:w="348" w:type="pct"/>
                  <w:tcBorders>
                    <w:tl2br w:val="nil"/>
                    <w:tr2bl w:val="nil"/>
                  </w:tcBorders>
                  <w:vAlign w:val="center"/>
                </w:tcPr>
                <w:p w14:paraId="0B4AC7AA">
                  <w:pPr>
                    <w:pStyle w:val="10"/>
                    <w:shd w:val="clear"/>
                    <w:rPr>
                      <w:sz w:val="18"/>
                      <w:highlight w:val="none"/>
                    </w:rPr>
                  </w:pPr>
                  <w:r>
                    <w:rPr>
                      <w:sz w:val="18"/>
                      <w:highlight w:val="none"/>
                    </w:rPr>
                    <w:t>固废</w:t>
                  </w:r>
                </w:p>
              </w:tc>
              <w:tc>
                <w:tcPr>
                  <w:tcW w:w="3798" w:type="pct"/>
                  <w:tcBorders>
                    <w:tl2br w:val="nil"/>
                    <w:tr2bl w:val="nil"/>
                  </w:tcBorders>
                  <w:vAlign w:val="center"/>
                </w:tcPr>
                <w:p w14:paraId="4EDA7EE7">
                  <w:pPr>
                    <w:pStyle w:val="10"/>
                    <w:shd w:val="clear"/>
                    <w:rPr>
                      <w:sz w:val="18"/>
                      <w:highlight w:val="none"/>
                    </w:rPr>
                  </w:pPr>
                  <w:r>
                    <w:rPr>
                      <w:sz w:val="18"/>
                      <w:highlight w:val="none"/>
                    </w:rPr>
                    <w:t>临时垃圾箱、建筑垃圾、及时拉运</w:t>
                  </w:r>
                </w:p>
              </w:tc>
              <w:tc>
                <w:tcPr>
                  <w:tcW w:w="0" w:type="auto"/>
                  <w:tcBorders>
                    <w:tl2br w:val="nil"/>
                    <w:tr2bl w:val="nil"/>
                  </w:tcBorders>
                  <w:vAlign w:val="center"/>
                </w:tcPr>
                <w:p w14:paraId="2F433BF6">
                  <w:pPr>
                    <w:pStyle w:val="10"/>
                    <w:shd w:val="clear"/>
                    <w:rPr>
                      <w:sz w:val="18"/>
                      <w:highlight w:val="none"/>
                    </w:rPr>
                  </w:pPr>
                  <w:r>
                    <w:rPr>
                      <w:sz w:val="18"/>
                      <w:highlight w:val="none"/>
                    </w:rPr>
                    <w:t>3</w:t>
                  </w:r>
                </w:p>
              </w:tc>
            </w:tr>
            <w:tr w14:paraId="0F6C8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1D5C56D2">
                  <w:pPr>
                    <w:pStyle w:val="10"/>
                    <w:shd w:val="clear"/>
                    <w:rPr>
                      <w:sz w:val="18"/>
                      <w:highlight w:val="none"/>
                    </w:rPr>
                  </w:pPr>
                </w:p>
              </w:tc>
              <w:tc>
                <w:tcPr>
                  <w:tcW w:w="348" w:type="pct"/>
                  <w:vMerge w:val="restart"/>
                  <w:tcBorders>
                    <w:tl2br w:val="nil"/>
                    <w:tr2bl w:val="nil"/>
                  </w:tcBorders>
                  <w:vAlign w:val="center"/>
                </w:tcPr>
                <w:p w14:paraId="7A7B7B85">
                  <w:pPr>
                    <w:pStyle w:val="10"/>
                    <w:shd w:val="clear"/>
                    <w:rPr>
                      <w:sz w:val="18"/>
                      <w:highlight w:val="none"/>
                    </w:rPr>
                  </w:pPr>
                  <w:r>
                    <w:rPr>
                      <w:sz w:val="18"/>
                      <w:highlight w:val="none"/>
                    </w:rPr>
                    <w:t>废水</w:t>
                  </w:r>
                </w:p>
              </w:tc>
              <w:tc>
                <w:tcPr>
                  <w:tcW w:w="3798" w:type="pct"/>
                  <w:tcBorders>
                    <w:tl2br w:val="nil"/>
                    <w:tr2bl w:val="nil"/>
                  </w:tcBorders>
                  <w:vAlign w:val="center"/>
                </w:tcPr>
                <w:p w14:paraId="6E3E9739">
                  <w:pPr>
                    <w:pStyle w:val="10"/>
                    <w:shd w:val="clear"/>
                    <w:rPr>
                      <w:sz w:val="18"/>
                      <w:highlight w:val="none"/>
                    </w:rPr>
                  </w:pPr>
                  <w:r>
                    <w:rPr>
                      <w:sz w:val="18"/>
                      <w:highlight w:val="none"/>
                    </w:rPr>
                    <w:t>施工废水：设置沉淀池沉淀后回用</w:t>
                  </w:r>
                </w:p>
              </w:tc>
              <w:tc>
                <w:tcPr>
                  <w:tcW w:w="0" w:type="auto"/>
                  <w:tcBorders>
                    <w:tl2br w:val="nil"/>
                    <w:tr2bl w:val="nil"/>
                  </w:tcBorders>
                  <w:vAlign w:val="center"/>
                </w:tcPr>
                <w:p w14:paraId="723C53EC">
                  <w:pPr>
                    <w:pStyle w:val="10"/>
                    <w:shd w:val="clear"/>
                    <w:rPr>
                      <w:sz w:val="18"/>
                      <w:highlight w:val="none"/>
                    </w:rPr>
                  </w:pPr>
                  <w:r>
                    <w:rPr>
                      <w:sz w:val="18"/>
                      <w:highlight w:val="none"/>
                    </w:rPr>
                    <w:t>1</w:t>
                  </w:r>
                </w:p>
              </w:tc>
            </w:tr>
            <w:tr w14:paraId="70265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52543000">
                  <w:pPr>
                    <w:pStyle w:val="10"/>
                    <w:shd w:val="clear"/>
                    <w:rPr>
                      <w:sz w:val="18"/>
                      <w:highlight w:val="none"/>
                    </w:rPr>
                  </w:pPr>
                </w:p>
              </w:tc>
              <w:tc>
                <w:tcPr>
                  <w:tcW w:w="348" w:type="pct"/>
                  <w:vMerge w:val="continue"/>
                  <w:tcBorders>
                    <w:tl2br w:val="nil"/>
                    <w:tr2bl w:val="nil"/>
                  </w:tcBorders>
                  <w:vAlign w:val="center"/>
                </w:tcPr>
                <w:p w14:paraId="02C25A41">
                  <w:pPr>
                    <w:pStyle w:val="10"/>
                    <w:shd w:val="clear"/>
                    <w:rPr>
                      <w:sz w:val="18"/>
                      <w:highlight w:val="none"/>
                    </w:rPr>
                  </w:pPr>
                </w:p>
              </w:tc>
              <w:tc>
                <w:tcPr>
                  <w:tcW w:w="3798" w:type="pct"/>
                  <w:tcBorders>
                    <w:tl2br w:val="nil"/>
                    <w:tr2bl w:val="nil"/>
                  </w:tcBorders>
                  <w:vAlign w:val="center"/>
                </w:tcPr>
                <w:p w14:paraId="750D1274">
                  <w:pPr>
                    <w:pStyle w:val="10"/>
                    <w:shd w:val="clear"/>
                    <w:rPr>
                      <w:sz w:val="18"/>
                      <w:highlight w:val="none"/>
                    </w:rPr>
                  </w:pPr>
                  <w:r>
                    <w:rPr>
                      <w:sz w:val="18"/>
                      <w:highlight w:val="none"/>
                    </w:rPr>
                    <w:t>生活</w:t>
                  </w:r>
                  <w:r>
                    <w:rPr>
                      <w:rFonts w:hint="eastAsia"/>
                      <w:sz w:val="18"/>
                      <w:highlight w:val="none"/>
                      <w:lang w:val="en-US" w:eastAsia="zh-CN"/>
                    </w:rPr>
                    <w:t>污水：环保厕所、</w:t>
                  </w:r>
                  <w:r>
                    <w:rPr>
                      <w:rFonts w:hint="eastAsia"/>
                      <w:sz w:val="18"/>
                      <w:highlight w:val="none"/>
                      <w:lang w:eastAsia="zh-CN"/>
                    </w:rPr>
                    <w:t>防渗化粪池</w:t>
                  </w:r>
                  <w:r>
                    <w:rPr>
                      <w:sz w:val="18"/>
                      <w:highlight w:val="none"/>
                    </w:rPr>
                    <w:t>及处置费</w:t>
                  </w:r>
                </w:p>
              </w:tc>
              <w:tc>
                <w:tcPr>
                  <w:tcW w:w="0" w:type="auto"/>
                  <w:tcBorders>
                    <w:tl2br w:val="nil"/>
                    <w:tr2bl w:val="nil"/>
                  </w:tcBorders>
                  <w:vAlign w:val="center"/>
                </w:tcPr>
                <w:p w14:paraId="1189D7BE">
                  <w:pPr>
                    <w:pStyle w:val="10"/>
                    <w:shd w:val="clear"/>
                    <w:rPr>
                      <w:sz w:val="18"/>
                      <w:highlight w:val="none"/>
                    </w:rPr>
                  </w:pPr>
                  <w:r>
                    <w:rPr>
                      <w:sz w:val="18"/>
                      <w:highlight w:val="none"/>
                    </w:rPr>
                    <w:t>2</w:t>
                  </w:r>
                </w:p>
              </w:tc>
            </w:tr>
            <w:tr w14:paraId="466711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restart"/>
                  <w:tcBorders>
                    <w:tl2br w:val="nil"/>
                    <w:tr2bl w:val="nil"/>
                  </w:tcBorders>
                  <w:vAlign w:val="center"/>
                </w:tcPr>
                <w:p w14:paraId="0A15AE35">
                  <w:pPr>
                    <w:pStyle w:val="10"/>
                    <w:shd w:val="clear"/>
                    <w:rPr>
                      <w:sz w:val="18"/>
                      <w:highlight w:val="none"/>
                    </w:rPr>
                  </w:pPr>
                  <w:r>
                    <w:rPr>
                      <w:sz w:val="18"/>
                      <w:highlight w:val="none"/>
                    </w:rPr>
                    <w:t>运营期</w:t>
                  </w:r>
                </w:p>
              </w:tc>
              <w:tc>
                <w:tcPr>
                  <w:tcW w:w="348" w:type="pct"/>
                  <w:tcBorders>
                    <w:tl2br w:val="nil"/>
                    <w:tr2bl w:val="nil"/>
                  </w:tcBorders>
                  <w:vAlign w:val="center"/>
                </w:tcPr>
                <w:p w14:paraId="7CC8D807">
                  <w:pPr>
                    <w:pStyle w:val="10"/>
                    <w:shd w:val="clear"/>
                    <w:rPr>
                      <w:sz w:val="18"/>
                      <w:highlight w:val="none"/>
                    </w:rPr>
                  </w:pPr>
                  <w:r>
                    <w:rPr>
                      <w:sz w:val="18"/>
                      <w:highlight w:val="none"/>
                    </w:rPr>
                    <w:t>生态</w:t>
                  </w:r>
                </w:p>
              </w:tc>
              <w:tc>
                <w:tcPr>
                  <w:tcW w:w="3798" w:type="pct"/>
                  <w:tcBorders>
                    <w:tl2br w:val="nil"/>
                    <w:tr2bl w:val="nil"/>
                  </w:tcBorders>
                  <w:vAlign w:val="center"/>
                </w:tcPr>
                <w:p w14:paraId="40148E43">
                  <w:pPr>
                    <w:pStyle w:val="10"/>
                    <w:shd w:val="clear"/>
                    <w:rPr>
                      <w:sz w:val="18"/>
                      <w:highlight w:val="none"/>
                    </w:rPr>
                  </w:pPr>
                  <w:r>
                    <w:rPr>
                      <w:sz w:val="18"/>
                      <w:highlight w:val="none"/>
                    </w:rPr>
                    <w:t>利用已有道路作为巡检道路、道路维护</w:t>
                  </w:r>
                </w:p>
              </w:tc>
              <w:tc>
                <w:tcPr>
                  <w:tcW w:w="0" w:type="auto"/>
                  <w:tcBorders>
                    <w:tl2br w:val="nil"/>
                    <w:tr2bl w:val="nil"/>
                  </w:tcBorders>
                  <w:vAlign w:val="center"/>
                </w:tcPr>
                <w:p w14:paraId="6FA274C8">
                  <w:pPr>
                    <w:pStyle w:val="10"/>
                    <w:shd w:val="clear"/>
                    <w:rPr>
                      <w:sz w:val="18"/>
                      <w:highlight w:val="none"/>
                    </w:rPr>
                  </w:pPr>
                  <w:r>
                    <w:rPr>
                      <w:sz w:val="18"/>
                      <w:highlight w:val="none"/>
                    </w:rPr>
                    <w:t>40</w:t>
                  </w:r>
                </w:p>
              </w:tc>
            </w:tr>
            <w:tr w14:paraId="03D4C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7B1EA903">
                  <w:pPr>
                    <w:pStyle w:val="10"/>
                    <w:shd w:val="clear"/>
                    <w:rPr>
                      <w:sz w:val="18"/>
                      <w:highlight w:val="none"/>
                    </w:rPr>
                  </w:pPr>
                </w:p>
              </w:tc>
              <w:tc>
                <w:tcPr>
                  <w:tcW w:w="348" w:type="pct"/>
                  <w:tcBorders>
                    <w:tl2br w:val="nil"/>
                    <w:tr2bl w:val="nil"/>
                  </w:tcBorders>
                  <w:vAlign w:val="center"/>
                </w:tcPr>
                <w:p w14:paraId="6246BFA4">
                  <w:pPr>
                    <w:pStyle w:val="10"/>
                    <w:shd w:val="clear"/>
                    <w:rPr>
                      <w:sz w:val="18"/>
                      <w:highlight w:val="none"/>
                    </w:rPr>
                  </w:pPr>
                  <w:r>
                    <w:rPr>
                      <w:sz w:val="18"/>
                      <w:highlight w:val="none"/>
                    </w:rPr>
                    <w:t>废水</w:t>
                  </w:r>
                </w:p>
              </w:tc>
              <w:tc>
                <w:tcPr>
                  <w:tcW w:w="3798" w:type="pct"/>
                  <w:tcBorders>
                    <w:tl2br w:val="nil"/>
                    <w:tr2bl w:val="nil"/>
                  </w:tcBorders>
                  <w:vAlign w:val="center"/>
                </w:tcPr>
                <w:p w14:paraId="4F32D19E">
                  <w:pPr>
                    <w:pStyle w:val="10"/>
                    <w:shd w:val="clear"/>
                    <w:rPr>
                      <w:sz w:val="18"/>
                      <w:highlight w:val="none"/>
                    </w:rPr>
                  </w:pPr>
                  <w:r>
                    <w:rPr>
                      <w:sz w:val="18"/>
                      <w:highlight w:val="none"/>
                    </w:rPr>
                    <w:t>采用隔油池+一体化污水处理设施、</w:t>
                  </w:r>
                  <w:r>
                    <w:rPr>
                      <w:rFonts w:hint="eastAsia"/>
                      <w:sz w:val="18"/>
                      <w:highlight w:val="none"/>
                      <w:lang w:eastAsia="zh-CN"/>
                    </w:rPr>
                    <w:t>集水池</w:t>
                  </w:r>
                  <w:r>
                    <w:rPr>
                      <w:sz w:val="18"/>
                      <w:highlight w:val="none"/>
                    </w:rPr>
                    <w:t>40m</w:t>
                  </w:r>
                  <w:r>
                    <w:rPr>
                      <w:sz w:val="18"/>
                      <w:highlight w:val="none"/>
                      <w:vertAlign w:val="superscript"/>
                    </w:rPr>
                    <w:t>3</w:t>
                  </w:r>
                  <w:r>
                    <w:rPr>
                      <w:sz w:val="18"/>
                      <w:highlight w:val="none"/>
                    </w:rPr>
                    <w:t>（冬储夏灌）</w:t>
                  </w:r>
                </w:p>
              </w:tc>
              <w:tc>
                <w:tcPr>
                  <w:tcW w:w="0" w:type="auto"/>
                  <w:tcBorders>
                    <w:tl2br w:val="nil"/>
                    <w:tr2bl w:val="nil"/>
                  </w:tcBorders>
                  <w:vAlign w:val="center"/>
                </w:tcPr>
                <w:p w14:paraId="6BA06879">
                  <w:pPr>
                    <w:pStyle w:val="10"/>
                    <w:shd w:val="clear"/>
                    <w:rPr>
                      <w:sz w:val="18"/>
                      <w:highlight w:val="none"/>
                    </w:rPr>
                  </w:pPr>
                  <w:r>
                    <w:rPr>
                      <w:sz w:val="18"/>
                      <w:highlight w:val="none"/>
                    </w:rPr>
                    <w:t>8</w:t>
                  </w:r>
                </w:p>
              </w:tc>
            </w:tr>
            <w:tr w14:paraId="178AD1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15F4E903">
                  <w:pPr>
                    <w:pStyle w:val="10"/>
                    <w:shd w:val="clear"/>
                    <w:rPr>
                      <w:sz w:val="18"/>
                      <w:highlight w:val="none"/>
                    </w:rPr>
                  </w:pPr>
                </w:p>
              </w:tc>
              <w:tc>
                <w:tcPr>
                  <w:tcW w:w="348" w:type="pct"/>
                  <w:tcBorders>
                    <w:tl2br w:val="nil"/>
                    <w:tr2bl w:val="nil"/>
                  </w:tcBorders>
                  <w:vAlign w:val="center"/>
                </w:tcPr>
                <w:p w14:paraId="6F9BD8D3">
                  <w:pPr>
                    <w:pStyle w:val="10"/>
                    <w:shd w:val="clear"/>
                    <w:rPr>
                      <w:sz w:val="18"/>
                      <w:highlight w:val="none"/>
                    </w:rPr>
                  </w:pPr>
                  <w:r>
                    <w:rPr>
                      <w:sz w:val="18"/>
                      <w:highlight w:val="none"/>
                    </w:rPr>
                    <w:t>噪声</w:t>
                  </w:r>
                </w:p>
              </w:tc>
              <w:tc>
                <w:tcPr>
                  <w:tcW w:w="3798" w:type="pct"/>
                  <w:tcBorders>
                    <w:tl2br w:val="nil"/>
                    <w:tr2bl w:val="nil"/>
                  </w:tcBorders>
                  <w:vAlign w:val="center"/>
                </w:tcPr>
                <w:p w14:paraId="48DA1475">
                  <w:pPr>
                    <w:pStyle w:val="10"/>
                    <w:shd w:val="clear"/>
                    <w:rPr>
                      <w:sz w:val="18"/>
                      <w:highlight w:val="none"/>
                    </w:rPr>
                  </w:pPr>
                  <w:r>
                    <w:rPr>
                      <w:sz w:val="18"/>
                      <w:highlight w:val="none"/>
                    </w:rPr>
                    <w:t>安装减振设施、定期维修</w:t>
                  </w:r>
                </w:p>
              </w:tc>
              <w:tc>
                <w:tcPr>
                  <w:tcW w:w="0" w:type="auto"/>
                  <w:tcBorders>
                    <w:tl2br w:val="nil"/>
                    <w:tr2bl w:val="nil"/>
                  </w:tcBorders>
                  <w:vAlign w:val="center"/>
                </w:tcPr>
                <w:p w14:paraId="714FA571">
                  <w:pPr>
                    <w:pStyle w:val="10"/>
                    <w:shd w:val="clear"/>
                    <w:rPr>
                      <w:sz w:val="18"/>
                      <w:highlight w:val="none"/>
                    </w:rPr>
                  </w:pPr>
                  <w:r>
                    <w:rPr>
                      <w:sz w:val="18"/>
                      <w:highlight w:val="none"/>
                    </w:rPr>
                    <w:t>2</w:t>
                  </w:r>
                </w:p>
              </w:tc>
            </w:tr>
            <w:tr w14:paraId="47C273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4388296E">
                  <w:pPr>
                    <w:pStyle w:val="10"/>
                    <w:shd w:val="clear"/>
                    <w:rPr>
                      <w:sz w:val="18"/>
                      <w:highlight w:val="none"/>
                    </w:rPr>
                  </w:pPr>
                </w:p>
              </w:tc>
              <w:tc>
                <w:tcPr>
                  <w:tcW w:w="348" w:type="pct"/>
                  <w:tcBorders>
                    <w:tl2br w:val="nil"/>
                    <w:tr2bl w:val="nil"/>
                  </w:tcBorders>
                  <w:vAlign w:val="center"/>
                </w:tcPr>
                <w:p w14:paraId="59AA38A0">
                  <w:pPr>
                    <w:pStyle w:val="10"/>
                    <w:shd w:val="clear"/>
                    <w:rPr>
                      <w:sz w:val="18"/>
                      <w:highlight w:val="none"/>
                    </w:rPr>
                  </w:pPr>
                  <w:r>
                    <w:rPr>
                      <w:sz w:val="18"/>
                      <w:highlight w:val="none"/>
                    </w:rPr>
                    <w:t>电磁</w:t>
                  </w:r>
                </w:p>
              </w:tc>
              <w:tc>
                <w:tcPr>
                  <w:tcW w:w="3798" w:type="pct"/>
                  <w:tcBorders>
                    <w:tl2br w:val="nil"/>
                    <w:tr2bl w:val="nil"/>
                  </w:tcBorders>
                  <w:vAlign w:val="center"/>
                </w:tcPr>
                <w:p w14:paraId="724B3FE4">
                  <w:pPr>
                    <w:pStyle w:val="10"/>
                    <w:shd w:val="clear"/>
                    <w:rPr>
                      <w:sz w:val="18"/>
                      <w:highlight w:val="none"/>
                    </w:rPr>
                  </w:pPr>
                  <w:r>
                    <w:rPr>
                      <w:rFonts w:hint="eastAsia"/>
                      <w:sz w:val="18"/>
                      <w:highlight w:val="none"/>
                      <w:lang w:eastAsia="zh-CN"/>
                    </w:rPr>
                    <w:t>标识</w:t>
                  </w:r>
                  <w:r>
                    <w:rPr>
                      <w:sz w:val="18"/>
                      <w:highlight w:val="none"/>
                    </w:rPr>
                    <w:t>标志、宣传教育</w:t>
                  </w:r>
                </w:p>
              </w:tc>
              <w:tc>
                <w:tcPr>
                  <w:tcW w:w="0" w:type="auto"/>
                  <w:tcBorders>
                    <w:tl2br w:val="nil"/>
                    <w:tr2bl w:val="nil"/>
                  </w:tcBorders>
                  <w:vAlign w:val="center"/>
                </w:tcPr>
                <w:p w14:paraId="4BDF1200">
                  <w:pPr>
                    <w:pStyle w:val="10"/>
                    <w:shd w:val="clear"/>
                    <w:rPr>
                      <w:sz w:val="18"/>
                      <w:highlight w:val="none"/>
                    </w:rPr>
                  </w:pPr>
                  <w:r>
                    <w:rPr>
                      <w:sz w:val="18"/>
                      <w:highlight w:val="none"/>
                    </w:rPr>
                    <w:t>2</w:t>
                  </w:r>
                </w:p>
              </w:tc>
            </w:tr>
            <w:tr w14:paraId="7575AF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09DE655D">
                  <w:pPr>
                    <w:pStyle w:val="10"/>
                    <w:shd w:val="clear"/>
                    <w:rPr>
                      <w:sz w:val="18"/>
                      <w:highlight w:val="none"/>
                    </w:rPr>
                  </w:pPr>
                </w:p>
              </w:tc>
              <w:tc>
                <w:tcPr>
                  <w:tcW w:w="348" w:type="pct"/>
                  <w:vMerge w:val="restart"/>
                  <w:tcBorders>
                    <w:tl2br w:val="nil"/>
                    <w:tr2bl w:val="nil"/>
                  </w:tcBorders>
                  <w:vAlign w:val="center"/>
                </w:tcPr>
                <w:p w14:paraId="33E35C81">
                  <w:pPr>
                    <w:pStyle w:val="10"/>
                    <w:shd w:val="clear"/>
                    <w:rPr>
                      <w:sz w:val="18"/>
                      <w:highlight w:val="none"/>
                    </w:rPr>
                  </w:pPr>
                  <w:r>
                    <w:rPr>
                      <w:sz w:val="18"/>
                      <w:highlight w:val="none"/>
                    </w:rPr>
                    <w:t>固体</w:t>
                  </w:r>
                </w:p>
              </w:tc>
              <w:tc>
                <w:tcPr>
                  <w:tcW w:w="3798" w:type="pct"/>
                  <w:tcBorders>
                    <w:tl2br w:val="nil"/>
                    <w:tr2bl w:val="nil"/>
                  </w:tcBorders>
                  <w:vAlign w:val="center"/>
                </w:tcPr>
                <w:p w14:paraId="346091C9">
                  <w:pPr>
                    <w:pStyle w:val="10"/>
                    <w:shd w:val="clear"/>
                    <w:rPr>
                      <w:sz w:val="18"/>
                      <w:highlight w:val="none"/>
                    </w:rPr>
                  </w:pPr>
                  <w:r>
                    <w:rPr>
                      <w:sz w:val="18"/>
                      <w:highlight w:val="none"/>
                    </w:rPr>
                    <w:t>垃圾箱，委托清运</w:t>
                  </w:r>
                </w:p>
              </w:tc>
              <w:tc>
                <w:tcPr>
                  <w:tcW w:w="0" w:type="auto"/>
                  <w:tcBorders>
                    <w:tl2br w:val="nil"/>
                    <w:tr2bl w:val="nil"/>
                  </w:tcBorders>
                  <w:vAlign w:val="center"/>
                </w:tcPr>
                <w:p w14:paraId="77C5AC73">
                  <w:pPr>
                    <w:pStyle w:val="10"/>
                    <w:shd w:val="clear"/>
                    <w:rPr>
                      <w:sz w:val="18"/>
                      <w:highlight w:val="none"/>
                    </w:rPr>
                  </w:pPr>
                  <w:r>
                    <w:rPr>
                      <w:sz w:val="18"/>
                      <w:highlight w:val="none"/>
                    </w:rPr>
                    <w:t>3</w:t>
                  </w:r>
                </w:p>
              </w:tc>
            </w:tr>
            <w:tr w14:paraId="4FDF0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3ECF9923">
                  <w:pPr>
                    <w:pStyle w:val="10"/>
                    <w:shd w:val="clear"/>
                    <w:rPr>
                      <w:sz w:val="18"/>
                      <w:highlight w:val="none"/>
                    </w:rPr>
                  </w:pPr>
                </w:p>
              </w:tc>
              <w:tc>
                <w:tcPr>
                  <w:tcW w:w="348" w:type="pct"/>
                  <w:vMerge w:val="continue"/>
                  <w:tcBorders>
                    <w:tl2br w:val="nil"/>
                    <w:tr2bl w:val="nil"/>
                  </w:tcBorders>
                  <w:vAlign w:val="center"/>
                </w:tcPr>
                <w:p w14:paraId="3D32AA8F">
                  <w:pPr>
                    <w:pStyle w:val="10"/>
                    <w:shd w:val="clear"/>
                    <w:rPr>
                      <w:sz w:val="18"/>
                      <w:highlight w:val="none"/>
                    </w:rPr>
                  </w:pPr>
                </w:p>
              </w:tc>
              <w:tc>
                <w:tcPr>
                  <w:tcW w:w="3798" w:type="pct"/>
                  <w:tcBorders>
                    <w:tl2br w:val="nil"/>
                    <w:tr2bl w:val="nil"/>
                  </w:tcBorders>
                  <w:vAlign w:val="center"/>
                </w:tcPr>
                <w:p w14:paraId="5BC5F76E">
                  <w:pPr>
                    <w:pStyle w:val="10"/>
                    <w:shd w:val="clear"/>
                    <w:rPr>
                      <w:sz w:val="18"/>
                      <w:highlight w:val="none"/>
                    </w:rPr>
                  </w:pPr>
                  <w:r>
                    <w:rPr>
                      <w:sz w:val="18"/>
                      <w:highlight w:val="none"/>
                    </w:rPr>
                    <w:t>废磷酸铁锂电池委托厂家回收</w:t>
                  </w:r>
                </w:p>
              </w:tc>
              <w:tc>
                <w:tcPr>
                  <w:tcW w:w="0" w:type="auto"/>
                  <w:tcBorders>
                    <w:tl2br w:val="nil"/>
                    <w:tr2bl w:val="nil"/>
                  </w:tcBorders>
                  <w:vAlign w:val="center"/>
                </w:tcPr>
                <w:p w14:paraId="54B21BBD">
                  <w:pPr>
                    <w:pStyle w:val="10"/>
                    <w:shd w:val="clear"/>
                    <w:rPr>
                      <w:sz w:val="18"/>
                      <w:highlight w:val="none"/>
                    </w:rPr>
                  </w:pPr>
                  <w:r>
                    <w:rPr>
                      <w:sz w:val="18"/>
                      <w:highlight w:val="none"/>
                    </w:rPr>
                    <w:t>1</w:t>
                  </w:r>
                </w:p>
              </w:tc>
            </w:tr>
            <w:tr w14:paraId="6736B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3A267ADE">
                  <w:pPr>
                    <w:pStyle w:val="10"/>
                    <w:shd w:val="clear"/>
                    <w:rPr>
                      <w:sz w:val="18"/>
                      <w:highlight w:val="none"/>
                    </w:rPr>
                  </w:pPr>
                </w:p>
              </w:tc>
              <w:tc>
                <w:tcPr>
                  <w:tcW w:w="348" w:type="pct"/>
                  <w:vMerge w:val="continue"/>
                  <w:tcBorders>
                    <w:tl2br w:val="nil"/>
                    <w:tr2bl w:val="nil"/>
                  </w:tcBorders>
                  <w:vAlign w:val="center"/>
                </w:tcPr>
                <w:p w14:paraId="71447535">
                  <w:pPr>
                    <w:pStyle w:val="10"/>
                    <w:shd w:val="clear"/>
                    <w:rPr>
                      <w:sz w:val="18"/>
                      <w:highlight w:val="none"/>
                    </w:rPr>
                  </w:pPr>
                </w:p>
              </w:tc>
              <w:tc>
                <w:tcPr>
                  <w:tcW w:w="3798" w:type="pct"/>
                  <w:tcBorders>
                    <w:tl2br w:val="nil"/>
                    <w:tr2bl w:val="nil"/>
                  </w:tcBorders>
                  <w:vAlign w:val="center"/>
                </w:tcPr>
                <w:p w14:paraId="6A5154EF">
                  <w:pPr>
                    <w:pStyle w:val="10"/>
                    <w:shd w:val="clear"/>
                    <w:rPr>
                      <w:sz w:val="18"/>
                      <w:highlight w:val="none"/>
                    </w:rPr>
                  </w:pPr>
                  <w:r>
                    <w:rPr>
                      <w:sz w:val="18"/>
                      <w:highlight w:val="none"/>
                    </w:rPr>
                    <w:t>一般工业固废储存间</w:t>
                  </w:r>
                </w:p>
              </w:tc>
              <w:tc>
                <w:tcPr>
                  <w:tcW w:w="0" w:type="auto"/>
                  <w:tcBorders>
                    <w:tl2br w:val="nil"/>
                    <w:tr2bl w:val="nil"/>
                  </w:tcBorders>
                  <w:vAlign w:val="center"/>
                </w:tcPr>
                <w:p w14:paraId="4D343734">
                  <w:pPr>
                    <w:pStyle w:val="10"/>
                    <w:shd w:val="clear"/>
                    <w:rPr>
                      <w:sz w:val="18"/>
                      <w:highlight w:val="none"/>
                    </w:rPr>
                  </w:pPr>
                  <w:r>
                    <w:rPr>
                      <w:sz w:val="18"/>
                      <w:highlight w:val="none"/>
                    </w:rPr>
                    <w:t>10</w:t>
                  </w:r>
                </w:p>
              </w:tc>
            </w:tr>
            <w:tr w14:paraId="21655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3871D9E3">
                  <w:pPr>
                    <w:pStyle w:val="10"/>
                    <w:shd w:val="clear"/>
                    <w:rPr>
                      <w:sz w:val="18"/>
                      <w:highlight w:val="none"/>
                    </w:rPr>
                  </w:pPr>
                </w:p>
              </w:tc>
              <w:tc>
                <w:tcPr>
                  <w:tcW w:w="348" w:type="pct"/>
                  <w:vMerge w:val="continue"/>
                  <w:tcBorders>
                    <w:tl2br w:val="nil"/>
                    <w:tr2bl w:val="nil"/>
                  </w:tcBorders>
                  <w:vAlign w:val="center"/>
                </w:tcPr>
                <w:p w14:paraId="02C0AC0A">
                  <w:pPr>
                    <w:pStyle w:val="10"/>
                    <w:shd w:val="clear"/>
                    <w:rPr>
                      <w:sz w:val="18"/>
                      <w:highlight w:val="none"/>
                    </w:rPr>
                  </w:pPr>
                </w:p>
              </w:tc>
              <w:tc>
                <w:tcPr>
                  <w:tcW w:w="3798" w:type="pct"/>
                  <w:tcBorders>
                    <w:tl2br w:val="nil"/>
                    <w:tr2bl w:val="nil"/>
                  </w:tcBorders>
                  <w:vAlign w:val="center"/>
                </w:tcPr>
                <w:p w14:paraId="3494B58E">
                  <w:pPr>
                    <w:pStyle w:val="10"/>
                    <w:shd w:val="clear"/>
                    <w:rPr>
                      <w:sz w:val="18"/>
                      <w:highlight w:val="none"/>
                    </w:rPr>
                  </w:pPr>
                  <w:r>
                    <w:rPr>
                      <w:sz w:val="18"/>
                      <w:highlight w:val="none"/>
                    </w:rPr>
                    <w:t>事故油池</w:t>
                  </w:r>
                </w:p>
              </w:tc>
              <w:tc>
                <w:tcPr>
                  <w:tcW w:w="0" w:type="auto"/>
                  <w:tcBorders>
                    <w:tl2br w:val="nil"/>
                    <w:tr2bl w:val="nil"/>
                  </w:tcBorders>
                  <w:vAlign w:val="center"/>
                </w:tcPr>
                <w:p w14:paraId="4805CBB9">
                  <w:pPr>
                    <w:pStyle w:val="10"/>
                    <w:shd w:val="clear"/>
                    <w:rPr>
                      <w:sz w:val="18"/>
                      <w:highlight w:val="none"/>
                    </w:rPr>
                  </w:pPr>
                  <w:r>
                    <w:rPr>
                      <w:sz w:val="18"/>
                      <w:highlight w:val="none"/>
                    </w:rPr>
                    <w:t>5</w:t>
                  </w:r>
                </w:p>
              </w:tc>
            </w:tr>
            <w:tr w14:paraId="201282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490BF0E2">
                  <w:pPr>
                    <w:pStyle w:val="10"/>
                    <w:shd w:val="clear"/>
                    <w:rPr>
                      <w:sz w:val="18"/>
                      <w:highlight w:val="none"/>
                    </w:rPr>
                  </w:pPr>
                </w:p>
              </w:tc>
              <w:tc>
                <w:tcPr>
                  <w:tcW w:w="348" w:type="pct"/>
                  <w:vMerge w:val="continue"/>
                  <w:tcBorders>
                    <w:tl2br w:val="nil"/>
                    <w:tr2bl w:val="nil"/>
                  </w:tcBorders>
                  <w:vAlign w:val="center"/>
                </w:tcPr>
                <w:p w14:paraId="6A24DEB9">
                  <w:pPr>
                    <w:pStyle w:val="10"/>
                    <w:shd w:val="clear"/>
                    <w:rPr>
                      <w:sz w:val="18"/>
                      <w:highlight w:val="none"/>
                    </w:rPr>
                  </w:pPr>
                </w:p>
              </w:tc>
              <w:tc>
                <w:tcPr>
                  <w:tcW w:w="3798" w:type="pct"/>
                  <w:tcBorders>
                    <w:tl2br w:val="nil"/>
                    <w:tr2bl w:val="nil"/>
                  </w:tcBorders>
                  <w:vAlign w:val="center"/>
                </w:tcPr>
                <w:p w14:paraId="23814A22">
                  <w:pPr>
                    <w:pStyle w:val="10"/>
                    <w:shd w:val="clear"/>
                    <w:rPr>
                      <w:sz w:val="18"/>
                      <w:highlight w:val="none"/>
                    </w:rPr>
                  </w:pPr>
                  <w:r>
                    <w:rPr>
                      <w:rFonts w:hint="eastAsia"/>
                      <w:sz w:val="18"/>
                      <w:highlight w:val="none"/>
                      <w:lang w:val="en-US" w:eastAsia="zh-CN"/>
                    </w:rPr>
                    <w:t xml:space="preserve"> 危险废物贮存库、</w:t>
                  </w:r>
                  <w:r>
                    <w:rPr>
                      <w:sz w:val="18"/>
                      <w:highlight w:val="none"/>
                    </w:rPr>
                    <w:t>委托有资质单位处置</w:t>
                  </w:r>
                </w:p>
              </w:tc>
              <w:tc>
                <w:tcPr>
                  <w:tcW w:w="0" w:type="auto"/>
                  <w:tcBorders>
                    <w:tl2br w:val="nil"/>
                    <w:tr2bl w:val="nil"/>
                  </w:tcBorders>
                  <w:vAlign w:val="center"/>
                </w:tcPr>
                <w:p w14:paraId="3205B58C">
                  <w:pPr>
                    <w:pStyle w:val="10"/>
                    <w:shd w:val="clear"/>
                    <w:rPr>
                      <w:sz w:val="18"/>
                      <w:highlight w:val="none"/>
                    </w:rPr>
                  </w:pPr>
                  <w:r>
                    <w:rPr>
                      <w:sz w:val="18"/>
                      <w:highlight w:val="none"/>
                    </w:rPr>
                    <w:t>10</w:t>
                  </w:r>
                </w:p>
              </w:tc>
            </w:tr>
            <w:tr w14:paraId="71D25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restart"/>
                  <w:tcBorders>
                    <w:tl2br w:val="nil"/>
                    <w:tr2bl w:val="nil"/>
                  </w:tcBorders>
                  <w:vAlign w:val="center"/>
                </w:tcPr>
                <w:p w14:paraId="01202712">
                  <w:pPr>
                    <w:pStyle w:val="10"/>
                    <w:shd w:val="clear"/>
                    <w:rPr>
                      <w:sz w:val="18"/>
                      <w:highlight w:val="none"/>
                    </w:rPr>
                  </w:pPr>
                  <w:r>
                    <w:rPr>
                      <w:sz w:val="18"/>
                      <w:highlight w:val="none"/>
                    </w:rPr>
                    <w:t>其他</w:t>
                  </w:r>
                </w:p>
              </w:tc>
              <w:tc>
                <w:tcPr>
                  <w:tcW w:w="348" w:type="pct"/>
                  <w:tcBorders>
                    <w:tl2br w:val="nil"/>
                    <w:tr2bl w:val="nil"/>
                  </w:tcBorders>
                  <w:vAlign w:val="center"/>
                </w:tcPr>
                <w:p w14:paraId="498785A0">
                  <w:pPr>
                    <w:pStyle w:val="10"/>
                    <w:shd w:val="clear"/>
                    <w:rPr>
                      <w:sz w:val="18"/>
                      <w:highlight w:val="none"/>
                    </w:rPr>
                  </w:pPr>
                  <w:r>
                    <w:rPr>
                      <w:sz w:val="18"/>
                      <w:highlight w:val="none"/>
                    </w:rPr>
                    <w:t>/</w:t>
                  </w:r>
                </w:p>
              </w:tc>
              <w:tc>
                <w:tcPr>
                  <w:tcW w:w="3798" w:type="pct"/>
                  <w:tcBorders>
                    <w:tl2br w:val="nil"/>
                    <w:tr2bl w:val="nil"/>
                  </w:tcBorders>
                  <w:vAlign w:val="center"/>
                </w:tcPr>
                <w:p w14:paraId="6F1E2BC8">
                  <w:pPr>
                    <w:pStyle w:val="10"/>
                    <w:shd w:val="clear"/>
                    <w:rPr>
                      <w:sz w:val="18"/>
                      <w:highlight w:val="none"/>
                    </w:rPr>
                  </w:pPr>
                  <w:r>
                    <w:rPr>
                      <w:sz w:val="18"/>
                      <w:highlight w:val="none"/>
                    </w:rPr>
                    <w:t>环评、验收、监测费用</w:t>
                  </w:r>
                </w:p>
              </w:tc>
              <w:tc>
                <w:tcPr>
                  <w:tcW w:w="0" w:type="auto"/>
                  <w:tcBorders>
                    <w:tl2br w:val="nil"/>
                    <w:tr2bl w:val="nil"/>
                  </w:tcBorders>
                  <w:vAlign w:val="center"/>
                </w:tcPr>
                <w:p w14:paraId="73828918">
                  <w:pPr>
                    <w:pStyle w:val="10"/>
                    <w:shd w:val="clear"/>
                    <w:rPr>
                      <w:sz w:val="18"/>
                      <w:highlight w:val="none"/>
                    </w:rPr>
                  </w:pPr>
                  <w:r>
                    <w:rPr>
                      <w:sz w:val="18"/>
                      <w:highlight w:val="none"/>
                    </w:rPr>
                    <w:t>15</w:t>
                  </w:r>
                </w:p>
              </w:tc>
            </w:tr>
            <w:tr w14:paraId="280A2B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0" w:type="auto"/>
                  <w:vMerge w:val="continue"/>
                  <w:tcBorders>
                    <w:tl2br w:val="nil"/>
                    <w:tr2bl w:val="nil"/>
                  </w:tcBorders>
                  <w:vAlign w:val="center"/>
                </w:tcPr>
                <w:p w14:paraId="2E7577F7">
                  <w:pPr>
                    <w:pStyle w:val="10"/>
                    <w:shd w:val="clear"/>
                    <w:rPr>
                      <w:sz w:val="18"/>
                      <w:highlight w:val="none"/>
                    </w:rPr>
                  </w:pPr>
                </w:p>
              </w:tc>
              <w:tc>
                <w:tcPr>
                  <w:tcW w:w="348" w:type="pct"/>
                  <w:tcBorders>
                    <w:tl2br w:val="nil"/>
                    <w:tr2bl w:val="nil"/>
                  </w:tcBorders>
                  <w:vAlign w:val="center"/>
                </w:tcPr>
                <w:p w14:paraId="6B880EAD">
                  <w:pPr>
                    <w:pStyle w:val="10"/>
                    <w:shd w:val="clear"/>
                    <w:rPr>
                      <w:sz w:val="18"/>
                      <w:highlight w:val="none"/>
                    </w:rPr>
                  </w:pPr>
                  <w:r>
                    <w:rPr>
                      <w:sz w:val="18"/>
                      <w:highlight w:val="none"/>
                    </w:rPr>
                    <w:t>/</w:t>
                  </w:r>
                </w:p>
              </w:tc>
              <w:tc>
                <w:tcPr>
                  <w:tcW w:w="3798" w:type="pct"/>
                  <w:tcBorders>
                    <w:tl2br w:val="nil"/>
                    <w:tr2bl w:val="nil"/>
                  </w:tcBorders>
                  <w:vAlign w:val="center"/>
                </w:tcPr>
                <w:p w14:paraId="5DA7FBC8">
                  <w:pPr>
                    <w:pStyle w:val="10"/>
                    <w:shd w:val="clear"/>
                    <w:rPr>
                      <w:sz w:val="18"/>
                      <w:highlight w:val="none"/>
                    </w:rPr>
                  </w:pPr>
                  <w:r>
                    <w:rPr>
                      <w:sz w:val="18"/>
                      <w:highlight w:val="none"/>
                    </w:rPr>
                    <w:t>其他（含安全警示标牌等费用）</w:t>
                  </w:r>
                </w:p>
              </w:tc>
              <w:tc>
                <w:tcPr>
                  <w:tcW w:w="0" w:type="auto"/>
                  <w:tcBorders>
                    <w:tl2br w:val="nil"/>
                    <w:tr2bl w:val="nil"/>
                  </w:tcBorders>
                  <w:vAlign w:val="center"/>
                </w:tcPr>
                <w:p w14:paraId="10730818">
                  <w:pPr>
                    <w:pStyle w:val="10"/>
                    <w:shd w:val="clear"/>
                    <w:rPr>
                      <w:sz w:val="18"/>
                      <w:highlight w:val="none"/>
                    </w:rPr>
                  </w:pPr>
                  <w:r>
                    <w:rPr>
                      <w:sz w:val="18"/>
                      <w:highlight w:val="none"/>
                    </w:rPr>
                    <w:t>2</w:t>
                  </w:r>
                </w:p>
              </w:tc>
            </w:tr>
            <w:tr w14:paraId="33669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57" w:type="pct"/>
                  <w:gridSpan w:val="2"/>
                  <w:tcBorders>
                    <w:tl2br w:val="nil"/>
                    <w:tr2bl w:val="nil"/>
                  </w:tcBorders>
                  <w:vAlign w:val="center"/>
                </w:tcPr>
                <w:p w14:paraId="2930E2F8">
                  <w:pPr>
                    <w:pStyle w:val="10"/>
                    <w:shd w:val="clear"/>
                    <w:rPr>
                      <w:sz w:val="18"/>
                      <w:highlight w:val="none"/>
                    </w:rPr>
                  </w:pPr>
                  <w:r>
                    <w:rPr>
                      <w:sz w:val="18"/>
                      <w:highlight w:val="none"/>
                    </w:rPr>
                    <w:t>合计</w:t>
                  </w:r>
                </w:p>
              </w:tc>
              <w:tc>
                <w:tcPr>
                  <w:tcW w:w="3798" w:type="pct"/>
                  <w:tcBorders>
                    <w:tl2br w:val="nil"/>
                    <w:tr2bl w:val="nil"/>
                  </w:tcBorders>
                  <w:vAlign w:val="center"/>
                </w:tcPr>
                <w:p w14:paraId="53800CEC">
                  <w:pPr>
                    <w:pStyle w:val="10"/>
                    <w:shd w:val="clear"/>
                    <w:rPr>
                      <w:sz w:val="18"/>
                      <w:highlight w:val="none"/>
                    </w:rPr>
                  </w:pPr>
                  <w:r>
                    <w:rPr>
                      <w:sz w:val="18"/>
                      <w:highlight w:val="none"/>
                    </w:rPr>
                    <w:t>/</w:t>
                  </w:r>
                </w:p>
              </w:tc>
              <w:tc>
                <w:tcPr>
                  <w:tcW w:w="0" w:type="auto"/>
                  <w:tcBorders>
                    <w:tl2br w:val="nil"/>
                    <w:tr2bl w:val="nil"/>
                  </w:tcBorders>
                  <w:vAlign w:val="center"/>
                </w:tcPr>
                <w:p w14:paraId="727CA8DA">
                  <w:pPr>
                    <w:pStyle w:val="10"/>
                    <w:shd w:val="clear"/>
                    <w:rPr>
                      <w:sz w:val="18"/>
                      <w:highlight w:val="none"/>
                    </w:rPr>
                  </w:pPr>
                  <w:r>
                    <w:rPr>
                      <w:sz w:val="18"/>
                      <w:highlight w:val="none"/>
                    </w:rPr>
                    <w:t>130</w:t>
                  </w:r>
                </w:p>
              </w:tc>
            </w:tr>
          </w:tbl>
          <w:p w14:paraId="0605A30F">
            <w:pPr>
              <w:shd w:val="clear"/>
              <w:ind w:firstLine="0" w:firstLineChars="0"/>
              <w:rPr>
                <w:bCs/>
                <w:spacing w:val="10"/>
                <w:highlight w:val="none"/>
              </w:rPr>
            </w:pPr>
          </w:p>
        </w:tc>
      </w:tr>
    </w:tbl>
    <w:p w14:paraId="2998CBE6">
      <w:pPr>
        <w:shd w:val="clear"/>
        <w:ind w:firstLine="480"/>
        <w:rPr>
          <w:highlight w:val="none"/>
        </w:rPr>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65D30261">
      <w:pPr>
        <w:pStyle w:val="28"/>
        <w:shd w:val="clear"/>
        <w:spacing w:line="240" w:lineRule="auto"/>
        <w:jc w:val="center"/>
        <w:outlineLvl w:val="0"/>
        <w:rPr>
          <w:rFonts w:ascii="Times New Roman" w:hAnsi="Times New Roman"/>
          <w:snapToGrid w:val="0"/>
          <w:sz w:val="30"/>
          <w:szCs w:val="30"/>
          <w:highlight w:val="none"/>
        </w:rPr>
      </w:pPr>
      <w:bookmarkStart w:id="442" w:name="_Toc28886"/>
      <w:bookmarkStart w:id="443" w:name="_Toc30380"/>
      <w:bookmarkStart w:id="444" w:name="_Toc14914"/>
      <w:bookmarkStart w:id="445" w:name="_Toc28298"/>
      <w:r>
        <w:rPr>
          <w:rFonts w:ascii="Times New Roman" w:hAnsi="Times New Roman"/>
          <w:snapToGrid w:val="0"/>
          <w:sz w:val="30"/>
          <w:szCs w:val="30"/>
          <w:highlight w:val="none"/>
        </w:rPr>
        <w:t>六、生态环境保护措施监督检查清单</w:t>
      </w:r>
      <w:bookmarkEnd w:id="442"/>
      <w:bookmarkEnd w:id="443"/>
      <w:bookmarkEnd w:id="444"/>
      <w:bookmarkEnd w:id="445"/>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105"/>
        <w:gridCol w:w="2163"/>
        <w:gridCol w:w="2055"/>
        <w:gridCol w:w="2716"/>
      </w:tblGrid>
      <w:tr w14:paraId="39AAF5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restart"/>
            <w:tcBorders>
              <w:tl2br w:val="single" w:color="auto" w:sz="4" w:space="0"/>
            </w:tcBorders>
          </w:tcPr>
          <w:p w14:paraId="6B0F3C8B">
            <w:pPr>
              <w:pStyle w:val="28"/>
              <w:shd w:val="clear"/>
              <w:spacing w:before="72" w:beforeLines="30" w:beforeAutospacing="0" w:after="0" w:afterAutospacing="0" w:line="240" w:lineRule="auto"/>
              <w:ind w:firstLine="0" w:firstLineChars="0"/>
              <w:jc w:val="center"/>
              <w:outlineLvl w:val="0"/>
              <w:rPr>
                <w:rFonts w:ascii="Times New Roman" w:hAnsi="Times New Roman"/>
                <w:b/>
                <w:bCs/>
                <w:kern w:val="2"/>
                <w:sz w:val="21"/>
                <w:szCs w:val="21"/>
                <w:highlight w:val="none"/>
              </w:rPr>
            </w:pPr>
            <w:bookmarkStart w:id="446" w:name="_Toc15407"/>
            <w:bookmarkStart w:id="447" w:name="_Toc26780"/>
            <w:bookmarkStart w:id="448" w:name="_Toc21578"/>
            <w:bookmarkStart w:id="449" w:name="_Toc19745"/>
            <w:r>
              <w:rPr>
                <w:rFonts w:ascii="Times New Roman" w:hAnsi="Times New Roman"/>
                <w:b/>
                <w:bCs/>
                <w:kern w:val="2"/>
                <w:sz w:val="21"/>
                <w:szCs w:val="21"/>
                <w:highlight w:val="none"/>
              </w:rPr>
              <w:t>内容</w:t>
            </w:r>
            <w:bookmarkEnd w:id="446"/>
            <w:bookmarkEnd w:id="447"/>
            <w:bookmarkEnd w:id="448"/>
            <w:bookmarkEnd w:id="449"/>
          </w:p>
          <w:p w14:paraId="4292A39F">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p>
          <w:p w14:paraId="0E9BDFCF">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bookmarkStart w:id="450" w:name="_Toc25964"/>
            <w:bookmarkStart w:id="451" w:name="_Toc23789"/>
            <w:bookmarkStart w:id="452" w:name="_Toc5962"/>
            <w:bookmarkStart w:id="453" w:name="_Toc28242"/>
            <w:r>
              <w:rPr>
                <w:rFonts w:ascii="Times New Roman" w:hAnsi="Times New Roman"/>
                <w:b/>
                <w:bCs/>
                <w:kern w:val="2"/>
                <w:sz w:val="21"/>
                <w:szCs w:val="21"/>
                <w:highlight w:val="none"/>
              </w:rPr>
              <w:t>要素</w:t>
            </w:r>
            <w:bookmarkEnd w:id="450"/>
            <w:bookmarkEnd w:id="451"/>
            <w:bookmarkEnd w:id="452"/>
            <w:bookmarkEnd w:id="453"/>
          </w:p>
        </w:tc>
        <w:tc>
          <w:tcPr>
            <w:tcW w:w="0" w:type="auto"/>
            <w:gridSpan w:val="2"/>
            <w:vAlign w:val="center"/>
          </w:tcPr>
          <w:p w14:paraId="0CE5C1E6">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bookmarkStart w:id="454" w:name="_Toc10263"/>
            <w:bookmarkStart w:id="455" w:name="_Toc19358"/>
            <w:bookmarkStart w:id="456" w:name="_Toc5516"/>
            <w:bookmarkStart w:id="457" w:name="_Toc26710"/>
            <w:r>
              <w:rPr>
                <w:rFonts w:ascii="Times New Roman" w:hAnsi="Times New Roman"/>
                <w:b/>
                <w:bCs/>
                <w:kern w:val="2"/>
                <w:sz w:val="21"/>
                <w:szCs w:val="21"/>
                <w:highlight w:val="none"/>
              </w:rPr>
              <w:t>施工期</w:t>
            </w:r>
            <w:bookmarkEnd w:id="454"/>
            <w:bookmarkEnd w:id="455"/>
            <w:bookmarkEnd w:id="456"/>
            <w:bookmarkEnd w:id="457"/>
          </w:p>
        </w:tc>
        <w:tc>
          <w:tcPr>
            <w:tcW w:w="0" w:type="auto"/>
            <w:gridSpan w:val="2"/>
            <w:vAlign w:val="center"/>
          </w:tcPr>
          <w:p w14:paraId="654C42C9">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bookmarkStart w:id="458" w:name="_Toc16306"/>
            <w:bookmarkStart w:id="459" w:name="_Toc9832"/>
            <w:bookmarkStart w:id="460" w:name="_Toc13189"/>
            <w:bookmarkStart w:id="461" w:name="_Toc692"/>
            <w:r>
              <w:rPr>
                <w:rFonts w:ascii="Times New Roman" w:hAnsi="Times New Roman"/>
                <w:b/>
                <w:bCs/>
                <w:kern w:val="2"/>
                <w:sz w:val="21"/>
                <w:szCs w:val="21"/>
                <w:highlight w:val="none"/>
              </w:rPr>
              <w:t>运营期</w:t>
            </w:r>
            <w:bookmarkEnd w:id="458"/>
            <w:bookmarkEnd w:id="459"/>
            <w:bookmarkEnd w:id="460"/>
            <w:bookmarkEnd w:id="461"/>
          </w:p>
        </w:tc>
      </w:tr>
      <w:tr w14:paraId="7FC1A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14:paraId="6E9E0ECE">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p>
        </w:tc>
        <w:tc>
          <w:tcPr>
            <w:tcW w:w="0" w:type="auto"/>
            <w:vAlign w:val="center"/>
          </w:tcPr>
          <w:p w14:paraId="40AAF590">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bookmarkStart w:id="462" w:name="_Toc17754"/>
            <w:bookmarkStart w:id="463" w:name="_Toc24878"/>
            <w:bookmarkStart w:id="464" w:name="_Toc973"/>
            <w:bookmarkStart w:id="465" w:name="_Toc24106"/>
            <w:r>
              <w:rPr>
                <w:rFonts w:ascii="Times New Roman" w:hAnsi="Times New Roman"/>
                <w:b/>
                <w:bCs/>
                <w:kern w:val="2"/>
                <w:sz w:val="21"/>
                <w:szCs w:val="21"/>
                <w:highlight w:val="none"/>
              </w:rPr>
              <w:t>环境保护措施</w:t>
            </w:r>
            <w:bookmarkEnd w:id="462"/>
            <w:bookmarkEnd w:id="463"/>
            <w:bookmarkEnd w:id="464"/>
            <w:bookmarkEnd w:id="465"/>
          </w:p>
        </w:tc>
        <w:tc>
          <w:tcPr>
            <w:tcW w:w="0" w:type="auto"/>
            <w:vAlign w:val="center"/>
          </w:tcPr>
          <w:p w14:paraId="799B718C">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bookmarkStart w:id="466" w:name="_Toc14398"/>
            <w:bookmarkStart w:id="467" w:name="_Toc20302"/>
            <w:bookmarkStart w:id="468" w:name="_Toc4147"/>
            <w:bookmarkStart w:id="469" w:name="_Toc15705"/>
            <w:r>
              <w:rPr>
                <w:rFonts w:ascii="Times New Roman" w:hAnsi="Times New Roman"/>
                <w:b/>
                <w:bCs/>
                <w:kern w:val="2"/>
                <w:sz w:val="21"/>
                <w:szCs w:val="21"/>
                <w:highlight w:val="none"/>
              </w:rPr>
              <w:t>验收要求</w:t>
            </w:r>
            <w:bookmarkEnd w:id="466"/>
            <w:bookmarkEnd w:id="467"/>
            <w:bookmarkEnd w:id="468"/>
            <w:bookmarkEnd w:id="469"/>
          </w:p>
        </w:tc>
        <w:tc>
          <w:tcPr>
            <w:tcW w:w="0" w:type="auto"/>
            <w:vAlign w:val="center"/>
          </w:tcPr>
          <w:p w14:paraId="5B5FF8B3">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bookmarkStart w:id="470" w:name="_Toc30179"/>
            <w:bookmarkStart w:id="471" w:name="_Toc6430"/>
            <w:bookmarkStart w:id="472" w:name="_Toc18157"/>
            <w:bookmarkStart w:id="473" w:name="_Toc25413"/>
            <w:r>
              <w:rPr>
                <w:rFonts w:ascii="Times New Roman" w:hAnsi="Times New Roman"/>
                <w:b/>
                <w:bCs/>
                <w:kern w:val="2"/>
                <w:sz w:val="21"/>
                <w:szCs w:val="21"/>
                <w:highlight w:val="none"/>
              </w:rPr>
              <w:t>环境保护措施</w:t>
            </w:r>
            <w:bookmarkEnd w:id="470"/>
            <w:bookmarkEnd w:id="471"/>
            <w:bookmarkEnd w:id="472"/>
            <w:bookmarkEnd w:id="473"/>
          </w:p>
        </w:tc>
        <w:tc>
          <w:tcPr>
            <w:tcW w:w="0" w:type="auto"/>
            <w:vAlign w:val="center"/>
          </w:tcPr>
          <w:p w14:paraId="0BD4DA26">
            <w:pPr>
              <w:pStyle w:val="28"/>
              <w:shd w:val="clear"/>
              <w:spacing w:before="0" w:beforeAutospacing="0" w:after="0" w:afterAutospacing="0" w:line="240" w:lineRule="auto"/>
              <w:ind w:firstLine="0" w:firstLineChars="0"/>
              <w:jc w:val="center"/>
              <w:outlineLvl w:val="0"/>
              <w:rPr>
                <w:rFonts w:ascii="Times New Roman" w:hAnsi="Times New Roman"/>
                <w:b/>
                <w:bCs/>
                <w:kern w:val="2"/>
                <w:sz w:val="21"/>
                <w:szCs w:val="21"/>
                <w:highlight w:val="none"/>
              </w:rPr>
            </w:pPr>
            <w:bookmarkStart w:id="474" w:name="_Toc31357"/>
            <w:bookmarkStart w:id="475" w:name="_Toc30815"/>
            <w:bookmarkStart w:id="476" w:name="_Toc25627"/>
            <w:bookmarkStart w:id="477" w:name="_Toc24699"/>
            <w:r>
              <w:rPr>
                <w:rFonts w:ascii="Times New Roman" w:hAnsi="Times New Roman"/>
                <w:b/>
                <w:bCs/>
                <w:kern w:val="2"/>
                <w:sz w:val="21"/>
                <w:szCs w:val="21"/>
                <w:highlight w:val="none"/>
              </w:rPr>
              <w:t>验收要求</w:t>
            </w:r>
            <w:bookmarkEnd w:id="474"/>
            <w:bookmarkEnd w:id="475"/>
            <w:bookmarkEnd w:id="476"/>
            <w:bookmarkEnd w:id="477"/>
          </w:p>
        </w:tc>
      </w:tr>
      <w:tr w14:paraId="44298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2FA7E21">
            <w:pPr>
              <w:shd w:val="clear"/>
              <w:spacing w:line="240" w:lineRule="auto"/>
              <w:ind w:firstLine="0" w:firstLineChars="0"/>
              <w:jc w:val="center"/>
              <w:rPr>
                <w:sz w:val="21"/>
                <w:szCs w:val="21"/>
                <w:highlight w:val="none"/>
              </w:rPr>
            </w:pPr>
            <w:r>
              <w:rPr>
                <w:sz w:val="21"/>
                <w:szCs w:val="21"/>
                <w:highlight w:val="none"/>
              </w:rPr>
              <w:t>陆生生态</w:t>
            </w:r>
          </w:p>
        </w:tc>
        <w:tc>
          <w:tcPr>
            <w:tcW w:w="0" w:type="auto"/>
            <w:vAlign w:val="center"/>
          </w:tcPr>
          <w:p w14:paraId="1EC57D99">
            <w:pPr>
              <w:shd w:val="clear"/>
              <w:spacing w:line="240" w:lineRule="auto"/>
              <w:ind w:firstLine="0" w:firstLineChars="0"/>
              <w:jc w:val="center"/>
              <w:rPr>
                <w:sz w:val="21"/>
                <w:szCs w:val="21"/>
                <w:highlight w:val="none"/>
              </w:rPr>
            </w:pPr>
            <w:r>
              <w:rPr>
                <w:sz w:val="21"/>
                <w:szCs w:val="21"/>
                <w:highlight w:val="none"/>
              </w:rPr>
              <w:t>严格按设计要求施工；施工结束后，全部采取地表恢复措施。</w:t>
            </w:r>
          </w:p>
        </w:tc>
        <w:tc>
          <w:tcPr>
            <w:tcW w:w="0" w:type="auto"/>
            <w:vAlign w:val="center"/>
          </w:tcPr>
          <w:p w14:paraId="1970269C">
            <w:pPr>
              <w:shd w:val="clear"/>
              <w:spacing w:line="240" w:lineRule="auto"/>
              <w:ind w:firstLine="0" w:firstLineChars="0"/>
              <w:jc w:val="center"/>
              <w:rPr>
                <w:sz w:val="21"/>
                <w:szCs w:val="21"/>
                <w:highlight w:val="none"/>
              </w:rPr>
            </w:pPr>
            <w:r>
              <w:rPr>
                <w:sz w:val="21"/>
                <w:szCs w:val="21"/>
                <w:highlight w:val="none"/>
              </w:rPr>
              <w:t>恢复地貌</w:t>
            </w:r>
          </w:p>
        </w:tc>
        <w:tc>
          <w:tcPr>
            <w:tcW w:w="0" w:type="auto"/>
            <w:vAlign w:val="center"/>
          </w:tcPr>
          <w:p w14:paraId="7E85E1D8">
            <w:pPr>
              <w:shd w:val="clear"/>
              <w:spacing w:line="240" w:lineRule="auto"/>
              <w:ind w:firstLine="0" w:firstLineChars="0"/>
              <w:jc w:val="center"/>
              <w:rPr>
                <w:sz w:val="21"/>
                <w:szCs w:val="21"/>
                <w:highlight w:val="none"/>
              </w:rPr>
            </w:pPr>
            <w:r>
              <w:rPr>
                <w:sz w:val="21"/>
                <w:szCs w:val="21"/>
                <w:highlight w:val="none"/>
              </w:rPr>
              <w:t>利用已有道路作为巡检道路、道路维护，加强工作人员教育宣传，保护植被、动物。</w:t>
            </w:r>
          </w:p>
        </w:tc>
        <w:tc>
          <w:tcPr>
            <w:tcW w:w="0" w:type="auto"/>
            <w:vAlign w:val="center"/>
          </w:tcPr>
          <w:p w14:paraId="71361DFE">
            <w:pPr>
              <w:shd w:val="clear"/>
              <w:spacing w:line="240" w:lineRule="auto"/>
              <w:ind w:firstLine="0" w:firstLineChars="0"/>
              <w:jc w:val="center"/>
              <w:rPr>
                <w:sz w:val="21"/>
                <w:szCs w:val="21"/>
                <w:highlight w:val="none"/>
              </w:rPr>
            </w:pPr>
            <w:r>
              <w:rPr>
                <w:sz w:val="21"/>
                <w:szCs w:val="21"/>
                <w:highlight w:val="none"/>
              </w:rPr>
              <w:t>生态环境不得因本项目的建设而破坏</w:t>
            </w:r>
          </w:p>
        </w:tc>
      </w:tr>
      <w:tr w14:paraId="7BA6A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9ED55A">
            <w:pPr>
              <w:shd w:val="clear"/>
              <w:spacing w:line="240" w:lineRule="auto"/>
              <w:ind w:firstLine="0" w:firstLineChars="0"/>
              <w:jc w:val="center"/>
              <w:rPr>
                <w:sz w:val="21"/>
                <w:szCs w:val="21"/>
                <w:highlight w:val="none"/>
              </w:rPr>
            </w:pPr>
            <w:r>
              <w:rPr>
                <w:sz w:val="21"/>
                <w:szCs w:val="21"/>
                <w:highlight w:val="none"/>
              </w:rPr>
              <w:t>水生生态</w:t>
            </w:r>
          </w:p>
        </w:tc>
        <w:tc>
          <w:tcPr>
            <w:tcW w:w="0" w:type="auto"/>
            <w:vAlign w:val="center"/>
          </w:tcPr>
          <w:p w14:paraId="736B8FE5">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007C38DC">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389DFC5B">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1FE6FDE3">
            <w:pPr>
              <w:shd w:val="clear"/>
              <w:spacing w:line="240" w:lineRule="auto"/>
              <w:ind w:firstLine="0" w:firstLineChars="0"/>
              <w:jc w:val="center"/>
              <w:rPr>
                <w:sz w:val="21"/>
                <w:szCs w:val="21"/>
                <w:highlight w:val="none"/>
              </w:rPr>
            </w:pPr>
            <w:r>
              <w:rPr>
                <w:sz w:val="21"/>
                <w:szCs w:val="21"/>
                <w:highlight w:val="none"/>
              </w:rPr>
              <w:t>/</w:t>
            </w:r>
          </w:p>
        </w:tc>
      </w:tr>
      <w:tr w14:paraId="08AA45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4AF55BF">
            <w:pPr>
              <w:shd w:val="clear"/>
              <w:spacing w:line="240" w:lineRule="auto"/>
              <w:ind w:firstLine="0" w:firstLineChars="0"/>
              <w:jc w:val="center"/>
              <w:rPr>
                <w:sz w:val="21"/>
                <w:szCs w:val="21"/>
                <w:highlight w:val="none"/>
              </w:rPr>
            </w:pPr>
            <w:r>
              <w:rPr>
                <w:sz w:val="21"/>
                <w:szCs w:val="21"/>
                <w:highlight w:val="none"/>
              </w:rPr>
              <w:t>地表水环境</w:t>
            </w:r>
          </w:p>
        </w:tc>
        <w:tc>
          <w:tcPr>
            <w:tcW w:w="0" w:type="auto"/>
            <w:vAlign w:val="center"/>
          </w:tcPr>
          <w:p w14:paraId="157953A3">
            <w:pPr>
              <w:shd w:val="clear"/>
              <w:spacing w:line="240" w:lineRule="auto"/>
              <w:ind w:firstLine="0" w:firstLineChars="0"/>
              <w:jc w:val="center"/>
              <w:rPr>
                <w:sz w:val="21"/>
                <w:szCs w:val="21"/>
                <w:highlight w:val="none"/>
              </w:rPr>
            </w:pPr>
            <w:r>
              <w:rPr>
                <w:color w:val="FF0000"/>
                <w:sz w:val="21"/>
                <w:szCs w:val="21"/>
                <w:highlight w:val="none"/>
              </w:rPr>
              <w:t>施工废水沉淀后洒水抑尘；</w:t>
            </w:r>
            <w:r>
              <w:rPr>
                <w:rFonts w:hint="eastAsia"/>
                <w:color w:val="FF0000"/>
                <w:sz w:val="21"/>
                <w:szCs w:val="21"/>
                <w:highlight w:val="none"/>
                <w:lang w:val="en-US" w:eastAsia="zh-CN"/>
              </w:rPr>
              <w:t>施工期设置移动环保水冲厕，</w:t>
            </w:r>
            <w:r>
              <w:rPr>
                <w:color w:val="FF0000"/>
                <w:sz w:val="21"/>
                <w:szCs w:val="21"/>
                <w:highlight w:val="none"/>
              </w:rPr>
              <w:t>生活污水集中收集，定期清运至</w:t>
            </w:r>
            <w:r>
              <w:rPr>
                <w:rFonts w:hint="eastAsia"/>
                <w:color w:val="FF0000"/>
                <w:sz w:val="21"/>
                <w:szCs w:val="21"/>
                <w:highlight w:val="none"/>
                <w:lang w:val="en-US" w:eastAsia="zh-CN"/>
              </w:rPr>
              <w:t>尉犁县</w:t>
            </w:r>
            <w:r>
              <w:rPr>
                <w:color w:val="FF0000"/>
                <w:sz w:val="21"/>
                <w:szCs w:val="21"/>
                <w:highlight w:val="none"/>
              </w:rPr>
              <w:t>处理厂处理</w:t>
            </w:r>
          </w:p>
        </w:tc>
        <w:tc>
          <w:tcPr>
            <w:tcW w:w="0" w:type="auto"/>
            <w:vAlign w:val="center"/>
          </w:tcPr>
          <w:p w14:paraId="6A8A401F">
            <w:pPr>
              <w:shd w:val="clear"/>
              <w:spacing w:line="240" w:lineRule="auto"/>
              <w:ind w:firstLine="0" w:firstLineChars="0"/>
              <w:jc w:val="center"/>
              <w:rPr>
                <w:sz w:val="21"/>
                <w:szCs w:val="21"/>
                <w:highlight w:val="none"/>
              </w:rPr>
            </w:pPr>
            <w:r>
              <w:rPr>
                <w:sz w:val="21"/>
                <w:szCs w:val="21"/>
                <w:highlight w:val="none"/>
              </w:rPr>
              <w:t>不外排</w:t>
            </w:r>
          </w:p>
        </w:tc>
        <w:tc>
          <w:tcPr>
            <w:tcW w:w="0" w:type="auto"/>
            <w:vAlign w:val="center"/>
          </w:tcPr>
          <w:p w14:paraId="54CAD009">
            <w:pPr>
              <w:shd w:val="clear"/>
              <w:spacing w:line="240" w:lineRule="auto"/>
              <w:ind w:firstLine="0" w:firstLineChars="0"/>
              <w:jc w:val="center"/>
              <w:rPr>
                <w:sz w:val="21"/>
                <w:szCs w:val="21"/>
                <w:highlight w:val="none"/>
              </w:rPr>
            </w:pPr>
            <w:r>
              <w:rPr>
                <w:sz w:val="21"/>
                <w:szCs w:val="21"/>
                <w:highlight w:val="none"/>
              </w:rPr>
              <w:t>生活污水经隔油池+一体化污水处理设施处理后，设置40m</w:t>
            </w:r>
            <w:r>
              <w:rPr>
                <w:sz w:val="21"/>
                <w:szCs w:val="21"/>
                <w:highlight w:val="none"/>
                <w:vertAlign w:val="superscript"/>
              </w:rPr>
              <w:t>3</w:t>
            </w:r>
            <w:r>
              <w:rPr>
                <w:sz w:val="21"/>
                <w:szCs w:val="21"/>
                <w:highlight w:val="none"/>
              </w:rPr>
              <w:t>的</w:t>
            </w:r>
            <w:r>
              <w:rPr>
                <w:rFonts w:hint="eastAsia"/>
                <w:sz w:val="21"/>
                <w:szCs w:val="21"/>
                <w:highlight w:val="none"/>
                <w:lang w:eastAsia="zh-CN"/>
              </w:rPr>
              <w:t>集水池</w:t>
            </w:r>
            <w:r>
              <w:rPr>
                <w:sz w:val="21"/>
                <w:szCs w:val="21"/>
                <w:highlight w:val="none"/>
              </w:rPr>
              <w:t>，用于冬季储水，夏季用于站区周边荒漠灌溉。</w:t>
            </w:r>
          </w:p>
        </w:tc>
        <w:tc>
          <w:tcPr>
            <w:tcW w:w="0" w:type="auto"/>
            <w:vAlign w:val="center"/>
          </w:tcPr>
          <w:p w14:paraId="039BBCE5">
            <w:pPr>
              <w:shd w:val="clear"/>
              <w:spacing w:line="240" w:lineRule="auto"/>
              <w:ind w:firstLine="0" w:firstLineChars="0"/>
              <w:jc w:val="center"/>
              <w:rPr>
                <w:sz w:val="21"/>
                <w:szCs w:val="21"/>
                <w:highlight w:val="none"/>
              </w:rPr>
            </w:pPr>
            <w:r>
              <w:rPr>
                <w:sz w:val="21"/>
                <w:szCs w:val="21"/>
                <w:highlight w:val="none"/>
              </w:rPr>
              <w:t>《农村生活污水处理排放标准》（DB65 4275-2019）表2中B级标准限值</w:t>
            </w:r>
          </w:p>
        </w:tc>
      </w:tr>
      <w:tr w14:paraId="6AD7C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073C14F0">
            <w:pPr>
              <w:shd w:val="clear"/>
              <w:spacing w:line="240" w:lineRule="auto"/>
              <w:ind w:firstLine="0" w:firstLineChars="0"/>
              <w:jc w:val="center"/>
              <w:rPr>
                <w:sz w:val="21"/>
                <w:szCs w:val="21"/>
                <w:highlight w:val="none"/>
              </w:rPr>
            </w:pPr>
            <w:r>
              <w:rPr>
                <w:sz w:val="21"/>
                <w:szCs w:val="21"/>
                <w:highlight w:val="none"/>
              </w:rPr>
              <w:t>地下水及土壤环境</w:t>
            </w:r>
          </w:p>
        </w:tc>
        <w:tc>
          <w:tcPr>
            <w:tcW w:w="0" w:type="auto"/>
            <w:vAlign w:val="center"/>
          </w:tcPr>
          <w:p w14:paraId="26FBEA52">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295908EF">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57B874B1">
            <w:pPr>
              <w:shd w:val="clear"/>
              <w:spacing w:line="240" w:lineRule="auto"/>
              <w:ind w:firstLine="0" w:firstLineChars="0"/>
              <w:jc w:val="center"/>
              <w:rPr>
                <w:sz w:val="21"/>
                <w:szCs w:val="21"/>
                <w:highlight w:val="none"/>
              </w:rPr>
            </w:pPr>
            <w:r>
              <w:rPr>
                <w:sz w:val="21"/>
                <w:szCs w:val="21"/>
                <w:highlight w:val="none"/>
              </w:rPr>
              <w:t>采取分区防渗措施</w:t>
            </w:r>
          </w:p>
        </w:tc>
        <w:tc>
          <w:tcPr>
            <w:tcW w:w="0" w:type="auto"/>
            <w:vAlign w:val="center"/>
          </w:tcPr>
          <w:p w14:paraId="5A618929">
            <w:pPr>
              <w:shd w:val="clear"/>
              <w:spacing w:line="240" w:lineRule="auto"/>
              <w:ind w:firstLine="0" w:firstLineChars="0"/>
              <w:jc w:val="center"/>
              <w:rPr>
                <w:sz w:val="21"/>
                <w:szCs w:val="21"/>
                <w:highlight w:val="none"/>
              </w:rPr>
            </w:pPr>
            <w:r>
              <w:rPr>
                <w:sz w:val="21"/>
                <w:szCs w:val="21"/>
                <w:highlight w:val="none"/>
              </w:rPr>
              <w:t>正常工况下无污染途径</w:t>
            </w:r>
          </w:p>
        </w:tc>
      </w:tr>
      <w:tr w14:paraId="5A1DB2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23D97D0">
            <w:pPr>
              <w:shd w:val="clear"/>
              <w:spacing w:line="240" w:lineRule="auto"/>
              <w:ind w:firstLine="0" w:firstLineChars="0"/>
              <w:jc w:val="center"/>
              <w:rPr>
                <w:sz w:val="21"/>
                <w:szCs w:val="21"/>
                <w:highlight w:val="none"/>
              </w:rPr>
            </w:pPr>
            <w:r>
              <w:rPr>
                <w:sz w:val="21"/>
                <w:szCs w:val="21"/>
                <w:highlight w:val="none"/>
              </w:rPr>
              <w:t>声环境</w:t>
            </w:r>
          </w:p>
        </w:tc>
        <w:tc>
          <w:tcPr>
            <w:tcW w:w="0" w:type="auto"/>
            <w:vAlign w:val="center"/>
          </w:tcPr>
          <w:p w14:paraId="3FF5EDE4">
            <w:pPr>
              <w:shd w:val="clear"/>
              <w:spacing w:line="240" w:lineRule="auto"/>
              <w:ind w:firstLine="0" w:firstLineChars="0"/>
              <w:jc w:val="center"/>
              <w:rPr>
                <w:sz w:val="21"/>
                <w:szCs w:val="21"/>
                <w:highlight w:val="none"/>
              </w:rPr>
            </w:pPr>
            <w:r>
              <w:rPr>
                <w:sz w:val="21"/>
                <w:szCs w:val="21"/>
                <w:highlight w:val="none"/>
              </w:rPr>
              <w:t>合理布局施工现场，合理安排施工时序，加强施工设备维护保养。</w:t>
            </w:r>
          </w:p>
        </w:tc>
        <w:tc>
          <w:tcPr>
            <w:tcW w:w="0" w:type="auto"/>
            <w:vAlign w:val="center"/>
          </w:tcPr>
          <w:p w14:paraId="58B409E3">
            <w:pPr>
              <w:shd w:val="clear"/>
              <w:spacing w:line="240" w:lineRule="auto"/>
              <w:ind w:firstLine="0" w:firstLineChars="0"/>
              <w:jc w:val="center"/>
              <w:rPr>
                <w:sz w:val="21"/>
                <w:szCs w:val="21"/>
                <w:highlight w:val="none"/>
              </w:rPr>
            </w:pPr>
            <w:r>
              <w:rPr>
                <w:bCs/>
                <w:spacing w:val="6"/>
                <w:sz w:val="21"/>
                <w:szCs w:val="21"/>
                <w:highlight w:val="none"/>
              </w:rPr>
              <w:t>《建筑施工噪声排放标准》</w:t>
            </w:r>
            <w:r>
              <w:rPr>
                <w:rFonts w:hint="eastAsia"/>
                <w:bCs/>
                <w:spacing w:val="6"/>
                <w:sz w:val="21"/>
                <w:szCs w:val="21"/>
                <w:highlight w:val="none"/>
                <w:lang w:eastAsia="zh-CN"/>
              </w:rPr>
              <w:t>（</w:t>
            </w:r>
            <w:r>
              <w:rPr>
                <w:bCs/>
                <w:spacing w:val="6"/>
                <w:sz w:val="21"/>
                <w:szCs w:val="21"/>
                <w:highlight w:val="none"/>
              </w:rPr>
              <w:t>GB12523-2025</w:t>
            </w:r>
            <w:r>
              <w:rPr>
                <w:rFonts w:hint="eastAsia"/>
                <w:bCs/>
                <w:spacing w:val="6"/>
                <w:sz w:val="21"/>
                <w:szCs w:val="21"/>
                <w:highlight w:val="none"/>
                <w:lang w:eastAsia="zh-CN"/>
              </w:rPr>
              <w:t>）</w:t>
            </w:r>
            <w:r>
              <w:rPr>
                <w:bCs/>
                <w:spacing w:val="6"/>
                <w:sz w:val="21"/>
                <w:szCs w:val="21"/>
                <w:highlight w:val="none"/>
              </w:rPr>
              <w:t>标 准</w:t>
            </w:r>
          </w:p>
        </w:tc>
        <w:tc>
          <w:tcPr>
            <w:tcW w:w="0" w:type="auto"/>
            <w:vAlign w:val="center"/>
          </w:tcPr>
          <w:p w14:paraId="0DEC1CF0">
            <w:pPr>
              <w:shd w:val="clear"/>
              <w:spacing w:line="240" w:lineRule="auto"/>
              <w:ind w:firstLine="0" w:firstLineChars="0"/>
              <w:jc w:val="center"/>
              <w:rPr>
                <w:sz w:val="21"/>
                <w:szCs w:val="21"/>
                <w:highlight w:val="none"/>
              </w:rPr>
            </w:pPr>
            <w:r>
              <w:rPr>
                <w:sz w:val="21"/>
                <w:szCs w:val="21"/>
                <w:highlight w:val="none"/>
              </w:rPr>
              <w:t>选用低噪声设备，高噪声设备基础设置减振垫，定期维护。</w:t>
            </w:r>
          </w:p>
        </w:tc>
        <w:tc>
          <w:tcPr>
            <w:tcW w:w="0" w:type="auto"/>
            <w:vAlign w:val="center"/>
          </w:tcPr>
          <w:p w14:paraId="361EE400">
            <w:pPr>
              <w:shd w:val="clear"/>
              <w:autoSpaceDE w:val="0"/>
              <w:autoSpaceDN w:val="0"/>
              <w:spacing w:line="240" w:lineRule="auto"/>
              <w:ind w:firstLine="0" w:firstLineChars="0"/>
              <w:jc w:val="center"/>
              <w:rPr>
                <w:sz w:val="21"/>
                <w:szCs w:val="21"/>
                <w:highlight w:val="none"/>
              </w:rPr>
            </w:pPr>
            <w:r>
              <w:rPr>
                <w:bCs/>
                <w:sz w:val="21"/>
                <w:szCs w:val="21"/>
                <w:highlight w:val="none"/>
              </w:rPr>
              <w:t>升压站执行《工业企业厂界环境噪声排放标准》（GB 12348-2008）中2类区声环境功能区标准，昼间60dB（A），夜间50dB（A）。输送线路执行《声环境质量标准》（GB3096-2008）中的2类区标准限值；即昼间60dB(A</w:t>
            </w:r>
            <w:r>
              <w:rPr>
                <w:rFonts w:hint="eastAsia"/>
                <w:bCs/>
                <w:sz w:val="21"/>
                <w:szCs w:val="21"/>
                <w:highlight w:val="none"/>
                <w:lang w:eastAsia="zh-CN"/>
              </w:rPr>
              <w:t>）</w:t>
            </w:r>
            <w:r>
              <w:rPr>
                <w:bCs/>
                <w:sz w:val="21"/>
                <w:szCs w:val="21"/>
                <w:highlight w:val="none"/>
              </w:rPr>
              <w:t>，夜间50dB(A)</w:t>
            </w:r>
          </w:p>
        </w:tc>
      </w:tr>
      <w:tr w14:paraId="0E9C7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0523AE4">
            <w:pPr>
              <w:shd w:val="clear"/>
              <w:spacing w:line="240" w:lineRule="auto"/>
              <w:ind w:firstLine="0" w:firstLineChars="0"/>
              <w:jc w:val="center"/>
              <w:rPr>
                <w:sz w:val="21"/>
                <w:szCs w:val="21"/>
                <w:highlight w:val="none"/>
              </w:rPr>
            </w:pPr>
            <w:r>
              <w:rPr>
                <w:sz w:val="21"/>
                <w:szCs w:val="21"/>
                <w:highlight w:val="none"/>
              </w:rPr>
              <w:t>振动</w:t>
            </w:r>
          </w:p>
        </w:tc>
        <w:tc>
          <w:tcPr>
            <w:tcW w:w="0" w:type="auto"/>
            <w:vAlign w:val="center"/>
          </w:tcPr>
          <w:p w14:paraId="2DAA0104">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6DF5B52A">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06340DBD">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15FFBA58">
            <w:pPr>
              <w:shd w:val="clear"/>
              <w:spacing w:line="240" w:lineRule="auto"/>
              <w:ind w:firstLine="0" w:firstLineChars="0"/>
              <w:jc w:val="center"/>
              <w:rPr>
                <w:sz w:val="21"/>
                <w:szCs w:val="21"/>
                <w:highlight w:val="none"/>
              </w:rPr>
            </w:pPr>
            <w:r>
              <w:rPr>
                <w:sz w:val="21"/>
                <w:szCs w:val="21"/>
                <w:highlight w:val="none"/>
              </w:rPr>
              <w:t>/</w:t>
            </w:r>
          </w:p>
        </w:tc>
      </w:tr>
      <w:tr w14:paraId="6AC1D7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440FD5B">
            <w:pPr>
              <w:shd w:val="clear"/>
              <w:spacing w:line="240" w:lineRule="auto"/>
              <w:ind w:firstLine="0" w:firstLineChars="0"/>
              <w:jc w:val="center"/>
              <w:rPr>
                <w:sz w:val="21"/>
                <w:szCs w:val="21"/>
                <w:highlight w:val="none"/>
              </w:rPr>
            </w:pPr>
            <w:r>
              <w:rPr>
                <w:sz w:val="21"/>
                <w:szCs w:val="21"/>
                <w:highlight w:val="none"/>
              </w:rPr>
              <w:t>大气环境</w:t>
            </w:r>
          </w:p>
        </w:tc>
        <w:tc>
          <w:tcPr>
            <w:tcW w:w="0" w:type="auto"/>
            <w:vAlign w:val="center"/>
          </w:tcPr>
          <w:p w14:paraId="6C44424E">
            <w:pPr>
              <w:shd w:val="clear"/>
              <w:spacing w:line="240" w:lineRule="auto"/>
              <w:ind w:firstLine="0" w:firstLineChars="0"/>
              <w:jc w:val="center"/>
              <w:rPr>
                <w:sz w:val="21"/>
                <w:szCs w:val="21"/>
                <w:highlight w:val="none"/>
              </w:rPr>
            </w:pPr>
            <w:r>
              <w:rPr>
                <w:sz w:val="21"/>
                <w:szCs w:val="21"/>
                <w:highlight w:val="none"/>
              </w:rPr>
              <w:t>施工现场围挡，施工物料遮盖防尘网，大风天气不得进行土方作业。</w:t>
            </w:r>
          </w:p>
        </w:tc>
        <w:tc>
          <w:tcPr>
            <w:tcW w:w="0" w:type="auto"/>
            <w:vAlign w:val="center"/>
          </w:tcPr>
          <w:p w14:paraId="11B097A9">
            <w:pPr>
              <w:shd w:val="clear"/>
              <w:spacing w:line="240" w:lineRule="auto"/>
              <w:ind w:firstLine="0" w:firstLineChars="0"/>
              <w:jc w:val="center"/>
              <w:rPr>
                <w:sz w:val="21"/>
                <w:szCs w:val="21"/>
                <w:highlight w:val="none"/>
              </w:rPr>
            </w:pPr>
            <w:r>
              <w:rPr>
                <w:sz w:val="21"/>
                <w:szCs w:val="21"/>
                <w:highlight w:val="none"/>
              </w:rPr>
              <w:t>《大气污染物综合排放标准》（GB16297-1996）</w:t>
            </w:r>
          </w:p>
        </w:tc>
        <w:tc>
          <w:tcPr>
            <w:tcW w:w="0" w:type="auto"/>
            <w:vAlign w:val="center"/>
          </w:tcPr>
          <w:p w14:paraId="3EB6E278">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091AF8A7">
            <w:pPr>
              <w:shd w:val="clear"/>
              <w:spacing w:line="240" w:lineRule="auto"/>
              <w:ind w:firstLine="0" w:firstLineChars="0"/>
              <w:jc w:val="center"/>
              <w:rPr>
                <w:sz w:val="21"/>
                <w:szCs w:val="21"/>
                <w:highlight w:val="none"/>
              </w:rPr>
            </w:pPr>
            <w:r>
              <w:rPr>
                <w:sz w:val="21"/>
                <w:szCs w:val="21"/>
                <w:highlight w:val="none"/>
              </w:rPr>
              <w:t>/</w:t>
            </w:r>
          </w:p>
        </w:tc>
      </w:tr>
      <w:tr w14:paraId="78112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9655E94">
            <w:pPr>
              <w:shd w:val="clear"/>
              <w:spacing w:line="240" w:lineRule="auto"/>
              <w:ind w:firstLine="0" w:firstLineChars="0"/>
              <w:jc w:val="center"/>
              <w:rPr>
                <w:sz w:val="21"/>
                <w:szCs w:val="21"/>
                <w:highlight w:val="none"/>
              </w:rPr>
            </w:pPr>
            <w:r>
              <w:rPr>
                <w:sz w:val="21"/>
                <w:szCs w:val="21"/>
                <w:highlight w:val="none"/>
              </w:rPr>
              <w:t>固体废物</w:t>
            </w:r>
          </w:p>
        </w:tc>
        <w:tc>
          <w:tcPr>
            <w:tcW w:w="0" w:type="auto"/>
            <w:vAlign w:val="center"/>
          </w:tcPr>
          <w:p w14:paraId="30EA29B6">
            <w:pPr>
              <w:shd w:val="clear"/>
              <w:spacing w:line="240" w:lineRule="auto"/>
              <w:ind w:firstLine="0" w:firstLineChars="0"/>
              <w:jc w:val="center"/>
              <w:rPr>
                <w:sz w:val="21"/>
                <w:szCs w:val="21"/>
                <w:highlight w:val="none"/>
              </w:rPr>
            </w:pPr>
            <w:r>
              <w:rPr>
                <w:bCs/>
                <w:sz w:val="21"/>
                <w:szCs w:val="21"/>
                <w:highlight w:val="none"/>
              </w:rPr>
              <w:t>弃方用于场地平整，废建筑材料不可回收利用部分，应运至当地住建部门指定填埋场处置；生活垃圾委托环卫部门清运至垃圾填埋场处置</w:t>
            </w:r>
          </w:p>
        </w:tc>
        <w:tc>
          <w:tcPr>
            <w:tcW w:w="0" w:type="auto"/>
            <w:vAlign w:val="center"/>
          </w:tcPr>
          <w:p w14:paraId="224EEBB5">
            <w:pPr>
              <w:shd w:val="clear"/>
              <w:spacing w:line="240" w:lineRule="auto"/>
              <w:ind w:firstLine="0" w:firstLineChars="0"/>
              <w:jc w:val="center"/>
              <w:rPr>
                <w:rFonts w:hint="eastAsia" w:eastAsia="宋体"/>
                <w:sz w:val="21"/>
                <w:szCs w:val="21"/>
                <w:highlight w:val="none"/>
                <w:lang w:eastAsia="zh-CN"/>
              </w:rPr>
            </w:pPr>
            <w:r>
              <w:rPr>
                <w:sz w:val="21"/>
                <w:szCs w:val="21"/>
                <w:highlight w:val="none"/>
              </w:rPr>
              <w:t>合理处置施工固废，做到</w:t>
            </w:r>
            <w:r>
              <w:rPr>
                <w:rFonts w:hint="eastAsia"/>
                <w:sz w:val="21"/>
                <w:szCs w:val="21"/>
                <w:highlight w:val="none"/>
                <w:lang w:eastAsia="zh-CN"/>
              </w:rPr>
              <w:t>“</w:t>
            </w:r>
            <w:r>
              <w:rPr>
                <w:sz w:val="21"/>
                <w:szCs w:val="21"/>
                <w:highlight w:val="none"/>
              </w:rPr>
              <w:t>工完、料尽、场地清</w:t>
            </w:r>
            <w:r>
              <w:rPr>
                <w:rFonts w:hint="eastAsia"/>
                <w:sz w:val="21"/>
                <w:szCs w:val="21"/>
                <w:highlight w:val="none"/>
                <w:lang w:eastAsia="zh-CN"/>
              </w:rPr>
              <w:t>”</w:t>
            </w:r>
          </w:p>
        </w:tc>
        <w:tc>
          <w:tcPr>
            <w:tcW w:w="0" w:type="auto"/>
            <w:vAlign w:val="center"/>
          </w:tcPr>
          <w:p w14:paraId="48B54842">
            <w:pPr>
              <w:shd w:val="clear"/>
              <w:spacing w:line="240" w:lineRule="auto"/>
              <w:ind w:firstLine="0" w:firstLineChars="0"/>
              <w:jc w:val="center"/>
              <w:rPr>
                <w:bCs/>
                <w:kern w:val="0"/>
                <w:sz w:val="21"/>
                <w:szCs w:val="21"/>
                <w:highlight w:val="none"/>
              </w:rPr>
            </w:pPr>
            <w:r>
              <w:rPr>
                <w:sz w:val="21"/>
                <w:szCs w:val="21"/>
                <w:highlight w:val="none"/>
              </w:rPr>
              <w:t>废磷酸铁锂电池委托厂家回收；废电子电器设备集中收集至一般工业固废储存间，定期外售，可回收利用；</w:t>
            </w:r>
            <w:r>
              <w:rPr>
                <w:rFonts w:hint="eastAsia"/>
                <w:sz w:val="21"/>
                <w:szCs w:val="21"/>
                <w:highlight w:val="none"/>
                <w:lang w:val="en-US" w:eastAsia="zh-CN"/>
              </w:rPr>
              <w:t>废</w:t>
            </w:r>
            <w:r>
              <w:rPr>
                <w:sz w:val="21"/>
                <w:szCs w:val="21"/>
                <w:highlight w:val="none"/>
              </w:rPr>
              <w:t>变压器油</w:t>
            </w:r>
            <w:r>
              <w:rPr>
                <w:rFonts w:hint="eastAsia"/>
                <w:sz w:val="21"/>
                <w:szCs w:val="21"/>
                <w:highlight w:val="none"/>
                <w:lang w:val="en-US" w:eastAsia="zh-CN"/>
              </w:rPr>
              <w:t>暂存于事故油池内</w:t>
            </w:r>
            <w:r>
              <w:rPr>
                <w:sz w:val="21"/>
                <w:szCs w:val="21"/>
                <w:highlight w:val="none"/>
              </w:rPr>
              <w:t>，委托有资质单位</w:t>
            </w:r>
            <w:r>
              <w:rPr>
                <w:rFonts w:hint="eastAsia"/>
                <w:sz w:val="21"/>
                <w:szCs w:val="21"/>
                <w:highlight w:val="none"/>
                <w:lang w:val="en-US" w:eastAsia="zh-CN"/>
              </w:rPr>
              <w:t>及时清运</w:t>
            </w:r>
            <w:r>
              <w:rPr>
                <w:sz w:val="21"/>
                <w:szCs w:val="21"/>
                <w:highlight w:val="none"/>
              </w:rPr>
              <w:t>处</w:t>
            </w:r>
            <w:r>
              <w:rPr>
                <w:rFonts w:hint="eastAsia"/>
                <w:sz w:val="21"/>
                <w:szCs w:val="21"/>
                <w:highlight w:val="none"/>
                <w:lang w:val="en-US" w:eastAsia="zh-CN"/>
              </w:rPr>
              <w:t>置</w:t>
            </w:r>
            <w:r>
              <w:rPr>
                <w:sz w:val="21"/>
                <w:szCs w:val="21"/>
                <w:highlight w:val="none"/>
              </w:rPr>
              <w:t>；含油抹布、手套</w:t>
            </w:r>
            <w:r>
              <w:rPr>
                <w:rFonts w:hint="eastAsia"/>
                <w:sz w:val="21"/>
                <w:szCs w:val="21"/>
                <w:highlight w:val="none"/>
                <w:lang w:eastAsia="zh-CN"/>
              </w:rPr>
              <w:t>、</w:t>
            </w:r>
            <w:r>
              <w:rPr>
                <w:rFonts w:hint="eastAsia"/>
                <w:sz w:val="21"/>
                <w:szCs w:val="21"/>
                <w:highlight w:val="none"/>
                <w:lang w:val="en-US" w:eastAsia="zh-CN"/>
              </w:rPr>
              <w:t>废润滑油、废油桶、废铅酸电池</w:t>
            </w:r>
            <w:r>
              <w:rPr>
                <w:sz w:val="21"/>
                <w:szCs w:val="21"/>
                <w:highlight w:val="none"/>
              </w:rPr>
              <w:t>集中收集至危险废物贮存库内</w:t>
            </w:r>
            <w:r>
              <w:rPr>
                <w:rFonts w:hint="eastAsia"/>
                <w:sz w:val="21"/>
                <w:szCs w:val="21"/>
                <w:highlight w:val="none"/>
                <w:lang w:val="en-US" w:eastAsia="zh-CN"/>
              </w:rPr>
              <w:t>暂存</w:t>
            </w:r>
            <w:r>
              <w:rPr>
                <w:sz w:val="21"/>
                <w:szCs w:val="21"/>
                <w:highlight w:val="none"/>
              </w:rPr>
              <w:t>，</w:t>
            </w:r>
            <w:r>
              <w:rPr>
                <w:rFonts w:hint="eastAsia"/>
                <w:sz w:val="21"/>
                <w:szCs w:val="21"/>
                <w:highlight w:val="none"/>
                <w:lang w:val="en-US" w:eastAsia="zh-CN"/>
              </w:rPr>
              <w:t>及时</w:t>
            </w:r>
            <w:r>
              <w:rPr>
                <w:sz w:val="21"/>
                <w:szCs w:val="21"/>
                <w:highlight w:val="none"/>
              </w:rPr>
              <w:t>交由有资质单位进行处置</w:t>
            </w:r>
            <w:r>
              <w:rPr>
                <w:rFonts w:hint="eastAsia"/>
                <w:sz w:val="21"/>
                <w:szCs w:val="21"/>
                <w:highlight w:val="none"/>
                <w:lang w:val="en-US" w:eastAsia="zh-CN"/>
              </w:rPr>
              <w:t>。</w:t>
            </w:r>
          </w:p>
        </w:tc>
        <w:tc>
          <w:tcPr>
            <w:tcW w:w="0" w:type="auto"/>
            <w:vAlign w:val="center"/>
          </w:tcPr>
          <w:p w14:paraId="6DA1ED15">
            <w:pPr>
              <w:shd w:val="clear"/>
              <w:spacing w:line="240" w:lineRule="auto"/>
              <w:ind w:firstLine="0" w:firstLineChars="0"/>
              <w:jc w:val="center"/>
              <w:rPr>
                <w:bCs/>
                <w:kern w:val="0"/>
                <w:sz w:val="21"/>
                <w:szCs w:val="21"/>
                <w:highlight w:val="none"/>
              </w:rPr>
            </w:pPr>
            <w:r>
              <w:rPr>
                <w:sz w:val="21"/>
                <w:szCs w:val="21"/>
                <w:highlight w:val="none"/>
              </w:rPr>
              <w:t>《一般工业固体废物贮存和填埋污染控制标准》（GB 18599-2020）、</w:t>
            </w:r>
            <w:r>
              <w:rPr>
                <w:bCs/>
                <w:kern w:val="0"/>
                <w:sz w:val="21"/>
                <w:szCs w:val="21"/>
                <w:highlight w:val="none"/>
              </w:rPr>
              <w:t>《危险废物贮存污染控制标准》（GB18597-2023）</w:t>
            </w:r>
          </w:p>
        </w:tc>
      </w:tr>
      <w:tr w14:paraId="4C2AD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453A6A71">
            <w:pPr>
              <w:shd w:val="clear"/>
              <w:spacing w:line="240" w:lineRule="auto"/>
              <w:ind w:firstLine="0" w:firstLineChars="0"/>
              <w:jc w:val="center"/>
              <w:rPr>
                <w:sz w:val="21"/>
                <w:szCs w:val="21"/>
                <w:highlight w:val="none"/>
              </w:rPr>
            </w:pPr>
            <w:r>
              <w:rPr>
                <w:sz w:val="21"/>
                <w:szCs w:val="21"/>
                <w:highlight w:val="none"/>
              </w:rPr>
              <w:t>电磁环境</w:t>
            </w:r>
          </w:p>
        </w:tc>
        <w:tc>
          <w:tcPr>
            <w:tcW w:w="0" w:type="auto"/>
            <w:vAlign w:val="center"/>
          </w:tcPr>
          <w:p w14:paraId="6D12444B">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70D2E9E1">
            <w:pPr>
              <w:shd w:val="clear"/>
              <w:spacing w:line="240" w:lineRule="auto"/>
              <w:ind w:firstLine="0" w:firstLineChars="0"/>
              <w:jc w:val="center"/>
              <w:rPr>
                <w:bCs/>
                <w:kern w:val="0"/>
                <w:sz w:val="21"/>
                <w:szCs w:val="21"/>
                <w:highlight w:val="none"/>
              </w:rPr>
            </w:pPr>
            <w:r>
              <w:rPr>
                <w:bCs/>
                <w:kern w:val="0"/>
                <w:sz w:val="21"/>
                <w:szCs w:val="21"/>
                <w:highlight w:val="none"/>
              </w:rPr>
              <w:t>/</w:t>
            </w:r>
          </w:p>
        </w:tc>
        <w:tc>
          <w:tcPr>
            <w:tcW w:w="0" w:type="auto"/>
            <w:vAlign w:val="center"/>
          </w:tcPr>
          <w:p w14:paraId="666347A9">
            <w:pPr>
              <w:shd w:val="clear"/>
              <w:spacing w:line="240" w:lineRule="auto"/>
              <w:ind w:firstLine="0" w:firstLineChars="0"/>
              <w:jc w:val="center"/>
              <w:rPr>
                <w:bCs/>
                <w:kern w:val="0"/>
                <w:sz w:val="21"/>
                <w:szCs w:val="21"/>
                <w:highlight w:val="none"/>
              </w:rPr>
            </w:pPr>
            <w:r>
              <w:rPr>
                <w:bCs/>
                <w:kern w:val="0"/>
                <w:sz w:val="21"/>
                <w:szCs w:val="21"/>
                <w:highlight w:val="none"/>
              </w:rPr>
              <w:t>合理布局站内电气设备及配电装置。线路建成后，应加强输电线路防护距离宣传教育和督查工作，导线下方不得再建设房屋。线路选用的导线质量应符合国家相关标准的要求，防止由于导线缺陷导致的电晕增加，降低线路运行时产生的噪声。做好警示和防护指示标志及环保标志的悬挂设立工作，禁止无关人员进入</w:t>
            </w:r>
            <w:r>
              <w:rPr>
                <w:rFonts w:hint="eastAsia"/>
                <w:bCs/>
                <w:kern w:val="0"/>
                <w:sz w:val="21"/>
                <w:szCs w:val="21"/>
                <w:highlight w:val="none"/>
                <w:lang w:eastAsia="zh-CN"/>
              </w:rPr>
              <w:t>升压站</w:t>
            </w:r>
            <w:r>
              <w:rPr>
                <w:bCs/>
                <w:kern w:val="0"/>
                <w:sz w:val="21"/>
                <w:szCs w:val="21"/>
                <w:highlight w:val="none"/>
              </w:rPr>
              <w:t>或靠近带电架构。对员工进行电磁基础知识培训，在巡检带电维修过程中，尽可能减少曝露在电磁场中的时间。制定安全操作规程，加强职工安全教育，加强电磁水平监测。</w:t>
            </w:r>
          </w:p>
        </w:tc>
        <w:tc>
          <w:tcPr>
            <w:tcW w:w="0" w:type="auto"/>
            <w:vAlign w:val="center"/>
          </w:tcPr>
          <w:p w14:paraId="09C10008">
            <w:pPr>
              <w:shd w:val="clear"/>
              <w:spacing w:line="240" w:lineRule="auto"/>
              <w:ind w:firstLine="0" w:firstLineChars="0"/>
              <w:jc w:val="center"/>
              <w:rPr>
                <w:bCs/>
                <w:kern w:val="0"/>
                <w:sz w:val="21"/>
                <w:szCs w:val="21"/>
                <w:highlight w:val="none"/>
              </w:rPr>
            </w:pPr>
            <w:r>
              <w:rPr>
                <w:rFonts w:hint="eastAsia"/>
                <w:bCs/>
                <w:kern w:val="0"/>
                <w:sz w:val="21"/>
                <w:szCs w:val="21"/>
                <w:highlight w:val="none"/>
                <w:lang w:eastAsia="zh-CN"/>
              </w:rPr>
              <w:t>升压站</w:t>
            </w:r>
            <w:r>
              <w:rPr>
                <w:bCs/>
                <w:kern w:val="0"/>
                <w:sz w:val="21"/>
                <w:szCs w:val="21"/>
                <w:highlight w:val="none"/>
              </w:rPr>
              <w:t>及线路运行时产生的电磁满足《电磁环境控制限值》（GB 8702-2014）要求。</w:t>
            </w:r>
          </w:p>
        </w:tc>
      </w:tr>
      <w:tr w14:paraId="6BBD4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22FAC49D">
            <w:pPr>
              <w:shd w:val="clear"/>
              <w:spacing w:line="240" w:lineRule="auto"/>
              <w:ind w:firstLine="0" w:firstLineChars="0"/>
              <w:jc w:val="center"/>
              <w:rPr>
                <w:sz w:val="21"/>
                <w:szCs w:val="21"/>
                <w:highlight w:val="none"/>
              </w:rPr>
            </w:pPr>
            <w:r>
              <w:rPr>
                <w:sz w:val="21"/>
                <w:szCs w:val="21"/>
                <w:highlight w:val="none"/>
              </w:rPr>
              <w:t>环境风险</w:t>
            </w:r>
          </w:p>
        </w:tc>
        <w:tc>
          <w:tcPr>
            <w:tcW w:w="0" w:type="auto"/>
            <w:vAlign w:val="center"/>
          </w:tcPr>
          <w:p w14:paraId="095589DD">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31969A0F">
            <w:pPr>
              <w:shd w:val="clear"/>
              <w:spacing w:line="240" w:lineRule="auto"/>
              <w:ind w:firstLine="0" w:firstLineChars="0"/>
              <w:jc w:val="center"/>
              <w:rPr>
                <w:bCs/>
                <w:kern w:val="0"/>
                <w:sz w:val="21"/>
                <w:szCs w:val="21"/>
                <w:highlight w:val="none"/>
              </w:rPr>
            </w:pPr>
            <w:r>
              <w:rPr>
                <w:bCs/>
                <w:kern w:val="0"/>
                <w:sz w:val="21"/>
                <w:szCs w:val="21"/>
                <w:highlight w:val="none"/>
              </w:rPr>
              <w:t>/</w:t>
            </w:r>
          </w:p>
        </w:tc>
        <w:tc>
          <w:tcPr>
            <w:tcW w:w="0" w:type="auto"/>
            <w:vAlign w:val="center"/>
          </w:tcPr>
          <w:p w14:paraId="79A102D1">
            <w:pPr>
              <w:shd w:val="clear"/>
              <w:spacing w:line="240" w:lineRule="auto"/>
              <w:ind w:firstLine="0" w:firstLineChars="0"/>
              <w:jc w:val="center"/>
              <w:rPr>
                <w:bCs/>
                <w:kern w:val="0"/>
                <w:sz w:val="21"/>
                <w:szCs w:val="21"/>
                <w:highlight w:val="none"/>
              </w:rPr>
            </w:pPr>
            <w:r>
              <w:rPr>
                <w:bCs/>
                <w:kern w:val="0"/>
                <w:sz w:val="21"/>
                <w:szCs w:val="21"/>
                <w:highlight w:val="none"/>
              </w:rPr>
              <w:t>设置事故应急池50m</w:t>
            </w:r>
            <w:r>
              <w:rPr>
                <w:bCs/>
                <w:kern w:val="0"/>
                <w:sz w:val="21"/>
                <w:szCs w:val="21"/>
                <w:highlight w:val="none"/>
                <w:vertAlign w:val="superscript"/>
              </w:rPr>
              <w:t>3</w:t>
            </w:r>
            <w:r>
              <w:rPr>
                <w:bCs/>
                <w:kern w:val="0"/>
                <w:sz w:val="21"/>
                <w:szCs w:val="21"/>
                <w:highlight w:val="none"/>
              </w:rPr>
              <w:t>，配备应急物资、人员，制定应急预案等</w:t>
            </w:r>
          </w:p>
        </w:tc>
        <w:tc>
          <w:tcPr>
            <w:tcW w:w="0" w:type="auto"/>
            <w:vAlign w:val="center"/>
          </w:tcPr>
          <w:p w14:paraId="30F6162B">
            <w:pPr>
              <w:shd w:val="clear"/>
              <w:spacing w:line="240" w:lineRule="auto"/>
              <w:ind w:firstLine="0" w:firstLineChars="0"/>
              <w:jc w:val="center"/>
              <w:rPr>
                <w:bCs/>
                <w:kern w:val="0"/>
                <w:sz w:val="21"/>
                <w:szCs w:val="21"/>
                <w:highlight w:val="none"/>
              </w:rPr>
            </w:pPr>
            <w:r>
              <w:rPr>
                <w:bCs/>
                <w:kern w:val="0"/>
                <w:sz w:val="21"/>
                <w:szCs w:val="21"/>
                <w:highlight w:val="none"/>
              </w:rPr>
              <w:t>事故油池容积满足事故排油需求，容量按100%最大单台变压器油量设计。</w:t>
            </w:r>
          </w:p>
        </w:tc>
      </w:tr>
      <w:tr w14:paraId="2C1CDF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875BD01">
            <w:pPr>
              <w:shd w:val="clear"/>
              <w:spacing w:line="240" w:lineRule="auto"/>
              <w:ind w:firstLine="0" w:firstLineChars="0"/>
              <w:jc w:val="center"/>
              <w:rPr>
                <w:sz w:val="21"/>
                <w:szCs w:val="21"/>
                <w:highlight w:val="none"/>
              </w:rPr>
            </w:pPr>
            <w:r>
              <w:rPr>
                <w:sz w:val="21"/>
                <w:szCs w:val="21"/>
                <w:highlight w:val="none"/>
              </w:rPr>
              <w:t>环境监测</w:t>
            </w:r>
          </w:p>
        </w:tc>
        <w:tc>
          <w:tcPr>
            <w:tcW w:w="0" w:type="auto"/>
            <w:vAlign w:val="center"/>
          </w:tcPr>
          <w:p w14:paraId="37E0A54F">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4032884A">
            <w:pPr>
              <w:shd w:val="clear"/>
              <w:spacing w:line="240" w:lineRule="auto"/>
              <w:ind w:firstLine="0" w:firstLineChars="0"/>
              <w:jc w:val="center"/>
              <w:rPr>
                <w:sz w:val="21"/>
                <w:szCs w:val="21"/>
                <w:highlight w:val="none"/>
              </w:rPr>
            </w:pPr>
            <w:r>
              <w:rPr>
                <w:sz w:val="21"/>
                <w:szCs w:val="21"/>
                <w:highlight w:val="none"/>
              </w:rPr>
              <w:t>/</w:t>
            </w:r>
          </w:p>
        </w:tc>
        <w:tc>
          <w:tcPr>
            <w:tcW w:w="0" w:type="auto"/>
            <w:gridSpan w:val="2"/>
            <w:vAlign w:val="center"/>
          </w:tcPr>
          <w:p w14:paraId="6DA34863">
            <w:pPr>
              <w:shd w:val="clear"/>
              <w:spacing w:line="240" w:lineRule="auto"/>
              <w:ind w:firstLine="0" w:firstLineChars="0"/>
              <w:jc w:val="center"/>
              <w:rPr>
                <w:sz w:val="21"/>
                <w:szCs w:val="21"/>
                <w:highlight w:val="none"/>
              </w:rPr>
            </w:pPr>
            <w:r>
              <w:rPr>
                <w:sz w:val="21"/>
                <w:szCs w:val="21"/>
                <w:highlight w:val="none"/>
              </w:rPr>
              <w:t>落实自行监测计划</w:t>
            </w:r>
          </w:p>
        </w:tc>
      </w:tr>
      <w:tr w14:paraId="38497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6AA69EF6">
            <w:pPr>
              <w:shd w:val="clear"/>
              <w:spacing w:line="240" w:lineRule="auto"/>
              <w:ind w:firstLine="0" w:firstLineChars="0"/>
              <w:jc w:val="center"/>
              <w:rPr>
                <w:sz w:val="21"/>
                <w:szCs w:val="21"/>
                <w:highlight w:val="none"/>
              </w:rPr>
            </w:pPr>
            <w:r>
              <w:rPr>
                <w:sz w:val="21"/>
                <w:szCs w:val="21"/>
                <w:highlight w:val="none"/>
              </w:rPr>
              <w:t>其他</w:t>
            </w:r>
          </w:p>
        </w:tc>
        <w:tc>
          <w:tcPr>
            <w:tcW w:w="0" w:type="auto"/>
            <w:vAlign w:val="center"/>
          </w:tcPr>
          <w:p w14:paraId="152D3303">
            <w:pPr>
              <w:shd w:val="clear"/>
              <w:spacing w:line="240" w:lineRule="auto"/>
              <w:ind w:firstLine="0" w:firstLineChars="0"/>
              <w:jc w:val="center"/>
              <w:rPr>
                <w:sz w:val="21"/>
                <w:szCs w:val="21"/>
                <w:highlight w:val="none"/>
              </w:rPr>
            </w:pPr>
            <w:r>
              <w:rPr>
                <w:sz w:val="21"/>
                <w:szCs w:val="21"/>
                <w:highlight w:val="none"/>
              </w:rPr>
              <w:t>/</w:t>
            </w:r>
          </w:p>
        </w:tc>
        <w:tc>
          <w:tcPr>
            <w:tcW w:w="0" w:type="auto"/>
            <w:vAlign w:val="center"/>
          </w:tcPr>
          <w:p w14:paraId="020AC64C">
            <w:pPr>
              <w:shd w:val="clear"/>
              <w:spacing w:line="240" w:lineRule="auto"/>
              <w:ind w:firstLine="0" w:firstLineChars="0"/>
              <w:jc w:val="center"/>
              <w:rPr>
                <w:sz w:val="21"/>
                <w:szCs w:val="21"/>
                <w:highlight w:val="none"/>
              </w:rPr>
            </w:pPr>
            <w:r>
              <w:rPr>
                <w:sz w:val="21"/>
                <w:szCs w:val="21"/>
                <w:highlight w:val="none"/>
              </w:rPr>
              <w:t>/</w:t>
            </w:r>
          </w:p>
        </w:tc>
        <w:tc>
          <w:tcPr>
            <w:tcW w:w="0" w:type="auto"/>
            <w:gridSpan w:val="2"/>
            <w:vAlign w:val="center"/>
          </w:tcPr>
          <w:p w14:paraId="7265FAAB">
            <w:pPr>
              <w:shd w:val="clear"/>
              <w:spacing w:line="240" w:lineRule="auto"/>
              <w:ind w:firstLine="0" w:firstLineChars="0"/>
              <w:jc w:val="center"/>
              <w:rPr>
                <w:sz w:val="21"/>
                <w:szCs w:val="21"/>
                <w:highlight w:val="none"/>
              </w:rPr>
            </w:pPr>
            <w:r>
              <w:rPr>
                <w:sz w:val="21"/>
                <w:szCs w:val="21"/>
                <w:highlight w:val="none"/>
              </w:rPr>
              <w:t>①根据国家和地方相关环保政策和法规，制定企业环境保护计划的环保方针目标。并建立相应的管理监督制度。</w:t>
            </w:r>
          </w:p>
          <w:p w14:paraId="4D4E60A4">
            <w:pPr>
              <w:shd w:val="clear"/>
              <w:spacing w:line="240" w:lineRule="auto"/>
              <w:ind w:firstLine="0" w:firstLineChars="0"/>
              <w:jc w:val="center"/>
              <w:rPr>
                <w:sz w:val="21"/>
                <w:szCs w:val="21"/>
                <w:highlight w:val="none"/>
              </w:rPr>
            </w:pPr>
            <w:r>
              <w:rPr>
                <w:sz w:val="21"/>
                <w:szCs w:val="21"/>
                <w:highlight w:val="none"/>
              </w:rPr>
              <w:t>②加强环保教育宣传，并制定紧急情况应急措施，预防或减少可能的环境影响。</w:t>
            </w:r>
          </w:p>
          <w:p w14:paraId="52DE6159">
            <w:pPr>
              <w:shd w:val="clear"/>
              <w:spacing w:line="240" w:lineRule="auto"/>
              <w:ind w:firstLine="0" w:firstLineChars="0"/>
              <w:jc w:val="center"/>
              <w:rPr>
                <w:sz w:val="21"/>
                <w:szCs w:val="21"/>
                <w:highlight w:val="none"/>
              </w:rPr>
            </w:pPr>
            <w:r>
              <w:rPr>
                <w:sz w:val="21"/>
                <w:szCs w:val="21"/>
                <w:highlight w:val="none"/>
              </w:rPr>
              <w:t>③维护环保措施的正常运行和安全生产，对各种环保设施进行定期检查和维修，确保污染物达标排放，同时要推广及应用先进的环保技术和经验，最大限度降低污染物的排放量。</w:t>
            </w:r>
          </w:p>
        </w:tc>
      </w:tr>
    </w:tbl>
    <w:p w14:paraId="74865BCD">
      <w:pPr>
        <w:pStyle w:val="28"/>
        <w:shd w:val="clear"/>
        <w:spacing w:before="0" w:beforeAutospacing="0" w:afterAutospacing="0" w:line="240" w:lineRule="auto"/>
        <w:ind w:firstLine="0" w:firstLineChars="0"/>
        <w:jc w:val="center"/>
        <w:outlineLvl w:val="0"/>
        <w:rPr>
          <w:rFonts w:ascii="Times New Roman" w:hAnsi="Times New Roman"/>
          <w:snapToGrid w:val="0"/>
          <w:sz w:val="30"/>
          <w:szCs w:val="30"/>
          <w:highlight w:val="none"/>
        </w:rPr>
      </w:pPr>
      <w:r>
        <w:rPr>
          <w:rFonts w:ascii="Times New Roman" w:hAnsi="Times New Roman"/>
          <w:snapToGrid w:val="0"/>
          <w:sz w:val="30"/>
          <w:szCs w:val="30"/>
          <w:highlight w:val="none"/>
        </w:rPr>
        <w:br w:type="page"/>
      </w:r>
      <w:bookmarkStart w:id="478" w:name="_Toc2337"/>
      <w:bookmarkStart w:id="479" w:name="_Toc12567"/>
      <w:bookmarkStart w:id="480" w:name="_Toc26233"/>
      <w:bookmarkStart w:id="481" w:name="_Toc913"/>
      <w:r>
        <w:rPr>
          <w:rFonts w:ascii="Times New Roman" w:hAnsi="Times New Roman"/>
          <w:snapToGrid w:val="0"/>
          <w:sz w:val="30"/>
          <w:szCs w:val="30"/>
          <w:highlight w:val="none"/>
        </w:rPr>
        <w:t>七、结论</w:t>
      </w:r>
      <w:bookmarkEnd w:id="478"/>
      <w:bookmarkEnd w:id="479"/>
      <w:bookmarkEnd w:id="480"/>
      <w:bookmarkEnd w:id="481"/>
    </w:p>
    <w:tbl>
      <w:tblPr>
        <w:tblStyle w:val="33"/>
        <w:tblW w:w="92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06F75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43" w:hRule="atLeast"/>
          <w:jc w:val="center"/>
        </w:trPr>
        <w:tc>
          <w:tcPr>
            <w:tcW w:w="9289" w:type="dxa"/>
          </w:tcPr>
          <w:p w14:paraId="617CACA0">
            <w:pPr>
              <w:shd w:val="clear"/>
              <w:ind w:firstLine="480"/>
              <w:rPr>
                <w:szCs w:val="21"/>
                <w:highlight w:val="none"/>
              </w:rPr>
            </w:pPr>
            <w:r>
              <w:rPr>
                <w:highlight w:val="none"/>
              </w:rPr>
              <w:t>本项目建设符合国家产业政策及相关规划要求，选址、选线合理，周边无明显环境制约因素，本项目符合所在区域</w:t>
            </w:r>
            <w:r>
              <w:rPr>
                <w:rFonts w:hint="eastAsia"/>
                <w:highlight w:val="none"/>
                <w:lang w:eastAsia="zh-CN"/>
              </w:rPr>
              <w:t>“</w:t>
            </w:r>
            <w:r>
              <w:rPr>
                <w:highlight w:val="none"/>
              </w:rPr>
              <w:t>三线一单</w:t>
            </w:r>
            <w:r>
              <w:rPr>
                <w:rFonts w:hint="eastAsia"/>
                <w:highlight w:val="none"/>
                <w:lang w:eastAsia="zh-CN"/>
              </w:rPr>
              <w:t>”</w:t>
            </w:r>
            <w:r>
              <w:rPr>
                <w:highlight w:val="none"/>
              </w:rPr>
              <w:t>管控要求。在严格落实本次环评提出的环保措施的前提下，施工期和运行期排放的各类污染物对区域环境影响不大，生态环境影响可接受。因此，本项目的建设从环保角度上分析是可行的。</w:t>
            </w:r>
          </w:p>
        </w:tc>
      </w:tr>
    </w:tbl>
    <w:p w14:paraId="5A0579EB">
      <w:pPr>
        <w:widowControl/>
        <w:shd w:val="clear"/>
        <w:spacing w:before="192" w:beforeLines="80"/>
        <w:ind w:firstLine="0" w:firstLineChars="0"/>
        <w:jc w:val="left"/>
        <w:rPr>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1F230490">
      <w:pPr>
        <w:pStyle w:val="2"/>
        <w:shd w:val="clear"/>
        <w:rPr>
          <w:rFonts w:eastAsia="宋体"/>
          <w:color w:val="auto"/>
          <w:highlight w:val="none"/>
        </w:rPr>
      </w:pPr>
      <w:bookmarkStart w:id="482" w:name="_Toc9530"/>
      <w:bookmarkStart w:id="483" w:name="_Toc19020"/>
      <w:r>
        <w:rPr>
          <w:rFonts w:eastAsia="宋体"/>
          <w:color w:val="auto"/>
          <w:highlight w:val="none"/>
        </w:rPr>
        <w:t>附录：电磁环境影响专题评价</w:t>
      </w:r>
      <w:bookmarkEnd w:id="482"/>
      <w:bookmarkEnd w:id="483"/>
    </w:p>
    <w:p w14:paraId="1D72DA23">
      <w:pPr>
        <w:shd w:val="clear"/>
        <w:ind w:firstLine="480"/>
        <w:rPr>
          <w:highlight w:val="none"/>
        </w:rPr>
      </w:pPr>
    </w:p>
    <w:p w14:paraId="5A2731AD">
      <w:pPr>
        <w:shd w:val="clear"/>
        <w:ind w:firstLine="482"/>
        <w:jc w:val="center"/>
        <w:rPr>
          <w:b/>
          <w:highlight w:val="none"/>
        </w:rPr>
      </w:pPr>
      <w:r>
        <w:rPr>
          <w:b/>
          <w:highlight w:val="none"/>
        </w:rPr>
        <w:t>目    录</w:t>
      </w:r>
    </w:p>
    <w:p w14:paraId="1F12174F">
      <w:pPr>
        <w:pStyle w:val="20"/>
        <w:tabs>
          <w:tab w:val="right" w:leader="dot" w:pos="9026"/>
        </w:tabs>
      </w:pPr>
      <w:r>
        <w:rPr>
          <w:rFonts w:eastAsia="宋体"/>
          <w:b/>
          <w:sz w:val="24"/>
          <w:highlight w:val="none"/>
        </w:rPr>
        <w:fldChar w:fldCharType="begin"/>
      </w:r>
      <w:r>
        <w:rPr>
          <w:rFonts w:eastAsia="宋体"/>
          <w:b/>
          <w:sz w:val="24"/>
          <w:highlight w:val="none"/>
        </w:rPr>
        <w:instrText xml:space="preserve">TOC \o "1-2" \h \u </w:instrText>
      </w:r>
      <w:r>
        <w:rPr>
          <w:rFonts w:eastAsia="宋体"/>
          <w:b/>
          <w:sz w:val="24"/>
          <w:highlight w:val="none"/>
        </w:rPr>
        <w:fldChar w:fldCharType="separate"/>
      </w:r>
    </w:p>
    <w:p w14:paraId="35646FF5">
      <w:pPr>
        <w:pStyle w:val="20"/>
        <w:tabs>
          <w:tab w:val="right" w:leader="dot" w:pos="9026"/>
        </w:tabs>
      </w:pPr>
      <w:r>
        <w:rPr>
          <w:rFonts w:eastAsia="宋体"/>
          <w:highlight w:val="none"/>
        </w:rPr>
        <w:fldChar w:fldCharType="begin"/>
      </w:r>
      <w:r>
        <w:rPr>
          <w:rFonts w:eastAsia="宋体"/>
          <w:highlight w:val="none"/>
        </w:rPr>
        <w:instrText xml:space="preserve"> HYPERLINK \l _Toc9530 </w:instrText>
      </w:r>
      <w:r>
        <w:rPr>
          <w:rFonts w:eastAsia="宋体"/>
          <w:highlight w:val="none"/>
        </w:rPr>
        <w:fldChar w:fldCharType="separate"/>
      </w:r>
      <w:r>
        <w:rPr>
          <w:rFonts w:eastAsia="宋体"/>
          <w:highlight w:val="none"/>
        </w:rPr>
        <w:t>附录：电磁环境影响专题评价</w:t>
      </w:r>
      <w:r>
        <w:tab/>
      </w:r>
      <w:r>
        <w:fldChar w:fldCharType="begin"/>
      </w:r>
      <w:r>
        <w:instrText xml:space="preserve"> PAGEREF _Toc9530 \h </w:instrText>
      </w:r>
      <w:r>
        <w:fldChar w:fldCharType="separate"/>
      </w:r>
      <w:r>
        <w:t>77</w:t>
      </w:r>
      <w:r>
        <w:fldChar w:fldCharType="end"/>
      </w:r>
      <w:r>
        <w:rPr>
          <w:rFonts w:eastAsia="宋体"/>
          <w:highlight w:val="none"/>
        </w:rPr>
        <w:fldChar w:fldCharType="end"/>
      </w:r>
    </w:p>
    <w:p w14:paraId="26A90426">
      <w:pPr>
        <w:pStyle w:val="20"/>
        <w:tabs>
          <w:tab w:val="right" w:leader="dot" w:pos="9026"/>
        </w:tabs>
      </w:pPr>
      <w:r>
        <w:rPr>
          <w:rFonts w:eastAsia="宋体"/>
          <w:highlight w:val="none"/>
        </w:rPr>
        <w:fldChar w:fldCharType="begin"/>
      </w:r>
      <w:r>
        <w:rPr>
          <w:rFonts w:eastAsia="宋体"/>
          <w:highlight w:val="none"/>
        </w:rPr>
        <w:instrText xml:space="preserve"> HYPERLINK \l _Toc17646 </w:instrText>
      </w:r>
      <w:r>
        <w:rPr>
          <w:rFonts w:eastAsia="宋体"/>
          <w:highlight w:val="none"/>
        </w:rPr>
        <w:fldChar w:fldCharType="separate"/>
      </w:r>
      <w:r>
        <w:rPr>
          <w:rFonts w:eastAsia="宋体"/>
          <w:highlight w:val="none"/>
        </w:rPr>
        <w:t>1总则</w:t>
      </w:r>
      <w:r>
        <w:tab/>
      </w:r>
      <w:r>
        <w:fldChar w:fldCharType="begin"/>
      </w:r>
      <w:r>
        <w:instrText xml:space="preserve"> PAGEREF _Toc17646 \h </w:instrText>
      </w:r>
      <w:r>
        <w:fldChar w:fldCharType="separate"/>
      </w:r>
      <w:r>
        <w:t>85</w:t>
      </w:r>
      <w:r>
        <w:fldChar w:fldCharType="end"/>
      </w:r>
      <w:r>
        <w:rPr>
          <w:rFonts w:eastAsia="宋体"/>
          <w:highlight w:val="none"/>
        </w:rPr>
        <w:fldChar w:fldCharType="end"/>
      </w:r>
    </w:p>
    <w:p w14:paraId="6F91CCF3">
      <w:pPr>
        <w:pStyle w:val="26"/>
        <w:tabs>
          <w:tab w:val="right" w:leader="dot" w:pos="9026"/>
        </w:tabs>
      </w:pPr>
      <w:r>
        <w:rPr>
          <w:rFonts w:eastAsia="宋体"/>
          <w:highlight w:val="none"/>
        </w:rPr>
        <w:fldChar w:fldCharType="begin"/>
      </w:r>
      <w:r>
        <w:rPr>
          <w:rFonts w:eastAsia="宋体"/>
          <w:highlight w:val="none"/>
        </w:rPr>
        <w:instrText xml:space="preserve"> HYPERLINK \l _Toc11386 </w:instrText>
      </w:r>
      <w:r>
        <w:rPr>
          <w:rFonts w:eastAsia="宋体"/>
          <w:highlight w:val="none"/>
        </w:rPr>
        <w:fldChar w:fldCharType="separate"/>
      </w:r>
      <w:r>
        <w:rPr>
          <w:highlight w:val="none"/>
        </w:rPr>
        <w:t>1.1项目规模</w:t>
      </w:r>
      <w:r>
        <w:tab/>
      </w:r>
      <w:r>
        <w:fldChar w:fldCharType="begin"/>
      </w:r>
      <w:r>
        <w:instrText xml:space="preserve"> PAGEREF _Toc11386 \h </w:instrText>
      </w:r>
      <w:r>
        <w:fldChar w:fldCharType="separate"/>
      </w:r>
      <w:r>
        <w:t>85</w:t>
      </w:r>
      <w:r>
        <w:fldChar w:fldCharType="end"/>
      </w:r>
      <w:r>
        <w:rPr>
          <w:rFonts w:eastAsia="宋体"/>
          <w:highlight w:val="none"/>
        </w:rPr>
        <w:fldChar w:fldCharType="end"/>
      </w:r>
    </w:p>
    <w:p w14:paraId="54DD394E">
      <w:pPr>
        <w:pStyle w:val="26"/>
        <w:tabs>
          <w:tab w:val="right" w:leader="dot" w:pos="9026"/>
        </w:tabs>
      </w:pPr>
      <w:r>
        <w:rPr>
          <w:rFonts w:eastAsia="宋体"/>
          <w:highlight w:val="none"/>
        </w:rPr>
        <w:fldChar w:fldCharType="begin"/>
      </w:r>
      <w:r>
        <w:rPr>
          <w:rFonts w:eastAsia="宋体"/>
          <w:highlight w:val="none"/>
        </w:rPr>
        <w:instrText xml:space="preserve"> HYPERLINK \l _Toc25549 </w:instrText>
      </w:r>
      <w:r>
        <w:rPr>
          <w:rFonts w:eastAsia="宋体"/>
          <w:highlight w:val="none"/>
        </w:rPr>
        <w:fldChar w:fldCharType="separate"/>
      </w:r>
      <w:r>
        <w:rPr>
          <w:highlight w:val="none"/>
        </w:rPr>
        <w:t>1.2评价目的</w:t>
      </w:r>
      <w:r>
        <w:tab/>
      </w:r>
      <w:r>
        <w:fldChar w:fldCharType="begin"/>
      </w:r>
      <w:r>
        <w:instrText xml:space="preserve"> PAGEREF _Toc25549 \h </w:instrText>
      </w:r>
      <w:r>
        <w:fldChar w:fldCharType="separate"/>
      </w:r>
      <w:r>
        <w:t>85</w:t>
      </w:r>
      <w:r>
        <w:fldChar w:fldCharType="end"/>
      </w:r>
      <w:r>
        <w:rPr>
          <w:rFonts w:eastAsia="宋体"/>
          <w:highlight w:val="none"/>
        </w:rPr>
        <w:fldChar w:fldCharType="end"/>
      </w:r>
    </w:p>
    <w:p w14:paraId="3385EE61">
      <w:pPr>
        <w:pStyle w:val="26"/>
        <w:tabs>
          <w:tab w:val="right" w:leader="dot" w:pos="9026"/>
        </w:tabs>
      </w:pPr>
      <w:r>
        <w:rPr>
          <w:rFonts w:eastAsia="宋体"/>
          <w:highlight w:val="none"/>
        </w:rPr>
        <w:fldChar w:fldCharType="begin"/>
      </w:r>
      <w:r>
        <w:rPr>
          <w:rFonts w:eastAsia="宋体"/>
          <w:highlight w:val="none"/>
        </w:rPr>
        <w:instrText xml:space="preserve"> HYPERLINK \l _Toc28187 </w:instrText>
      </w:r>
      <w:r>
        <w:rPr>
          <w:rFonts w:eastAsia="宋体"/>
          <w:highlight w:val="none"/>
        </w:rPr>
        <w:fldChar w:fldCharType="separate"/>
      </w:r>
      <w:r>
        <w:rPr>
          <w:highlight w:val="none"/>
        </w:rPr>
        <w:t>1.3评价依据</w:t>
      </w:r>
      <w:r>
        <w:tab/>
      </w:r>
      <w:r>
        <w:fldChar w:fldCharType="begin"/>
      </w:r>
      <w:r>
        <w:instrText xml:space="preserve"> PAGEREF _Toc28187 \h </w:instrText>
      </w:r>
      <w:r>
        <w:fldChar w:fldCharType="separate"/>
      </w:r>
      <w:r>
        <w:t>85</w:t>
      </w:r>
      <w:r>
        <w:fldChar w:fldCharType="end"/>
      </w:r>
      <w:r>
        <w:rPr>
          <w:rFonts w:eastAsia="宋体"/>
          <w:highlight w:val="none"/>
        </w:rPr>
        <w:fldChar w:fldCharType="end"/>
      </w:r>
    </w:p>
    <w:p w14:paraId="7560A338">
      <w:pPr>
        <w:pStyle w:val="26"/>
        <w:tabs>
          <w:tab w:val="right" w:leader="dot" w:pos="9026"/>
        </w:tabs>
      </w:pPr>
      <w:r>
        <w:rPr>
          <w:rFonts w:eastAsia="宋体"/>
          <w:highlight w:val="none"/>
        </w:rPr>
        <w:fldChar w:fldCharType="begin"/>
      </w:r>
      <w:r>
        <w:rPr>
          <w:rFonts w:eastAsia="宋体"/>
          <w:highlight w:val="none"/>
        </w:rPr>
        <w:instrText xml:space="preserve"> HYPERLINK \l _Toc4050 </w:instrText>
      </w:r>
      <w:r>
        <w:rPr>
          <w:rFonts w:eastAsia="宋体"/>
          <w:highlight w:val="none"/>
        </w:rPr>
        <w:fldChar w:fldCharType="separate"/>
      </w:r>
      <w:r>
        <w:rPr>
          <w:highlight w:val="none"/>
        </w:rPr>
        <w:t>1.4评价因子、评价等级、评价范围</w:t>
      </w:r>
      <w:r>
        <w:tab/>
      </w:r>
      <w:r>
        <w:fldChar w:fldCharType="begin"/>
      </w:r>
      <w:r>
        <w:instrText xml:space="preserve"> PAGEREF _Toc4050 \h </w:instrText>
      </w:r>
      <w:r>
        <w:fldChar w:fldCharType="separate"/>
      </w:r>
      <w:r>
        <w:t>86</w:t>
      </w:r>
      <w:r>
        <w:fldChar w:fldCharType="end"/>
      </w:r>
      <w:r>
        <w:rPr>
          <w:rFonts w:eastAsia="宋体"/>
          <w:highlight w:val="none"/>
        </w:rPr>
        <w:fldChar w:fldCharType="end"/>
      </w:r>
    </w:p>
    <w:p w14:paraId="75EB9367">
      <w:pPr>
        <w:pStyle w:val="26"/>
        <w:tabs>
          <w:tab w:val="right" w:leader="dot" w:pos="9026"/>
        </w:tabs>
      </w:pPr>
      <w:r>
        <w:rPr>
          <w:rFonts w:eastAsia="宋体"/>
          <w:highlight w:val="none"/>
        </w:rPr>
        <w:fldChar w:fldCharType="begin"/>
      </w:r>
      <w:r>
        <w:rPr>
          <w:rFonts w:eastAsia="宋体"/>
          <w:highlight w:val="none"/>
        </w:rPr>
        <w:instrText xml:space="preserve"> HYPERLINK \l _Toc13439 </w:instrText>
      </w:r>
      <w:r>
        <w:rPr>
          <w:rFonts w:eastAsia="宋体"/>
          <w:highlight w:val="none"/>
        </w:rPr>
        <w:fldChar w:fldCharType="separate"/>
      </w:r>
      <w:r>
        <w:rPr>
          <w:highlight w:val="none"/>
        </w:rPr>
        <w:t>1.5评价标准</w:t>
      </w:r>
      <w:r>
        <w:tab/>
      </w:r>
      <w:r>
        <w:fldChar w:fldCharType="begin"/>
      </w:r>
      <w:r>
        <w:instrText xml:space="preserve"> PAGEREF _Toc13439 \h </w:instrText>
      </w:r>
      <w:r>
        <w:fldChar w:fldCharType="separate"/>
      </w:r>
      <w:r>
        <w:t>87</w:t>
      </w:r>
      <w:r>
        <w:fldChar w:fldCharType="end"/>
      </w:r>
      <w:r>
        <w:rPr>
          <w:rFonts w:eastAsia="宋体"/>
          <w:highlight w:val="none"/>
        </w:rPr>
        <w:fldChar w:fldCharType="end"/>
      </w:r>
    </w:p>
    <w:p w14:paraId="05E5CBF1">
      <w:pPr>
        <w:pStyle w:val="26"/>
        <w:tabs>
          <w:tab w:val="right" w:leader="dot" w:pos="9026"/>
        </w:tabs>
      </w:pPr>
      <w:r>
        <w:rPr>
          <w:rFonts w:eastAsia="宋体"/>
          <w:highlight w:val="none"/>
        </w:rPr>
        <w:fldChar w:fldCharType="begin"/>
      </w:r>
      <w:r>
        <w:rPr>
          <w:rFonts w:eastAsia="宋体"/>
          <w:highlight w:val="none"/>
        </w:rPr>
        <w:instrText xml:space="preserve"> HYPERLINK \l _Toc1519 </w:instrText>
      </w:r>
      <w:r>
        <w:rPr>
          <w:rFonts w:eastAsia="宋体"/>
          <w:highlight w:val="none"/>
        </w:rPr>
        <w:fldChar w:fldCharType="separate"/>
      </w:r>
      <w:r>
        <w:rPr>
          <w:highlight w:val="none"/>
        </w:rPr>
        <w:t>1.6电磁环境敏感目标</w:t>
      </w:r>
      <w:r>
        <w:tab/>
      </w:r>
      <w:r>
        <w:fldChar w:fldCharType="begin"/>
      </w:r>
      <w:r>
        <w:instrText xml:space="preserve"> PAGEREF _Toc1519 \h </w:instrText>
      </w:r>
      <w:r>
        <w:fldChar w:fldCharType="separate"/>
      </w:r>
      <w:r>
        <w:t>87</w:t>
      </w:r>
      <w:r>
        <w:fldChar w:fldCharType="end"/>
      </w:r>
      <w:r>
        <w:rPr>
          <w:rFonts w:eastAsia="宋体"/>
          <w:highlight w:val="none"/>
        </w:rPr>
        <w:fldChar w:fldCharType="end"/>
      </w:r>
    </w:p>
    <w:p w14:paraId="778CFB98">
      <w:pPr>
        <w:pStyle w:val="20"/>
        <w:tabs>
          <w:tab w:val="right" w:leader="dot" w:pos="9026"/>
        </w:tabs>
      </w:pPr>
      <w:r>
        <w:rPr>
          <w:rFonts w:eastAsia="宋体"/>
          <w:highlight w:val="none"/>
        </w:rPr>
        <w:fldChar w:fldCharType="begin"/>
      </w:r>
      <w:r>
        <w:rPr>
          <w:rFonts w:eastAsia="宋体"/>
          <w:highlight w:val="none"/>
        </w:rPr>
        <w:instrText xml:space="preserve"> HYPERLINK \l _Toc31846 </w:instrText>
      </w:r>
      <w:r>
        <w:rPr>
          <w:rFonts w:eastAsia="宋体"/>
          <w:highlight w:val="none"/>
        </w:rPr>
        <w:fldChar w:fldCharType="separate"/>
      </w:r>
      <w:r>
        <w:rPr>
          <w:rFonts w:eastAsia="宋体"/>
          <w:highlight w:val="none"/>
        </w:rPr>
        <w:t>2电磁环境现状评价</w:t>
      </w:r>
      <w:r>
        <w:tab/>
      </w:r>
      <w:r>
        <w:fldChar w:fldCharType="begin"/>
      </w:r>
      <w:r>
        <w:instrText xml:space="preserve"> PAGEREF _Toc31846 \h </w:instrText>
      </w:r>
      <w:r>
        <w:fldChar w:fldCharType="separate"/>
      </w:r>
      <w:r>
        <w:t>87</w:t>
      </w:r>
      <w:r>
        <w:fldChar w:fldCharType="end"/>
      </w:r>
      <w:r>
        <w:rPr>
          <w:rFonts w:eastAsia="宋体"/>
          <w:highlight w:val="none"/>
        </w:rPr>
        <w:fldChar w:fldCharType="end"/>
      </w:r>
    </w:p>
    <w:p w14:paraId="5DD9366A">
      <w:pPr>
        <w:pStyle w:val="26"/>
        <w:tabs>
          <w:tab w:val="right" w:leader="dot" w:pos="9026"/>
        </w:tabs>
      </w:pPr>
      <w:r>
        <w:rPr>
          <w:rFonts w:eastAsia="宋体"/>
          <w:highlight w:val="none"/>
        </w:rPr>
        <w:fldChar w:fldCharType="begin"/>
      </w:r>
      <w:r>
        <w:rPr>
          <w:rFonts w:eastAsia="宋体"/>
          <w:highlight w:val="none"/>
        </w:rPr>
        <w:instrText xml:space="preserve"> HYPERLINK \l _Toc7455 </w:instrText>
      </w:r>
      <w:r>
        <w:rPr>
          <w:rFonts w:eastAsia="宋体"/>
          <w:highlight w:val="none"/>
        </w:rPr>
        <w:fldChar w:fldCharType="separate"/>
      </w:r>
      <w:r>
        <w:rPr>
          <w:highlight w:val="none"/>
        </w:rPr>
        <w:t>2.1监测因子</w:t>
      </w:r>
      <w:r>
        <w:tab/>
      </w:r>
      <w:r>
        <w:fldChar w:fldCharType="begin"/>
      </w:r>
      <w:r>
        <w:instrText xml:space="preserve"> PAGEREF _Toc7455 \h </w:instrText>
      </w:r>
      <w:r>
        <w:fldChar w:fldCharType="separate"/>
      </w:r>
      <w:r>
        <w:t>87</w:t>
      </w:r>
      <w:r>
        <w:fldChar w:fldCharType="end"/>
      </w:r>
      <w:r>
        <w:rPr>
          <w:rFonts w:eastAsia="宋体"/>
          <w:highlight w:val="none"/>
        </w:rPr>
        <w:fldChar w:fldCharType="end"/>
      </w:r>
    </w:p>
    <w:p w14:paraId="7DE944BC">
      <w:pPr>
        <w:pStyle w:val="26"/>
        <w:tabs>
          <w:tab w:val="right" w:leader="dot" w:pos="9026"/>
        </w:tabs>
      </w:pPr>
      <w:r>
        <w:rPr>
          <w:rFonts w:eastAsia="宋体"/>
          <w:highlight w:val="none"/>
        </w:rPr>
        <w:fldChar w:fldCharType="begin"/>
      </w:r>
      <w:r>
        <w:rPr>
          <w:rFonts w:eastAsia="宋体"/>
          <w:highlight w:val="none"/>
        </w:rPr>
        <w:instrText xml:space="preserve"> HYPERLINK \l _Toc8525 </w:instrText>
      </w:r>
      <w:r>
        <w:rPr>
          <w:rFonts w:eastAsia="宋体"/>
          <w:highlight w:val="none"/>
        </w:rPr>
        <w:fldChar w:fldCharType="separate"/>
      </w:r>
      <w:r>
        <w:rPr>
          <w:highlight w:val="none"/>
        </w:rPr>
        <w:t>2.2监测方法及布点</w:t>
      </w:r>
      <w:r>
        <w:tab/>
      </w:r>
      <w:r>
        <w:fldChar w:fldCharType="begin"/>
      </w:r>
      <w:r>
        <w:instrText xml:space="preserve"> PAGEREF _Toc8525 \h </w:instrText>
      </w:r>
      <w:r>
        <w:fldChar w:fldCharType="separate"/>
      </w:r>
      <w:r>
        <w:t>87</w:t>
      </w:r>
      <w:r>
        <w:fldChar w:fldCharType="end"/>
      </w:r>
      <w:r>
        <w:rPr>
          <w:rFonts w:eastAsia="宋体"/>
          <w:highlight w:val="none"/>
        </w:rPr>
        <w:fldChar w:fldCharType="end"/>
      </w:r>
    </w:p>
    <w:p w14:paraId="0F989367">
      <w:pPr>
        <w:pStyle w:val="26"/>
        <w:tabs>
          <w:tab w:val="right" w:leader="dot" w:pos="9026"/>
        </w:tabs>
      </w:pPr>
      <w:r>
        <w:rPr>
          <w:rFonts w:eastAsia="宋体"/>
          <w:highlight w:val="none"/>
        </w:rPr>
        <w:fldChar w:fldCharType="begin"/>
      </w:r>
      <w:r>
        <w:rPr>
          <w:rFonts w:eastAsia="宋体"/>
          <w:highlight w:val="none"/>
        </w:rPr>
        <w:instrText xml:space="preserve"> HYPERLINK \l _Toc18854 </w:instrText>
      </w:r>
      <w:r>
        <w:rPr>
          <w:rFonts w:eastAsia="宋体"/>
          <w:highlight w:val="none"/>
        </w:rPr>
        <w:fldChar w:fldCharType="separate"/>
      </w:r>
      <w:r>
        <w:rPr>
          <w:highlight w:val="none"/>
        </w:rPr>
        <w:t>2.3监测单位及监测时间</w:t>
      </w:r>
      <w:r>
        <w:tab/>
      </w:r>
      <w:r>
        <w:fldChar w:fldCharType="begin"/>
      </w:r>
      <w:r>
        <w:instrText xml:space="preserve"> PAGEREF _Toc18854 \h </w:instrText>
      </w:r>
      <w:r>
        <w:fldChar w:fldCharType="separate"/>
      </w:r>
      <w:r>
        <w:t>87</w:t>
      </w:r>
      <w:r>
        <w:fldChar w:fldCharType="end"/>
      </w:r>
      <w:r>
        <w:rPr>
          <w:rFonts w:eastAsia="宋体"/>
          <w:highlight w:val="none"/>
        </w:rPr>
        <w:fldChar w:fldCharType="end"/>
      </w:r>
    </w:p>
    <w:p w14:paraId="1D3B66BF">
      <w:pPr>
        <w:pStyle w:val="26"/>
        <w:tabs>
          <w:tab w:val="right" w:leader="dot" w:pos="9026"/>
        </w:tabs>
      </w:pPr>
      <w:r>
        <w:rPr>
          <w:rFonts w:eastAsia="宋体"/>
          <w:highlight w:val="none"/>
        </w:rPr>
        <w:fldChar w:fldCharType="begin"/>
      </w:r>
      <w:r>
        <w:rPr>
          <w:rFonts w:eastAsia="宋体"/>
          <w:highlight w:val="none"/>
        </w:rPr>
        <w:instrText xml:space="preserve"> HYPERLINK \l _Toc14878 </w:instrText>
      </w:r>
      <w:r>
        <w:rPr>
          <w:rFonts w:eastAsia="宋体"/>
          <w:highlight w:val="none"/>
        </w:rPr>
        <w:fldChar w:fldCharType="separate"/>
      </w:r>
      <w:r>
        <w:rPr>
          <w:highlight w:val="none"/>
        </w:rPr>
        <w:t>2.4监测结果</w:t>
      </w:r>
      <w:r>
        <w:tab/>
      </w:r>
      <w:r>
        <w:fldChar w:fldCharType="begin"/>
      </w:r>
      <w:r>
        <w:instrText xml:space="preserve"> PAGEREF _Toc14878 \h </w:instrText>
      </w:r>
      <w:r>
        <w:fldChar w:fldCharType="separate"/>
      </w:r>
      <w:r>
        <w:t>88</w:t>
      </w:r>
      <w:r>
        <w:fldChar w:fldCharType="end"/>
      </w:r>
      <w:r>
        <w:rPr>
          <w:rFonts w:eastAsia="宋体"/>
          <w:highlight w:val="none"/>
        </w:rPr>
        <w:fldChar w:fldCharType="end"/>
      </w:r>
    </w:p>
    <w:p w14:paraId="5173E33C">
      <w:pPr>
        <w:pStyle w:val="20"/>
        <w:tabs>
          <w:tab w:val="right" w:leader="dot" w:pos="9026"/>
        </w:tabs>
      </w:pPr>
      <w:r>
        <w:rPr>
          <w:rFonts w:eastAsia="宋体"/>
          <w:highlight w:val="none"/>
        </w:rPr>
        <w:fldChar w:fldCharType="begin"/>
      </w:r>
      <w:r>
        <w:rPr>
          <w:rFonts w:eastAsia="宋体"/>
          <w:highlight w:val="none"/>
        </w:rPr>
        <w:instrText xml:space="preserve"> HYPERLINK \l _Toc21404 </w:instrText>
      </w:r>
      <w:r>
        <w:rPr>
          <w:rFonts w:eastAsia="宋体"/>
          <w:highlight w:val="none"/>
        </w:rPr>
        <w:fldChar w:fldCharType="separate"/>
      </w:r>
      <w:r>
        <w:rPr>
          <w:rFonts w:eastAsia="宋体"/>
          <w:highlight w:val="none"/>
        </w:rPr>
        <w:t>3电磁环境影响预测与评价</w:t>
      </w:r>
      <w:r>
        <w:tab/>
      </w:r>
      <w:r>
        <w:fldChar w:fldCharType="begin"/>
      </w:r>
      <w:r>
        <w:instrText xml:space="preserve"> PAGEREF _Toc21404 \h </w:instrText>
      </w:r>
      <w:r>
        <w:fldChar w:fldCharType="separate"/>
      </w:r>
      <w:r>
        <w:t>89</w:t>
      </w:r>
      <w:r>
        <w:fldChar w:fldCharType="end"/>
      </w:r>
      <w:r>
        <w:rPr>
          <w:rFonts w:eastAsia="宋体"/>
          <w:highlight w:val="none"/>
        </w:rPr>
        <w:fldChar w:fldCharType="end"/>
      </w:r>
    </w:p>
    <w:p w14:paraId="2DCE913E">
      <w:pPr>
        <w:pStyle w:val="26"/>
        <w:tabs>
          <w:tab w:val="right" w:leader="dot" w:pos="9026"/>
        </w:tabs>
      </w:pPr>
      <w:r>
        <w:rPr>
          <w:rFonts w:eastAsia="宋体"/>
          <w:highlight w:val="none"/>
        </w:rPr>
        <w:fldChar w:fldCharType="begin"/>
      </w:r>
      <w:r>
        <w:rPr>
          <w:rFonts w:eastAsia="宋体"/>
          <w:highlight w:val="none"/>
        </w:rPr>
        <w:instrText xml:space="preserve"> HYPERLINK \l _Toc4127 </w:instrText>
      </w:r>
      <w:r>
        <w:rPr>
          <w:rFonts w:eastAsia="宋体"/>
          <w:highlight w:val="none"/>
        </w:rPr>
        <w:fldChar w:fldCharType="separate"/>
      </w:r>
      <w:r>
        <w:rPr>
          <w:highlight w:val="none"/>
        </w:rPr>
        <w:t>3.1架空线路电磁环境影响模式预测</w:t>
      </w:r>
      <w:r>
        <w:tab/>
      </w:r>
      <w:r>
        <w:fldChar w:fldCharType="begin"/>
      </w:r>
      <w:r>
        <w:instrText xml:space="preserve"> PAGEREF _Toc4127 \h </w:instrText>
      </w:r>
      <w:r>
        <w:fldChar w:fldCharType="separate"/>
      </w:r>
      <w:r>
        <w:t>89</w:t>
      </w:r>
      <w:r>
        <w:fldChar w:fldCharType="end"/>
      </w:r>
      <w:r>
        <w:rPr>
          <w:rFonts w:eastAsia="宋体"/>
          <w:highlight w:val="none"/>
        </w:rPr>
        <w:fldChar w:fldCharType="end"/>
      </w:r>
    </w:p>
    <w:p w14:paraId="7448C1F1">
      <w:pPr>
        <w:pStyle w:val="26"/>
        <w:tabs>
          <w:tab w:val="right" w:leader="dot" w:pos="9026"/>
        </w:tabs>
      </w:pPr>
      <w:r>
        <w:rPr>
          <w:rFonts w:eastAsia="宋体"/>
          <w:highlight w:val="none"/>
        </w:rPr>
        <w:fldChar w:fldCharType="begin"/>
      </w:r>
      <w:r>
        <w:rPr>
          <w:rFonts w:eastAsia="宋体"/>
          <w:highlight w:val="none"/>
        </w:rPr>
        <w:instrText xml:space="preserve"> HYPERLINK \l _Toc8850 </w:instrText>
      </w:r>
      <w:r>
        <w:rPr>
          <w:rFonts w:eastAsia="宋体"/>
          <w:highlight w:val="none"/>
        </w:rPr>
        <w:fldChar w:fldCharType="separate"/>
      </w:r>
      <w:r>
        <w:rPr>
          <w:highlight w:val="none"/>
        </w:rPr>
        <w:t>3.2升压站电磁环境影响分析</w:t>
      </w:r>
      <w:r>
        <w:tab/>
      </w:r>
      <w:r>
        <w:fldChar w:fldCharType="begin"/>
      </w:r>
      <w:r>
        <w:instrText xml:space="preserve"> PAGEREF _Toc8850 \h </w:instrText>
      </w:r>
      <w:r>
        <w:fldChar w:fldCharType="separate"/>
      </w:r>
      <w:r>
        <w:t>97</w:t>
      </w:r>
      <w:r>
        <w:fldChar w:fldCharType="end"/>
      </w:r>
      <w:r>
        <w:rPr>
          <w:rFonts w:eastAsia="宋体"/>
          <w:highlight w:val="none"/>
        </w:rPr>
        <w:fldChar w:fldCharType="end"/>
      </w:r>
    </w:p>
    <w:p w14:paraId="47584146">
      <w:pPr>
        <w:pStyle w:val="26"/>
        <w:tabs>
          <w:tab w:val="right" w:leader="dot" w:pos="9026"/>
        </w:tabs>
      </w:pPr>
      <w:r>
        <w:rPr>
          <w:rFonts w:eastAsia="宋体"/>
          <w:highlight w:val="none"/>
        </w:rPr>
        <w:fldChar w:fldCharType="begin"/>
      </w:r>
      <w:r>
        <w:rPr>
          <w:rFonts w:eastAsia="宋体"/>
          <w:highlight w:val="none"/>
        </w:rPr>
        <w:instrText xml:space="preserve"> HYPERLINK \l _Toc10868 </w:instrText>
      </w:r>
      <w:r>
        <w:rPr>
          <w:rFonts w:eastAsia="宋体"/>
          <w:highlight w:val="none"/>
        </w:rPr>
        <w:fldChar w:fldCharType="separate"/>
      </w:r>
      <w:r>
        <w:rPr>
          <w:highlight w:val="none"/>
        </w:rPr>
        <w:t>3.3电缆线路影响分析</w:t>
      </w:r>
      <w:r>
        <w:tab/>
      </w:r>
      <w:r>
        <w:fldChar w:fldCharType="begin"/>
      </w:r>
      <w:r>
        <w:instrText xml:space="preserve"> PAGEREF _Toc10868 \h </w:instrText>
      </w:r>
      <w:r>
        <w:fldChar w:fldCharType="separate"/>
      </w:r>
      <w:r>
        <w:t>99</w:t>
      </w:r>
      <w:r>
        <w:fldChar w:fldCharType="end"/>
      </w:r>
      <w:r>
        <w:rPr>
          <w:rFonts w:eastAsia="宋体"/>
          <w:highlight w:val="none"/>
        </w:rPr>
        <w:fldChar w:fldCharType="end"/>
      </w:r>
    </w:p>
    <w:p w14:paraId="1DCD9BB5">
      <w:pPr>
        <w:pStyle w:val="26"/>
        <w:tabs>
          <w:tab w:val="right" w:leader="dot" w:pos="9026"/>
        </w:tabs>
      </w:pPr>
      <w:r>
        <w:rPr>
          <w:rFonts w:eastAsia="宋体"/>
          <w:highlight w:val="none"/>
        </w:rPr>
        <w:fldChar w:fldCharType="begin"/>
      </w:r>
      <w:r>
        <w:rPr>
          <w:rFonts w:eastAsia="宋体"/>
          <w:highlight w:val="none"/>
        </w:rPr>
        <w:instrText xml:space="preserve"> HYPERLINK \l _Toc20364 </w:instrText>
      </w:r>
      <w:r>
        <w:rPr>
          <w:rFonts w:eastAsia="宋体"/>
          <w:highlight w:val="none"/>
        </w:rPr>
        <w:fldChar w:fldCharType="separate"/>
      </w:r>
      <w:r>
        <w:rPr>
          <w:highlight w:val="none"/>
        </w:rPr>
        <w:t>3.4敏感目标工频电场、磁感应强度预测</w:t>
      </w:r>
      <w:r>
        <w:tab/>
      </w:r>
      <w:r>
        <w:fldChar w:fldCharType="begin"/>
      </w:r>
      <w:r>
        <w:instrText xml:space="preserve"> PAGEREF _Toc20364 \h </w:instrText>
      </w:r>
      <w:r>
        <w:fldChar w:fldCharType="separate"/>
      </w:r>
      <w:r>
        <w:t>99</w:t>
      </w:r>
      <w:r>
        <w:fldChar w:fldCharType="end"/>
      </w:r>
      <w:r>
        <w:rPr>
          <w:rFonts w:eastAsia="宋体"/>
          <w:highlight w:val="none"/>
        </w:rPr>
        <w:fldChar w:fldCharType="end"/>
      </w:r>
    </w:p>
    <w:p w14:paraId="79C0BC71">
      <w:pPr>
        <w:pStyle w:val="20"/>
        <w:tabs>
          <w:tab w:val="right" w:leader="dot" w:pos="9026"/>
        </w:tabs>
      </w:pPr>
      <w:r>
        <w:rPr>
          <w:rFonts w:eastAsia="宋体"/>
          <w:highlight w:val="none"/>
        </w:rPr>
        <w:fldChar w:fldCharType="begin"/>
      </w:r>
      <w:r>
        <w:rPr>
          <w:rFonts w:eastAsia="宋体"/>
          <w:highlight w:val="none"/>
        </w:rPr>
        <w:instrText xml:space="preserve"> HYPERLINK \l _Toc31421 </w:instrText>
      </w:r>
      <w:r>
        <w:rPr>
          <w:rFonts w:eastAsia="宋体"/>
          <w:highlight w:val="none"/>
        </w:rPr>
        <w:fldChar w:fldCharType="separate"/>
      </w:r>
      <w:r>
        <w:rPr>
          <w:rFonts w:eastAsia="宋体"/>
          <w:highlight w:val="none"/>
        </w:rPr>
        <w:t>4电磁环境保护措施</w:t>
      </w:r>
      <w:r>
        <w:tab/>
      </w:r>
      <w:r>
        <w:fldChar w:fldCharType="begin"/>
      </w:r>
      <w:r>
        <w:instrText xml:space="preserve"> PAGEREF _Toc31421 \h </w:instrText>
      </w:r>
      <w:r>
        <w:fldChar w:fldCharType="separate"/>
      </w:r>
      <w:r>
        <w:t>99</w:t>
      </w:r>
      <w:r>
        <w:fldChar w:fldCharType="end"/>
      </w:r>
      <w:r>
        <w:rPr>
          <w:rFonts w:eastAsia="宋体"/>
          <w:highlight w:val="none"/>
        </w:rPr>
        <w:fldChar w:fldCharType="end"/>
      </w:r>
    </w:p>
    <w:p w14:paraId="68FAD69A">
      <w:pPr>
        <w:pStyle w:val="20"/>
        <w:tabs>
          <w:tab w:val="right" w:leader="dot" w:pos="9026"/>
        </w:tabs>
      </w:pPr>
      <w:r>
        <w:rPr>
          <w:rFonts w:eastAsia="宋体"/>
          <w:highlight w:val="none"/>
        </w:rPr>
        <w:fldChar w:fldCharType="begin"/>
      </w:r>
      <w:r>
        <w:rPr>
          <w:rFonts w:eastAsia="宋体"/>
          <w:highlight w:val="none"/>
        </w:rPr>
        <w:instrText xml:space="preserve"> HYPERLINK \l _Toc30634 </w:instrText>
      </w:r>
      <w:r>
        <w:rPr>
          <w:rFonts w:eastAsia="宋体"/>
          <w:highlight w:val="none"/>
        </w:rPr>
        <w:fldChar w:fldCharType="separate"/>
      </w:r>
      <w:r>
        <w:rPr>
          <w:rFonts w:eastAsia="宋体"/>
          <w:highlight w:val="none"/>
        </w:rPr>
        <w:t>5电磁环境影响评价结论</w:t>
      </w:r>
      <w:r>
        <w:tab/>
      </w:r>
      <w:r>
        <w:fldChar w:fldCharType="begin"/>
      </w:r>
      <w:r>
        <w:instrText xml:space="preserve"> PAGEREF _Toc30634 \h </w:instrText>
      </w:r>
      <w:r>
        <w:fldChar w:fldCharType="separate"/>
      </w:r>
      <w:r>
        <w:t>100</w:t>
      </w:r>
      <w:r>
        <w:fldChar w:fldCharType="end"/>
      </w:r>
      <w:r>
        <w:rPr>
          <w:rFonts w:eastAsia="宋体"/>
          <w:highlight w:val="none"/>
        </w:rPr>
        <w:fldChar w:fldCharType="end"/>
      </w:r>
    </w:p>
    <w:p w14:paraId="16976EC3">
      <w:pPr>
        <w:pStyle w:val="20"/>
        <w:shd w:val="clear"/>
        <w:tabs>
          <w:tab w:val="right" w:leader="dot" w:pos="9026"/>
        </w:tabs>
        <w:ind w:firstLine="560"/>
        <w:rPr>
          <w:rFonts w:eastAsia="宋体"/>
          <w:sz w:val="24"/>
          <w:highlight w:val="none"/>
        </w:rPr>
        <w:sectPr>
          <w:pgSz w:w="11906" w:h="16838"/>
          <w:pgMar w:top="1440" w:right="1440" w:bottom="1440" w:left="1440" w:header="851" w:footer="992" w:gutter="0"/>
          <w:pgBorders>
            <w:top w:val="none" w:sz="0" w:space="0"/>
            <w:left w:val="none" w:sz="0" w:space="0"/>
            <w:bottom w:val="none" w:sz="0" w:space="0"/>
            <w:right w:val="none" w:sz="0" w:space="0"/>
          </w:pgBorders>
          <w:cols w:space="720" w:num="1"/>
          <w:docGrid w:type="lines" w:linePitch="312" w:charSpace="0"/>
        </w:sectPr>
      </w:pPr>
      <w:r>
        <w:rPr>
          <w:rFonts w:eastAsia="宋体"/>
          <w:highlight w:val="none"/>
        </w:rPr>
        <w:fldChar w:fldCharType="end"/>
      </w:r>
    </w:p>
    <w:p w14:paraId="4A80FF03">
      <w:pPr>
        <w:pStyle w:val="2"/>
        <w:shd w:val="clear"/>
        <w:rPr>
          <w:rFonts w:eastAsia="宋体"/>
          <w:color w:val="auto"/>
          <w:highlight w:val="none"/>
        </w:rPr>
      </w:pPr>
      <w:bookmarkStart w:id="484" w:name="_Toc17646"/>
      <w:bookmarkStart w:id="485" w:name="_Toc9988"/>
      <w:bookmarkStart w:id="486" w:name="_Toc17475"/>
      <w:r>
        <w:rPr>
          <w:rFonts w:eastAsia="宋体"/>
          <w:color w:val="auto"/>
          <w:highlight w:val="none"/>
        </w:rPr>
        <w:t>1总则</w:t>
      </w:r>
      <w:bookmarkEnd w:id="484"/>
      <w:bookmarkEnd w:id="485"/>
      <w:bookmarkEnd w:id="486"/>
    </w:p>
    <w:p w14:paraId="51C3FD91">
      <w:pPr>
        <w:pStyle w:val="3"/>
        <w:shd w:val="clear"/>
        <w:rPr>
          <w:highlight w:val="none"/>
        </w:rPr>
      </w:pPr>
      <w:bookmarkStart w:id="487" w:name="_Toc22624"/>
      <w:bookmarkStart w:id="488" w:name="_Toc11386"/>
      <w:r>
        <w:rPr>
          <w:highlight w:val="none"/>
        </w:rPr>
        <w:t>1.1项目规模</w:t>
      </w:r>
      <w:bookmarkEnd w:id="487"/>
      <w:bookmarkEnd w:id="488"/>
    </w:p>
    <w:p w14:paraId="66E37798">
      <w:pPr>
        <w:shd w:val="clear"/>
        <w:autoSpaceDE w:val="0"/>
        <w:autoSpaceDN w:val="0"/>
        <w:ind w:firstLine="480"/>
        <w:jc w:val="left"/>
        <w:rPr>
          <w:highlight w:val="none"/>
        </w:rPr>
      </w:pPr>
      <w:r>
        <w:rPr>
          <w:highlight w:val="none"/>
        </w:rPr>
        <w:t>本项目主要建设内容包括：</w:t>
      </w:r>
      <w:bookmarkStart w:id="489" w:name="_Toc20519"/>
    </w:p>
    <w:p w14:paraId="3F6FECD8">
      <w:pPr>
        <w:shd w:val="clear"/>
        <w:autoSpaceDE w:val="0"/>
        <w:autoSpaceDN w:val="0"/>
        <w:ind w:firstLine="480"/>
        <w:jc w:val="left"/>
        <w:rPr>
          <w:color w:val="000000"/>
          <w:highlight w:val="none"/>
        </w:rPr>
      </w:pPr>
      <w:r>
        <w:rPr>
          <w:color w:val="000000"/>
          <w:highlight w:val="none"/>
        </w:rPr>
        <w:t>新建110kV升压站1座，占地面积1.7855公顷，主变容量：63MVA，配套新建110kV线路全长约5.26km，其中架空线路4.9km，地埋线览0.36km。全线采用单回路单边挂线架设。以一回110kV线路接入110kV塔里木光伏站。</w:t>
      </w:r>
    </w:p>
    <w:p w14:paraId="43DDE027">
      <w:pPr>
        <w:pStyle w:val="3"/>
        <w:shd w:val="clear"/>
        <w:rPr>
          <w:highlight w:val="none"/>
        </w:rPr>
      </w:pPr>
      <w:bookmarkStart w:id="490" w:name="_Toc25549"/>
      <w:r>
        <w:rPr>
          <w:highlight w:val="none"/>
        </w:rPr>
        <w:t>1.2评价目的</w:t>
      </w:r>
      <w:bookmarkEnd w:id="489"/>
      <w:bookmarkEnd w:id="490"/>
    </w:p>
    <w:p w14:paraId="31ED0F29">
      <w:pPr>
        <w:shd w:val="clear"/>
        <w:autoSpaceDE w:val="0"/>
        <w:autoSpaceDN w:val="0"/>
        <w:ind w:firstLine="480"/>
        <w:jc w:val="left"/>
        <w:rPr>
          <w:kern w:val="0"/>
          <w:highlight w:val="none"/>
        </w:rPr>
      </w:pPr>
      <w:r>
        <w:rPr>
          <w:highlight w:val="none"/>
        </w:rPr>
        <w:t>根据《中华人民共和国环境保护法》、《中华人民共和国环境影响评价法》、《建设项目环境保护管理条例》等有关法律法规，为切实做好项目的环境保护工作，使输变电事业与环境保护协调发展，控制电磁环境污染、避害就利、保障公众健康， 新疆安丰福慧新能源有限公司委托我单位</w:t>
      </w:r>
      <w:r>
        <w:rPr>
          <w:kern w:val="0"/>
          <w:highlight w:val="none"/>
        </w:rPr>
        <w:t>承担本项目的电磁环境影响评价工作，分析说明输变电项目建设运行后电磁环境影响的情况。</w:t>
      </w:r>
    </w:p>
    <w:p w14:paraId="6E6B6D4F">
      <w:pPr>
        <w:pStyle w:val="3"/>
        <w:shd w:val="clear"/>
        <w:rPr>
          <w:highlight w:val="none"/>
        </w:rPr>
      </w:pPr>
      <w:bookmarkStart w:id="491" w:name="_Toc28187"/>
      <w:bookmarkStart w:id="492" w:name="_Toc9586"/>
      <w:r>
        <w:rPr>
          <w:highlight w:val="none"/>
        </w:rPr>
        <w:t>1.3评价依据</w:t>
      </w:r>
      <w:bookmarkEnd w:id="491"/>
      <w:bookmarkEnd w:id="492"/>
    </w:p>
    <w:p w14:paraId="2A4D729A">
      <w:pPr>
        <w:pStyle w:val="4"/>
        <w:shd w:val="clear"/>
        <w:ind w:firstLine="482"/>
        <w:rPr>
          <w:highlight w:val="none"/>
        </w:rPr>
      </w:pPr>
      <w:bookmarkStart w:id="493" w:name="_Toc14568"/>
      <w:bookmarkStart w:id="494" w:name="_Toc5954"/>
      <w:bookmarkStart w:id="495" w:name="_Toc15204"/>
      <w:bookmarkStart w:id="496" w:name="_Toc3868"/>
      <w:bookmarkStart w:id="497" w:name="_Toc513746282"/>
      <w:bookmarkStart w:id="498" w:name="_Toc11672"/>
      <w:r>
        <w:rPr>
          <w:highlight w:val="none"/>
        </w:rPr>
        <w:t>1.3.1国家法律、法规及相关规范</w:t>
      </w:r>
      <w:bookmarkEnd w:id="493"/>
      <w:bookmarkEnd w:id="494"/>
      <w:bookmarkEnd w:id="495"/>
      <w:bookmarkEnd w:id="496"/>
      <w:bookmarkEnd w:id="497"/>
      <w:bookmarkEnd w:id="498"/>
    </w:p>
    <w:p w14:paraId="78323E02">
      <w:pPr>
        <w:shd w:val="clear"/>
        <w:ind w:firstLine="480"/>
        <w:rPr>
          <w:highlight w:val="none"/>
        </w:rPr>
      </w:pPr>
      <w:bookmarkStart w:id="499" w:name="_Toc513746283"/>
      <w:bookmarkStart w:id="500" w:name="_Toc30506"/>
      <w:bookmarkStart w:id="501" w:name="_Toc2764"/>
      <w:bookmarkStart w:id="502" w:name="_Toc13141"/>
      <w:r>
        <w:rPr>
          <w:highlight w:val="none"/>
        </w:rPr>
        <w:t>(1)《中华人民共和国环境保护法》（2014年4月24日修订，2015年1月1日起施行）；</w:t>
      </w:r>
    </w:p>
    <w:p w14:paraId="3A81B82E">
      <w:pPr>
        <w:shd w:val="clear"/>
        <w:ind w:firstLine="480"/>
        <w:rPr>
          <w:highlight w:val="none"/>
        </w:rPr>
      </w:pPr>
      <w:r>
        <w:rPr>
          <w:rFonts w:hint="eastAsia"/>
          <w:highlight w:val="none"/>
          <w:lang w:eastAsia="zh-CN"/>
        </w:rPr>
        <w:t>（2）</w:t>
      </w:r>
      <w:r>
        <w:rPr>
          <w:highlight w:val="none"/>
        </w:rPr>
        <w:t>《中华人民共和国环境影响评价法》（2018年12月29日修订并实施）；</w:t>
      </w:r>
    </w:p>
    <w:p w14:paraId="1D839474">
      <w:pPr>
        <w:shd w:val="clear"/>
        <w:ind w:firstLine="480"/>
        <w:rPr>
          <w:highlight w:val="none"/>
        </w:rPr>
      </w:pPr>
      <w:r>
        <w:rPr>
          <w:rFonts w:hint="eastAsia"/>
          <w:highlight w:val="none"/>
          <w:lang w:eastAsia="zh-CN"/>
        </w:rPr>
        <w:t>（3）</w:t>
      </w:r>
      <w:r>
        <w:rPr>
          <w:highlight w:val="none"/>
        </w:rPr>
        <w:t>《建设项目环境保护管理条例》（国务院令〔2017〕682号，2017年6月21日修订，2017年10月1日起施行）；</w:t>
      </w:r>
    </w:p>
    <w:p w14:paraId="5BE2F484">
      <w:pPr>
        <w:shd w:val="clear"/>
        <w:ind w:firstLine="480"/>
        <w:rPr>
          <w:highlight w:val="none"/>
        </w:rPr>
      </w:pPr>
      <w:r>
        <w:rPr>
          <w:highlight w:val="none"/>
        </w:rPr>
        <w:t>(4)《建设项目环境影响评价分类管理名录（2021年版）》（生态环境部令</w:t>
      </w:r>
      <w:r>
        <w:rPr>
          <w:rFonts w:hint="eastAsia"/>
          <w:highlight w:val="none"/>
          <w:lang w:eastAsia="zh-CN"/>
        </w:rPr>
        <w:t>〔2020〕16号</w:t>
      </w:r>
      <w:r>
        <w:rPr>
          <w:highlight w:val="none"/>
        </w:rPr>
        <w:t>，2021年1月1日）；</w:t>
      </w:r>
    </w:p>
    <w:p w14:paraId="2CCB45A5">
      <w:pPr>
        <w:shd w:val="clear"/>
        <w:ind w:firstLine="480"/>
        <w:rPr>
          <w:highlight w:val="none"/>
        </w:rPr>
      </w:pPr>
      <w:r>
        <w:rPr>
          <w:highlight w:val="none"/>
        </w:rPr>
        <w:t>(5)《建设项目环境影响报告表编制技术指南（生态影响类）（试行）》（环办环评〔2020〕33号，生态环境部办公厅2020年12月24日印发）；</w:t>
      </w:r>
    </w:p>
    <w:p w14:paraId="0D3B8EAE">
      <w:pPr>
        <w:shd w:val="clear"/>
        <w:ind w:firstLine="480"/>
        <w:rPr>
          <w:highlight w:val="none"/>
        </w:rPr>
      </w:pPr>
      <w:r>
        <w:rPr>
          <w:highlight w:val="none"/>
        </w:rPr>
        <w:t>(6)《新疆维吾尔自治区环境保护条例》（2018年9月21日修订并实施）；</w:t>
      </w:r>
    </w:p>
    <w:p w14:paraId="40DD647B">
      <w:pPr>
        <w:shd w:val="clear"/>
        <w:ind w:firstLine="480"/>
        <w:rPr>
          <w:highlight w:val="none"/>
        </w:rPr>
      </w:pPr>
      <w:r>
        <w:rPr>
          <w:highlight w:val="none"/>
        </w:rPr>
        <w:t>(7)《新疆维吾尔自治区辐射污染防治办法》（政府令192号，2015年7月1日实施）。</w:t>
      </w:r>
    </w:p>
    <w:p w14:paraId="0864902A">
      <w:pPr>
        <w:pStyle w:val="4"/>
        <w:shd w:val="clear"/>
        <w:ind w:firstLine="482"/>
        <w:rPr>
          <w:highlight w:val="none"/>
        </w:rPr>
      </w:pPr>
      <w:bookmarkStart w:id="503" w:name="_Toc22512"/>
      <w:bookmarkStart w:id="504" w:name="_Toc8673"/>
      <w:r>
        <w:rPr>
          <w:highlight w:val="none"/>
        </w:rPr>
        <w:t>1.3.2相关技术规范、导则</w:t>
      </w:r>
      <w:bookmarkEnd w:id="499"/>
      <w:bookmarkEnd w:id="500"/>
      <w:bookmarkEnd w:id="501"/>
      <w:bookmarkEnd w:id="502"/>
      <w:bookmarkEnd w:id="503"/>
      <w:bookmarkEnd w:id="504"/>
    </w:p>
    <w:p w14:paraId="14FB47B1">
      <w:pPr>
        <w:shd w:val="clear"/>
        <w:ind w:firstLine="480"/>
        <w:rPr>
          <w:highlight w:val="none"/>
        </w:rPr>
      </w:pPr>
      <w:r>
        <w:rPr>
          <w:highlight w:val="none"/>
        </w:rPr>
        <w:t>(1)《建设项目环境影响评价技术导则 总纲》（HJ 2.1-2016）；</w:t>
      </w:r>
    </w:p>
    <w:p w14:paraId="06FA2021">
      <w:pPr>
        <w:shd w:val="clear"/>
        <w:ind w:firstLine="480"/>
        <w:rPr>
          <w:highlight w:val="none"/>
        </w:rPr>
      </w:pPr>
      <w:r>
        <w:rPr>
          <w:rFonts w:hint="eastAsia"/>
          <w:highlight w:val="none"/>
          <w:lang w:eastAsia="zh-CN"/>
        </w:rPr>
        <w:t>（2）</w:t>
      </w:r>
      <w:r>
        <w:rPr>
          <w:highlight w:val="none"/>
        </w:rPr>
        <w:t>《环境影响评价技术导则 输变电》（HJ 24-2020）；</w:t>
      </w:r>
    </w:p>
    <w:p w14:paraId="44AF48C3">
      <w:pPr>
        <w:shd w:val="clear"/>
        <w:ind w:firstLine="480"/>
        <w:rPr>
          <w:highlight w:val="none"/>
        </w:rPr>
      </w:pPr>
      <w:r>
        <w:rPr>
          <w:rFonts w:hint="eastAsia"/>
          <w:highlight w:val="none"/>
          <w:lang w:eastAsia="zh-CN"/>
        </w:rPr>
        <w:t>（3）</w:t>
      </w:r>
      <w:r>
        <w:rPr>
          <w:highlight w:val="none"/>
        </w:rPr>
        <w:t>《电磁环境控制限值》（GB 8702-2014）；</w:t>
      </w:r>
    </w:p>
    <w:p w14:paraId="13873237">
      <w:pPr>
        <w:shd w:val="clear"/>
        <w:ind w:firstLine="480"/>
        <w:rPr>
          <w:highlight w:val="none"/>
        </w:rPr>
      </w:pPr>
      <w:r>
        <w:rPr>
          <w:highlight w:val="none"/>
        </w:rPr>
        <w:t>(4)《交流输变电工程电磁环境监测方法（试行）》（HJ 681-2013）；</w:t>
      </w:r>
    </w:p>
    <w:p w14:paraId="449E257F">
      <w:pPr>
        <w:shd w:val="clear"/>
        <w:ind w:firstLine="480"/>
        <w:rPr>
          <w:highlight w:val="none"/>
        </w:rPr>
      </w:pPr>
      <w:bookmarkStart w:id="505" w:name="_Toc513746284"/>
      <w:bookmarkStart w:id="506" w:name="_Toc19571"/>
      <w:bookmarkStart w:id="507" w:name="_Toc13369"/>
      <w:bookmarkStart w:id="508" w:name="_Toc27346"/>
      <w:r>
        <w:rPr>
          <w:highlight w:val="none"/>
        </w:rPr>
        <w:t>(5)《输变电建设项目环境保护技术要求》（HJ 1113-2020）。</w:t>
      </w:r>
    </w:p>
    <w:p w14:paraId="021157DA">
      <w:pPr>
        <w:pStyle w:val="4"/>
        <w:shd w:val="clear"/>
        <w:ind w:firstLine="482"/>
        <w:rPr>
          <w:highlight w:val="none"/>
        </w:rPr>
      </w:pPr>
      <w:bookmarkStart w:id="509" w:name="_Toc25608"/>
      <w:bookmarkStart w:id="510" w:name="_Toc2102"/>
      <w:r>
        <w:rPr>
          <w:highlight w:val="none"/>
        </w:rPr>
        <w:t>1.3.3技术文件和技术资料</w:t>
      </w:r>
      <w:bookmarkEnd w:id="505"/>
      <w:bookmarkEnd w:id="506"/>
      <w:bookmarkEnd w:id="507"/>
      <w:bookmarkEnd w:id="508"/>
      <w:bookmarkEnd w:id="509"/>
      <w:bookmarkEnd w:id="510"/>
      <w:bookmarkStart w:id="511" w:name="_Toc31634"/>
    </w:p>
    <w:p w14:paraId="6E63EA15">
      <w:pPr>
        <w:shd w:val="clear"/>
        <w:ind w:firstLine="480"/>
        <w:rPr>
          <w:highlight w:val="none"/>
        </w:rPr>
      </w:pPr>
      <w:r>
        <w:rPr>
          <w:highlight w:val="none"/>
        </w:rPr>
        <w:t>《</w:t>
      </w:r>
      <w:r>
        <w:rPr>
          <w:rFonts w:hint="eastAsia"/>
          <w:highlight w:val="none"/>
          <w:lang w:eastAsia="zh-CN"/>
        </w:rPr>
        <w:t>巴州尉犁安丰福慧60MW/240MWh独立新型储能项目（输变电工程）</w:t>
      </w:r>
      <w:r>
        <w:rPr>
          <w:highlight w:val="none"/>
        </w:rPr>
        <w:t>可行性研究报告》。</w:t>
      </w:r>
    </w:p>
    <w:p w14:paraId="0A182810">
      <w:pPr>
        <w:pStyle w:val="3"/>
        <w:shd w:val="clear"/>
        <w:rPr>
          <w:highlight w:val="none"/>
        </w:rPr>
      </w:pPr>
      <w:bookmarkStart w:id="512" w:name="_Toc4050"/>
      <w:r>
        <w:rPr>
          <w:highlight w:val="none"/>
        </w:rPr>
        <w:t>1.4评价因子、评价等级、评价范围</w:t>
      </w:r>
      <w:bookmarkEnd w:id="511"/>
      <w:bookmarkEnd w:id="512"/>
    </w:p>
    <w:p w14:paraId="5BC59EBD">
      <w:pPr>
        <w:shd w:val="clear"/>
        <w:ind w:firstLine="480"/>
        <w:rPr>
          <w:highlight w:val="none"/>
        </w:rPr>
      </w:pPr>
      <w:r>
        <w:rPr>
          <w:highlight w:val="none"/>
        </w:rPr>
        <w:t>（1）评价因子</w:t>
      </w:r>
    </w:p>
    <w:p w14:paraId="4767A9F4">
      <w:pPr>
        <w:shd w:val="clear"/>
        <w:ind w:firstLine="480"/>
        <w:rPr>
          <w:highlight w:val="none"/>
        </w:rPr>
      </w:pPr>
      <w:r>
        <w:rPr>
          <w:highlight w:val="none"/>
        </w:rPr>
        <w:t>根据《环境影响评价技术导则 输变电》（HJ 24-2020）及建设项目情况，运行过程中会对周围电磁环境产生影响，其主要污染因子为工频电场和工频磁场，因此，选择工频电场和工频磁场做为电磁环境影响评价因子。</w:t>
      </w:r>
    </w:p>
    <w:p w14:paraId="6EEFC1B1">
      <w:pPr>
        <w:shd w:val="clear"/>
        <w:ind w:firstLine="480"/>
        <w:rPr>
          <w:highlight w:val="none"/>
        </w:rPr>
      </w:pPr>
      <w:r>
        <w:rPr>
          <w:highlight w:val="none"/>
        </w:rPr>
        <w:t>（2）评价等级</w:t>
      </w:r>
    </w:p>
    <w:p w14:paraId="7EE68B26">
      <w:pPr>
        <w:shd w:val="clear"/>
        <w:ind w:firstLine="480"/>
        <w:rPr>
          <w:rFonts w:hint="eastAsia" w:eastAsia="宋体"/>
          <w:highlight w:val="none"/>
          <w:lang w:eastAsia="zh-CN"/>
        </w:rPr>
      </w:pPr>
      <w:r>
        <w:rPr>
          <w:highlight w:val="none"/>
        </w:rPr>
        <w:t>本项目输电线路为110kV电压等级的输变电类项目，线路边导线地面投影外两侧10m范围内无电磁环境敏感目标，根据《环境影响评价技术导则 输变电》（HJ 24-2020）评价工作等级划分原则，对照表1.4-1，确定本项目</w:t>
      </w:r>
      <w:r>
        <w:rPr>
          <w:rFonts w:hint="eastAsia"/>
          <w:color w:val="0070C0"/>
          <w:highlight w:val="none"/>
          <w:lang w:val="en-US" w:eastAsia="zh-CN"/>
        </w:rPr>
        <w:t>升压站</w:t>
      </w:r>
      <w:r>
        <w:rPr>
          <w:highlight w:val="none"/>
        </w:rPr>
        <w:t>电磁环境影响评价等级为二级，输电线路的电磁环境影响评价等级为三级</w:t>
      </w:r>
      <w:r>
        <w:rPr>
          <w:rFonts w:hint="eastAsia"/>
          <w:highlight w:val="none"/>
          <w:lang w:eastAsia="zh-CN"/>
        </w:rPr>
        <w:t>，</w:t>
      </w:r>
      <w:r>
        <w:rPr>
          <w:rFonts w:hint="eastAsia"/>
          <w:highlight w:val="none"/>
          <w:lang w:val="en-US" w:eastAsia="zh-CN"/>
        </w:rPr>
        <w:t>地下电缆的电磁环境影响评价等级为三级</w:t>
      </w:r>
      <w:r>
        <w:rPr>
          <w:highlight w:val="none"/>
        </w:rPr>
        <w:t>。本项目整体电磁环境影响评价等级应为二级</w:t>
      </w:r>
      <w:r>
        <w:rPr>
          <w:rFonts w:hint="eastAsia"/>
          <w:highlight w:val="none"/>
          <w:lang w:eastAsia="zh-CN"/>
        </w:rPr>
        <w:t>。</w:t>
      </w:r>
    </w:p>
    <w:p w14:paraId="6D7527B7">
      <w:pPr>
        <w:shd w:val="clear"/>
        <w:spacing w:line="240" w:lineRule="auto"/>
        <w:ind w:firstLine="482"/>
        <w:rPr>
          <w:b/>
          <w:bCs/>
          <w:highlight w:val="none"/>
        </w:rPr>
      </w:pPr>
      <w:r>
        <w:rPr>
          <w:b/>
          <w:bCs/>
          <w:highlight w:val="none"/>
        </w:rPr>
        <w:t>表1.4-1                 电磁环境影响评价工作等级划分原则</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0"/>
        <w:gridCol w:w="669"/>
        <w:gridCol w:w="1013"/>
        <w:gridCol w:w="3286"/>
        <w:gridCol w:w="926"/>
        <w:gridCol w:w="1354"/>
        <w:gridCol w:w="774"/>
      </w:tblGrid>
      <w:tr w14:paraId="19C88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dxa"/>
            <w:vMerge w:val="restart"/>
            <w:vAlign w:val="center"/>
          </w:tcPr>
          <w:p w14:paraId="42817B83">
            <w:pPr>
              <w:shd w:val="clear"/>
              <w:spacing w:line="240" w:lineRule="auto"/>
              <w:ind w:firstLine="0" w:firstLineChars="0"/>
              <w:jc w:val="center"/>
              <w:rPr>
                <w:color w:val="000000"/>
                <w:sz w:val="18"/>
                <w:szCs w:val="18"/>
                <w:highlight w:val="none"/>
              </w:rPr>
            </w:pPr>
            <w:r>
              <w:rPr>
                <w:color w:val="000000"/>
                <w:sz w:val="18"/>
                <w:szCs w:val="18"/>
                <w:highlight w:val="none"/>
              </w:rPr>
              <w:t>分</w:t>
            </w:r>
          </w:p>
          <w:p w14:paraId="7C6C16F2">
            <w:pPr>
              <w:shd w:val="clear"/>
              <w:spacing w:line="240" w:lineRule="auto"/>
              <w:ind w:firstLine="0" w:firstLineChars="0"/>
              <w:jc w:val="center"/>
              <w:rPr>
                <w:color w:val="000000"/>
                <w:sz w:val="18"/>
                <w:szCs w:val="18"/>
                <w:highlight w:val="none"/>
              </w:rPr>
            </w:pPr>
            <w:r>
              <w:rPr>
                <w:color w:val="000000"/>
                <w:sz w:val="18"/>
                <w:szCs w:val="18"/>
                <w:highlight w:val="none"/>
              </w:rPr>
              <w:t>类</w:t>
            </w:r>
          </w:p>
        </w:tc>
        <w:tc>
          <w:tcPr>
            <w:tcW w:w="669" w:type="dxa"/>
            <w:vMerge w:val="restart"/>
            <w:vAlign w:val="center"/>
          </w:tcPr>
          <w:p w14:paraId="59B93142">
            <w:pPr>
              <w:shd w:val="clear"/>
              <w:spacing w:line="240" w:lineRule="auto"/>
              <w:ind w:firstLine="0" w:firstLineChars="0"/>
              <w:jc w:val="center"/>
              <w:rPr>
                <w:color w:val="000000"/>
                <w:sz w:val="18"/>
                <w:szCs w:val="18"/>
                <w:highlight w:val="none"/>
              </w:rPr>
            </w:pPr>
            <w:r>
              <w:rPr>
                <w:color w:val="000000"/>
                <w:sz w:val="18"/>
                <w:szCs w:val="18"/>
                <w:highlight w:val="none"/>
              </w:rPr>
              <w:t>电压</w:t>
            </w:r>
          </w:p>
          <w:p w14:paraId="30A387D2">
            <w:pPr>
              <w:shd w:val="clear"/>
              <w:spacing w:line="240" w:lineRule="auto"/>
              <w:ind w:firstLine="0" w:firstLineChars="0"/>
              <w:jc w:val="center"/>
              <w:rPr>
                <w:color w:val="000000"/>
                <w:sz w:val="18"/>
                <w:szCs w:val="18"/>
                <w:highlight w:val="none"/>
              </w:rPr>
            </w:pPr>
            <w:r>
              <w:rPr>
                <w:color w:val="000000"/>
                <w:sz w:val="18"/>
                <w:szCs w:val="18"/>
                <w:highlight w:val="none"/>
              </w:rPr>
              <w:t>等级</w:t>
            </w:r>
          </w:p>
        </w:tc>
        <w:tc>
          <w:tcPr>
            <w:tcW w:w="1013" w:type="dxa"/>
            <w:vMerge w:val="restart"/>
            <w:vAlign w:val="center"/>
          </w:tcPr>
          <w:p w14:paraId="0C9E4AC6">
            <w:pPr>
              <w:shd w:val="clear"/>
              <w:spacing w:line="240" w:lineRule="auto"/>
              <w:ind w:firstLine="0" w:firstLineChars="0"/>
              <w:jc w:val="center"/>
              <w:rPr>
                <w:color w:val="000000"/>
                <w:sz w:val="18"/>
                <w:szCs w:val="18"/>
                <w:highlight w:val="none"/>
              </w:rPr>
            </w:pPr>
            <w:r>
              <w:rPr>
                <w:color w:val="000000"/>
                <w:sz w:val="18"/>
                <w:szCs w:val="18"/>
                <w:highlight w:val="none"/>
              </w:rPr>
              <w:t>工程</w:t>
            </w:r>
          </w:p>
        </w:tc>
        <w:tc>
          <w:tcPr>
            <w:tcW w:w="3286" w:type="dxa"/>
            <w:vMerge w:val="restart"/>
            <w:vAlign w:val="center"/>
          </w:tcPr>
          <w:p w14:paraId="2FA74C59">
            <w:pPr>
              <w:shd w:val="clear"/>
              <w:spacing w:line="240" w:lineRule="auto"/>
              <w:ind w:firstLine="0" w:firstLineChars="0"/>
              <w:jc w:val="center"/>
              <w:rPr>
                <w:color w:val="000000"/>
                <w:sz w:val="18"/>
                <w:szCs w:val="18"/>
                <w:highlight w:val="none"/>
              </w:rPr>
            </w:pPr>
            <w:r>
              <w:rPr>
                <w:color w:val="000000"/>
                <w:sz w:val="18"/>
                <w:szCs w:val="18"/>
                <w:highlight w:val="none"/>
              </w:rPr>
              <w:t>条件</w:t>
            </w:r>
          </w:p>
        </w:tc>
        <w:tc>
          <w:tcPr>
            <w:tcW w:w="926" w:type="dxa"/>
            <w:vMerge w:val="restart"/>
            <w:vAlign w:val="center"/>
          </w:tcPr>
          <w:p w14:paraId="4028B192">
            <w:pPr>
              <w:shd w:val="clear"/>
              <w:spacing w:line="240" w:lineRule="auto"/>
              <w:ind w:firstLine="0" w:firstLineChars="0"/>
              <w:jc w:val="center"/>
              <w:rPr>
                <w:color w:val="000000"/>
                <w:sz w:val="18"/>
                <w:szCs w:val="18"/>
                <w:highlight w:val="none"/>
              </w:rPr>
            </w:pPr>
            <w:r>
              <w:rPr>
                <w:color w:val="000000"/>
                <w:sz w:val="18"/>
                <w:szCs w:val="18"/>
                <w:highlight w:val="none"/>
              </w:rPr>
              <w:t>评价工作等级</w:t>
            </w:r>
          </w:p>
        </w:tc>
        <w:tc>
          <w:tcPr>
            <w:tcW w:w="2128" w:type="dxa"/>
            <w:gridSpan w:val="2"/>
            <w:vAlign w:val="center"/>
          </w:tcPr>
          <w:p w14:paraId="74311390">
            <w:pPr>
              <w:shd w:val="clear"/>
              <w:spacing w:line="240" w:lineRule="auto"/>
              <w:ind w:firstLine="0" w:firstLineChars="0"/>
              <w:jc w:val="center"/>
              <w:rPr>
                <w:color w:val="000000"/>
                <w:sz w:val="18"/>
                <w:szCs w:val="18"/>
                <w:highlight w:val="none"/>
              </w:rPr>
            </w:pPr>
            <w:r>
              <w:rPr>
                <w:color w:val="000000"/>
                <w:sz w:val="18"/>
                <w:szCs w:val="18"/>
                <w:highlight w:val="none"/>
              </w:rPr>
              <w:t>本项目</w:t>
            </w:r>
          </w:p>
        </w:tc>
      </w:tr>
      <w:tr w14:paraId="703C6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dxa"/>
            <w:vMerge w:val="continue"/>
          </w:tcPr>
          <w:p w14:paraId="3BEC60A1">
            <w:pPr>
              <w:shd w:val="clear"/>
              <w:spacing w:line="240" w:lineRule="auto"/>
              <w:ind w:firstLine="0" w:firstLineChars="0"/>
              <w:jc w:val="center"/>
              <w:rPr>
                <w:color w:val="000000"/>
                <w:sz w:val="18"/>
                <w:szCs w:val="18"/>
                <w:highlight w:val="none"/>
              </w:rPr>
            </w:pPr>
          </w:p>
        </w:tc>
        <w:tc>
          <w:tcPr>
            <w:tcW w:w="669" w:type="dxa"/>
            <w:vMerge w:val="continue"/>
            <w:vAlign w:val="center"/>
          </w:tcPr>
          <w:p w14:paraId="7643CA5D">
            <w:pPr>
              <w:shd w:val="clear"/>
              <w:spacing w:line="240" w:lineRule="auto"/>
              <w:ind w:firstLine="0" w:firstLineChars="0"/>
              <w:jc w:val="center"/>
              <w:rPr>
                <w:color w:val="000000"/>
                <w:sz w:val="18"/>
                <w:szCs w:val="18"/>
                <w:highlight w:val="none"/>
              </w:rPr>
            </w:pPr>
          </w:p>
        </w:tc>
        <w:tc>
          <w:tcPr>
            <w:tcW w:w="1013" w:type="dxa"/>
            <w:vMerge w:val="continue"/>
            <w:vAlign w:val="center"/>
          </w:tcPr>
          <w:p w14:paraId="21B755BC">
            <w:pPr>
              <w:shd w:val="clear"/>
              <w:spacing w:line="240" w:lineRule="auto"/>
              <w:ind w:firstLine="0" w:firstLineChars="0"/>
              <w:jc w:val="center"/>
              <w:rPr>
                <w:color w:val="000000"/>
                <w:sz w:val="18"/>
                <w:szCs w:val="18"/>
                <w:highlight w:val="none"/>
              </w:rPr>
            </w:pPr>
          </w:p>
        </w:tc>
        <w:tc>
          <w:tcPr>
            <w:tcW w:w="3286" w:type="dxa"/>
            <w:vMerge w:val="continue"/>
            <w:vAlign w:val="center"/>
          </w:tcPr>
          <w:p w14:paraId="1160E232">
            <w:pPr>
              <w:shd w:val="clear"/>
              <w:spacing w:line="240" w:lineRule="auto"/>
              <w:ind w:firstLine="0" w:firstLineChars="0"/>
              <w:jc w:val="center"/>
              <w:rPr>
                <w:color w:val="000000"/>
                <w:sz w:val="18"/>
                <w:szCs w:val="18"/>
                <w:highlight w:val="none"/>
              </w:rPr>
            </w:pPr>
          </w:p>
        </w:tc>
        <w:tc>
          <w:tcPr>
            <w:tcW w:w="926" w:type="dxa"/>
            <w:vMerge w:val="continue"/>
            <w:vAlign w:val="center"/>
          </w:tcPr>
          <w:p w14:paraId="4CD243EC">
            <w:pPr>
              <w:shd w:val="clear"/>
              <w:spacing w:line="240" w:lineRule="auto"/>
              <w:ind w:firstLine="0" w:firstLineChars="0"/>
              <w:jc w:val="center"/>
              <w:rPr>
                <w:color w:val="000000"/>
                <w:sz w:val="18"/>
                <w:szCs w:val="18"/>
                <w:highlight w:val="none"/>
              </w:rPr>
            </w:pPr>
          </w:p>
        </w:tc>
        <w:tc>
          <w:tcPr>
            <w:tcW w:w="1354" w:type="dxa"/>
            <w:vAlign w:val="center"/>
          </w:tcPr>
          <w:p w14:paraId="39849192">
            <w:pPr>
              <w:shd w:val="clear"/>
              <w:spacing w:line="240" w:lineRule="auto"/>
              <w:ind w:firstLine="0" w:firstLineChars="0"/>
              <w:jc w:val="center"/>
              <w:rPr>
                <w:color w:val="000000"/>
                <w:sz w:val="18"/>
                <w:szCs w:val="18"/>
                <w:highlight w:val="none"/>
              </w:rPr>
            </w:pPr>
            <w:r>
              <w:rPr>
                <w:color w:val="000000"/>
                <w:sz w:val="18"/>
                <w:szCs w:val="18"/>
                <w:highlight w:val="none"/>
              </w:rPr>
              <w:t>条件</w:t>
            </w:r>
          </w:p>
        </w:tc>
        <w:tc>
          <w:tcPr>
            <w:tcW w:w="774" w:type="dxa"/>
            <w:vAlign w:val="center"/>
          </w:tcPr>
          <w:p w14:paraId="2DD169E7">
            <w:pPr>
              <w:shd w:val="clear"/>
              <w:spacing w:line="240" w:lineRule="auto"/>
              <w:ind w:firstLine="0" w:firstLineChars="0"/>
              <w:jc w:val="center"/>
              <w:rPr>
                <w:color w:val="000000"/>
                <w:sz w:val="18"/>
                <w:szCs w:val="18"/>
                <w:highlight w:val="none"/>
              </w:rPr>
            </w:pPr>
            <w:r>
              <w:rPr>
                <w:color w:val="000000"/>
                <w:sz w:val="18"/>
                <w:szCs w:val="18"/>
                <w:highlight w:val="none"/>
              </w:rPr>
              <w:t>工作</w:t>
            </w:r>
          </w:p>
          <w:p w14:paraId="55D890EB">
            <w:pPr>
              <w:shd w:val="clear"/>
              <w:spacing w:line="240" w:lineRule="auto"/>
              <w:ind w:firstLine="0" w:firstLineChars="0"/>
              <w:jc w:val="center"/>
              <w:rPr>
                <w:color w:val="000000"/>
                <w:sz w:val="18"/>
                <w:szCs w:val="18"/>
                <w:highlight w:val="none"/>
              </w:rPr>
            </w:pPr>
            <w:r>
              <w:rPr>
                <w:color w:val="000000"/>
                <w:sz w:val="18"/>
                <w:szCs w:val="18"/>
                <w:highlight w:val="none"/>
              </w:rPr>
              <w:t>等级</w:t>
            </w:r>
          </w:p>
        </w:tc>
      </w:tr>
      <w:tr w14:paraId="7CB39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dxa"/>
            <w:vMerge w:val="restart"/>
            <w:vAlign w:val="center"/>
          </w:tcPr>
          <w:p w14:paraId="57EB8078">
            <w:pPr>
              <w:shd w:val="clear"/>
              <w:spacing w:line="240" w:lineRule="auto"/>
              <w:ind w:firstLine="0" w:firstLineChars="0"/>
              <w:jc w:val="center"/>
              <w:rPr>
                <w:color w:val="000000"/>
                <w:sz w:val="18"/>
                <w:szCs w:val="18"/>
                <w:highlight w:val="none"/>
              </w:rPr>
            </w:pPr>
            <w:r>
              <w:rPr>
                <w:color w:val="000000"/>
                <w:sz w:val="18"/>
                <w:szCs w:val="18"/>
                <w:highlight w:val="none"/>
              </w:rPr>
              <w:t>交流</w:t>
            </w:r>
          </w:p>
        </w:tc>
        <w:tc>
          <w:tcPr>
            <w:tcW w:w="669" w:type="dxa"/>
            <w:vMerge w:val="restart"/>
            <w:vAlign w:val="center"/>
          </w:tcPr>
          <w:p w14:paraId="00AC5B6E">
            <w:pPr>
              <w:shd w:val="clear"/>
              <w:spacing w:line="240" w:lineRule="auto"/>
              <w:ind w:firstLine="0" w:firstLineChars="0"/>
              <w:jc w:val="center"/>
              <w:rPr>
                <w:color w:val="000000"/>
                <w:sz w:val="18"/>
                <w:szCs w:val="18"/>
                <w:highlight w:val="none"/>
              </w:rPr>
            </w:pPr>
            <w:r>
              <w:rPr>
                <w:color w:val="000000"/>
                <w:sz w:val="18"/>
                <w:szCs w:val="18"/>
                <w:highlight w:val="none"/>
              </w:rPr>
              <w:t>110kV</w:t>
            </w:r>
          </w:p>
        </w:tc>
        <w:tc>
          <w:tcPr>
            <w:tcW w:w="1013" w:type="dxa"/>
            <w:vMerge w:val="restart"/>
            <w:vAlign w:val="center"/>
          </w:tcPr>
          <w:p w14:paraId="6F3C4AA6">
            <w:pPr>
              <w:shd w:val="clear"/>
              <w:spacing w:line="240" w:lineRule="auto"/>
              <w:ind w:firstLine="0" w:firstLineChars="0"/>
              <w:jc w:val="center"/>
              <w:rPr>
                <w:color w:val="000000"/>
                <w:sz w:val="18"/>
                <w:szCs w:val="18"/>
                <w:highlight w:val="none"/>
              </w:rPr>
            </w:pPr>
            <w:r>
              <w:rPr>
                <w:color w:val="000000"/>
                <w:sz w:val="18"/>
                <w:szCs w:val="18"/>
                <w:highlight w:val="none"/>
              </w:rPr>
              <w:t>变电站</w:t>
            </w:r>
          </w:p>
        </w:tc>
        <w:tc>
          <w:tcPr>
            <w:tcW w:w="3286" w:type="dxa"/>
            <w:vAlign w:val="center"/>
          </w:tcPr>
          <w:p w14:paraId="7708AB47">
            <w:pPr>
              <w:shd w:val="clear"/>
              <w:adjustRightInd/>
              <w:snapToGrid/>
              <w:spacing w:line="240" w:lineRule="auto"/>
              <w:ind w:firstLine="0" w:firstLineChars="0"/>
              <w:rPr>
                <w:color w:val="000000"/>
                <w:sz w:val="18"/>
                <w:szCs w:val="18"/>
                <w:highlight w:val="none"/>
              </w:rPr>
            </w:pPr>
            <w:r>
              <w:rPr>
                <w:color w:val="000000"/>
                <w:sz w:val="18"/>
                <w:szCs w:val="18"/>
                <w:highlight w:val="none"/>
              </w:rPr>
              <w:t>户内式、地下式</w:t>
            </w:r>
          </w:p>
        </w:tc>
        <w:tc>
          <w:tcPr>
            <w:tcW w:w="926" w:type="dxa"/>
            <w:vAlign w:val="center"/>
          </w:tcPr>
          <w:p w14:paraId="229FBA9B">
            <w:pPr>
              <w:shd w:val="clear"/>
              <w:adjustRightInd/>
              <w:snapToGrid/>
              <w:spacing w:line="240" w:lineRule="auto"/>
              <w:ind w:firstLine="0" w:firstLineChars="0"/>
              <w:jc w:val="center"/>
              <w:rPr>
                <w:color w:val="000000"/>
                <w:sz w:val="18"/>
                <w:szCs w:val="18"/>
                <w:highlight w:val="none"/>
              </w:rPr>
            </w:pPr>
            <w:r>
              <w:rPr>
                <w:color w:val="000000"/>
                <w:sz w:val="18"/>
                <w:szCs w:val="18"/>
                <w:highlight w:val="none"/>
              </w:rPr>
              <w:t>三级</w:t>
            </w:r>
          </w:p>
        </w:tc>
        <w:tc>
          <w:tcPr>
            <w:tcW w:w="1354" w:type="dxa"/>
            <w:vAlign w:val="center"/>
          </w:tcPr>
          <w:p w14:paraId="64C690DE">
            <w:pPr>
              <w:shd w:val="clear"/>
              <w:spacing w:line="240" w:lineRule="auto"/>
              <w:ind w:firstLine="0" w:firstLineChars="0"/>
              <w:jc w:val="center"/>
              <w:rPr>
                <w:color w:val="000000"/>
                <w:sz w:val="18"/>
                <w:szCs w:val="18"/>
                <w:highlight w:val="none"/>
              </w:rPr>
            </w:pPr>
            <w:r>
              <w:rPr>
                <w:color w:val="000000"/>
                <w:sz w:val="18"/>
                <w:szCs w:val="18"/>
                <w:highlight w:val="none"/>
              </w:rPr>
              <w:t>/</w:t>
            </w:r>
          </w:p>
        </w:tc>
        <w:tc>
          <w:tcPr>
            <w:tcW w:w="774" w:type="dxa"/>
            <w:vAlign w:val="center"/>
          </w:tcPr>
          <w:p w14:paraId="30B07635">
            <w:pPr>
              <w:shd w:val="clear"/>
              <w:spacing w:line="240" w:lineRule="auto"/>
              <w:ind w:firstLine="0" w:firstLineChars="0"/>
              <w:jc w:val="center"/>
              <w:rPr>
                <w:color w:val="000000"/>
                <w:sz w:val="18"/>
                <w:szCs w:val="18"/>
                <w:highlight w:val="none"/>
              </w:rPr>
            </w:pPr>
            <w:r>
              <w:rPr>
                <w:color w:val="000000"/>
                <w:sz w:val="18"/>
                <w:szCs w:val="18"/>
                <w:highlight w:val="none"/>
              </w:rPr>
              <w:t>/</w:t>
            </w:r>
          </w:p>
        </w:tc>
      </w:tr>
      <w:tr w14:paraId="156CC4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dxa"/>
            <w:vMerge w:val="continue"/>
            <w:vAlign w:val="center"/>
          </w:tcPr>
          <w:p w14:paraId="108530C3">
            <w:pPr>
              <w:shd w:val="clear"/>
              <w:spacing w:line="240" w:lineRule="auto"/>
              <w:ind w:firstLine="0" w:firstLineChars="0"/>
              <w:jc w:val="center"/>
              <w:rPr>
                <w:color w:val="000000"/>
                <w:sz w:val="18"/>
                <w:szCs w:val="18"/>
                <w:highlight w:val="none"/>
              </w:rPr>
            </w:pPr>
          </w:p>
        </w:tc>
        <w:tc>
          <w:tcPr>
            <w:tcW w:w="669" w:type="dxa"/>
            <w:vMerge w:val="continue"/>
            <w:vAlign w:val="center"/>
          </w:tcPr>
          <w:p w14:paraId="60AC50ED">
            <w:pPr>
              <w:shd w:val="clear"/>
              <w:spacing w:line="240" w:lineRule="auto"/>
              <w:ind w:firstLine="0" w:firstLineChars="0"/>
              <w:jc w:val="center"/>
              <w:rPr>
                <w:color w:val="000000"/>
                <w:sz w:val="18"/>
                <w:szCs w:val="18"/>
                <w:highlight w:val="none"/>
              </w:rPr>
            </w:pPr>
          </w:p>
        </w:tc>
        <w:tc>
          <w:tcPr>
            <w:tcW w:w="1013" w:type="dxa"/>
            <w:vMerge w:val="continue"/>
            <w:vAlign w:val="center"/>
          </w:tcPr>
          <w:p w14:paraId="4DA974C1">
            <w:pPr>
              <w:shd w:val="clear"/>
              <w:spacing w:line="240" w:lineRule="auto"/>
              <w:ind w:firstLine="0" w:firstLineChars="0"/>
              <w:jc w:val="center"/>
              <w:rPr>
                <w:color w:val="000000"/>
                <w:sz w:val="18"/>
                <w:szCs w:val="18"/>
                <w:highlight w:val="none"/>
              </w:rPr>
            </w:pPr>
          </w:p>
        </w:tc>
        <w:tc>
          <w:tcPr>
            <w:tcW w:w="3286" w:type="dxa"/>
            <w:vAlign w:val="center"/>
          </w:tcPr>
          <w:p w14:paraId="78F0F616">
            <w:pPr>
              <w:shd w:val="clear"/>
              <w:adjustRightInd/>
              <w:snapToGrid/>
              <w:spacing w:line="240" w:lineRule="auto"/>
              <w:ind w:firstLine="0" w:firstLineChars="0"/>
              <w:rPr>
                <w:color w:val="000000"/>
                <w:sz w:val="18"/>
                <w:szCs w:val="18"/>
                <w:highlight w:val="none"/>
              </w:rPr>
            </w:pPr>
            <w:r>
              <w:rPr>
                <w:color w:val="000000"/>
                <w:sz w:val="18"/>
                <w:szCs w:val="18"/>
                <w:highlight w:val="none"/>
              </w:rPr>
              <w:t>户外式</w:t>
            </w:r>
          </w:p>
        </w:tc>
        <w:tc>
          <w:tcPr>
            <w:tcW w:w="926" w:type="dxa"/>
            <w:vAlign w:val="center"/>
          </w:tcPr>
          <w:p w14:paraId="4F1DB25C">
            <w:pPr>
              <w:shd w:val="clear"/>
              <w:adjustRightInd/>
              <w:snapToGrid/>
              <w:spacing w:line="240" w:lineRule="auto"/>
              <w:ind w:firstLine="0" w:firstLineChars="0"/>
              <w:jc w:val="center"/>
              <w:rPr>
                <w:color w:val="000000"/>
                <w:sz w:val="18"/>
                <w:szCs w:val="18"/>
                <w:highlight w:val="none"/>
              </w:rPr>
            </w:pPr>
            <w:r>
              <w:rPr>
                <w:color w:val="000000"/>
                <w:sz w:val="18"/>
                <w:szCs w:val="18"/>
                <w:highlight w:val="none"/>
              </w:rPr>
              <w:t>二级</w:t>
            </w:r>
          </w:p>
        </w:tc>
        <w:tc>
          <w:tcPr>
            <w:tcW w:w="1354" w:type="dxa"/>
            <w:vAlign w:val="center"/>
          </w:tcPr>
          <w:p w14:paraId="415063BD">
            <w:pPr>
              <w:shd w:val="clear"/>
              <w:spacing w:line="240" w:lineRule="auto"/>
              <w:ind w:firstLine="0" w:firstLineChars="0"/>
              <w:jc w:val="center"/>
              <w:rPr>
                <w:color w:val="000000"/>
                <w:sz w:val="18"/>
                <w:szCs w:val="18"/>
                <w:highlight w:val="none"/>
              </w:rPr>
            </w:pPr>
            <w:r>
              <w:rPr>
                <w:color w:val="000000"/>
                <w:sz w:val="18"/>
                <w:szCs w:val="18"/>
                <w:highlight w:val="none"/>
              </w:rPr>
              <w:t>户外式</w:t>
            </w:r>
          </w:p>
        </w:tc>
        <w:tc>
          <w:tcPr>
            <w:tcW w:w="774" w:type="dxa"/>
            <w:vAlign w:val="center"/>
          </w:tcPr>
          <w:p w14:paraId="440F2E37">
            <w:pPr>
              <w:shd w:val="clear"/>
              <w:spacing w:line="240" w:lineRule="auto"/>
              <w:ind w:firstLine="0" w:firstLineChars="0"/>
              <w:jc w:val="center"/>
              <w:rPr>
                <w:color w:val="000000"/>
                <w:sz w:val="18"/>
                <w:szCs w:val="18"/>
                <w:highlight w:val="none"/>
              </w:rPr>
            </w:pPr>
            <w:r>
              <w:rPr>
                <w:color w:val="000000"/>
                <w:sz w:val="18"/>
                <w:szCs w:val="18"/>
                <w:highlight w:val="none"/>
              </w:rPr>
              <w:t>二级</w:t>
            </w:r>
          </w:p>
        </w:tc>
      </w:tr>
      <w:tr w14:paraId="1F3A1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dxa"/>
            <w:vMerge w:val="continue"/>
          </w:tcPr>
          <w:p w14:paraId="08C212BE">
            <w:pPr>
              <w:shd w:val="clear"/>
              <w:spacing w:line="240" w:lineRule="auto"/>
              <w:ind w:firstLine="0" w:firstLineChars="0"/>
              <w:jc w:val="center"/>
              <w:rPr>
                <w:color w:val="000000"/>
                <w:sz w:val="18"/>
                <w:szCs w:val="18"/>
                <w:highlight w:val="none"/>
              </w:rPr>
            </w:pPr>
          </w:p>
        </w:tc>
        <w:tc>
          <w:tcPr>
            <w:tcW w:w="669" w:type="dxa"/>
            <w:vMerge w:val="continue"/>
            <w:vAlign w:val="center"/>
          </w:tcPr>
          <w:p w14:paraId="1855BA19">
            <w:pPr>
              <w:shd w:val="clear"/>
              <w:spacing w:line="240" w:lineRule="auto"/>
              <w:ind w:firstLine="0" w:firstLineChars="0"/>
              <w:jc w:val="center"/>
              <w:rPr>
                <w:color w:val="000000"/>
                <w:sz w:val="18"/>
                <w:szCs w:val="18"/>
                <w:highlight w:val="none"/>
              </w:rPr>
            </w:pPr>
          </w:p>
        </w:tc>
        <w:tc>
          <w:tcPr>
            <w:tcW w:w="1013" w:type="dxa"/>
            <w:vMerge w:val="restart"/>
            <w:vAlign w:val="center"/>
          </w:tcPr>
          <w:p w14:paraId="2BD117F7">
            <w:pPr>
              <w:shd w:val="clear"/>
              <w:spacing w:line="240" w:lineRule="auto"/>
              <w:ind w:firstLine="0" w:firstLineChars="0"/>
              <w:jc w:val="center"/>
              <w:rPr>
                <w:color w:val="000000"/>
                <w:sz w:val="18"/>
                <w:szCs w:val="18"/>
                <w:highlight w:val="none"/>
              </w:rPr>
            </w:pPr>
            <w:r>
              <w:rPr>
                <w:color w:val="000000"/>
                <w:sz w:val="18"/>
                <w:szCs w:val="18"/>
                <w:highlight w:val="none"/>
              </w:rPr>
              <w:t>输电线路</w:t>
            </w:r>
          </w:p>
        </w:tc>
        <w:tc>
          <w:tcPr>
            <w:tcW w:w="3286" w:type="dxa"/>
            <w:vAlign w:val="center"/>
          </w:tcPr>
          <w:p w14:paraId="0F913221">
            <w:pPr>
              <w:shd w:val="clear"/>
              <w:adjustRightInd/>
              <w:snapToGrid/>
              <w:spacing w:line="240" w:lineRule="atLeast"/>
              <w:ind w:firstLine="0" w:firstLineChars="0"/>
              <w:rPr>
                <w:color w:val="000000"/>
                <w:sz w:val="18"/>
                <w:szCs w:val="18"/>
                <w:highlight w:val="none"/>
              </w:rPr>
            </w:pPr>
            <w:r>
              <w:rPr>
                <w:color w:val="000000"/>
                <w:sz w:val="18"/>
                <w:szCs w:val="18"/>
                <w:highlight w:val="none"/>
              </w:rPr>
              <w:t>1.地下电缆</w:t>
            </w:r>
          </w:p>
          <w:p w14:paraId="503CD5D5">
            <w:pPr>
              <w:shd w:val="clear"/>
              <w:adjustRightInd/>
              <w:snapToGrid/>
              <w:spacing w:line="240" w:lineRule="atLeast"/>
              <w:ind w:firstLine="0" w:firstLineChars="0"/>
              <w:rPr>
                <w:color w:val="000000"/>
                <w:sz w:val="18"/>
                <w:szCs w:val="18"/>
                <w:highlight w:val="none"/>
              </w:rPr>
            </w:pPr>
            <w:r>
              <w:rPr>
                <w:color w:val="000000"/>
                <w:sz w:val="18"/>
                <w:szCs w:val="18"/>
                <w:highlight w:val="none"/>
              </w:rPr>
              <w:t>2.边导线地面投影外两侧各10m范围内无电磁环境敏感目标的架空线</w:t>
            </w:r>
          </w:p>
        </w:tc>
        <w:tc>
          <w:tcPr>
            <w:tcW w:w="926" w:type="dxa"/>
            <w:vAlign w:val="center"/>
          </w:tcPr>
          <w:p w14:paraId="48E42EE9">
            <w:pPr>
              <w:shd w:val="clear"/>
              <w:adjustRightInd/>
              <w:snapToGrid/>
              <w:spacing w:line="240" w:lineRule="auto"/>
              <w:ind w:firstLine="0" w:firstLineChars="0"/>
              <w:jc w:val="center"/>
              <w:rPr>
                <w:color w:val="000000"/>
                <w:sz w:val="18"/>
                <w:szCs w:val="18"/>
                <w:highlight w:val="none"/>
              </w:rPr>
            </w:pPr>
            <w:r>
              <w:rPr>
                <w:color w:val="000000"/>
                <w:sz w:val="18"/>
                <w:szCs w:val="18"/>
                <w:highlight w:val="none"/>
              </w:rPr>
              <w:t>三级</w:t>
            </w:r>
          </w:p>
        </w:tc>
        <w:tc>
          <w:tcPr>
            <w:tcW w:w="1354" w:type="dxa"/>
            <w:vAlign w:val="center"/>
          </w:tcPr>
          <w:p w14:paraId="74E87503">
            <w:pPr>
              <w:shd w:val="clear"/>
              <w:spacing w:line="240" w:lineRule="auto"/>
              <w:ind w:firstLine="0" w:firstLineChars="0"/>
              <w:jc w:val="center"/>
              <w:rPr>
                <w:color w:val="000000"/>
                <w:sz w:val="18"/>
                <w:szCs w:val="18"/>
                <w:highlight w:val="none"/>
              </w:rPr>
            </w:pPr>
            <w:r>
              <w:rPr>
                <w:color w:val="000000"/>
                <w:sz w:val="18"/>
                <w:szCs w:val="18"/>
                <w:highlight w:val="none"/>
              </w:rPr>
              <w:t>10m内无电磁环境敏感目标</w:t>
            </w:r>
          </w:p>
        </w:tc>
        <w:tc>
          <w:tcPr>
            <w:tcW w:w="774" w:type="dxa"/>
            <w:vAlign w:val="center"/>
          </w:tcPr>
          <w:p w14:paraId="14DDE22A">
            <w:pPr>
              <w:shd w:val="clear"/>
              <w:spacing w:line="240" w:lineRule="auto"/>
              <w:ind w:firstLine="0" w:firstLineChars="0"/>
              <w:jc w:val="center"/>
              <w:rPr>
                <w:color w:val="000000"/>
                <w:sz w:val="18"/>
                <w:szCs w:val="18"/>
                <w:highlight w:val="none"/>
              </w:rPr>
            </w:pPr>
            <w:r>
              <w:rPr>
                <w:color w:val="000000"/>
                <w:sz w:val="18"/>
                <w:szCs w:val="18"/>
                <w:highlight w:val="none"/>
              </w:rPr>
              <w:t>三级</w:t>
            </w:r>
          </w:p>
        </w:tc>
      </w:tr>
      <w:tr w14:paraId="47E61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 w:type="dxa"/>
            <w:vMerge w:val="continue"/>
          </w:tcPr>
          <w:p w14:paraId="11DC8118">
            <w:pPr>
              <w:shd w:val="clear"/>
              <w:spacing w:line="240" w:lineRule="auto"/>
              <w:ind w:firstLine="0" w:firstLineChars="0"/>
              <w:jc w:val="center"/>
              <w:rPr>
                <w:color w:val="000000"/>
                <w:sz w:val="18"/>
                <w:szCs w:val="18"/>
                <w:highlight w:val="none"/>
              </w:rPr>
            </w:pPr>
          </w:p>
        </w:tc>
        <w:tc>
          <w:tcPr>
            <w:tcW w:w="669" w:type="dxa"/>
            <w:vMerge w:val="continue"/>
            <w:vAlign w:val="center"/>
          </w:tcPr>
          <w:p w14:paraId="535131E3">
            <w:pPr>
              <w:shd w:val="clear"/>
              <w:spacing w:line="240" w:lineRule="auto"/>
              <w:ind w:firstLine="0" w:firstLineChars="0"/>
              <w:jc w:val="center"/>
              <w:rPr>
                <w:color w:val="000000"/>
                <w:sz w:val="18"/>
                <w:szCs w:val="18"/>
                <w:highlight w:val="none"/>
              </w:rPr>
            </w:pPr>
          </w:p>
        </w:tc>
        <w:tc>
          <w:tcPr>
            <w:tcW w:w="1013" w:type="dxa"/>
            <w:vMerge w:val="continue"/>
            <w:vAlign w:val="center"/>
          </w:tcPr>
          <w:p w14:paraId="6CF3A5D5">
            <w:pPr>
              <w:shd w:val="clear"/>
              <w:spacing w:line="240" w:lineRule="auto"/>
              <w:ind w:firstLine="0" w:firstLineChars="0"/>
              <w:jc w:val="center"/>
              <w:rPr>
                <w:color w:val="000000"/>
                <w:sz w:val="18"/>
                <w:szCs w:val="18"/>
                <w:highlight w:val="none"/>
              </w:rPr>
            </w:pPr>
          </w:p>
        </w:tc>
        <w:tc>
          <w:tcPr>
            <w:tcW w:w="3286" w:type="dxa"/>
            <w:vAlign w:val="center"/>
          </w:tcPr>
          <w:p w14:paraId="5A2DCA73">
            <w:pPr>
              <w:shd w:val="clear"/>
              <w:adjustRightInd/>
              <w:snapToGrid/>
              <w:spacing w:line="240" w:lineRule="atLeast"/>
              <w:ind w:firstLine="0" w:firstLineChars="0"/>
              <w:rPr>
                <w:color w:val="000000"/>
                <w:sz w:val="18"/>
                <w:szCs w:val="18"/>
                <w:highlight w:val="none"/>
              </w:rPr>
            </w:pPr>
            <w:r>
              <w:rPr>
                <w:color w:val="000000"/>
                <w:sz w:val="18"/>
                <w:szCs w:val="18"/>
                <w:highlight w:val="none"/>
              </w:rPr>
              <w:t>边导线地面投影外两侧各10m范围内有电磁环境敏感目标的架空线</w:t>
            </w:r>
          </w:p>
        </w:tc>
        <w:tc>
          <w:tcPr>
            <w:tcW w:w="926" w:type="dxa"/>
            <w:vAlign w:val="center"/>
          </w:tcPr>
          <w:p w14:paraId="29BC712D">
            <w:pPr>
              <w:shd w:val="clear"/>
              <w:adjustRightInd/>
              <w:snapToGrid/>
              <w:spacing w:line="240" w:lineRule="auto"/>
              <w:ind w:firstLine="0" w:firstLineChars="0"/>
              <w:jc w:val="center"/>
              <w:rPr>
                <w:color w:val="000000"/>
                <w:sz w:val="18"/>
                <w:szCs w:val="18"/>
                <w:highlight w:val="none"/>
              </w:rPr>
            </w:pPr>
            <w:r>
              <w:rPr>
                <w:color w:val="000000"/>
                <w:sz w:val="18"/>
                <w:szCs w:val="18"/>
                <w:highlight w:val="none"/>
              </w:rPr>
              <w:t>二级</w:t>
            </w:r>
          </w:p>
        </w:tc>
        <w:tc>
          <w:tcPr>
            <w:tcW w:w="1354" w:type="dxa"/>
            <w:vAlign w:val="center"/>
          </w:tcPr>
          <w:p w14:paraId="3D4E8531">
            <w:pPr>
              <w:shd w:val="clear"/>
              <w:spacing w:line="240" w:lineRule="auto"/>
              <w:ind w:firstLine="0" w:firstLineChars="0"/>
              <w:jc w:val="center"/>
              <w:rPr>
                <w:color w:val="000000"/>
                <w:sz w:val="18"/>
                <w:szCs w:val="18"/>
                <w:highlight w:val="none"/>
              </w:rPr>
            </w:pPr>
            <w:r>
              <w:rPr>
                <w:color w:val="000000"/>
                <w:sz w:val="18"/>
                <w:szCs w:val="18"/>
                <w:highlight w:val="none"/>
              </w:rPr>
              <w:t>/</w:t>
            </w:r>
          </w:p>
        </w:tc>
        <w:tc>
          <w:tcPr>
            <w:tcW w:w="774" w:type="dxa"/>
            <w:vAlign w:val="center"/>
          </w:tcPr>
          <w:p w14:paraId="08588B56">
            <w:pPr>
              <w:shd w:val="clear"/>
              <w:spacing w:line="240" w:lineRule="auto"/>
              <w:ind w:firstLine="0" w:firstLineChars="0"/>
              <w:jc w:val="center"/>
              <w:rPr>
                <w:color w:val="000000"/>
                <w:sz w:val="18"/>
                <w:szCs w:val="18"/>
                <w:highlight w:val="none"/>
              </w:rPr>
            </w:pPr>
            <w:r>
              <w:rPr>
                <w:color w:val="000000"/>
                <w:sz w:val="18"/>
                <w:szCs w:val="18"/>
                <w:highlight w:val="none"/>
              </w:rPr>
              <w:t>/</w:t>
            </w:r>
          </w:p>
        </w:tc>
      </w:tr>
    </w:tbl>
    <w:p w14:paraId="600A2EF4">
      <w:pPr>
        <w:pStyle w:val="7"/>
        <w:shd w:val="clear"/>
        <w:ind w:firstLine="480"/>
        <w:rPr>
          <w:highlight w:val="none"/>
        </w:rPr>
      </w:pPr>
      <w:r>
        <w:rPr>
          <w:highlight w:val="none"/>
        </w:rPr>
        <w:t>（3）评价范围</w:t>
      </w:r>
    </w:p>
    <w:p w14:paraId="01B84054">
      <w:pPr>
        <w:pStyle w:val="7"/>
        <w:shd w:val="clear"/>
        <w:ind w:firstLine="480"/>
        <w:rPr>
          <w:highlight w:val="none"/>
        </w:rPr>
      </w:pPr>
      <w:r>
        <w:rPr>
          <w:highlight w:val="none"/>
        </w:rPr>
        <w:t>根据《环境影响评价技术导则 输变电》（HJ 24-2020），电压等级为110kV的输变电项目以架空线路边导线地面投影外两侧各30m为电磁环境影响评价范围，地下电缆以管廊两侧边缘各延5m（水平距离）。</w:t>
      </w:r>
    </w:p>
    <w:p w14:paraId="14888965">
      <w:pPr>
        <w:pStyle w:val="7"/>
        <w:shd w:val="clear"/>
        <w:ind w:firstLine="480"/>
        <w:rPr>
          <w:highlight w:val="none"/>
        </w:rPr>
      </w:pPr>
      <w:r>
        <w:rPr>
          <w:highlight w:val="none"/>
        </w:rPr>
        <w:t>（4）评价方法</w:t>
      </w:r>
    </w:p>
    <w:p w14:paraId="550BA7FB">
      <w:pPr>
        <w:pStyle w:val="7"/>
        <w:shd w:val="clear"/>
        <w:ind w:firstLine="480"/>
        <w:rPr>
          <w:highlight w:val="none"/>
        </w:rPr>
      </w:pPr>
      <w:r>
        <w:rPr>
          <w:highlight w:val="none"/>
        </w:rPr>
        <w:t>电磁环境影响预测方法：输电线路：采用模式预测法，</w:t>
      </w:r>
      <w:r>
        <w:rPr>
          <w:color w:val="0070C0"/>
          <w:highlight w:val="none"/>
        </w:rPr>
        <w:t>升压站</w:t>
      </w:r>
      <w:r>
        <w:rPr>
          <w:highlight w:val="none"/>
        </w:rPr>
        <w:t>：采用类比分析。</w:t>
      </w:r>
    </w:p>
    <w:p w14:paraId="3B38332F">
      <w:pPr>
        <w:pStyle w:val="3"/>
        <w:shd w:val="clear"/>
        <w:rPr>
          <w:highlight w:val="none"/>
        </w:rPr>
      </w:pPr>
      <w:bookmarkStart w:id="513" w:name="_Toc30868"/>
      <w:bookmarkStart w:id="514" w:name="_Toc13439"/>
      <w:r>
        <w:rPr>
          <w:highlight w:val="none"/>
        </w:rPr>
        <w:t>1.5评价标准</w:t>
      </w:r>
      <w:bookmarkEnd w:id="513"/>
      <w:bookmarkEnd w:id="514"/>
    </w:p>
    <w:p w14:paraId="7610543C">
      <w:pPr>
        <w:shd w:val="clear"/>
        <w:ind w:firstLine="480"/>
        <w:rPr>
          <w:highlight w:val="none"/>
        </w:rPr>
      </w:pPr>
      <w:r>
        <w:rPr>
          <w:highlight w:val="none"/>
        </w:rPr>
        <w:t>根据《环境影响评价技术导则 输变电》（HJ 24-2020），工频电场的电场强度、工频磁场的磁感应强度应满足《电磁环境控制限值》（GB 8702-2014）的要求，具体见表1.5-1。</w:t>
      </w:r>
    </w:p>
    <w:p w14:paraId="6B7C6A8B">
      <w:pPr>
        <w:pStyle w:val="5"/>
        <w:shd w:val="clear"/>
        <w:ind w:firstLine="422"/>
        <w:rPr>
          <w:highlight w:val="none"/>
        </w:rPr>
      </w:pPr>
      <w:r>
        <w:rPr>
          <w:highlight w:val="none"/>
        </w:rPr>
        <w:t>表1.5-1                电磁环境控制限值</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67"/>
        <w:gridCol w:w="1961"/>
        <w:gridCol w:w="1351"/>
        <w:gridCol w:w="1463"/>
        <w:gridCol w:w="1262"/>
      </w:tblGrid>
      <w:tr w14:paraId="79AA2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467" w:type="dxa"/>
            <w:tcBorders>
              <w:tl2br w:val="nil"/>
              <w:tr2bl w:val="nil"/>
            </w:tcBorders>
            <w:vAlign w:val="center"/>
          </w:tcPr>
          <w:p w14:paraId="1F10544E">
            <w:pPr>
              <w:pStyle w:val="10"/>
              <w:shd w:val="clear"/>
              <w:rPr>
                <w:sz w:val="18"/>
                <w:highlight w:val="none"/>
              </w:rPr>
            </w:pPr>
            <w:r>
              <w:rPr>
                <w:sz w:val="18"/>
                <w:highlight w:val="none"/>
              </w:rPr>
              <w:t>项目</w:t>
            </w:r>
          </w:p>
        </w:tc>
        <w:tc>
          <w:tcPr>
            <w:tcW w:w="1961" w:type="dxa"/>
            <w:tcBorders>
              <w:tl2br w:val="nil"/>
              <w:tr2bl w:val="nil"/>
            </w:tcBorders>
            <w:vAlign w:val="center"/>
          </w:tcPr>
          <w:p w14:paraId="507EE6E9">
            <w:pPr>
              <w:pStyle w:val="10"/>
              <w:shd w:val="clear"/>
              <w:rPr>
                <w:sz w:val="18"/>
                <w:highlight w:val="none"/>
              </w:rPr>
            </w:pPr>
            <w:r>
              <w:rPr>
                <w:sz w:val="18"/>
                <w:highlight w:val="none"/>
              </w:rPr>
              <w:t>频率范围</w:t>
            </w:r>
          </w:p>
        </w:tc>
        <w:tc>
          <w:tcPr>
            <w:tcW w:w="1351" w:type="dxa"/>
            <w:tcBorders>
              <w:tl2br w:val="nil"/>
              <w:tr2bl w:val="nil"/>
            </w:tcBorders>
            <w:vAlign w:val="center"/>
          </w:tcPr>
          <w:p w14:paraId="2F6D69CA">
            <w:pPr>
              <w:pStyle w:val="10"/>
              <w:shd w:val="clear"/>
              <w:rPr>
                <w:sz w:val="18"/>
                <w:highlight w:val="none"/>
              </w:rPr>
            </w:pPr>
            <w:r>
              <w:rPr>
                <w:sz w:val="18"/>
                <w:highlight w:val="none"/>
              </w:rPr>
              <w:t>电场强度</w:t>
            </w:r>
          </w:p>
        </w:tc>
        <w:tc>
          <w:tcPr>
            <w:tcW w:w="1463" w:type="dxa"/>
            <w:tcBorders>
              <w:tl2br w:val="nil"/>
              <w:tr2bl w:val="nil"/>
            </w:tcBorders>
            <w:vAlign w:val="center"/>
          </w:tcPr>
          <w:p w14:paraId="13802880">
            <w:pPr>
              <w:pStyle w:val="10"/>
              <w:shd w:val="clear"/>
              <w:rPr>
                <w:sz w:val="18"/>
                <w:highlight w:val="none"/>
              </w:rPr>
            </w:pPr>
            <w:r>
              <w:rPr>
                <w:sz w:val="18"/>
                <w:highlight w:val="none"/>
              </w:rPr>
              <w:t>磁感应强度</w:t>
            </w:r>
          </w:p>
        </w:tc>
        <w:tc>
          <w:tcPr>
            <w:tcW w:w="1262" w:type="dxa"/>
            <w:tcBorders>
              <w:tl2br w:val="nil"/>
              <w:tr2bl w:val="nil"/>
            </w:tcBorders>
            <w:vAlign w:val="center"/>
          </w:tcPr>
          <w:p w14:paraId="369E803B">
            <w:pPr>
              <w:pStyle w:val="10"/>
              <w:shd w:val="clear"/>
              <w:rPr>
                <w:sz w:val="18"/>
                <w:highlight w:val="none"/>
              </w:rPr>
            </w:pPr>
            <w:r>
              <w:rPr>
                <w:sz w:val="18"/>
                <w:highlight w:val="none"/>
              </w:rPr>
              <w:t>备注</w:t>
            </w:r>
          </w:p>
        </w:tc>
      </w:tr>
      <w:tr w14:paraId="61145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2467" w:type="dxa"/>
            <w:tcBorders>
              <w:tl2br w:val="nil"/>
              <w:tr2bl w:val="nil"/>
            </w:tcBorders>
            <w:vAlign w:val="center"/>
          </w:tcPr>
          <w:p w14:paraId="0FAA2DB1">
            <w:pPr>
              <w:pStyle w:val="10"/>
              <w:shd w:val="clear"/>
              <w:rPr>
                <w:sz w:val="18"/>
                <w:highlight w:val="none"/>
              </w:rPr>
            </w:pPr>
            <w:r>
              <w:rPr>
                <w:sz w:val="18"/>
                <w:highlight w:val="none"/>
              </w:rPr>
              <w:t>《电磁环境控制限值》（GB 8702-2014）</w:t>
            </w:r>
          </w:p>
        </w:tc>
        <w:tc>
          <w:tcPr>
            <w:tcW w:w="1961" w:type="dxa"/>
            <w:tcBorders>
              <w:tl2br w:val="nil"/>
              <w:tr2bl w:val="nil"/>
            </w:tcBorders>
            <w:vAlign w:val="center"/>
          </w:tcPr>
          <w:p w14:paraId="0EA7A9DC">
            <w:pPr>
              <w:pStyle w:val="10"/>
              <w:shd w:val="clear"/>
              <w:rPr>
                <w:sz w:val="18"/>
                <w:highlight w:val="none"/>
              </w:rPr>
            </w:pPr>
            <w:r>
              <w:rPr>
                <w:sz w:val="18"/>
                <w:highlight w:val="none"/>
              </w:rPr>
              <w:t>0.025kHz~1.2kHz</w:t>
            </w:r>
          </w:p>
        </w:tc>
        <w:tc>
          <w:tcPr>
            <w:tcW w:w="1351" w:type="dxa"/>
            <w:tcBorders>
              <w:tl2br w:val="nil"/>
              <w:tr2bl w:val="nil"/>
            </w:tcBorders>
            <w:vAlign w:val="center"/>
          </w:tcPr>
          <w:p w14:paraId="512C0622">
            <w:pPr>
              <w:pStyle w:val="10"/>
              <w:shd w:val="clear"/>
              <w:rPr>
                <w:sz w:val="18"/>
                <w:highlight w:val="none"/>
              </w:rPr>
            </w:pPr>
            <w:r>
              <w:rPr>
                <w:sz w:val="18"/>
                <w:highlight w:val="none"/>
              </w:rPr>
              <w:t>200/f</w:t>
            </w:r>
          </w:p>
        </w:tc>
        <w:tc>
          <w:tcPr>
            <w:tcW w:w="1463" w:type="dxa"/>
            <w:tcBorders>
              <w:tl2br w:val="nil"/>
              <w:tr2bl w:val="nil"/>
            </w:tcBorders>
            <w:vAlign w:val="center"/>
          </w:tcPr>
          <w:p w14:paraId="20F41C72">
            <w:pPr>
              <w:pStyle w:val="10"/>
              <w:shd w:val="clear"/>
              <w:rPr>
                <w:sz w:val="18"/>
                <w:highlight w:val="none"/>
              </w:rPr>
            </w:pPr>
            <w:r>
              <w:rPr>
                <w:sz w:val="18"/>
                <w:highlight w:val="none"/>
              </w:rPr>
              <w:t>5/f</w:t>
            </w:r>
          </w:p>
        </w:tc>
        <w:tc>
          <w:tcPr>
            <w:tcW w:w="1262" w:type="dxa"/>
            <w:tcBorders>
              <w:tl2br w:val="nil"/>
              <w:tr2bl w:val="nil"/>
            </w:tcBorders>
            <w:vAlign w:val="center"/>
          </w:tcPr>
          <w:p w14:paraId="4FF40FF0">
            <w:pPr>
              <w:pStyle w:val="10"/>
              <w:shd w:val="clear"/>
              <w:rPr>
                <w:sz w:val="18"/>
                <w:highlight w:val="none"/>
              </w:rPr>
            </w:pPr>
            <w:r>
              <w:rPr>
                <w:sz w:val="18"/>
                <w:highlight w:val="none"/>
              </w:rPr>
              <w:t>f代表频率</w:t>
            </w:r>
          </w:p>
        </w:tc>
      </w:tr>
      <w:tr w14:paraId="00A079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63" w:hRule="atLeast"/>
          <w:jc w:val="center"/>
        </w:trPr>
        <w:tc>
          <w:tcPr>
            <w:tcW w:w="2467" w:type="dxa"/>
            <w:tcBorders>
              <w:tl2br w:val="nil"/>
              <w:tr2bl w:val="nil"/>
            </w:tcBorders>
            <w:vAlign w:val="center"/>
          </w:tcPr>
          <w:p w14:paraId="63937A6B">
            <w:pPr>
              <w:pStyle w:val="10"/>
              <w:shd w:val="clear"/>
              <w:rPr>
                <w:sz w:val="18"/>
                <w:highlight w:val="none"/>
              </w:rPr>
            </w:pPr>
            <w:r>
              <w:rPr>
                <w:sz w:val="18"/>
                <w:highlight w:val="none"/>
              </w:rPr>
              <w:t>交流输变电项目</w:t>
            </w:r>
          </w:p>
        </w:tc>
        <w:tc>
          <w:tcPr>
            <w:tcW w:w="1961" w:type="dxa"/>
            <w:tcBorders>
              <w:tl2br w:val="nil"/>
              <w:tr2bl w:val="nil"/>
            </w:tcBorders>
            <w:vAlign w:val="center"/>
          </w:tcPr>
          <w:p w14:paraId="2BCC3D41">
            <w:pPr>
              <w:pStyle w:val="10"/>
              <w:shd w:val="clear"/>
              <w:rPr>
                <w:sz w:val="18"/>
                <w:highlight w:val="none"/>
              </w:rPr>
            </w:pPr>
            <w:r>
              <w:rPr>
                <w:sz w:val="18"/>
                <w:highlight w:val="none"/>
              </w:rPr>
              <w:t>0.05kHz(50Hz)</w:t>
            </w:r>
          </w:p>
        </w:tc>
        <w:tc>
          <w:tcPr>
            <w:tcW w:w="1351" w:type="dxa"/>
            <w:tcBorders>
              <w:tl2br w:val="nil"/>
              <w:tr2bl w:val="nil"/>
            </w:tcBorders>
            <w:vAlign w:val="center"/>
          </w:tcPr>
          <w:p w14:paraId="5556AD0B">
            <w:pPr>
              <w:pStyle w:val="10"/>
              <w:shd w:val="clear"/>
              <w:rPr>
                <w:sz w:val="18"/>
                <w:highlight w:val="none"/>
              </w:rPr>
            </w:pPr>
            <w:r>
              <w:rPr>
                <w:sz w:val="18"/>
                <w:highlight w:val="none"/>
              </w:rPr>
              <w:t>4000V/m</w:t>
            </w:r>
          </w:p>
        </w:tc>
        <w:tc>
          <w:tcPr>
            <w:tcW w:w="1463" w:type="dxa"/>
            <w:tcBorders>
              <w:tl2br w:val="nil"/>
              <w:tr2bl w:val="nil"/>
            </w:tcBorders>
            <w:vAlign w:val="center"/>
          </w:tcPr>
          <w:p w14:paraId="7939754E">
            <w:pPr>
              <w:pStyle w:val="10"/>
              <w:shd w:val="clear"/>
              <w:rPr>
                <w:sz w:val="18"/>
                <w:highlight w:val="none"/>
              </w:rPr>
            </w:pPr>
            <w:r>
              <w:rPr>
                <w:sz w:val="18"/>
                <w:highlight w:val="none"/>
              </w:rPr>
              <w:t>100μT</w:t>
            </w:r>
          </w:p>
        </w:tc>
        <w:tc>
          <w:tcPr>
            <w:tcW w:w="1262" w:type="dxa"/>
            <w:tcBorders>
              <w:tl2br w:val="nil"/>
              <w:tr2bl w:val="nil"/>
            </w:tcBorders>
            <w:vAlign w:val="center"/>
          </w:tcPr>
          <w:p w14:paraId="2C562A46">
            <w:pPr>
              <w:pStyle w:val="10"/>
              <w:shd w:val="clear"/>
              <w:rPr>
                <w:sz w:val="18"/>
                <w:highlight w:val="none"/>
              </w:rPr>
            </w:pPr>
            <w:r>
              <w:rPr>
                <w:sz w:val="18"/>
                <w:highlight w:val="none"/>
              </w:rPr>
              <w:t>——</w:t>
            </w:r>
          </w:p>
        </w:tc>
      </w:tr>
    </w:tbl>
    <w:p w14:paraId="2761F493">
      <w:pPr>
        <w:shd w:val="clear"/>
        <w:ind w:firstLine="480"/>
        <w:rPr>
          <w:highlight w:val="none"/>
        </w:rPr>
      </w:pPr>
      <w:r>
        <w:rPr>
          <w:highlight w:val="none"/>
          <w:lang w:val="zh-CN"/>
        </w:rPr>
        <w:t>架空输电线路线下的耕地、园地、牧草地、畜禽饲养地、养殖水面、道路等场所，其频率50Hz的工频电场强度控制限值为10kV/m，</w:t>
      </w:r>
      <w:r>
        <w:rPr>
          <w:highlight w:val="none"/>
        </w:rPr>
        <w:t>且应给出警示和防护指示标志。</w:t>
      </w:r>
      <w:bookmarkStart w:id="515" w:name="_Toc23672"/>
    </w:p>
    <w:p w14:paraId="73F07368">
      <w:pPr>
        <w:shd w:val="clear"/>
        <w:ind w:firstLine="480"/>
        <w:rPr>
          <w:highlight w:val="none"/>
        </w:rPr>
      </w:pPr>
      <w:r>
        <w:rPr>
          <w:highlight w:val="none"/>
        </w:rPr>
        <w:t>本项目线路所经区域为非居民区，工频电场强度执行10kV/m控制限值，工频磁感应强度执行100μT控制限值。</w:t>
      </w:r>
    </w:p>
    <w:p w14:paraId="6A885779">
      <w:pPr>
        <w:pStyle w:val="3"/>
        <w:shd w:val="clear"/>
        <w:rPr>
          <w:highlight w:val="none"/>
        </w:rPr>
      </w:pPr>
      <w:bookmarkStart w:id="516" w:name="_Toc1519"/>
      <w:r>
        <w:rPr>
          <w:highlight w:val="none"/>
        </w:rPr>
        <w:t>1.6</w:t>
      </w:r>
      <w:bookmarkEnd w:id="515"/>
      <w:r>
        <w:rPr>
          <w:highlight w:val="none"/>
        </w:rPr>
        <w:t>电磁环境敏感目标</w:t>
      </w:r>
      <w:bookmarkEnd w:id="516"/>
    </w:p>
    <w:p w14:paraId="0B90BAC4">
      <w:pPr>
        <w:shd w:val="clear"/>
        <w:ind w:firstLine="480"/>
        <w:rPr>
          <w:highlight w:val="none"/>
          <w:lang w:val="zh-CN"/>
        </w:rPr>
      </w:pPr>
      <w:bookmarkStart w:id="517" w:name="_Toc9731"/>
      <w:r>
        <w:rPr>
          <w:highlight w:val="none"/>
        </w:rPr>
        <w:t>根据《环境影响评价技术导则 输变电》（HJ 24-2020），电磁环境敏感目标为电磁环境影响评价需重点关注的对象。包括住宅、学校、医院、办公楼、工厂等有公众居住，工作或学习的建筑物，根据现场勘查，拟建</w:t>
      </w:r>
      <w:r>
        <w:rPr>
          <w:highlight w:val="none"/>
          <w:lang w:val="zh-CN"/>
        </w:rPr>
        <w:t>输变电线路沿线评价范围内无电磁环境</w:t>
      </w:r>
      <w:r>
        <w:rPr>
          <w:highlight w:val="none"/>
        </w:rPr>
        <w:t>敏感</w:t>
      </w:r>
      <w:r>
        <w:rPr>
          <w:highlight w:val="none"/>
          <w:lang w:val="zh-CN"/>
        </w:rPr>
        <w:t>目标。</w:t>
      </w:r>
    </w:p>
    <w:p w14:paraId="4A59A3B4">
      <w:pPr>
        <w:pStyle w:val="2"/>
        <w:shd w:val="clear"/>
        <w:rPr>
          <w:rFonts w:eastAsia="宋体"/>
          <w:color w:val="auto"/>
          <w:highlight w:val="none"/>
        </w:rPr>
      </w:pPr>
      <w:bookmarkStart w:id="518" w:name="_Toc31846"/>
      <w:bookmarkStart w:id="519" w:name="_Toc29545"/>
      <w:r>
        <w:rPr>
          <w:rFonts w:eastAsia="宋体"/>
          <w:color w:val="auto"/>
          <w:highlight w:val="none"/>
        </w:rPr>
        <w:t>2电磁环境现状评价</w:t>
      </w:r>
      <w:bookmarkEnd w:id="517"/>
      <w:bookmarkEnd w:id="518"/>
      <w:bookmarkEnd w:id="519"/>
    </w:p>
    <w:p w14:paraId="6BEA1A90">
      <w:pPr>
        <w:pStyle w:val="3"/>
        <w:shd w:val="clear"/>
        <w:rPr>
          <w:highlight w:val="none"/>
        </w:rPr>
      </w:pPr>
      <w:bookmarkStart w:id="520" w:name="_Toc7455"/>
      <w:r>
        <w:rPr>
          <w:highlight w:val="none"/>
        </w:rPr>
        <w:t>2.1监测因子</w:t>
      </w:r>
      <w:bookmarkEnd w:id="520"/>
    </w:p>
    <w:p w14:paraId="0F09EEEA">
      <w:pPr>
        <w:shd w:val="clear"/>
        <w:ind w:firstLine="480"/>
        <w:rPr>
          <w:highlight w:val="none"/>
        </w:rPr>
      </w:pPr>
      <w:r>
        <w:rPr>
          <w:highlight w:val="none"/>
        </w:rPr>
        <w:t>工频电场、工频磁场。</w:t>
      </w:r>
    </w:p>
    <w:p w14:paraId="0B1F505E">
      <w:pPr>
        <w:pStyle w:val="3"/>
        <w:shd w:val="clear"/>
        <w:rPr>
          <w:highlight w:val="none"/>
        </w:rPr>
      </w:pPr>
      <w:bookmarkStart w:id="521" w:name="_Toc8525"/>
      <w:r>
        <w:rPr>
          <w:highlight w:val="none"/>
        </w:rPr>
        <w:t>2.2监测方法及布点</w:t>
      </w:r>
      <w:bookmarkEnd w:id="521"/>
    </w:p>
    <w:p w14:paraId="4B5AD2F5">
      <w:pPr>
        <w:shd w:val="clear"/>
        <w:ind w:firstLine="480"/>
        <w:rPr>
          <w:highlight w:val="none"/>
        </w:rPr>
      </w:pPr>
      <w:r>
        <w:rPr>
          <w:highlight w:val="none"/>
        </w:rPr>
        <w:t>监测方法：《交流输变电工程电磁环境监测办法（试行）》（HJ 681-2013）。</w:t>
      </w:r>
    </w:p>
    <w:p w14:paraId="765BCC4E">
      <w:pPr>
        <w:shd w:val="clear"/>
        <w:ind w:firstLine="480"/>
        <w:rPr>
          <w:highlight w:val="none"/>
        </w:rPr>
      </w:pPr>
      <w:r>
        <w:rPr>
          <w:highlight w:val="none"/>
        </w:rPr>
        <w:t>监测布点：根据《环境影响评价技术导则 输变电》（HJ 24-2020）中电磁环境现状监测布点的要求，本次评价在线路沿线共设置</w:t>
      </w:r>
      <w:r>
        <w:rPr>
          <w:rFonts w:hint="eastAsia"/>
          <w:highlight w:val="none"/>
          <w:lang w:val="en-US" w:eastAsia="zh-CN"/>
        </w:rPr>
        <w:t>2</w:t>
      </w:r>
      <w:r>
        <w:rPr>
          <w:highlight w:val="none"/>
        </w:rPr>
        <w:t>个现状监测点，升压站四周设置4个现状监测点。具体点位见附图11。</w:t>
      </w:r>
    </w:p>
    <w:p w14:paraId="3AB9BB3B">
      <w:pPr>
        <w:pStyle w:val="3"/>
        <w:shd w:val="clear"/>
        <w:rPr>
          <w:highlight w:val="none"/>
        </w:rPr>
      </w:pPr>
      <w:bookmarkStart w:id="522" w:name="_Toc18854"/>
      <w:r>
        <w:rPr>
          <w:highlight w:val="none"/>
        </w:rPr>
        <w:t>2.3监测单位及监测时间</w:t>
      </w:r>
      <w:bookmarkEnd w:id="522"/>
    </w:p>
    <w:p w14:paraId="025099AF">
      <w:pPr>
        <w:shd w:val="clear"/>
        <w:ind w:firstLine="480"/>
        <w:rPr>
          <w:highlight w:val="none"/>
        </w:rPr>
      </w:pPr>
      <w:r>
        <w:rPr>
          <w:highlight w:val="none"/>
        </w:rPr>
        <w:t>监测单位：乌鲁木齐星辰汇峰环保科技有限公司</w:t>
      </w:r>
    </w:p>
    <w:p w14:paraId="69247A7B">
      <w:pPr>
        <w:shd w:val="clear"/>
        <w:ind w:firstLine="480"/>
        <w:rPr>
          <w:highlight w:val="none"/>
        </w:rPr>
      </w:pPr>
      <w:r>
        <w:rPr>
          <w:highlight w:val="none"/>
        </w:rPr>
        <w:t>监测时间：2026年5月9日</w:t>
      </w:r>
    </w:p>
    <w:p w14:paraId="377BAB76">
      <w:pPr>
        <w:pStyle w:val="3"/>
        <w:shd w:val="clear"/>
        <w:rPr>
          <w:highlight w:val="none"/>
        </w:rPr>
      </w:pPr>
      <w:bookmarkStart w:id="523" w:name="_Toc14878"/>
      <w:r>
        <w:rPr>
          <w:highlight w:val="none"/>
        </w:rPr>
        <w:t>2.4监测结果</w:t>
      </w:r>
      <w:bookmarkEnd w:id="523"/>
    </w:p>
    <w:p w14:paraId="1E6D9221">
      <w:pPr>
        <w:shd w:val="clear"/>
        <w:ind w:firstLine="480"/>
        <w:rPr>
          <w:highlight w:val="none"/>
        </w:rPr>
      </w:pPr>
      <w:r>
        <w:rPr>
          <w:highlight w:val="none"/>
        </w:rPr>
        <w:t>监测结果，见表2.4-1。</w:t>
      </w:r>
    </w:p>
    <w:p w14:paraId="6C8BC1AB">
      <w:pPr>
        <w:pStyle w:val="5"/>
        <w:shd w:val="clear"/>
        <w:ind w:firstLine="422"/>
        <w:rPr>
          <w:highlight w:val="none"/>
        </w:rPr>
      </w:pPr>
      <w:r>
        <w:rPr>
          <w:highlight w:val="none"/>
        </w:rPr>
        <w:t>表2.4-1                    电磁环境现状监测结果</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1"/>
        <w:gridCol w:w="1787"/>
        <w:gridCol w:w="1111"/>
        <w:gridCol w:w="1702"/>
        <w:gridCol w:w="1860"/>
        <w:gridCol w:w="1412"/>
      </w:tblGrid>
      <w:tr w14:paraId="2F587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4891BA7A">
            <w:pPr>
              <w:shd w:val="clear"/>
              <w:spacing w:line="240" w:lineRule="auto"/>
              <w:ind w:firstLine="0" w:firstLineChars="0"/>
              <w:jc w:val="center"/>
              <w:rPr>
                <w:sz w:val="18"/>
                <w:szCs w:val="18"/>
                <w:highlight w:val="none"/>
              </w:rPr>
            </w:pPr>
            <w:r>
              <w:rPr>
                <w:sz w:val="18"/>
                <w:szCs w:val="18"/>
                <w:highlight w:val="none"/>
              </w:rPr>
              <w:t>序号</w:t>
            </w:r>
          </w:p>
        </w:tc>
        <w:tc>
          <w:tcPr>
            <w:tcW w:w="1787" w:type="dxa"/>
            <w:tcBorders>
              <w:tl2br w:val="nil"/>
              <w:tr2bl w:val="nil"/>
            </w:tcBorders>
            <w:vAlign w:val="center"/>
          </w:tcPr>
          <w:p w14:paraId="19ABAFD1">
            <w:pPr>
              <w:shd w:val="clear"/>
              <w:spacing w:line="240" w:lineRule="auto"/>
              <w:ind w:firstLine="0" w:firstLineChars="0"/>
              <w:jc w:val="center"/>
              <w:rPr>
                <w:sz w:val="18"/>
                <w:szCs w:val="18"/>
                <w:highlight w:val="none"/>
              </w:rPr>
            </w:pPr>
            <w:r>
              <w:rPr>
                <w:sz w:val="18"/>
                <w:szCs w:val="18"/>
                <w:highlight w:val="none"/>
              </w:rPr>
              <w:t>点位描述</w:t>
            </w:r>
          </w:p>
        </w:tc>
        <w:tc>
          <w:tcPr>
            <w:tcW w:w="1111" w:type="dxa"/>
            <w:tcBorders>
              <w:tl2br w:val="nil"/>
              <w:tr2bl w:val="nil"/>
            </w:tcBorders>
            <w:vAlign w:val="center"/>
          </w:tcPr>
          <w:p w14:paraId="6A84A211">
            <w:pPr>
              <w:shd w:val="clear"/>
              <w:spacing w:line="240" w:lineRule="auto"/>
              <w:ind w:firstLine="0" w:firstLineChars="0"/>
              <w:jc w:val="center"/>
              <w:rPr>
                <w:sz w:val="18"/>
                <w:szCs w:val="18"/>
                <w:highlight w:val="none"/>
              </w:rPr>
            </w:pPr>
            <w:r>
              <w:rPr>
                <w:sz w:val="18"/>
                <w:szCs w:val="18"/>
                <w:highlight w:val="none"/>
              </w:rPr>
              <w:t>测量高度（m）</w:t>
            </w:r>
          </w:p>
        </w:tc>
        <w:tc>
          <w:tcPr>
            <w:tcW w:w="1702" w:type="dxa"/>
            <w:tcBorders>
              <w:tl2br w:val="nil"/>
              <w:tr2bl w:val="nil"/>
            </w:tcBorders>
            <w:vAlign w:val="center"/>
          </w:tcPr>
          <w:p w14:paraId="7D4A4867">
            <w:pPr>
              <w:shd w:val="clear"/>
              <w:spacing w:line="240" w:lineRule="auto"/>
              <w:ind w:firstLine="0" w:firstLineChars="0"/>
              <w:jc w:val="center"/>
              <w:rPr>
                <w:sz w:val="18"/>
                <w:szCs w:val="18"/>
                <w:highlight w:val="none"/>
              </w:rPr>
            </w:pPr>
            <w:r>
              <w:rPr>
                <w:sz w:val="18"/>
                <w:szCs w:val="18"/>
                <w:highlight w:val="none"/>
              </w:rPr>
              <w:t>工频电场强度（V/m）</w:t>
            </w:r>
          </w:p>
        </w:tc>
        <w:tc>
          <w:tcPr>
            <w:tcW w:w="1860" w:type="dxa"/>
            <w:tcBorders>
              <w:tl2br w:val="nil"/>
              <w:tr2bl w:val="nil"/>
            </w:tcBorders>
            <w:vAlign w:val="center"/>
          </w:tcPr>
          <w:p w14:paraId="25C89CA4">
            <w:pPr>
              <w:shd w:val="clear"/>
              <w:spacing w:line="240" w:lineRule="auto"/>
              <w:ind w:firstLine="0" w:firstLineChars="0"/>
              <w:jc w:val="center"/>
              <w:rPr>
                <w:sz w:val="18"/>
                <w:szCs w:val="18"/>
                <w:highlight w:val="none"/>
              </w:rPr>
            </w:pPr>
            <w:r>
              <w:rPr>
                <w:sz w:val="18"/>
                <w:szCs w:val="18"/>
                <w:highlight w:val="none"/>
              </w:rPr>
              <w:t>工频磁感应强度（μT）</w:t>
            </w:r>
          </w:p>
        </w:tc>
        <w:tc>
          <w:tcPr>
            <w:tcW w:w="1412" w:type="dxa"/>
            <w:tcBorders>
              <w:tl2br w:val="nil"/>
              <w:tr2bl w:val="nil"/>
            </w:tcBorders>
            <w:vAlign w:val="center"/>
          </w:tcPr>
          <w:p w14:paraId="1C2E17EC">
            <w:pPr>
              <w:shd w:val="clear"/>
              <w:spacing w:line="240" w:lineRule="auto"/>
              <w:ind w:firstLine="0" w:firstLineChars="0"/>
              <w:jc w:val="center"/>
              <w:rPr>
                <w:sz w:val="18"/>
                <w:szCs w:val="18"/>
                <w:highlight w:val="none"/>
              </w:rPr>
            </w:pPr>
            <w:r>
              <w:rPr>
                <w:sz w:val="18"/>
                <w:szCs w:val="18"/>
                <w:highlight w:val="none"/>
              </w:rPr>
              <w:t>备注</w:t>
            </w:r>
          </w:p>
        </w:tc>
      </w:tr>
      <w:tr w14:paraId="706C14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6F1F3B12">
            <w:pPr>
              <w:shd w:val="clear"/>
              <w:spacing w:line="240" w:lineRule="auto"/>
              <w:ind w:firstLine="0" w:firstLineChars="0"/>
              <w:jc w:val="center"/>
              <w:rPr>
                <w:sz w:val="18"/>
                <w:szCs w:val="18"/>
                <w:highlight w:val="none"/>
              </w:rPr>
            </w:pPr>
            <w:r>
              <w:rPr>
                <w:sz w:val="18"/>
                <w:szCs w:val="18"/>
                <w:highlight w:val="none"/>
              </w:rPr>
              <w:t>1</w:t>
            </w:r>
          </w:p>
        </w:tc>
        <w:tc>
          <w:tcPr>
            <w:tcW w:w="1787" w:type="dxa"/>
            <w:tcBorders>
              <w:tl2br w:val="nil"/>
              <w:tr2bl w:val="nil"/>
            </w:tcBorders>
            <w:vAlign w:val="center"/>
          </w:tcPr>
          <w:p w14:paraId="1C2A0EA3">
            <w:pPr>
              <w:shd w:val="clear"/>
              <w:spacing w:line="240" w:lineRule="auto"/>
              <w:ind w:firstLine="0" w:firstLineChars="0"/>
              <w:jc w:val="center"/>
              <w:rPr>
                <w:sz w:val="18"/>
                <w:szCs w:val="18"/>
                <w:highlight w:val="none"/>
              </w:rPr>
            </w:pPr>
            <w:r>
              <w:rPr>
                <w:sz w:val="18"/>
                <w:szCs w:val="18"/>
                <w:highlight w:val="none"/>
              </w:rPr>
              <w:t>拟建升压站西侧</w:t>
            </w:r>
          </w:p>
        </w:tc>
        <w:tc>
          <w:tcPr>
            <w:tcW w:w="1111" w:type="dxa"/>
            <w:tcBorders>
              <w:tl2br w:val="nil"/>
              <w:tr2bl w:val="nil"/>
            </w:tcBorders>
            <w:vAlign w:val="center"/>
          </w:tcPr>
          <w:p w14:paraId="148048AD">
            <w:pPr>
              <w:shd w:val="clear"/>
              <w:spacing w:line="240" w:lineRule="auto"/>
              <w:ind w:firstLine="0" w:firstLineChars="0"/>
              <w:jc w:val="center"/>
              <w:rPr>
                <w:sz w:val="18"/>
                <w:szCs w:val="18"/>
                <w:highlight w:val="none"/>
              </w:rPr>
            </w:pPr>
            <w:r>
              <w:rPr>
                <w:sz w:val="18"/>
                <w:szCs w:val="18"/>
                <w:highlight w:val="none"/>
              </w:rPr>
              <w:t>1.5</w:t>
            </w:r>
          </w:p>
        </w:tc>
        <w:tc>
          <w:tcPr>
            <w:tcW w:w="1702" w:type="dxa"/>
            <w:tcBorders>
              <w:tl2br w:val="nil"/>
              <w:tr2bl w:val="nil"/>
            </w:tcBorders>
            <w:vAlign w:val="center"/>
          </w:tcPr>
          <w:p w14:paraId="1870D6F0">
            <w:pPr>
              <w:shd w:val="clear"/>
              <w:spacing w:line="240" w:lineRule="auto"/>
              <w:ind w:firstLine="0" w:firstLineChars="0"/>
              <w:jc w:val="center"/>
              <w:rPr>
                <w:sz w:val="18"/>
                <w:szCs w:val="18"/>
                <w:highlight w:val="none"/>
              </w:rPr>
            </w:pPr>
            <w:r>
              <w:rPr>
                <w:sz w:val="18"/>
                <w:szCs w:val="18"/>
                <w:highlight w:val="none"/>
              </w:rPr>
              <w:t>30.59</w:t>
            </w:r>
          </w:p>
        </w:tc>
        <w:tc>
          <w:tcPr>
            <w:tcW w:w="1860" w:type="dxa"/>
            <w:tcBorders>
              <w:tl2br w:val="nil"/>
              <w:tr2bl w:val="nil"/>
            </w:tcBorders>
            <w:vAlign w:val="center"/>
          </w:tcPr>
          <w:p w14:paraId="3BF2709B">
            <w:pPr>
              <w:shd w:val="clear"/>
              <w:spacing w:line="240" w:lineRule="auto"/>
              <w:ind w:firstLine="0" w:firstLineChars="0"/>
              <w:jc w:val="center"/>
              <w:rPr>
                <w:sz w:val="18"/>
                <w:szCs w:val="18"/>
                <w:highlight w:val="none"/>
              </w:rPr>
            </w:pPr>
            <w:r>
              <w:rPr>
                <w:sz w:val="18"/>
                <w:szCs w:val="18"/>
                <w:highlight w:val="none"/>
              </w:rPr>
              <w:t>0.2293</w:t>
            </w:r>
          </w:p>
        </w:tc>
        <w:tc>
          <w:tcPr>
            <w:tcW w:w="1412" w:type="dxa"/>
            <w:vMerge w:val="restart"/>
            <w:tcBorders>
              <w:tl2br w:val="nil"/>
              <w:tr2bl w:val="nil"/>
            </w:tcBorders>
            <w:vAlign w:val="center"/>
          </w:tcPr>
          <w:p w14:paraId="5ED6C5B8">
            <w:pPr>
              <w:shd w:val="clear"/>
              <w:spacing w:line="240" w:lineRule="auto"/>
              <w:ind w:firstLine="0" w:firstLineChars="0"/>
              <w:jc w:val="center"/>
              <w:rPr>
                <w:sz w:val="18"/>
                <w:szCs w:val="18"/>
                <w:highlight w:val="none"/>
              </w:rPr>
            </w:pPr>
            <w:r>
              <w:rPr>
                <w:sz w:val="18"/>
                <w:szCs w:val="18"/>
                <w:highlight w:val="none"/>
              </w:rPr>
              <w:t>受20m处东西走向架空线路影响</w:t>
            </w:r>
          </w:p>
        </w:tc>
      </w:tr>
      <w:tr w14:paraId="2ADE6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7D654C69">
            <w:pPr>
              <w:shd w:val="clear"/>
              <w:spacing w:line="240" w:lineRule="auto"/>
              <w:ind w:firstLine="0" w:firstLineChars="0"/>
              <w:jc w:val="center"/>
              <w:rPr>
                <w:sz w:val="18"/>
                <w:szCs w:val="18"/>
                <w:highlight w:val="none"/>
              </w:rPr>
            </w:pPr>
            <w:r>
              <w:rPr>
                <w:sz w:val="18"/>
                <w:szCs w:val="18"/>
                <w:highlight w:val="none"/>
              </w:rPr>
              <w:t>2</w:t>
            </w:r>
          </w:p>
        </w:tc>
        <w:tc>
          <w:tcPr>
            <w:tcW w:w="1787" w:type="dxa"/>
            <w:tcBorders>
              <w:tl2br w:val="nil"/>
              <w:tr2bl w:val="nil"/>
            </w:tcBorders>
            <w:vAlign w:val="center"/>
          </w:tcPr>
          <w:p w14:paraId="323154C0">
            <w:pPr>
              <w:shd w:val="clear"/>
              <w:spacing w:line="240" w:lineRule="auto"/>
              <w:ind w:firstLine="0" w:firstLineChars="0"/>
              <w:jc w:val="center"/>
              <w:rPr>
                <w:sz w:val="18"/>
                <w:szCs w:val="18"/>
                <w:highlight w:val="none"/>
              </w:rPr>
            </w:pPr>
            <w:r>
              <w:rPr>
                <w:sz w:val="18"/>
                <w:szCs w:val="18"/>
                <w:highlight w:val="none"/>
              </w:rPr>
              <w:t>拟建升压站南侧</w:t>
            </w:r>
          </w:p>
        </w:tc>
        <w:tc>
          <w:tcPr>
            <w:tcW w:w="1111" w:type="dxa"/>
            <w:tcBorders>
              <w:tl2br w:val="nil"/>
              <w:tr2bl w:val="nil"/>
            </w:tcBorders>
            <w:vAlign w:val="center"/>
          </w:tcPr>
          <w:p w14:paraId="298D264A">
            <w:pPr>
              <w:shd w:val="clear"/>
              <w:spacing w:line="240" w:lineRule="auto"/>
              <w:ind w:firstLine="0" w:firstLineChars="0"/>
              <w:jc w:val="center"/>
              <w:rPr>
                <w:sz w:val="18"/>
                <w:szCs w:val="18"/>
                <w:highlight w:val="none"/>
              </w:rPr>
            </w:pPr>
            <w:r>
              <w:rPr>
                <w:sz w:val="18"/>
                <w:szCs w:val="18"/>
                <w:highlight w:val="none"/>
              </w:rPr>
              <w:t>1.5</w:t>
            </w:r>
          </w:p>
        </w:tc>
        <w:tc>
          <w:tcPr>
            <w:tcW w:w="1702" w:type="dxa"/>
            <w:tcBorders>
              <w:tl2br w:val="nil"/>
              <w:tr2bl w:val="nil"/>
            </w:tcBorders>
            <w:vAlign w:val="center"/>
          </w:tcPr>
          <w:p w14:paraId="2702A4E0">
            <w:pPr>
              <w:shd w:val="clear"/>
              <w:spacing w:line="240" w:lineRule="auto"/>
              <w:ind w:firstLine="0" w:firstLineChars="0"/>
              <w:jc w:val="center"/>
              <w:rPr>
                <w:sz w:val="18"/>
                <w:szCs w:val="18"/>
                <w:highlight w:val="none"/>
              </w:rPr>
            </w:pPr>
            <w:r>
              <w:rPr>
                <w:sz w:val="18"/>
                <w:szCs w:val="18"/>
                <w:highlight w:val="none"/>
              </w:rPr>
              <w:t>258.20</w:t>
            </w:r>
          </w:p>
        </w:tc>
        <w:tc>
          <w:tcPr>
            <w:tcW w:w="1860" w:type="dxa"/>
            <w:tcBorders>
              <w:tl2br w:val="nil"/>
              <w:tr2bl w:val="nil"/>
            </w:tcBorders>
            <w:vAlign w:val="center"/>
          </w:tcPr>
          <w:p w14:paraId="2B7BDD7F">
            <w:pPr>
              <w:shd w:val="clear"/>
              <w:spacing w:line="240" w:lineRule="auto"/>
              <w:ind w:firstLine="0" w:firstLineChars="0"/>
              <w:jc w:val="center"/>
              <w:rPr>
                <w:sz w:val="18"/>
                <w:szCs w:val="18"/>
                <w:highlight w:val="none"/>
              </w:rPr>
            </w:pPr>
            <w:r>
              <w:rPr>
                <w:sz w:val="18"/>
                <w:szCs w:val="18"/>
                <w:highlight w:val="none"/>
              </w:rPr>
              <w:t>1.6811</w:t>
            </w:r>
          </w:p>
        </w:tc>
        <w:tc>
          <w:tcPr>
            <w:tcW w:w="1412" w:type="dxa"/>
            <w:vMerge w:val="continue"/>
            <w:tcBorders>
              <w:tl2br w:val="nil"/>
              <w:tr2bl w:val="nil"/>
            </w:tcBorders>
            <w:vAlign w:val="center"/>
          </w:tcPr>
          <w:p w14:paraId="49ED2CD9">
            <w:pPr>
              <w:shd w:val="clear"/>
              <w:spacing w:line="240" w:lineRule="auto"/>
              <w:ind w:firstLine="0" w:firstLineChars="0"/>
              <w:jc w:val="center"/>
              <w:rPr>
                <w:sz w:val="18"/>
                <w:szCs w:val="18"/>
                <w:highlight w:val="none"/>
              </w:rPr>
            </w:pPr>
          </w:p>
        </w:tc>
      </w:tr>
      <w:tr w14:paraId="20722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312C346E">
            <w:pPr>
              <w:shd w:val="clear"/>
              <w:spacing w:line="240" w:lineRule="auto"/>
              <w:ind w:firstLine="0" w:firstLineChars="0"/>
              <w:jc w:val="center"/>
              <w:rPr>
                <w:sz w:val="18"/>
                <w:szCs w:val="18"/>
                <w:highlight w:val="none"/>
              </w:rPr>
            </w:pPr>
            <w:r>
              <w:rPr>
                <w:sz w:val="18"/>
                <w:szCs w:val="18"/>
                <w:highlight w:val="none"/>
              </w:rPr>
              <w:t>3</w:t>
            </w:r>
          </w:p>
        </w:tc>
        <w:tc>
          <w:tcPr>
            <w:tcW w:w="1787" w:type="dxa"/>
            <w:tcBorders>
              <w:tl2br w:val="nil"/>
              <w:tr2bl w:val="nil"/>
            </w:tcBorders>
            <w:vAlign w:val="center"/>
          </w:tcPr>
          <w:p w14:paraId="07E4378E">
            <w:pPr>
              <w:shd w:val="clear"/>
              <w:spacing w:line="240" w:lineRule="auto"/>
              <w:ind w:firstLine="0" w:firstLineChars="0"/>
              <w:jc w:val="center"/>
              <w:rPr>
                <w:sz w:val="18"/>
                <w:szCs w:val="18"/>
                <w:highlight w:val="none"/>
              </w:rPr>
            </w:pPr>
            <w:r>
              <w:rPr>
                <w:sz w:val="18"/>
                <w:szCs w:val="18"/>
                <w:highlight w:val="none"/>
              </w:rPr>
              <w:t>拟建升压站东侧</w:t>
            </w:r>
          </w:p>
        </w:tc>
        <w:tc>
          <w:tcPr>
            <w:tcW w:w="1111" w:type="dxa"/>
            <w:tcBorders>
              <w:tl2br w:val="nil"/>
              <w:tr2bl w:val="nil"/>
            </w:tcBorders>
            <w:vAlign w:val="center"/>
          </w:tcPr>
          <w:p w14:paraId="59340306">
            <w:pPr>
              <w:shd w:val="clear"/>
              <w:spacing w:line="240" w:lineRule="auto"/>
              <w:ind w:firstLine="0" w:firstLineChars="0"/>
              <w:jc w:val="center"/>
              <w:rPr>
                <w:sz w:val="18"/>
                <w:szCs w:val="18"/>
                <w:highlight w:val="none"/>
              </w:rPr>
            </w:pPr>
            <w:r>
              <w:rPr>
                <w:sz w:val="18"/>
                <w:szCs w:val="18"/>
                <w:highlight w:val="none"/>
              </w:rPr>
              <w:t>1.5</w:t>
            </w:r>
          </w:p>
        </w:tc>
        <w:tc>
          <w:tcPr>
            <w:tcW w:w="1702" w:type="dxa"/>
            <w:tcBorders>
              <w:tl2br w:val="nil"/>
              <w:tr2bl w:val="nil"/>
            </w:tcBorders>
            <w:vAlign w:val="center"/>
          </w:tcPr>
          <w:p w14:paraId="3B64DF1D">
            <w:pPr>
              <w:shd w:val="clear"/>
              <w:spacing w:line="240" w:lineRule="auto"/>
              <w:ind w:firstLine="0" w:firstLineChars="0"/>
              <w:jc w:val="center"/>
              <w:rPr>
                <w:sz w:val="18"/>
                <w:szCs w:val="18"/>
                <w:highlight w:val="none"/>
              </w:rPr>
            </w:pPr>
            <w:r>
              <w:rPr>
                <w:sz w:val="18"/>
                <w:szCs w:val="18"/>
                <w:highlight w:val="none"/>
              </w:rPr>
              <w:t>40.08</w:t>
            </w:r>
          </w:p>
        </w:tc>
        <w:tc>
          <w:tcPr>
            <w:tcW w:w="1860" w:type="dxa"/>
            <w:tcBorders>
              <w:tl2br w:val="nil"/>
              <w:tr2bl w:val="nil"/>
            </w:tcBorders>
            <w:vAlign w:val="center"/>
          </w:tcPr>
          <w:p w14:paraId="27D01E86">
            <w:pPr>
              <w:shd w:val="clear"/>
              <w:spacing w:line="240" w:lineRule="auto"/>
              <w:ind w:firstLine="0" w:firstLineChars="0"/>
              <w:jc w:val="center"/>
              <w:rPr>
                <w:sz w:val="18"/>
                <w:szCs w:val="18"/>
                <w:highlight w:val="none"/>
              </w:rPr>
            </w:pPr>
            <w:r>
              <w:rPr>
                <w:sz w:val="18"/>
                <w:szCs w:val="18"/>
                <w:highlight w:val="none"/>
              </w:rPr>
              <w:t>0.3043</w:t>
            </w:r>
          </w:p>
        </w:tc>
        <w:tc>
          <w:tcPr>
            <w:tcW w:w="1412" w:type="dxa"/>
            <w:vMerge w:val="continue"/>
            <w:tcBorders>
              <w:tl2br w:val="nil"/>
              <w:tr2bl w:val="nil"/>
            </w:tcBorders>
            <w:vAlign w:val="center"/>
          </w:tcPr>
          <w:p w14:paraId="762FBCFD">
            <w:pPr>
              <w:shd w:val="clear"/>
              <w:spacing w:line="240" w:lineRule="auto"/>
              <w:ind w:firstLine="0" w:firstLineChars="0"/>
              <w:jc w:val="center"/>
              <w:rPr>
                <w:sz w:val="18"/>
                <w:szCs w:val="18"/>
                <w:highlight w:val="none"/>
              </w:rPr>
            </w:pPr>
          </w:p>
        </w:tc>
      </w:tr>
      <w:tr w14:paraId="38BAC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5725B8A1">
            <w:pPr>
              <w:shd w:val="clear"/>
              <w:spacing w:line="240" w:lineRule="auto"/>
              <w:ind w:firstLine="0" w:firstLineChars="0"/>
              <w:jc w:val="center"/>
              <w:rPr>
                <w:sz w:val="18"/>
                <w:szCs w:val="18"/>
                <w:highlight w:val="none"/>
              </w:rPr>
            </w:pPr>
            <w:r>
              <w:rPr>
                <w:sz w:val="18"/>
                <w:szCs w:val="18"/>
                <w:highlight w:val="none"/>
              </w:rPr>
              <w:t>4</w:t>
            </w:r>
          </w:p>
        </w:tc>
        <w:tc>
          <w:tcPr>
            <w:tcW w:w="1787" w:type="dxa"/>
            <w:tcBorders>
              <w:tl2br w:val="nil"/>
              <w:tr2bl w:val="nil"/>
            </w:tcBorders>
            <w:vAlign w:val="center"/>
          </w:tcPr>
          <w:p w14:paraId="5D28EA87">
            <w:pPr>
              <w:shd w:val="clear"/>
              <w:spacing w:line="240" w:lineRule="auto"/>
              <w:ind w:firstLine="0" w:firstLineChars="0"/>
              <w:jc w:val="center"/>
              <w:rPr>
                <w:sz w:val="18"/>
                <w:szCs w:val="18"/>
                <w:highlight w:val="none"/>
              </w:rPr>
            </w:pPr>
            <w:r>
              <w:rPr>
                <w:sz w:val="18"/>
                <w:szCs w:val="18"/>
                <w:highlight w:val="none"/>
              </w:rPr>
              <w:t>拟建升压站北侧</w:t>
            </w:r>
          </w:p>
        </w:tc>
        <w:tc>
          <w:tcPr>
            <w:tcW w:w="1111" w:type="dxa"/>
            <w:tcBorders>
              <w:tl2br w:val="nil"/>
              <w:tr2bl w:val="nil"/>
            </w:tcBorders>
            <w:vAlign w:val="center"/>
          </w:tcPr>
          <w:p w14:paraId="05BA286B">
            <w:pPr>
              <w:shd w:val="clear"/>
              <w:spacing w:line="240" w:lineRule="auto"/>
              <w:ind w:firstLine="0" w:firstLineChars="0"/>
              <w:jc w:val="center"/>
              <w:rPr>
                <w:sz w:val="18"/>
                <w:szCs w:val="18"/>
                <w:highlight w:val="none"/>
              </w:rPr>
            </w:pPr>
            <w:r>
              <w:rPr>
                <w:sz w:val="18"/>
                <w:szCs w:val="18"/>
                <w:highlight w:val="none"/>
              </w:rPr>
              <w:t>1.5</w:t>
            </w:r>
          </w:p>
        </w:tc>
        <w:tc>
          <w:tcPr>
            <w:tcW w:w="1702" w:type="dxa"/>
            <w:tcBorders>
              <w:tl2br w:val="nil"/>
              <w:tr2bl w:val="nil"/>
            </w:tcBorders>
            <w:vAlign w:val="center"/>
          </w:tcPr>
          <w:p w14:paraId="51AD4F83">
            <w:pPr>
              <w:shd w:val="clear"/>
              <w:spacing w:line="240" w:lineRule="auto"/>
              <w:ind w:firstLine="0" w:firstLineChars="0"/>
              <w:jc w:val="center"/>
              <w:rPr>
                <w:sz w:val="18"/>
                <w:szCs w:val="18"/>
                <w:highlight w:val="none"/>
              </w:rPr>
            </w:pPr>
            <w:r>
              <w:rPr>
                <w:sz w:val="18"/>
                <w:szCs w:val="18"/>
                <w:highlight w:val="none"/>
              </w:rPr>
              <w:t>7.37</w:t>
            </w:r>
          </w:p>
        </w:tc>
        <w:tc>
          <w:tcPr>
            <w:tcW w:w="1860" w:type="dxa"/>
            <w:tcBorders>
              <w:tl2br w:val="nil"/>
              <w:tr2bl w:val="nil"/>
            </w:tcBorders>
            <w:vAlign w:val="center"/>
          </w:tcPr>
          <w:p w14:paraId="00D028BD">
            <w:pPr>
              <w:shd w:val="clear"/>
              <w:spacing w:line="240" w:lineRule="auto"/>
              <w:ind w:firstLine="0" w:firstLineChars="0"/>
              <w:jc w:val="center"/>
              <w:rPr>
                <w:sz w:val="18"/>
                <w:szCs w:val="18"/>
                <w:highlight w:val="none"/>
              </w:rPr>
            </w:pPr>
            <w:r>
              <w:rPr>
                <w:sz w:val="18"/>
                <w:szCs w:val="18"/>
                <w:highlight w:val="none"/>
              </w:rPr>
              <w:t>0.1003</w:t>
            </w:r>
          </w:p>
        </w:tc>
        <w:tc>
          <w:tcPr>
            <w:tcW w:w="1412" w:type="dxa"/>
            <w:tcBorders>
              <w:tl2br w:val="nil"/>
              <w:tr2bl w:val="nil"/>
            </w:tcBorders>
            <w:vAlign w:val="center"/>
          </w:tcPr>
          <w:p w14:paraId="4CB78D76">
            <w:pPr>
              <w:shd w:val="clear"/>
              <w:spacing w:line="240" w:lineRule="auto"/>
              <w:ind w:firstLine="0" w:firstLineChars="0"/>
              <w:jc w:val="center"/>
              <w:rPr>
                <w:sz w:val="18"/>
                <w:szCs w:val="18"/>
                <w:highlight w:val="none"/>
              </w:rPr>
            </w:pPr>
            <w:r>
              <w:rPr>
                <w:sz w:val="18"/>
                <w:szCs w:val="18"/>
                <w:highlight w:val="none"/>
              </w:rPr>
              <w:t>/</w:t>
            </w:r>
          </w:p>
        </w:tc>
      </w:tr>
      <w:tr w14:paraId="6C02C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70864FCD">
            <w:pPr>
              <w:shd w:val="clear"/>
              <w:spacing w:line="240" w:lineRule="auto"/>
              <w:ind w:firstLine="0" w:firstLineChars="0"/>
              <w:jc w:val="center"/>
              <w:rPr>
                <w:sz w:val="18"/>
                <w:szCs w:val="18"/>
                <w:highlight w:val="none"/>
              </w:rPr>
            </w:pPr>
            <w:r>
              <w:rPr>
                <w:sz w:val="18"/>
                <w:szCs w:val="18"/>
                <w:highlight w:val="none"/>
              </w:rPr>
              <w:t>5</w:t>
            </w:r>
          </w:p>
        </w:tc>
        <w:tc>
          <w:tcPr>
            <w:tcW w:w="1787" w:type="dxa"/>
            <w:tcBorders>
              <w:tl2br w:val="nil"/>
              <w:tr2bl w:val="nil"/>
            </w:tcBorders>
            <w:vAlign w:val="center"/>
          </w:tcPr>
          <w:p w14:paraId="6BB054AB">
            <w:pPr>
              <w:shd w:val="clear"/>
              <w:spacing w:line="240" w:lineRule="auto"/>
              <w:ind w:firstLine="0" w:firstLineChars="0"/>
              <w:jc w:val="center"/>
              <w:rPr>
                <w:sz w:val="18"/>
                <w:szCs w:val="18"/>
                <w:highlight w:val="none"/>
              </w:rPr>
            </w:pPr>
            <w:r>
              <w:rPr>
                <w:sz w:val="18"/>
                <w:szCs w:val="18"/>
                <w:highlight w:val="none"/>
              </w:rPr>
              <w:t>线路5#监测点位</w:t>
            </w:r>
          </w:p>
        </w:tc>
        <w:tc>
          <w:tcPr>
            <w:tcW w:w="1111" w:type="dxa"/>
            <w:tcBorders>
              <w:tl2br w:val="nil"/>
              <w:tr2bl w:val="nil"/>
            </w:tcBorders>
            <w:vAlign w:val="center"/>
          </w:tcPr>
          <w:p w14:paraId="66AD2538">
            <w:pPr>
              <w:shd w:val="clear"/>
              <w:spacing w:line="240" w:lineRule="auto"/>
              <w:ind w:firstLine="0" w:firstLineChars="0"/>
              <w:jc w:val="center"/>
              <w:rPr>
                <w:sz w:val="18"/>
                <w:szCs w:val="18"/>
                <w:highlight w:val="none"/>
              </w:rPr>
            </w:pPr>
            <w:r>
              <w:rPr>
                <w:sz w:val="18"/>
                <w:szCs w:val="18"/>
                <w:highlight w:val="none"/>
              </w:rPr>
              <w:t>1.5</w:t>
            </w:r>
          </w:p>
        </w:tc>
        <w:tc>
          <w:tcPr>
            <w:tcW w:w="1702" w:type="dxa"/>
            <w:tcBorders>
              <w:tl2br w:val="nil"/>
              <w:tr2bl w:val="nil"/>
            </w:tcBorders>
            <w:vAlign w:val="center"/>
          </w:tcPr>
          <w:p w14:paraId="1B79D45A">
            <w:pPr>
              <w:shd w:val="clear"/>
              <w:spacing w:line="240" w:lineRule="auto"/>
              <w:ind w:firstLine="0" w:firstLineChars="0"/>
              <w:jc w:val="center"/>
              <w:rPr>
                <w:sz w:val="18"/>
                <w:szCs w:val="18"/>
                <w:highlight w:val="none"/>
              </w:rPr>
            </w:pPr>
            <w:r>
              <w:rPr>
                <w:sz w:val="18"/>
                <w:szCs w:val="18"/>
                <w:highlight w:val="none"/>
              </w:rPr>
              <w:t>182.32</w:t>
            </w:r>
          </w:p>
        </w:tc>
        <w:tc>
          <w:tcPr>
            <w:tcW w:w="1860" w:type="dxa"/>
            <w:tcBorders>
              <w:tl2br w:val="nil"/>
              <w:tr2bl w:val="nil"/>
            </w:tcBorders>
            <w:vAlign w:val="center"/>
          </w:tcPr>
          <w:p w14:paraId="2BD42F9A">
            <w:pPr>
              <w:shd w:val="clear"/>
              <w:spacing w:line="240" w:lineRule="auto"/>
              <w:ind w:firstLine="0" w:firstLineChars="0"/>
              <w:jc w:val="center"/>
              <w:rPr>
                <w:sz w:val="18"/>
                <w:szCs w:val="18"/>
                <w:highlight w:val="none"/>
              </w:rPr>
            </w:pPr>
            <w:r>
              <w:rPr>
                <w:sz w:val="18"/>
                <w:szCs w:val="18"/>
                <w:highlight w:val="none"/>
              </w:rPr>
              <w:t>0.3063</w:t>
            </w:r>
          </w:p>
        </w:tc>
        <w:tc>
          <w:tcPr>
            <w:tcW w:w="1412" w:type="dxa"/>
            <w:tcBorders>
              <w:tl2br w:val="nil"/>
              <w:tr2bl w:val="nil"/>
            </w:tcBorders>
            <w:vAlign w:val="center"/>
          </w:tcPr>
          <w:p w14:paraId="0632F58D">
            <w:pPr>
              <w:shd w:val="clear"/>
              <w:spacing w:line="240" w:lineRule="auto"/>
              <w:ind w:firstLine="0" w:firstLineChars="0"/>
              <w:jc w:val="center"/>
              <w:rPr>
                <w:sz w:val="18"/>
                <w:szCs w:val="18"/>
                <w:highlight w:val="none"/>
              </w:rPr>
            </w:pPr>
            <w:r>
              <w:rPr>
                <w:sz w:val="18"/>
                <w:szCs w:val="18"/>
                <w:highlight w:val="none"/>
              </w:rPr>
              <w:t>/</w:t>
            </w:r>
          </w:p>
        </w:tc>
      </w:tr>
      <w:tr w14:paraId="02391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41" w:type="dxa"/>
            <w:tcBorders>
              <w:tl2br w:val="nil"/>
              <w:tr2bl w:val="nil"/>
            </w:tcBorders>
            <w:vAlign w:val="center"/>
          </w:tcPr>
          <w:p w14:paraId="41298417">
            <w:pPr>
              <w:shd w:val="clear"/>
              <w:spacing w:line="240" w:lineRule="auto"/>
              <w:ind w:firstLine="0" w:firstLineChars="0"/>
              <w:jc w:val="center"/>
              <w:rPr>
                <w:sz w:val="18"/>
                <w:szCs w:val="18"/>
                <w:highlight w:val="none"/>
              </w:rPr>
            </w:pPr>
            <w:r>
              <w:rPr>
                <w:sz w:val="18"/>
                <w:szCs w:val="18"/>
                <w:highlight w:val="none"/>
              </w:rPr>
              <w:t>6</w:t>
            </w:r>
          </w:p>
        </w:tc>
        <w:tc>
          <w:tcPr>
            <w:tcW w:w="1787" w:type="dxa"/>
            <w:tcBorders>
              <w:tl2br w:val="nil"/>
              <w:tr2bl w:val="nil"/>
            </w:tcBorders>
            <w:vAlign w:val="center"/>
          </w:tcPr>
          <w:p w14:paraId="70BD492F">
            <w:pPr>
              <w:shd w:val="clear"/>
              <w:spacing w:line="240" w:lineRule="auto"/>
              <w:ind w:firstLine="0" w:firstLineChars="0"/>
              <w:jc w:val="center"/>
              <w:rPr>
                <w:sz w:val="18"/>
                <w:szCs w:val="18"/>
                <w:highlight w:val="none"/>
              </w:rPr>
            </w:pPr>
            <w:r>
              <w:rPr>
                <w:sz w:val="18"/>
                <w:szCs w:val="18"/>
                <w:highlight w:val="none"/>
              </w:rPr>
              <w:t>线路6#监测点位</w:t>
            </w:r>
          </w:p>
        </w:tc>
        <w:tc>
          <w:tcPr>
            <w:tcW w:w="1111" w:type="dxa"/>
            <w:tcBorders>
              <w:tl2br w:val="nil"/>
              <w:tr2bl w:val="nil"/>
            </w:tcBorders>
            <w:vAlign w:val="center"/>
          </w:tcPr>
          <w:p w14:paraId="28AD8052">
            <w:pPr>
              <w:shd w:val="clear"/>
              <w:spacing w:line="240" w:lineRule="auto"/>
              <w:ind w:firstLine="0" w:firstLineChars="0"/>
              <w:jc w:val="center"/>
              <w:rPr>
                <w:sz w:val="18"/>
                <w:szCs w:val="18"/>
                <w:highlight w:val="none"/>
              </w:rPr>
            </w:pPr>
            <w:r>
              <w:rPr>
                <w:sz w:val="18"/>
                <w:szCs w:val="18"/>
                <w:highlight w:val="none"/>
              </w:rPr>
              <w:t>1.5</w:t>
            </w:r>
          </w:p>
        </w:tc>
        <w:tc>
          <w:tcPr>
            <w:tcW w:w="1702" w:type="dxa"/>
            <w:tcBorders>
              <w:tl2br w:val="nil"/>
              <w:tr2bl w:val="nil"/>
            </w:tcBorders>
            <w:vAlign w:val="center"/>
          </w:tcPr>
          <w:p w14:paraId="2320812A">
            <w:pPr>
              <w:shd w:val="clear"/>
              <w:spacing w:line="240" w:lineRule="auto"/>
              <w:ind w:firstLine="0" w:firstLineChars="0"/>
              <w:jc w:val="center"/>
              <w:rPr>
                <w:sz w:val="18"/>
                <w:szCs w:val="18"/>
                <w:highlight w:val="none"/>
              </w:rPr>
            </w:pPr>
            <w:r>
              <w:rPr>
                <w:sz w:val="18"/>
                <w:szCs w:val="18"/>
                <w:highlight w:val="none"/>
              </w:rPr>
              <w:t>30.12</w:t>
            </w:r>
          </w:p>
        </w:tc>
        <w:tc>
          <w:tcPr>
            <w:tcW w:w="1860" w:type="dxa"/>
            <w:tcBorders>
              <w:tl2br w:val="nil"/>
              <w:tr2bl w:val="nil"/>
            </w:tcBorders>
            <w:vAlign w:val="center"/>
          </w:tcPr>
          <w:p w14:paraId="3107E4A7">
            <w:pPr>
              <w:shd w:val="clear"/>
              <w:spacing w:line="240" w:lineRule="auto"/>
              <w:ind w:firstLine="0" w:firstLineChars="0"/>
              <w:jc w:val="center"/>
              <w:rPr>
                <w:sz w:val="18"/>
                <w:szCs w:val="18"/>
                <w:highlight w:val="none"/>
              </w:rPr>
            </w:pPr>
            <w:r>
              <w:rPr>
                <w:sz w:val="18"/>
                <w:szCs w:val="18"/>
                <w:highlight w:val="none"/>
              </w:rPr>
              <w:t>0.0185</w:t>
            </w:r>
          </w:p>
        </w:tc>
        <w:tc>
          <w:tcPr>
            <w:tcW w:w="1412" w:type="dxa"/>
            <w:tcBorders>
              <w:tl2br w:val="nil"/>
              <w:tr2bl w:val="nil"/>
            </w:tcBorders>
            <w:vAlign w:val="center"/>
          </w:tcPr>
          <w:p w14:paraId="16DB9D95">
            <w:pPr>
              <w:shd w:val="clear"/>
              <w:spacing w:line="240" w:lineRule="auto"/>
              <w:ind w:firstLine="0" w:firstLineChars="0"/>
              <w:jc w:val="center"/>
              <w:rPr>
                <w:sz w:val="18"/>
                <w:szCs w:val="18"/>
                <w:highlight w:val="none"/>
              </w:rPr>
            </w:pPr>
            <w:r>
              <w:rPr>
                <w:sz w:val="18"/>
                <w:szCs w:val="18"/>
                <w:highlight w:val="none"/>
              </w:rPr>
              <w:t>/</w:t>
            </w:r>
          </w:p>
        </w:tc>
      </w:tr>
    </w:tbl>
    <w:p w14:paraId="636CAE66">
      <w:pPr>
        <w:shd w:val="clear"/>
        <w:ind w:firstLine="480"/>
        <w:rPr>
          <w:highlight w:val="none"/>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bookmarkStart w:id="524" w:name="_Toc6127"/>
      <w:r>
        <w:rPr>
          <w:highlight w:val="none"/>
        </w:rPr>
        <w:t>由表2.4-1分析可知，本项目升压站四周</w:t>
      </w:r>
      <w:r>
        <w:rPr>
          <w:rFonts w:hint="eastAsia"/>
          <w:highlight w:val="none"/>
          <w:lang w:val="en-US" w:eastAsia="zh-CN"/>
        </w:rPr>
        <w:t>及</w:t>
      </w:r>
      <w:r>
        <w:rPr>
          <w:highlight w:val="none"/>
        </w:rPr>
        <w:t>线路</w:t>
      </w:r>
      <w:r>
        <w:rPr>
          <w:rFonts w:hint="eastAsia"/>
          <w:highlight w:val="none"/>
          <w:lang w:val="en-US" w:eastAsia="zh-CN"/>
        </w:rPr>
        <w:t>沿线</w:t>
      </w:r>
      <w:r>
        <w:rPr>
          <w:highlight w:val="none"/>
        </w:rPr>
        <w:t>各监测点电磁环境背景值均可满足《电磁环境控制限值》）（GB 8702-2014）中的（电场强度≤4000V/m；磁感应强度≤100μT）公众曝露控制限值要求。</w:t>
      </w:r>
    </w:p>
    <w:p w14:paraId="5B6B7418">
      <w:pPr>
        <w:pStyle w:val="2"/>
        <w:shd w:val="clear"/>
        <w:rPr>
          <w:rFonts w:eastAsia="宋体"/>
          <w:color w:val="auto"/>
          <w:highlight w:val="none"/>
        </w:rPr>
      </w:pPr>
      <w:bookmarkStart w:id="525" w:name="_Toc21404"/>
      <w:bookmarkStart w:id="526" w:name="_Toc20100"/>
      <w:r>
        <w:rPr>
          <w:rFonts w:eastAsia="宋体"/>
          <w:color w:val="auto"/>
          <w:highlight w:val="none"/>
        </w:rPr>
        <w:t>3电磁环境影响预测</w:t>
      </w:r>
      <w:bookmarkEnd w:id="524"/>
      <w:r>
        <w:rPr>
          <w:rFonts w:eastAsia="宋体"/>
          <w:color w:val="auto"/>
          <w:highlight w:val="none"/>
        </w:rPr>
        <w:t>与评价</w:t>
      </w:r>
      <w:bookmarkEnd w:id="525"/>
      <w:bookmarkEnd w:id="526"/>
    </w:p>
    <w:p w14:paraId="4451A2EC">
      <w:pPr>
        <w:shd w:val="clear"/>
        <w:ind w:firstLine="480"/>
        <w:rPr>
          <w:highlight w:val="none"/>
        </w:rPr>
      </w:pPr>
      <w:r>
        <w:rPr>
          <w:highlight w:val="none"/>
        </w:rPr>
        <w:t>本项目</w:t>
      </w:r>
      <w:r>
        <w:rPr>
          <w:rFonts w:hint="eastAsia"/>
          <w:highlight w:val="none"/>
          <w:lang w:eastAsia="zh-CN"/>
        </w:rPr>
        <w:t>升压站</w:t>
      </w:r>
      <w:r>
        <w:rPr>
          <w:highlight w:val="none"/>
        </w:rPr>
        <w:t>电磁环境评价等级为二级，输电线路电磁环境影响评价等级为三级，根据《环境影响评价技术导则 输变电》（HJ 24-2020）要求，架空线路电磁环境影响一般采用模式预测的方式，对</w:t>
      </w:r>
      <w:r>
        <w:rPr>
          <w:rFonts w:hint="eastAsia"/>
          <w:highlight w:val="none"/>
          <w:lang w:val="en-US" w:eastAsia="zh-CN"/>
        </w:rPr>
        <w:t>11</w:t>
      </w:r>
      <w:r>
        <w:rPr>
          <w:highlight w:val="none"/>
        </w:rPr>
        <w:t>0kV</w:t>
      </w:r>
      <w:r>
        <w:rPr>
          <w:rFonts w:hint="eastAsia"/>
          <w:highlight w:val="none"/>
          <w:lang w:eastAsia="zh-CN"/>
        </w:rPr>
        <w:t>升压站</w:t>
      </w:r>
      <w:r>
        <w:rPr>
          <w:highlight w:val="none"/>
        </w:rPr>
        <w:t>工程进行类比分析。</w:t>
      </w:r>
    </w:p>
    <w:p w14:paraId="0AE40849">
      <w:pPr>
        <w:pStyle w:val="3"/>
        <w:shd w:val="clear"/>
        <w:rPr>
          <w:highlight w:val="none"/>
        </w:rPr>
      </w:pPr>
      <w:bookmarkStart w:id="527" w:name="_Toc4127"/>
      <w:r>
        <w:rPr>
          <w:highlight w:val="none"/>
        </w:rPr>
        <w:t>3.1架空线路电磁环境影响模式预测</w:t>
      </w:r>
      <w:bookmarkEnd w:id="527"/>
    </w:p>
    <w:p w14:paraId="691E961C">
      <w:pPr>
        <w:pStyle w:val="4"/>
        <w:shd w:val="clear"/>
        <w:ind w:firstLine="482"/>
        <w:rPr>
          <w:highlight w:val="none"/>
        </w:rPr>
      </w:pPr>
      <w:bookmarkStart w:id="528" w:name="_Toc3057"/>
      <w:r>
        <w:rPr>
          <w:highlight w:val="none"/>
        </w:rPr>
        <w:t>3.1.1</w:t>
      </w:r>
      <w:bookmarkEnd w:id="528"/>
      <w:r>
        <w:rPr>
          <w:highlight w:val="none"/>
        </w:rPr>
        <w:t>计算方法</w:t>
      </w:r>
    </w:p>
    <w:p w14:paraId="557195D9">
      <w:pPr>
        <w:shd w:val="clear"/>
        <w:ind w:firstLine="480"/>
        <w:rPr>
          <w:highlight w:val="none"/>
        </w:rPr>
      </w:pPr>
      <w:r>
        <w:rPr>
          <w:highlight w:val="none"/>
        </w:rPr>
        <w:t>输电线路产生的工频电场、工频磁场影响预测计算，根据《环境影响评价技术导则 输变电》（HJ 24-2020）附录C、D推荐的计算模式进行。</w:t>
      </w:r>
    </w:p>
    <w:p w14:paraId="018E9255">
      <w:pPr>
        <w:shd w:val="clear"/>
        <w:ind w:firstLine="480"/>
        <w:rPr>
          <w:highlight w:val="none"/>
        </w:rPr>
      </w:pPr>
      <w:r>
        <w:rPr>
          <w:highlight w:val="none"/>
        </w:rPr>
        <w:t>以上计算方法适用于线路无限长而且平行于地面，由于任何线路长度都是有限的，并且有弧垂，因此需要做如下假设，设建设项目线路无限长，线路经过最大弧垂点平行于地面。这样计算出来的结果将比实际值大，对于衡量线路不超标是完全适用的，并据此指引线路的设计方案将是保守和安全的。具体计算方法如下：</w:t>
      </w:r>
    </w:p>
    <w:p w14:paraId="55907AF4">
      <w:pPr>
        <w:shd w:val="clear"/>
        <w:ind w:firstLine="480"/>
        <w:rPr>
          <w:highlight w:val="none"/>
          <w:lang w:val="zh-CN"/>
        </w:rPr>
      </w:pPr>
      <w:r>
        <w:rPr>
          <w:highlight w:val="none"/>
        </w:rPr>
        <w:t>①工频电场强度预测</w:t>
      </w:r>
    </w:p>
    <w:p w14:paraId="22C9C5B3">
      <w:pPr>
        <w:shd w:val="clear"/>
        <w:ind w:firstLine="480"/>
        <w:rPr>
          <w:highlight w:val="none"/>
          <w:lang w:val="zh-CN"/>
        </w:rPr>
      </w:pPr>
      <w:r>
        <w:rPr>
          <w:highlight w:val="none"/>
          <w:lang w:val="zh-CN"/>
        </w:rPr>
        <w:t>高压输电线上的等效电荷是线电荷，由于高压输电线半径r远远小于架设高度h，所以等效电荷的位置可以认为是在输电导线的几何中心。</w:t>
      </w:r>
    </w:p>
    <w:p w14:paraId="31B227EA">
      <w:pPr>
        <w:shd w:val="clear"/>
        <w:ind w:firstLine="480"/>
        <w:rPr>
          <w:highlight w:val="none"/>
          <w:lang w:val="zh-CN"/>
        </w:rPr>
      </w:pPr>
      <w:r>
        <w:rPr>
          <w:highlight w:val="none"/>
          <w:lang w:val="zh-CN"/>
        </w:rPr>
        <w:t>设输电线路为无限长并且平行于地面，地面可视为良导体，利用镜像法计算输电线上的等效电荷。</w:t>
      </w:r>
    </w:p>
    <w:p w14:paraId="1AB20537">
      <w:pPr>
        <w:shd w:val="clear"/>
        <w:ind w:firstLine="480"/>
        <w:rPr>
          <w:highlight w:val="none"/>
          <w:lang w:val="zh-CN"/>
        </w:rPr>
      </w:pPr>
      <w:r>
        <w:rPr>
          <w:highlight w:val="none"/>
          <w:lang w:val="zh-CN"/>
        </w:rPr>
        <w:t>为了计算多导线线路中导线上的等效电荷，可写出下列矩阵方程：</w:t>
      </w:r>
    </w:p>
    <w:p w14:paraId="3A7ED437">
      <w:pPr>
        <w:pStyle w:val="104"/>
        <w:shd w:val="clear"/>
        <w:ind w:firstLine="2551" w:firstLineChars="1063"/>
        <w:rPr>
          <w:rStyle w:val="105"/>
          <w:rFonts w:ascii="Times New Roman" w:eastAsia="宋体" w:cs="Times New Roman"/>
          <w:szCs w:val="24"/>
          <w:highlight w:val="none"/>
        </w:rPr>
      </w:pPr>
      <w:r>
        <w:rPr>
          <w:rFonts w:ascii="Times New Roman" w:eastAsia="宋体" w:cs="Times New Roman"/>
          <w:position w:val="-68"/>
          <w:highlight w:val="none"/>
        </w:rPr>
        <w:object>
          <v:shape id="_x0000_i1025" o:spt="75" type="#_x0000_t75" style="height:75.7pt;width:171.3pt;" o:ole="t" filled="f" o:preferrelative="t" stroked="f" coordsize="21600,21600">
            <v:path/>
            <v:fill on="f" focussize="0,0"/>
            <v:stroke on="f" joinstyle="miter"/>
            <v:imagedata r:id="rId18" o:title=""/>
            <o:lock v:ext="edit" aspectratio="t"/>
            <w10:wrap type="none"/>
            <w10:anchorlock/>
          </v:shape>
          <o:OLEObject Type="Embed" ProgID="Equation.DSMT4" ShapeID="_x0000_i1025" DrawAspect="Content" ObjectID="_1468075725" r:id="rId17">
            <o:LockedField>false</o:LockedField>
          </o:OLEObject>
        </w:object>
      </w:r>
    </w:p>
    <w:p w14:paraId="2EA01587">
      <w:pPr>
        <w:shd w:val="clear"/>
        <w:ind w:firstLine="480"/>
        <w:rPr>
          <w:highlight w:val="none"/>
          <w:lang w:val="zh-CN"/>
        </w:rPr>
      </w:pPr>
      <w:r>
        <w:rPr>
          <w:highlight w:val="none"/>
          <w:lang w:val="zh-CN"/>
        </w:rPr>
        <w:t>式中：U——各导线对地电压的单列矩阵；</w:t>
      </w:r>
    </w:p>
    <w:p w14:paraId="4E66A3D3">
      <w:pPr>
        <w:shd w:val="clear"/>
        <w:ind w:firstLine="1200" w:firstLineChars="500"/>
        <w:rPr>
          <w:highlight w:val="none"/>
          <w:lang w:val="zh-CN"/>
        </w:rPr>
      </w:pPr>
      <w:bookmarkStart w:id="529" w:name="_Toc141414697"/>
      <w:r>
        <w:rPr>
          <w:highlight w:val="none"/>
          <w:lang w:val="zh-CN"/>
        </w:rPr>
        <w:t>Q——各导线上等效电荷的单列矩阵；</w:t>
      </w:r>
      <w:bookmarkEnd w:id="529"/>
    </w:p>
    <w:p w14:paraId="52A7AFF1">
      <w:pPr>
        <w:shd w:val="clear"/>
        <w:ind w:firstLine="1200" w:firstLineChars="500"/>
        <w:rPr>
          <w:highlight w:val="none"/>
          <w:lang w:val="zh-CN"/>
        </w:rPr>
      </w:pPr>
      <w:r>
        <w:rPr>
          <w:highlight w:val="none"/>
          <w:lang w:val="zh-CN"/>
        </w:rPr>
        <w:t>λ——各导线的电位系数组成的m阶方阵（m为导线数目）。</w:t>
      </w:r>
    </w:p>
    <w:p w14:paraId="061585AC">
      <w:pPr>
        <w:shd w:val="clear"/>
        <w:ind w:firstLine="480"/>
        <w:rPr>
          <w:highlight w:val="none"/>
          <w:lang w:val="zh-CN"/>
        </w:rPr>
      </w:pPr>
      <w:r>
        <w:rPr>
          <w:highlight w:val="none"/>
          <w:lang w:val="zh-CN"/>
        </w:rPr>
        <w:t>[U]矩阵可由输电线的电压和相位确定，从环境保护考虑以额定电压的1.05倍作为计算电压。</w:t>
      </w:r>
    </w:p>
    <w:p w14:paraId="02B5D827">
      <w:pPr>
        <w:shd w:val="clear"/>
        <w:ind w:firstLine="480"/>
        <w:rPr>
          <w:highlight w:val="none"/>
          <w:lang w:val="zh-CN"/>
        </w:rPr>
      </w:pPr>
      <w:r>
        <w:rPr>
          <w:highlight w:val="none"/>
          <w:lang w:val="zh-CN"/>
        </w:rPr>
        <w:t>对于</w:t>
      </w:r>
      <w:r>
        <w:rPr>
          <w:highlight w:val="none"/>
        </w:rPr>
        <w:t>11</w:t>
      </w:r>
      <w:r>
        <w:rPr>
          <w:highlight w:val="none"/>
          <w:lang w:val="zh-CN"/>
        </w:rPr>
        <w:t>0kV三相导线，各相导线对地电压为：</w:t>
      </w:r>
    </w:p>
    <w:p w14:paraId="1531FA48">
      <w:pPr>
        <w:shd w:val="clear"/>
        <w:ind w:firstLine="1800" w:firstLineChars="900"/>
        <w:rPr>
          <w:highlight w:val="none"/>
          <w:lang w:val="zh-CN"/>
        </w:rPr>
      </w:pPr>
      <w:r>
        <w:rPr>
          <w:kern w:val="0"/>
          <w:position w:val="-14"/>
          <w:sz w:val="20"/>
          <w:highlight w:val="none"/>
          <w:lang w:val="zh-CN"/>
        </w:rPr>
        <w:object>
          <v:shape id="_x0000_i1026" o:spt="75" type="#_x0000_t75" style="height:19.85pt;width:210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p>
    <w:p w14:paraId="395B52C8">
      <w:pPr>
        <w:shd w:val="clear"/>
        <w:ind w:firstLine="480"/>
        <w:rPr>
          <w:highlight w:val="none"/>
          <w:lang w:val="zh-CN"/>
        </w:rPr>
      </w:pPr>
      <w:r>
        <w:rPr>
          <w:highlight w:val="none"/>
        </w:rPr>
        <w:t>110</w:t>
      </w:r>
      <w:r>
        <w:rPr>
          <w:highlight w:val="none"/>
          <w:lang w:val="zh-CN"/>
        </w:rPr>
        <w:t>kV各相导线对地电压分量为：</w:t>
      </w:r>
    </w:p>
    <w:p w14:paraId="7F839D17">
      <w:pPr>
        <w:shd w:val="clear"/>
        <w:ind w:firstLine="2160" w:firstLineChars="900"/>
        <w:rPr>
          <w:highlight w:val="none"/>
          <w:lang w:val="zh-CN"/>
        </w:rPr>
      </w:pPr>
      <w:r>
        <w:rPr>
          <w:highlight w:val="none"/>
          <w:lang w:val="zh-CN"/>
        </w:rPr>
        <w:t>U</w:t>
      </w:r>
      <w:r>
        <w:rPr>
          <w:highlight w:val="none"/>
          <w:vertAlign w:val="subscript"/>
          <w:lang w:val="zh-CN"/>
        </w:rPr>
        <w:t>A</w:t>
      </w:r>
      <w:r>
        <w:rPr>
          <w:highlight w:val="none"/>
          <w:lang w:val="zh-CN"/>
        </w:rPr>
        <w:t>=(</w:t>
      </w:r>
      <w:r>
        <w:rPr>
          <w:highlight w:val="none"/>
        </w:rPr>
        <w:t>66.7</w:t>
      </w:r>
      <w:r>
        <w:rPr>
          <w:highlight w:val="none"/>
          <w:lang w:val="zh-CN"/>
        </w:rPr>
        <w:t>+j0)kV</w:t>
      </w:r>
    </w:p>
    <w:p w14:paraId="772E84C5">
      <w:pPr>
        <w:shd w:val="clear"/>
        <w:ind w:firstLine="2160" w:firstLineChars="900"/>
        <w:rPr>
          <w:highlight w:val="none"/>
          <w:lang w:val="zh-CN"/>
        </w:rPr>
      </w:pPr>
      <w:r>
        <w:rPr>
          <w:highlight w:val="none"/>
          <w:lang w:val="zh-CN"/>
        </w:rPr>
        <w:t>U</w:t>
      </w:r>
      <w:r>
        <w:rPr>
          <w:highlight w:val="none"/>
          <w:vertAlign w:val="subscript"/>
          <w:lang w:val="zh-CN"/>
        </w:rPr>
        <w:t>B</w:t>
      </w:r>
      <w:r>
        <w:rPr>
          <w:highlight w:val="none"/>
          <w:lang w:val="zh-CN"/>
        </w:rPr>
        <w:t>=(-</w:t>
      </w:r>
      <w:r>
        <w:rPr>
          <w:highlight w:val="none"/>
        </w:rPr>
        <w:t>33.4</w:t>
      </w:r>
      <w:r>
        <w:rPr>
          <w:highlight w:val="none"/>
          <w:lang w:val="zh-CN"/>
        </w:rPr>
        <w:t>+j</w:t>
      </w:r>
      <w:r>
        <w:rPr>
          <w:highlight w:val="none"/>
        </w:rPr>
        <w:t>57.8</w:t>
      </w:r>
      <w:r>
        <w:rPr>
          <w:highlight w:val="none"/>
          <w:lang w:val="zh-CN"/>
        </w:rPr>
        <w:t>)kV</w:t>
      </w:r>
    </w:p>
    <w:p w14:paraId="4EA87EDD">
      <w:pPr>
        <w:shd w:val="clear"/>
        <w:ind w:firstLine="2160" w:firstLineChars="900"/>
        <w:rPr>
          <w:highlight w:val="none"/>
          <w:lang w:val="zh-CN"/>
        </w:rPr>
      </w:pPr>
      <w:r>
        <w:rPr>
          <w:highlight w:val="none"/>
          <w:lang w:val="zh-CN"/>
        </w:rPr>
        <w:t>U</w:t>
      </w:r>
      <w:r>
        <w:rPr>
          <w:highlight w:val="none"/>
          <w:vertAlign w:val="subscript"/>
          <w:lang w:val="zh-CN"/>
        </w:rPr>
        <w:t>C</w:t>
      </w:r>
      <w:r>
        <w:rPr>
          <w:highlight w:val="none"/>
          <w:lang w:val="zh-CN"/>
        </w:rPr>
        <w:t>=(-</w:t>
      </w:r>
      <w:r>
        <w:rPr>
          <w:highlight w:val="none"/>
        </w:rPr>
        <w:t>33.4</w:t>
      </w:r>
      <w:r>
        <w:rPr>
          <w:highlight w:val="none"/>
          <w:lang w:val="zh-CN"/>
        </w:rPr>
        <w:t>-j</w:t>
      </w:r>
      <w:r>
        <w:rPr>
          <w:highlight w:val="none"/>
        </w:rPr>
        <w:t>57.8</w:t>
      </w:r>
      <w:r>
        <w:rPr>
          <w:highlight w:val="none"/>
          <w:lang w:val="zh-CN"/>
        </w:rPr>
        <w:t>)kV</w:t>
      </w:r>
    </w:p>
    <w:p w14:paraId="3117C385">
      <w:pPr>
        <w:shd w:val="clear"/>
        <w:ind w:firstLine="480"/>
        <w:rPr>
          <w:highlight w:val="none"/>
        </w:rPr>
      </w:pPr>
      <w:r>
        <w:rPr>
          <w:highlight w:val="none"/>
        </w:rPr>
        <w:t xml:space="preserve">         </w:t>
      </w:r>
      <w:r>
        <w:rPr>
          <w:highlight w:val="none"/>
        </w:rPr>
        <w:drawing>
          <wp:inline distT="0" distB="0" distL="114300" distR="114300">
            <wp:extent cx="2593975" cy="2241550"/>
            <wp:effectExtent l="0" t="0" r="15875" b="6350"/>
            <wp:docPr id="9" name="图片 3" descr="图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图A1"/>
                    <pic:cNvPicPr>
                      <a:picLocks noChangeAspect="1"/>
                    </pic:cNvPicPr>
                  </pic:nvPicPr>
                  <pic:blipFill>
                    <a:blip r:embed="rId21"/>
                    <a:stretch>
                      <a:fillRect/>
                    </a:stretch>
                  </pic:blipFill>
                  <pic:spPr>
                    <a:xfrm>
                      <a:off x="0" y="0"/>
                      <a:ext cx="2593975" cy="2241550"/>
                    </a:xfrm>
                    <a:prstGeom prst="rect">
                      <a:avLst/>
                    </a:prstGeom>
                    <a:noFill/>
                    <a:ln>
                      <a:noFill/>
                    </a:ln>
                  </pic:spPr>
                </pic:pic>
              </a:graphicData>
            </a:graphic>
          </wp:inline>
        </w:drawing>
      </w:r>
    </w:p>
    <w:p w14:paraId="77B499FB">
      <w:pPr>
        <w:pStyle w:val="5"/>
        <w:shd w:val="clear"/>
        <w:ind w:firstLine="2741" w:firstLineChars="1300"/>
        <w:rPr>
          <w:highlight w:val="none"/>
          <w:lang w:val="zh-CN"/>
        </w:rPr>
      </w:pPr>
      <w:r>
        <w:rPr>
          <w:highlight w:val="none"/>
          <w:lang w:val="zh-CN"/>
        </w:rPr>
        <w:t>图</w:t>
      </w:r>
      <w:r>
        <w:rPr>
          <w:highlight w:val="none"/>
        </w:rPr>
        <w:t>3.1</w:t>
      </w:r>
      <w:r>
        <w:rPr>
          <w:highlight w:val="none"/>
          <w:lang w:val="zh-CN"/>
        </w:rPr>
        <w:t>-1  对地电压计算图</w:t>
      </w:r>
    </w:p>
    <w:p w14:paraId="66843C20">
      <w:pPr>
        <w:shd w:val="clear"/>
        <w:ind w:firstLine="480"/>
        <w:rPr>
          <w:highlight w:val="none"/>
          <w:lang w:val="zh-CN"/>
        </w:rPr>
      </w:pPr>
      <w:r>
        <w:rPr>
          <w:highlight w:val="none"/>
          <w:lang w:val="zh-CN"/>
        </w:rPr>
        <w:t>[λ]矩阵由镜像原理求得。地面为电位等于零的平面，地面的感应电荷可由对应地面导线的镜像电荷代替，用i，j，… 表示相互平行的实际导线，用i′，j′，… 表示它们的镜像，电位系数可写为：</w:t>
      </w:r>
    </w:p>
    <w:p w14:paraId="7A0380E5">
      <w:pPr>
        <w:pStyle w:val="104"/>
        <w:shd w:val="clear"/>
        <w:ind w:firstLine="2916" w:firstLineChars="1215"/>
        <w:rPr>
          <w:rStyle w:val="105"/>
          <w:rFonts w:ascii="Times New Roman" w:eastAsia="宋体" w:cs="Times New Roman"/>
          <w:szCs w:val="24"/>
          <w:highlight w:val="none"/>
        </w:rPr>
      </w:pPr>
      <w:r>
        <w:rPr>
          <w:rFonts w:ascii="Times New Roman" w:eastAsia="宋体" w:cs="Times New Roman"/>
          <w:position w:val="-30"/>
          <w:highlight w:val="none"/>
        </w:rPr>
        <w:object>
          <v:shape id="_x0000_i1027" o:spt="75" type="#_x0000_t75" style="height:34.75pt;width:83.2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ascii="Times New Roman" w:eastAsia="宋体" w:cs="Times New Roman"/>
          <w:highlight w:val="none"/>
        </w:rPr>
        <w:t xml:space="preserve">              </w:t>
      </w:r>
    </w:p>
    <w:p w14:paraId="7374D942">
      <w:pPr>
        <w:pStyle w:val="104"/>
        <w:shd w:val="clear"/>
        <w:ind w:firstLine="2916" w:firstLineChars="1215"/>
        <w:rPr>
          <w:rStyle w:val="105"/>
          <w:rFonts w:ascii="Times New Roman" w:eastAsia="宋体" w:cs="Times New Roman"/>
          <w:szCs w:val="24"/>
          <w:highlight w:val="none"/>
        </w:rPr>
      </w:pPr>
      <w:r>
        <w:rPr>
          <w:rFonts w:ascii="Times New Roman" w:eastAsia="宋体" w:cs="Times New Roman"/>
          <w:position w:val="-32"/>
          <w:highlight w:val="none"/>
        </w:rPr>
        <w:object>
          <v:shape id="_x0000_i1028" o:spt="75" type="#_x0000_t75" style="height:37.25pt;width:79.4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ascii="Times New Roman" w:eastAsia="宋体" w:cs="Times New Roman"/>
          <w:highlight w:val="none"/>
        </w:rPr>
        <w:t xml:space="preserve">              </w:t>
      </w:r>
    </w:p>
    <w:p w14:paraId="64BFB3C8">
      <w:pPr>
        <w:pStyle w:val="106"/>
        <w:shd w:val="clear"/>
        <w:ind w:firstLine="2916" w:firstLineChars="1215"/>
        <w:rPr>
          <w:rFonts w:ascii="Times New Roman" w:eastAsia="宋体"/>
          <w:szCs w:val="24"/>
          <w:highlight w:val="none"/>
        </w:rPr>
      </w:pPr>
      <w:r>
        <w:rPr>
          <w:rFonts w:ascii="Times New Roman" w:eastAsia="宋体"/>
          <w:position w:val="-14"/>
          <w:szCs w:val="24"/>
          <w:highlight w:val="none"/>
        </w:rPr>
        <w:object>
          <v:shape id="_x0000_i1029" o:spt="75" type="#_x0000_t75" style="height:19.85pt;width:42.2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ascii="Times New Roman" w:eastAsia="宋体"/>
          <w:szCs w:val="24"/>
          <w:highlight w:val="none"/>
        </w:rPr>
        <w:t xml:space="preserve">                        </w:t>
      </w:r>
    </w:p>
    <w:p w14:paraId="2960F4C5">
      <w:pPr>
        <w:shd w:val="clear"/>
        <w:ind w:firstLine="480"/>
        <w:rPr>
          <w:highlight w:val="none"/>
        </w:rPr>
      </w:pPr>
      <w:r>
        <w:rPr>
          <w:highlight w:val="none"/>
          <w:lang w:val="zh-CN"/>
        </w:rPr>
        <w:t>式中：</w:t>
      </w:r>
      <w:r>
        <w:rPr>
          <w:i/>
          <w:highlight w:val="none"/>
          <w:lang w:val="zh-CN"/>
        </w:rPr>
        <w:t>ε</w:t>
      </w:r>
      <w:r>
        <w:rPr>
          <w:i/>
          <w:highlight w:val="none"/>
          <w:vertAlign w:val="subscript"/>
          <w:lang w:val="zh-CN"/>
        </w:rPr>
        <w:t>0</w:t>
      </w:r>
      <w:r>
        <w:rPr>
          <w:highlight w:val="none"/>
          <w:lang w:val="zh-CN"/>
        </w:rPr>
        <w:t>——真空介电常数，</w:t>
      </w:r>
      <w:r>
        <w:rPr>
          <w:position w:val="-24"/>
          <w:highlight w:val="none"/>
        </w:rPr>
        <w:object>
          <v:shape id="_x0000_i1030" o:spt="75" type="#_x0000_t75" style="height:27.3pt;width:89.3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highlight w:val="none"/>
        </w:rPr>
        <w:t>；</w:t>
      </w:r>
    </w:p>
    <w:p w14:paraId="079AFFBD">
      <w:pPr>
        <w:shd w:val="clear"/>
        <w:ind w:firstLine="1200" w:firstLineChars="500"/>
        <w:rPr>
          <w:highlight w:val="none"/>
        </w:rPr>
      </w:pPr>
      <w:r>
        <w:rPr>
          <w:i/>
          <w:highlight w:val="none"/>
        </w:rPr>
        <w:t>R</w:t>
      </w:r>
      <w:r>
        <w:rPr>
          <w:i/>
          <w:highlight w:val="none"/>
          <w:vertAlign w:val="subscript"/>
        </w:rPr>
        <w:t>i</w:t>
      </w:r>
      <w:r>
        <w:rPr>
          <w:highlight w:val="none"/>
        </w:rPr>
        <w:t>——</w:t>
      </w:r>
      <w:r>
        <w:rPr>
          <w:highlight w:val="none"/>
          <w:lang w:val="zh-CN"/>
        </w:rPr>
        <w:t>输电导线半径，对于分裂导线可用等效单根导线半径代入</w:t>
      </w:r>
      <w:r>
        <w:rPr>
          <w:highlight w:val="none"/>
        </w:rPr>
        <w:t>，</w:t>
      </w:r>
      <w:r>
        <w:rPr>
          <w:i/>
          <w:highlight w:val="none"/>
        </w:rPr>
        <w:t>R</w:t>
      </w:r>
      <w:r>
        <w:rPr>
          <w:i/>
          <w:highlight w:val="none"/>
          <w:vertAlign w:val="subscript"/>
        </w:rPr>
        <w:t>i</w:t>
      </w:r>
      <w:r>
        <w:rPr>
          <w:highlight w:val="none"/>
        </w:rPr>
        <w:t>的计</w:t>
      </w:r>
      <w:r>
        <w:rPr>
          <w:highlight w:val="none"/>
          <w:lang w:val="zh-CN"/>
        </w:rPr>
        <w:t>算式为：</w:t>
      </w:r>
    </w:p>
    <w:p w14:paraId="6051A4CA">
      <w:pPr>
        <w:pStyle w:val="104"/>
        <w:shd w:val="clear"/>
        <w:ind w:firstLine="2916" w:firstLineChars="1215"/>
        <w:rPr>
          <w:rFonts w:ascii="Times New Roman" w:eastAsia="宋体" w:cs="Times New Roman"/>
          <w:highlight w:val="none"/>
        </w:rPr>
      </w:pPr>
      <w:bookmarkStart w:id="530" w:name="_Toc141414698"/>
      <w:r>
        <w:rPr>
          <w:rFonts w:ascii="Times New Roman" w:eastAsia="宋体" w:cs="Times New Roman"/>
          <w:position w:val="-26"/>
          <w:highlight w:val="none"/>
        </w:rPr>
        <w:object>
          <v:shape id="_x0000_i1031" o:spt="75" type="#_x0000_t75" style="height:34.75pt;width:62.0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ascii="Times New Roman" w:eastAsia="宋体" w:cs="Times New Roman"/>
          <w:highlight w:val="none"/>
        </w:rPr>
        <w:t xml:space="preserve"> </w:t>
      </w:r>
      <w:bookmarkEnd w:id="530"/>
    </w:p>
    <w:p w14:paraId="372BBCE3">
      <w:pPr>
        <w:pStyle w:val="107"/>
        <w:shd w:val="clear"/>
        <w:rPr>
          <w:rFonts w:ascii="Times New Roman" w:hAnsi="Times New Roman" w:eastAsia="宋体" w:cs="Times New Roman"/>
          <w:szCs w:val="24"/>
          <w:highlight w:val="none"/>
        </w:rPr>
      </w:pPr>
      <w:r>
        <w:rPr>
          <w:rFonts w:ascii="Times New Roman" w:hAnsi="Times New Roman" w:eastAsia="宋体" w:cs="Times New Roman"/>
          <w:szCs w:val="24"/>
          <w:highlight w:val="none"/>
        </w:rPr>
        <w:t>式中：</w:t>
      </w:r>
      <w:r>
        <w:rPr>
          <w:rFonts w:ascii="Times New Roman" w:hAnsi="Times New Roman" w:eastAsia="宋体" w:cs="Times New Roman"/>
          <w:i/>
          <w:szCs w:val="24"/>
          <w:highlight w:val="none"/>
        </w:rPr>
        <w:t>R</w:t>
      </w:r>
      <w:r>
        <w:rPr>
          <w:rFonts w:ascii="Times New Roman" w:hAnsi="Times New Roman" w:eastAsia="宋体" w:cs="Times New Roman"/>
          <w:szCs w:val="24"/>
          <w:highlight w:val="none"/>
        </w:rPr>
        <w:t xml:space="preserve">——分裂导线半径，m； </w:t>
      </w:r>
    </w:p>
    <w:p w14:paraId="23FA32B3">
      <w:pPr>
        <w:pStyle w:val="108"/>
        <w:shd w:val="clear"/>
        <w:ind w:firstLine="1200" w:firstLineChars="500"/>
        <w:rPr>
          <w:rFonts w:ascii="Times New Roman" w:hAnsi="Times New Roman" w:eastAsia="宋体" w:cs="Times New Roman"/>
          <w:highlight w:val="none"/>
        </w:rPr>
      </w:pPr>
      <w:r>
        <w:rPr>
          <w:rFonts w:ascii="Times New Roman" w:hAnsi="Times New Roman" w:eastAsia="宋体" w:cs="Times New Roman"/>
          <w:i/>
          <w:highlight w:val="none"/>
        </w:rPr>
        <w:t>n</w:t>
      </w:r>
      <w:r>
        <w:rPr>
          <w:rFonts w:ascii="Times New Roman" w:hAnsi="Times New Roman" w:eastAsia="宋体" w:cs="Times New Roman"/>
          <w:highlight w:val="none"/>
        </w:rPr>
        <w:t>——次导线根数；</w:t>
      </w:r>
    </w:p>
    <w:p w14:paraId="5077B586">
      <w:pPr>
        <w:pStyle w:val="108"/>
        <w:shd w:val="clear"/>
        <w:ind w:firstLine="1200" w:firstLineChars="500"/>
        <w:rPr>
          <w:rFonts w:ascii="Times New Roman" w:hAnsi="Times New Roman" w:eastAsia="宋体" w:cs="Times New Roman"/>
          <w:highlight w:val="none"/>
        </w:rPr>
      </w:pPr>
      <w:r>
        <w:rPr>
          <w:rFonts w:ascii="Times New Roman" w:hAnsi="Times New Roman" w:eastAsia="宋体" w:cs="Times New Roman"/>
          <w:i/>
          <w:highlight w:val="none"/>
        </w:rPr>
        <w:t>r</w:t>
      </w:r>
      <w:r>
        <w:rPr>
          <w:rFonts w:ascii="Times New Roman" w:hAnsi="Times New Roman" w:eastAsia="宋体" w:cs="Times New Roman"/>
          <w:highlight w:val="none"/>
        </w:rPr>
        <w:t>——次导线半径，m。</w:t>
      </w:r>
    </w:p>
    <w:p w14:paraId="1B7BADDF">
      <w:pPr>
        <w:shd w:val="clear"/>
        <w:ind w:firstLine="480"/>
        <w:rPr>
          <w:highlight w:val="none"/>
          <w:lang w:val="zh-CN"/>
        </w:rPr>
      </w:pPr>
      <w:r>
        <w:rPr>
          <w:highlight w:val="none"/>
          <w:lang w:val="zh-CN"/>
        </w:rPr>
        <w:t>由[U]矩阵和[λ]矩阵，利用式等效电荷矩阵方程即可解出[Q]矩阵。空间任意一点的电场强度可根据叠加原理计算得出，在（x，y）点的电场强度分量Ex和Ey可表示为：</w:t>
      </w:r>
    </w:p>
    <w:p w14:paraId="72CA15D5">
      <w:pPr>
        <w:pStyle w:val="107"/>
        <w:shd w:val="clear"/>
        <w:rPr>
          <w:rFonts w:ascii="Times New Roman" w:hAnsi="Times New Roman" w:eastAsia="宋体" w:cs="Times New Roman"/>
          <w:szCs w:val="24"/>
          <w:highlight w:val="none"/>
        </w:rPr>
      </w:pPr>
      <w:r>
        <w:rPr>
          <w:rFonts w:ascii="Times New Roman" w:hAnsi="Times New Roman" w:eastAsia="宋体" w:cs="Times New Roman"/>
          <w:szCs w:val="24"/>
          <w:highlight w:val="none"/>
        </w:rPr>
        <w:drawing>
          <wp:inline distT="0" distB="0" distL="114300" distR="114300">
            <wp:extent cx="2130425" cy="1932305"/>
            <wp:effectExtent l="0" t="0" r="3175" b="10795"/>
            <wp:docPr id="10" name="图片 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001"/>
                    <pic:cNvPicPr>
                      <a:picLocks noChangeAspect="1"/>
                    </pic:cNvPicPr>
                  </pic:nvPicPr>
                  <pic:blipFill>
                    <a:blip r:embed="rId32"/>
                    <a:stretch>
                      <a:fillRect/>
                    </a:stretch>
                  </pic:blipFill>
                  <pic:spPr>
                    <a:xfrm>
                      <a:off x="0" y="0"/>
                      <a:ext cx="2130425" cy="1932305"/>
                    </a:xfrm>
                    <a:prstGeom prst="rect">
                      <a:avLst/>
                    </a:prstGeom>
                    <a:noFill/>
                    <a:ln>
                      <a:noFill/>
                    </a:ln>
                  </pic:spPr>
                </pic:pic>
              </a:graphicData>
            </a:graphic>
          </wp:inline>
        </w:drawing>
      </w:r>
      <w:r>
        <w:rPr>
          <w:rFonts w:ascii="Times New Roman" w:hAnsi="Times New Roman" w:eastAsia="宋体" w:cs="Times New Roman"/>
          <w:szCs w:val="24"/>
          <w:highlight w:val="none"/>
        </w:rPr>
        <w:t xml:space="preserve">         </w:t>
      </w:r>
      <w:r>
        <w:rPr>
          <w:rFonts w:ascii="Times New Roman" w:hAnsi="Times New Roman" w:eastAsia="宋体" w:cs="Times New Roman"/>
          <w:szCs w:val="24"/>
          <w:highlight w:val="none"/>
        </w:rPr>
        <w:drawing>
          <wp:inline distT="0" distB="0" distL="114300" distR="114300">
            <wp:extent cx="2074545" cy="1884045"/>
            <wp:effectExtent l="0" t="0" r="1905" b="1905"/>
            <wp:docPr id="13" name="图片 1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02"/>
                    <pic:cNvPicPr>
                      <a:picLocks noChangeAspect="1"/>
                    </pic:cNvPicPr>
                  </pic:nvPicPr>
                  <pic:blipFill>
                    <a:blip r:embed="rId33"/>
                    <a:stretch>
                      <a:fillRect/>
                    </a:stretch>
                  </pic:blipFill>
                  <pic:spPr>
                    <a:xfrm>
                      <a:off x="0" y="0"/>
                      <a:ext cx="2074545" cy="1884045"/>
                    </a:xfrm>
                    <a:prstGeom prst="rect">
                      <a:avLst/>
                    </a:prstGeom>
                    <a:noFill/>
                    <a:ln>
                      <a:noFill/>
                    </a:ln>
                  </pic:spPr>
                </pic:pic>
              </a:graphicData>
            </a:graphic>
          </wp:inline>
        </w:drawing>
      </w:r>
    </w:p>
    <w:p w14:paraId="4DB473B4">
      <w:pPr>
        <w:pStyle w:val="5"/>
        <w:shd w:val="clear"/>
        <w:ind w:firstLine="422"/>
        <w:rPr>
          <w:highlight w:val="none"/>
        </w:rPr>
      </w:pPr>
      <w:r>
        <w:rPr>
          <w:highlight w:val="none"/>
        </w:rPr>
        <w:t>图3.1-2  电位系数计算图                     图3.1-3  等效半径计算图</w:t>
      </w:r>
    </w:p>
    <w:p w14:paraId="1EC7ACD0">
      <w:pPr>
        <w:pStyle w:val="107"/>
        <w:shd w:val="clear"/>
        <w:rPr>
          <w:rFonts w:ascii="Times New Roman" w:hAnsi="Times New Roman" w:eastAsia="宋体" w:cs="Times New Roman"/>
          <w:szCs w:val="24"/>
          <w:highlight w:val="none"/>
        </w:rPr>
      </w:pPr>
    </w:p>
    <w:p w14:paraId="6D3D7B08">
      <w:pPr>
        <w:pStyle w:val="104"/>
        <w:shd w:val="clear"/>
        <w:ind w:firstLine="2916" w:firstLineChars="1215"/>
        <w:rPr>
          <w:rFonts w:ascii="Times New Roman" w:eastAsia="宋体" w:cs="Times New Roman"/>
          <w:highlight w:val="none"/>
        </w:rPr>
      </w:pPr>
      <w:r>
        <w:rPr>
          <w:rFonts w:ascii="Times New Roman" w:eastAsia="宋体" w:cs="Times New Roman"/>
          <w:position w:val="-38"/>
          <w:highlight w:val="none"/>
        </w:rPr>
        <w:object>
          <v:shape id="_x0000_i1032" o:spt="75" type="#_x0000_t75" style="height:42.2pt;width:162.65pt;" o:ole="t" filled="f" o:preferrelative="t" stroked="f" coordsize="21600,21600">
            <v:path/>
            <v:fill on="f" focussize="0,0"/>
            <v:stroke on="f" joinstyle="miter"/>
            <v:imagedata r:id="rId35" o:title=""/>
            <o:lock v:ext="edit" aspectratio="t"/>
            <w10:wrap type="none"/>
            <w10:anchorlock/>
          </v:shape>
          <o:OLEObject Type="Embed" ProgID="Equation.3" ShapeID="_x0000_i1032" DrawAspect="Content" ObjectID="_1468075732" r:id="rId34">
            <o:LockedField>false</o:LockedField>
          </o:OLEObject>
        </w:object>
      </w:r>
      <w:r>
        <w:rPr>
          <w:rFonts w:ascii="Times New Roman" w:eastAsia="宋体" w:cs="Times New Roman"/>
          <w:highlight w:val="none"/>
        </w:rPr>
        <w:t xml:space="preserve">  </w:t>
      </w:r>
    </w:p>
    <w:p w14:paraId="6AA5C915">
      <w:pPr>
        <w:pStyle w:val="104"/>
        <w:shd w:val="clear"/>
        <w:ind w:firstLine="2916" w:firstLineChars="1215"/>
        <w:rPr>
          <w:rFonts w:ascii="Times New Roman" w:eastAsia="宋体" w:cs="Times New Roman"/>
          <w:highlight w:val="none"/>
        </w:rPr>
      </w:pPr>
      <w:r>
        <w:rPr>
          <w:rFonts w:ascii="Times New Roman" w:eastAsia="宋体" w:cs="Times New Roman"/>
          <w:position w:val="-30"/>
          <w:highlight w:val="none"/>
        </w:rPr>
        <w:object>
          <v:shape id="_x0000_i1033" o:spt="75" type="#_x0000_t75" style="height:37.3pt;width:170pt;" o:ole="t" filled="f" o:preferrelative="t" stroked="f" coordsize="21600,21600">
            <v:path/>
            <v:fill on="f" focussize="0,0"/>
            <v:stroke on="f" joinstyle="miter"/>
            <v:imagedata r:id="rId37" o:title=""/>
            <o:lock v:ext="edit" aspectratio="t"/>
            <w10:wrap type="none"/>
            <w10:anchorlock/>
          </v:shape>
          <o:OLEObject Type="Embed" ProgID="Equation.3" ShapeID="_x0000_i1033" DrawAspect="Content" ObjectID="_1468075733" r:id="rId36">
            <o:LockedField>false</o:LockedField>
          </o:OLEObject>
        </w:object>
      </w:r>
    </w:p>
    <w:p w14:paraId="7520091C">
      <w:pPr>
        <w:shd w:val="clear"/>
        <w:ind w:firstLine="480"/>
        <w:rPr>
          <w:highlight w:val="none"/>
          <w:lang w:val="zh-CN"/>
        </w:rPr>
      </w:pPr>
      <w:r>
        <w:rPr>
          <w:highlight w:val="none"/>
        </w:rPr>
        <w:t>式中</w:t>
      </w:r>
      <w:r>
        <w:rPr>
          <w:highlight w:val="none"/>
          <w:lang w:val="zh-CN"/>
        </w:rPr>
        <w:t>：</w:t>
      </w:r>
      <w:r>
        <w:rPr>
          <w:i/>
          <w:highlight w:val="none"/>
          <w:lang w:val="zh-CN"/>
        </w:rPr>
        <w:t>x</w:t>
      </w:r>
      <w:r>
        <w:rPr>
          <w:i/>
          <w:highlight w:val="none"/>
          <w:vertAlign w:val="subscript"/>
          <w:lang w:val="zh-CN"/>
        </w:rPr>
        <w:t>i</w:t>
      </w:r>
      <w:r>
        <w:rPr>
          <w:highlight w:val="none"/>
          <w:lang w:val="zh-CN"/>
        </w:rPr>
        <w:t>，</w:t>
      </w:r>
      <w:r>
        <w:rPr>
          <w:i/>
          <w:highlight w:val="none"/>
          <w:lang w:val="zh-CN"/>
        </w:rPr>
        <w:t xml:space="preserve"> y</w:t>
      </w:r>
      <w:r>
        <w:rPr>
          <w:i/>
          <w:highlight w:val="none"/>
          <w:vertAlign w:val="subscript"/>
          <w:lang w:val="zh-CN"/>
        </w:rPr>
        <w:t>i</w:t>
      </w:r>
      <w:r>
        <w:rPr>
          <w:highlight w:val="none"/>
          <w:vertAlign w:val="subscript"/>
          <w:lang w:val="zh-CN"/>
        </w:rPr>
        <w:t xml:space="preserve"> </w:t>
      </w:r>
      <w:r>
        <w:rPr>
          <w:highlight w:val="none"/>
          <w:lang w:val="zh-CN"/>
        </w:rPr>
        <w:t>——导线i的坐标（i=1、2、…m）；</w:t>
      </w:r>
    </w:p>
    <w:p w14:paraId="690A793F">
      <w:pPr>
        <w:shd w:val="clear"/>
        <w:ind w:firstLine="1200" w:firstLineChars="500"/>
        <w:rPr>
          <w:highlight w:val="none"/>
          <w:lang w:val="zh-CN"/>
        </w:rPr>
      </w:pPr>
      <w:r>
        <w:rPr>
          <w:i/>
          <w:highlight w:val="none"/>
          <w:lang w:val="zh-CN"/>
        </w:rPr>
        <w:t xml:space="preserve">m </w:t>
      </w:r>
      <w:r>
        <w:rPr>
          <w:highlight w:val="none"/>
          <w:lang w:val="zh-CN"/>
        </w:rPr>
        <w:t>——导线数目；</w:t>
      </w:r>
    </w:p>
    <w:p w14:paraId="51DA4C50">
      <w:pPr>
        <w:shd w:val="clear"/>
        <w:ind w:firstLine="1200" w:firstLineChars="500"/>
        <w:rPr>
          <w:highlight w:val="none"/>
          <w:lang w:val="zh-CN"/>
        </w:rPr>
      </w:pPr>
      <w:r>
        <w:rPr>
          <w:i/>
          <w:highlight w:val="none"/>
          <w:lang w:val="zh-CN"/>
        </w:rPr>
        <w:t>L</w:t>
      </w:r>
      <w:r>
        <w:rPr>
          <w:i/>
          <w:highlight w:val="none"/>
          <w:vertAlign w:val="subscript"/>
          <w:lang w:val="zh-CN"/>
        </w:rPr>
        <w:t>i</w:t>
      </w:r>
      <w:r>
        <w:rPr>
          <w:i/>
          <w:highlight w:val="none"/>
          <w:lang w:val="zh-CN"/>
        </w:rPr>
        <w:t>，L</w:t>
      </w:r>
      <w:r>
        <w:rPr>
          <w:i/>
          <w:highlight w:val="none"/>
          <w:vertAlign w:val="subscript"/>
          <w:lang w:val="zh-CN"/>
        </w:rPr>
        <w:t xml:space="preserve">'i </w:t>
      </w:r>
      <w:r>
        <w:rPr>
          <w:highlight w:val="none"/>
          <w:lang w:val="zh-CN"/>
        </w:rPr>
        <w:t>——分别为导线i及其镜像至计算点的距离，m。</w:t>
      </w:r>
    </w:p>
    <w:p w14:paraId="3EAE7E84">
      <w:pPr>
        <w:shd w:val="clear"/>
        <w:ind w:firstLine="480"/>
        <w:rPr>
          <w:highlight w:val="none"/>
          <w:lang w:val="zh-CN"/>
        </w:rPr>
      </w:pPr>
      <w:r>
        <w:rPr>
          <w:highlight w:val="none"/>
          <w:lang w:val="zh-CN"/>
        </w:rPr>
        <w:t>对于三相交流线路，可根据求得的电荷计算空间任一点电场强度的水平和垂直分量为：</w:t>
      </w:r>
    </w:p>
    <w:p w14:paraId="4738658B">
      <w:pPr>
        <w:pStyle w:val="106"/>
        <w:shd w:val="clear"/>
        <w:ind w:firstLine="2916" w:firstLineChars="1215"/>
        <w:rPr>
          <w:rFonts w:ascii="Times New Roman" w:eastAsia="宋体"/>
          <w:szCs w:val="24"/>
          <w:highlight w:val="none"/>
        </w:rPr>
      </w:pPr>
      <w:r>
        <w:rPr>
          <w:rFonts w:ascii="Times New Roman" w:eastAsia="宋体"/>
          <w:position w:val="-28"/>
          <w:szCs w:val="24"/>
          <w:highlight w:val="none"/>
        </w:rPr>
        <w:object>
          <v:shape id="_x0000_i1034" o:spt="75" type="#_x0000_t75" style="height:34.75pt;width:114.25pt;" o:ole="t" filled="f" o:preferrelative="t" stroked="f" coordsize="21600,21600">
            <v:path/>
            <v:fill on="f" focussize="0,0"/>
            <v:stroke on="f" joinstyle="miter"/>
            <v:imagedata r:id="rId39" o:title=""/>
            <o:lock v:ext="edit" aspectratio="t"/>
            <w10:wrap type="none"/>
            <w10:anchorlock/>
          </v:shape>
          <o:OLEObject Type="Embed" ProgID="Equation.3" ShapeID="_x0000_i1034" DrawAspect="Content" ObjectID="_1468075734" r:id="rId38">
            <o:LockedField>false</o:LockedField>
          </o:OLEObject>
        </w:object>
      </w:r>
    </w:p>
    <w:p w14:paraId="599C6C4C">
      <w:pPr>
        <w:pStyle w:val="106"/>
        <w:shd w:val="clear"/>
        <w:ind w:firstLine="3312" w:firstLineChars="1380"/>
        <w:rPr>
          <w:rFonts w:ascii="Times New Roman" w:eastAsia="宋体"/>
          <w:szCs w:val="24"/>
          <w:highlight w:val="none"/>
        </w:rPr>
      </w:pPr>
      <w:r>
        <w:rPr>
          <w:rFonts w:ascii="Times New Roman" w:eastAsia="宋体"/>
          <w:szCs w:val="24"/>
          <w:highlight w:val="none"/>
        </w:rPr>
        <w:t xml:space="preserve">= </w:t>
      </w:r>
      <w:r>
        <w:rPr>
          <w:rFonts w:ascii="Times New Roman" w:eastAsia="宋体"/>
          <w:position w:val="-12"/>
          <w:szCs w:val="24"/>
          <w:highlight w:val="none"/>
        </w:rPr>
        <w:object>
          <v:shape id="_x0000_i1035" o:spt="75" type="#_x0000_t75" style="height:17.4pt;width:50.9pt;" o:ole="t" filled="f" o:preferrelative="t" stroked="f" coordsize="21600,21600">
            <v:path/>
            <v:fill on="f" focussize="0,0"/>
            <v:stroke on="f" joinstyle="miter"/>
            <v:imagedata r:id="rId41" o:title=""/>
            <o:lock v:ext="edit" aspectratio="t"/>
            <w10:wrap type="none"/>
            <w10:anchorlock/>
          </v:shape>
          <o:OLEObject Type="Embed" ProgID="Equation.3" ShapeID="_x0000_i1035" DrawAspect="Content" ObjectID="_1468075735" r:id="rId40">
            <o:LockedField>false</o:LockedField>
          </o:OLEObject>
        </w:object>
      </w:r>
      <w:r>
        <w:rPr>
          <w:rFonts w:ascii="Times New Roman" w:eastAsia="宋体"/>
          <w:szCs w:val="24"/>
          <w:highlight w:val="none"/>
        </w:rPr>
        <w:t xml:space="preserve">             </w:t>
      </w:r>
    </w:p>
    <w:p w14:paraId="60F3818A">
      <w:pPr>
        <w:pStyle w:val="106"/>
        <w:shd w:val="clear"/>
        <w:ind w:firstLine="2916" w:firstLineChars="1215"/>
        <w:rPr>
          <w:rFonts w:ascii="Times New Roman" w:eastAsia="宋体"/>
          <w:szCs w:val="24"/>
          <w:highlight w:val="none"/>
        </w:rPr>
      </w:pPr>
      <w:r>
        <w:rPr>
          <w:rFonts w:ascii="Times New Roman" w:eastAsia="宋体"/>
          <w:position w:val="-28"/>
          <w:szCs w:val="24"/>
          <w:highlight w:val="none"/>
        </w:rPr>
        <w:object>
          <v:shape id="_x0000_i1036" o:spt="75" type="#_x0000_t75" style="height:34.75pt;width:114.25pt;" o:ole="t" filled="f" o:preferrelative="t" stroked="f" coordsize="21600,21600">
            <v:path/>
            <v:fill on="f" focussize="0,0"/>
            <v:stroke on="f" joinstyle="miter"/>
            <v:imagedata r:id="rId43" o:title=""/>
            <o:lock v:ext="edit" aspectratio="t"/>
            <w10:wrap type="none"/>
            <w10:anchorlock/>
          </v:shape>
          <o:OLEObject Type="Embed" ProgID="Equation.3" ShapeID="_x0000_i1036" DrawAspect="Content" ObjectID="_1468075736" r:id="rId42">
            <o:LockedField>false</o:LockedField>
          </o:OLEObject>
        </w:object>
      </w:r>
    </w:p>
    <w:p w14:paraId="78BD747B">
      <w:pPr>
        <w:pStyle w:val="106"/>
        <w:shd w:val="clear"/>
        <w:ind w:firstLine="3312" w:firstLineChars="1380"/>
        <w:rPr>
          <w:rFonts w:ascii="Times New Roman" w:eastAsia="宋体"/>
          <w:szCs w:val="24"/>
          <w:highlight w:val="none"/>
        </w:rPr>
      </w:pPr>
      <w:r>
        <w:rPr>
          <w:rFonts w:ascii="Times New Roman" w:eastAsia="宋体"/>
          <w:szCs w:val="24"/>
          <w:highlight w:val="none"/>
        </w:rPr>
        <w:t xml:space="preserve">= </w:t>
      </w:r>
      <w:r>
        <w:rPr>
          <w:rFonts w:ascii="Times New Roman" w:eastAsia="宋体"/>
          <w:position w:val="-14"/>
          <w:szCs w:val="24"/>
          <w:highlight w:val="none"/>
        </w:rPr>
        <w:object>
          <v:shape id="_x0000_i1037" o:spt="75" type="#_x0000_t75" style="height:19.85pt;width:52.15pt;" o:ole="t" filled="f" o:preferrelative="t" stroked="f" coordsize="21600,21600">
            <v:path/>
            <v:fill on="f" focussize="0,0"/>
            <v:stroke on="f" joinstyle="miter"/>
            <v:imagedata r:id="rId45" o:title=""/>
            <o:lock v:ext="edit" aspectratio="t"/>
            <w10:wrap type="none"/>
            <w10:anchorlock/>
          </v:shape>
          <o:OLEObject Type="Embed" ProgID="Equation.3" ShapeID="_x0000_i1037" DrawAspect="Content" ObjectID="_1468075737" r:id="rId44">
            <o:LockedField>false</o:LockedField>
          </o:OLEObject>
        </w:object>
      </w:r>
      <w:r>
        <w:rPr>
          <w:rFonts w:ascii="Times New Roman" w:eastAsia="宋体"/>
          <w:szCs w:val="24"/>
          <w:highlight w:val="none"/>
        </w:rPr>
        <w:t xml:space="preserve">              </w:t>
      </w:r>
    </w:p>
    <w:p w14:paraId="172A7B5C">
      <w:pPr>
        <w:shd w:val="clear"/>
        <w:ind w:firstLine="480"/>
        <w:rPr>
          <w:highlight w:val="none"/>
        </w:rPr>
      </w:pPr>
      <w:r>
        <w:rPr>
          <w:highlight w:val="none"/>
          <w:lang w:val="zh-CN"/>
        </w:rPr>
        <w:t>式中：</w:t>
      </w:r>
      <w:r>
        <w:rPr>
          <w:position w:val="-12"/>
          <w:highlight w:val="none"/>
        </w:rPr>
        <w:object>
          <v:shape id="_x0000_i1038" o:spt="75" type="#_x0000_t75" style="height:17.4pt;width:19.85pt;" o:ole="t" filled="f" o:preferrelative="t" stroked="f" coordsize="21600,21600">
            <v:path/>
            <v:fill on="f" focussize="0,0"/>
            <v:stroke on="f" joinstyle="miter"/>
            <v:imagedata r:id="rId47" o:title=""/>
            <o:lock v:ext="edit" aspectratio="t"/>
            <w10:wrap type="none"/>
            <w10:anchorlock/>
          </v:shape>
          <o:OLEObject Type="Embed" ProgID="Equation.3" ShapeID="_x0000_i1038" DrawAspect="Content" ObjectID="_1468075738" r:id="rId46">
            <o:LockedField>false</o:LockedField>
          </o:OLEObject>
        </w:object>
      </w:r>
      <w:r>
        <w:rPr>
          <w:highlight w:val="none"/>
          <w:vertAlign w:val="subscript"/>
        </w:rPr>
        <w:t>————</w:t>
      </w:r>
      <w:r>
        <w:rPr>
          <w:highlight w:val="none"/>
          <w:lang w:val="zh-CN"/>
        </w:rPr>
        <w:t>由各导线的实部电荷在该点产生场强的水平分量；</w:t>
      </w:r>
    </w:p>
    <w:p w14:paraId="53CB48D2">
      <w:pPr>
        <w:pStyle w:val="106"/>
        <w:shd w:val="clear"/>
        <w:ind w:firstLine="1178" w:firstLineChars="491"/>
        <w:rPr>
          <w:rFonts w:ascii="Times New Roman" w:eastAsia="宋体"/>
          <w:szCs w:val="24"/>
          <w:highlight w:val="none"/>
        </w:rPr>
      </w:pPr>
      <w:r>
        <w:rPr>
          <w:rFonts w:ascii="Times New Roman" w:eastAsia="宋体"/>
          <w:position w:val="-12"/>
          <w:szCs w:val="24"/>
          <w:highlight w:val="none"/>
        </w:rPr>
        <w:object>
          <v:shape id="_x0000_i1039" o:spt="75" type="#_x0000_t75" style="height:17.4pt;width:19.85pt;" o:ole="t" filled="f" o:preferrelative="t" stroked="f" coordsize="21600,21600">
            <v:path/>
            <v:fill on="f" focussize="0,0"/>
            <v:stroke on="f" joinstyle="miter"/>
            <v:imagedata r:id="rId49" o:title=""/>
            <o:lock v:ext="edit" aspectratio="t"/>
            <w10:wrap type="none"/>
            <w10:anchorlock/>
          </v:shape>
          <o:OLEObject Type="Embed" ProgID="Equation.3" ShapeID="_x0000_i1039" DrawAspect="Content" ObjectID="_1468075739" r:id="rId48">
            <o:LockedField>false</o:LockedField>
          </o:OLEObject>
        </w:object>
      </w:r>
      <w:r>
        <w:rPr>
          <w:rFonts w:ascii="Times New Roman" w:eastAsia="宋体"/>
          <w:szCs w:val="24"/>
          <w:highlight w:val="none"/>
          <w:vertAlign w:val="subscript"/>
        </w:rPr>
        <w:t>————</w:t>
      </w:r>
      <w:r>
        <w:rPr>
          <w:rFonts w:ascii="Times New Roman" w:eastAsia="宋体"/>
          <w:szCs w:val="24"/>
          <w:highlight w:val="none"/>
          <w:lang w:val="zh-CN"/>
        </w:rPr>
        <w:t>由各导线的虚部电荷在该点产生场强的水平分量；</w:t>
      </w:r>
    </w:p>
    <w:p w14:paraId="38B5764F">
      <w:pPr>
        <w:pStyle w:val="106"/>
        <w:shd w:val="clear"/>
        <w:ind w:firstLine="1178" w:firstLineChars="491"/>
        <w:rPr>
          <w:rFonts w:ascii="Times New Roman" w:eastAsia="宋体"/>
          <w:szCs w:val="24"/>
          <w:highlight w:val="none"/>
        </w:rPr>
      </w:pPr>
      <w:r>
        <w:rPr>
          <w:rFonts w:ascii="Times New Roman" w:eastAsia="宋体"/>
          <w:position w:val="-14"/>
          <w:szCs w:val="24"/>
          <w:highlight w:val="none"/>
        </w:rPr>
        <w:object>
          <v:shape id="_x0000_i1040" o:spt="75" type="#_x0000_t75" style="height:19.85pt;width:19.85pt;" o:ole="t" filled="f" o:preferrelative="t" stroked="f" coordsize="21600,21600">
            <v:path/>
            <v:fill on="f" focussize="0,0"/>
            <v:stroke on="f" joinstyle="miter"/>
            <v:imagedata r:id="rId51" o:title=""/>
            <o:lock v:ext="edit" aspectratio="t"/>
            <w10:wrap type="none"/>
            <w10:anchorlock/>
          </v:shape>
          <o:OLEObject Type="Embed" ProgID="Equation.3" ShapeID="_x0000_i1040" DrawAspect="Content" ObjectID="_1468075740" r:id="rId50">
            <o:LockedField>false</o:LockedField>
          </o:OLEObject>
        </w:object>
      </w:r>
      <w:r>
        <w:rPr>
          <w:rFonts w:ascii="Times New Roman" w:eastAsia="宋体"/>
          <w:szCs w:val="24"/>
          <w:highlight w:val="none"/>
          <w:vertAlign w:val="subscript"/>
        </w:rPr>
        <w:t>————</w:t>
      </w:r>
      <w:r>
        <w:rPr>
          <w:rFonts w:ascii="Times New Roman" w:eastAsia="宋体"/>
          <w:szCs w:val="24"/>
          <w:highlight w:val="none"/>
          <w:lang w:val="zh-CN"/>
        </w:rPr>
        <w:t>由各导线的实部电荷在该点产生场强的垂直分量；</w:t>
      </w:r>
    </w:p>
    <w:p w14:paraId="24887C42">
      <w:pPr>
        <w:pStyle w:val="106"/>
        <w:shd w:val="clear"/>
        <w:ind w:firstLine="1178" w:firstLineChars="491"/>
        <w:rPr>
          <w:rFonts w:ascii="Times New Roman" w:eastAsia="宋体"/>
          <w:szCs w:val="24"/>
          <w:highlight w:val="none"/>
        </w:rPr>
      </w:pPr>
      <w:r>
        <w:rPr>
          <w:rFonts w:ascii="Times New Roman" w:eastAsia="宋体"/>
          <w:position w:val="-14"/>
          <w:szCs w:val="24"/>
          <w:highlight w:val="none"/>
        </w:rPr>
        <w:object>
          <v:shape id="_x0000_i1041" o:spt="75" type="#_x0000_t75" style="height:19.85pt;width:19.85pt;" o:ole="t" filled="f" o:preferrelative="t" stroked="f" coordsize="21600,21600">
            <v:path/>
            <v:fill on="f" focussize="0,0"/>
            <v:stroke on="f" joinstyle="miter"/>
            <v:imagedata r:id="rId53" o:title=""/>
            <o:lock v:ext="edit" aspectratio="t"/>
            <w10:wrap type="none"/>
            <w10:anchorlock/>
          </v:shape>
          <o:OLEObject Type="Embed" ProgID="Equation.3" ShapeID="_x0000_i1041" DrawAspect="Content" ObjectID="_1468075741" r:id="rId52">
            <o:LockedField>false</o:LockedField>
          </o:OLEObject>
        </w:object>
      </w:r>
      <w:r>
        <w:rPr>
          <w:rFonts w:ascii="Times New Roman" w:eastAsia="宋体"/>
          <w:szCs w:val="24"/>
          <w:highlight w:val="none"/>
          <w:vertAlign w:val="subscript"/>
        </w:rPr>
        <w:t>————</w:t>
      </w:r>
      <w:r>
        <w:rPr>
          <w:rFonts w:ascii="Times New Roman" w:eastAsia="宋体"/>
          <w:szCs w:val="24"/>
          <w:highlight w:val="none"/>
          <w:lang w:val="zh-CN"/>
        </w:rPr>
        <w:t>由各导线的虚部电荷在该点产生场强的垂直分量。</w:t>
      </w:r>
    </w:p>
    <w:p w14:paraId="2313B55D">
      <w:pPr>
        <w:shd w:val="clear"/>
        <w:ind w:firstLine="480"/>
        <w:rPr>
          <w:highlight w:val="none"/>
          <w:lang w:val="zh-CN"/>
        </w:rPr>
      </w:pPr>
      <w:r>
        <w:rPr>
          <w:highlight w:val="none"/>
          <w:lang w:val="zh-CN"/>
        </w:rPr>
        <w:t>该点的合成的电场强度则为：</w:t>
      </w:r>
    </w:p>
    <w:p w14:paraId="46216BE7">
      <w:pPr>
        <w:pStyle w:val="104"/>
        <w:shd w:val="clear"/>
        <w:ind w:firstLine="2916" w:firstLineChars="1215"/>
        <w:rPr>
          <w:rStyle w:val="105"/>
          <w:rFonts w:ascii="Times New Roman" w:eastAsia="宋体" w:cs="Times New Roman"/>
          <w:szCs w:val="24"/>
          <w:highlight w:val="none"/>
        </w:rPr>
      </w:pPr>
      <w:r>
        <w:rPr>
          <w:rFonts w:ascii="Times New Roman" w:eastAsia="宋体" w:cs="Times New Roman"/>
          <w:position w:val="-12"/>
          <w:highlight w:val="none"/>
        </w:rPr>
        <w:object>
          <v:shape id="_x0000_i1042" o:spt="75" type="#_x0000_t75" style="height:22.35pt;width:91.85pt;" o:ole="t" filled="f" o:preferrelative="t" stroked="f" coordsize="21600,21600">
            <v:path/>
            <v:fill on="f" focussize="0,0"/>
            <v:stroke on="f" joinstyle="miter"/>
            <v:imagedata r:id="rId55" o:title=""/>
            <o:lock v:ext="edit" aspectratio="t"/>
            <w10:wrap type="none"/>
            <w10:anchorlock/>
          </v:shape>
          <o:OLEObject Type="Embed" ProgID="Equation.3" ShapeID="_x0000_i1042" DrawAspect="Content" ObjectID="_1468075742" r:id="rId54">
            <o:LockedField>false</o:LockedField>
          </o:OLEObject>
        </w:object>
      </w:r>
      <w:r>
        <w:rPr>
          <w:rStyle w:val="105"/>
          <w:rFonts w:ascii="Times New Roman" w:eastAsia="宋体" w:cs="Times New Roman"/>
          <w:szCs w:val="24"/>
          <w:highlight w:val="none"/>
        </w:rPr>
        <w:t xml:space="preserve"> + </w:t>
      </w:r>
      <w:r>
        <w:rPr>
          <w:rFonts w:ascii="Times New Roman" w:eastAsia="宋体" w:cs="Times New Roman"/>
          <w:position w:val="-14"/>
          <w:highlight w:val="none"/>
        </w:rPr>
        <w:object>
          <v:shape id="_x0000_i1043" o:spt="75" type="#_x0000_t75" style="height:22.35pt;width:67pt;" o:ole="t" filled="f" o:preferrelative="t" stroked="f" coordsize="21600,21600">
            <v:path/>
            <v:fill on="f" focussize="0,0"/>
            <v:stroke on="f" joinstyle="miter"/>
            <v:imagedata r:id="rId57" o:title=""/>
            <o:lock v:ext="edit" aspectratio="t"/>
            <w10:wrap type="none"/>
            <w10:anchorlock/>
          </v:shape>
          <o:OLEObject Type="Embed" ProgID="Equation.3" ShapeID="_x0000_i1043" DrawAspect="Content" ObjectID="_1468075743" r:id="rId56">
            <o:LockedField>false</o:LockedField>
          </o:OLEObject>
        </w:object>
      </w:r>
    </w:p>
    <w:p w14:paraId="0B3562D3">
      <w:pPr>
        <w:pStyle w:val="7"/>
        <w:shd w:val="clear"/>
        <w:ind w:firstLine="3151" w:firstLineChars="1313"/>
        <w:rPr>
          <w:rStyle w:val="105"/>
          <w:rFonts w:ascii="Times New Roman" w:eastAsia="宋体"/>
          <w:szCs w:val="24"/>
          <w:highlight w:val="none"/>
        </w:rPr>
      </w:pPr>
      <w:r>
        <w:rPr>
          <w:position w:val="-14"/>
          <w:highlight w:val="none"/>
        </w:rPr>
        <w:object>
          <v:shape id="_x0000_i1044" o:spt="75" type="#_x0000_t75" style="height:22.35pt;width:49.65pt;" o:ole="t" filled="f" o:preferrelative="t" stroked="f" coordsize="21600,21600">
            <v:path/>
            <v:fill on="f" focussize="0,0"/>
            <v:stroke on="f" joinstyle="miter"/>
            <v:imagedata r:id="rId59" o:title=""/>
            <o:lock v:ext="edit" aspectratio="t"/>
            <w10:wrap type="none"/>
            <w10:anchorlock/>
          </v:shape>
          <o:OLEObject Type="Embed" ProgID="Equation.3" ShapeID="_x0000_i1044" DrawAspect="Content" ObjectID="_1468075744" r:id="rId58">
            <o:LockedField>false</o:LockedField>
          </o:OLEObject>
        </w:object>
      </w:r>
      <w:r>
        <w:rPr>
          <w:rStyle w:val="105"/>
          <w:rFonts w:ascii="Times New Roman" w:eastAsia="宋体"/>
          <w:szCs w:val="24"/>
          <w:highlight w:val="none"/>
        </w:rPr>
        <w:tab/>
      </w:r>
      <w:r>
        <w:rPr>
          <w:highlight w:val="none"/>
        </w:rPr>
        <w:t xml:space="preserve">             </w:t>
      </w:r>
    </w:p>
    <w:p w14:paraId="1A1CED54">
      <w:pPr>
        <w:shd w:val="clear"/>
        <w:ind w:firstLine="480"/>
        <w:rPr>
          <w:highlight w:val="none"/>
          <w:lang w:val="zh-CN"/>
        </w:rPr>
      </w:pPr>
      <w:r>
        <w:rPr>
          <w:highlight w:val="none"/>
          <w:lang w:val="zh-CN"/>
        </w:rPr>
        <w:t>式中：</w:t>
      </w:r>
    </w:p>
    <w:p w14:paraId="62C97D97">
      <w:pPr>
        <w:pStyle w:val="104"/>
        <w:shd w:val="clear"/>
        <w:ind w:firstLine="2916" w:firstLineChars="1215"/>
        <w:rPr>
          <w:rStyle w:val="105"/>
          <w:rFonts w:ascii="Times New Roman" w:eastAsia="宋体" w:cs="Times New Roman"/>
          <w:szCs w:val="24"/>
          <w:highlight w:val="none"/>
        </w:rPr>
      </w:pPr>
      <w:r>
        <w:rPr>
          <w:rFonts w:ascii="Times New Roman" w:eastAsia="宋体" w:cs="Times New Roman"/>
          <w:position w:val="-14"/>
          <w:highlight w:val="none"/>
        </w:rPr>
        <w:object>
          <v:shape id="_x0000_i1045" o:spt="75" type="#_x0000_t75" style="height:22.35pt;width:83.2pt;" o:ole="t" filled="f" o:preferrelative="t" stroked="f" coordsize="21600,21600">
            <v:path/>
            <v:fill on="f" focussize="0,0"/>
            <v:stroke on="f" joinstyle="miter"/>
            <v:imagedata r:id="rId61" o:title=""/>
            <o:lock v:ext="edit" aspectratio="t"/>
            <w10:wrap type="none"/>
            <w10:anchorlock/>
          </v:shape>
          <o:OLEObject Type="Embed" ProgID="Equation.3" ShapeID="_x0000_i1045" DrawAspect="Content" ObjectID="_1468075745" r:id="rId60">
            <o:LockedField>false</o:LockedField>
          </o:OLEObject>
        </w:object>
      </w:r>
      <w:r>
        <w:rPr>
          <w:rFonts w:ascii="Times New Roman" w:eastAsia="宋体" w:cs="Times New Roman"/>
          <w:highlight w:val="none"/>
        </w:rPr>
        <w:t xml:space="preserve">             </w:t>
      </w:r>
    </w:p>
    <w:p w14:paraId="66E3EE08">
      <w:pPr>
        <w:shd w:val="clear"/>
        <w:autoSpaceDE w:val="0"/>
        <w:autoSpaceDN w:val="0"/>
        <w:spacing w:line="480" w:lineRule="exact"/>
        <w:ind w:firstLine="2880" w:firstLineChars="1200"/>
        <w:rPr>
          <w:highlight w:val="none"/>
        </w:rPr>
      </w:pPr>
      <w:r>
        <w:rPr>
          <w:position w:val="-16"/>
          <w:highlight w:val="none"/>
        </w:rPr>
        <w:object>
          <v:shape id="_x0000_i1046" o:spt="75" type="#_x0000_t75" style="height:22.35pt;width:83.15pt;" o:ole="t" filled="f" o:preferrelative="t" stroked="f" coordsize="21600,21600">
            <v:path/>
            <v:fill on="f" focussize="0,0"/>
            <v:stroke on="f" joinstyle="miter"/>
            <v:imagedata r:id="rId63" o:title=""/>
            <o:lock v:ext="edit" aspectratio="t"/>
            <w10:wrap type="none"/>
            <w10:anchorlock/>
          </v:shape>
          <o:OLEObject Type="Embed" ProgID="Equation.3" ShapeID="_x0000_i1046" DrawAspect="Content" ObjectID="_1468075746" r:id="rId62">
            <o:LockedField>false</o:LockedField>
          </o:OLEObject>
        </w:object>
      </w:r>
      <w:r>
        <w:rPr>
          <w:highlight w:val="none"/>
        </w:rPr>
        <w:t xml:space="preserve">              </w:t>
      </w:r>
    </w:p>
    <w:p w14:paraId="512FA37D">
      <w:pPr>
        <w:shd w:val="clear"/>
        <w:ind w:firstLine="480"/>
        <w:rPr>
          <w:highlight w:val="none"/>
          <w:lang w:val="zh-CN"/>
        </w:rPr>
      </w:pPr>
      <w:r>
        <w:rPr>
          <w:highlight w:val="none"/>
        </w:rPr>
        <w:t>②工频磁感应强度预测</w:t>
      </w:r>
    </w:p>
    <w:p w14:paraId="2B9FD28B">
      <w:pPr>
        <w:shd w:val="clear"/>
        <w:ind w:firstLine="480"/>
        <w:rPr>
          <w:highlight w:val="none"/>
          <w:lang w:val="zh-CN"/>
        </w:rPr>
      </w:pPr>
      <w:r>
        <w:rPr>
          <w:highlight w:val="none"/>
          <w:lang w:val="zh-CN"/>
        </w:rPr>
        <w:t>由于工频情况下电磁性能具有准静态特性，线路的磁场仅由电流产生。应用安培定律，将计算结果按矢量叠加，可得出导线周围的磁场强度。</w:t>
      </w:r>
    </w:p>
    <w:p w14:paraId="2D5CFA0F">
      <w:pPr>
        <w:shd w:val="clear"/>
        <w:ind w:firstLine="480"/>
        <w:rPr>
          <w:highlight w:val="none"/>
          <w:lang w:val="zh-CN"/>
        </w:rPr>
      </w:pPr>
      <w:r>
        <w:rPr>
          <w:highlight w:val="none"/>
          <w:lang w:val="zh-CN"/>
        </w:rPr>
        <w:t>和电场强度计算不同的是关于镜像导线的考虑，与导线所处高度相比这些镜像导线位于地下很深的距离d：</w:t>
      </w:r>
    </w:p>
    <w:p w14:paraId="62F1E9F0">
      <w:pPr>
        <w:pStyle w:val="106"/>
        <w:shd w:val="clear"/>
        <w:ind w:firstLine="2880" w:firstLineChars="1200"/>
        <w:rPr>
          <w:rFonts w:ascii="Times New Roman" w:eastAsia="宋体"/>
          <w:szCs w:val="24"/>
          <w:highlight w:val="none"/>
        </w:rPr>
      </w:pPr>
      <w:bookmarkStart w:id="531" w:name="_Toc141414704"/>
      <w:r>
        <w:rPr>
          <w:rFonts w:ascii="Times New Roman" w:eastAsia="宋体"/>
          <w:position w:val="-30"/>
          <w:szCs w:val="24"/>
          <w:highlight w:val="none"/>
        </w:rPr>
        <w:object>
          <v:shape id="_x0000_i1047" o:spt="75" type="#_x0000_t75" style="height:37.25pt;width:59.6pt;" o:ole="t" filled="f" o:preferrelative="t" stroked="f" coordsize="21600,21600">
            <v:path/>
            <v:fill on="f" focussize="0,0"/>
            <v:stroke on="f" joinstyle="miter"/>
            <v:imagedata r:id="rId65" o:title=""/>
            <o:lock v:ext="edit" aspectratio="t"/>
            <w10:wrap type="none"/>
            <w10:anchorlock/>
          </v:shape>
          <o:OLEObject Type="Embed" ProgID="Equation.3" ShapeID="_x0000_i1047" DrawAspect="Content" ObjectID="_1468075747" r:id="rId64">
            <o:LockedField>false</o:LockedField>
          </o:OLEObject>
        </w:object>
      </w:r>
      <w:r>
        <w:rPr>
          <w:rFonts w:ascii="Times New Roman" w:eastAsia="宋体"/>
          <w:szCs w:val="24"/>
          <w:highlight w:val="none"/>
        </w:rPr>
        <w:t xml:space="preserve"> (m)           </w:t>
      </w:r>
      <w:bookmarkEnd w:id="531"/>
    </w:p>
    <w:p w14:paraId="75A889E1">
      <w:pPr>
        <w:shd w:val="clear"/>
        <w:ind w:firstLine="480"/>
        <w:rPr>
          <w:highlight w:val="none"/>
        </w:rPr>
      </w:pPr>
      <w:r>
        <w:rPr>
          <w:highlight w:val="none"/>
          <w:lang w:val="zh-CN"/>
        </w:rPr>
        <w:t>式中：</w:t>
      </w:r>
      <w:r>
        <w:rPr>
          <w:highlight w:val="none"/>
        </w:rPr>
        <w:t>ρ——</w:t>
      </w:r>
      <w:r>
        <w:rPr>
          <w:highlight w:val="none"/>
          <w:lang w:val="zh-CN"/>
        </w:rPr>
        <w:t>大地电阻率</w:t>
      </w:r>
      <w:r>
        <w:rPr>
          <w:highlight w:val="none"/>
        </w:rPr>
        <w:t>，</w:t>
      </w:r>
      <w:r>
        <w:rPr>
          <w:position w:val="-6"/>
          <w:highlight w:val="none"/>
        </w:rPr>
        <w:object>
          <v:shape id="_x0000_i1048" o:spt="75" type="#_x0000_t75" style="height:14.9pt;width:29.8pt;" o:ole="t" filled="f" o:preferrelative="t" stroked="f" coordsize="21600,21600">
            <v:path/>
            <v:fill on="f" focussize="0,0"/>
            <v:stroke on="f" joinstyle="miter"/>
            <v:imagedata r:id="rId67" o:title=""/>
            <o:lock v:ext="edit" aspectratio="t"/>
            <w10:wrap type="none"/>
            <w10:anchorlock/>
          </v:shape>
          <o:OLEObject Type="Embed" ProgID="Equation.3" ShapeID="_x0000_i1048" DrawAspect="Content" ObjectID="_1468075748" r:id="rId66">
            <o:LockedField>false</o:LockedField>
          </o:OLEObject>
        </w:object>
      </w:r>
      <w:r>
        <w:rPr>
          <w:highlight w:val="none"/>
        </w:rPr>
        <w:t>；</w:t>
      </w:r>
    </w:p>
    <w:p w14:paraId="5DBE79F1">
      <w:pPr>
        <w:shd w:val="clear"/>
        <w:ind w:firstLine="1200" w:firstLineChars="500"/>
        <w:rPr>
          <w:highlight w:val="none"/>
        </w:rPr>
      </w:pPr>
      <w:r>
        <w:rPr>
          <w:highlight w:val="none"/>
        </w:rPr>
        <w:t>f——</w:t>
      </w:r>
      <w:r>
        <w:rPr>
          <w:highlight w:val="none"/>
          <w:lang w:val="zh-CN"/>
        </w:rPr>
        <w:t>频率，</w:t>
      </w:r>
      <w:r>
        <w:rPr>
          <w:highlight w:val="none"/>
        </w:rPr>
        <w:t>Hz。</w:t>
      </w:r>
    </w:p>
    <w:p w14:paraId="6F590078">
      <w:pPr>
        <w:shd w:val="clear"/>
        <w:ind w:firstLine="480"/>
        <w:rPr>
          <w:highlight w:val="none"/>
          <w:lang w:val="zh-CN"/>
        </w:rPr>
      </w:pPr>
      <w:r>
        <w:rPr>
          <w:highlight w:val="none"/>
          <w:lang w:val="zh-CN"/>
        </w:rPr>
        <w:t>在很多情况下，只考虑处于空间的实际导线，忽略它的镜像进行计算，其结果已足够符合实际。如图3</w:t>
      </w:r>
      <w:r>
        <w:rPr>
          <w:highlight w:val="none"/>
        </w:rPr>
        <w:t>.1</w:t>
      </w:r>
      <w:r>
        <w:rPr>
          <w:highlight w:val="none"/>
          <w:lang w:val="zh-CN"/>
        </w:rPr>
        <w:t>-4，考虑导线i的镜像时，可计算在A点其产生的磁场强度：</w:t>
      </w:r>
    </w:p>
    <w:p w14:paraId="4473E757">
      <w:pPr>
        <w:pStyle w:val="7"/>
        <w:shd w:val="clear"/>
        <w:ind w:firstLine="2880" w:firstLineChars="1200"/>
        <w:rPr>
          <w:rStyle w:val="105"/>
          <w:rFonts w:ascii="Times New Roman" w:eastAsia="宋体"/>
          <w:szCs w:val="24"/>
          <w:highlight w:val="none"/>
        </w:rPr>
      </w:pPr>
      <w:r>
        <w:rPr>
          <w:position w:val="-4"/>
          <w:highlight w:val="none"/>
        </w:rPr>
        <w:object>
          <v:shape id="_x0000_i1049" o:spt="75" type="#_x0000_t75" style="height:12.4pt;width:12.4pt;" o:ole="t" filled="f" o:preferrelative="t" stroked="f" coordsize="21600,21600">
            <v:path/>
            <v:fill on="f" focussize="0,0"/>
            <v:stroke on="f" joinstyle="miter"/>
            <v:imagedata r:id="rId69" o:title=""/>
            <o:lock v:ext="edit" aspectratio="t"/>
            <w10:wrap type="none"/>
            <w10:anchorlock/>
          </v:shape>
          <o:OLEObject Type="Embed" ProgID="Equation.3" ShapeID="_x0000_i1049" DrawAspect="Content" ObjectID="_1468075749" r:id="rId68">
            <o:LockedField>false</o:LockedField>
          </o:OLEObject>
        </w:object>
      </w:r>
      <w:r>
        <w:rPr>
          <w:highlight w:val="none"/>
        </w:rPr>
        <w:t>＝</w:t>
      </w:r>
      <w:r>
        <w:rPr>
          <w:position w:val="-30"/>
          <w:highlight w:val="none"/>
        </w:rPr>
        <w:object>
          <v:shape id="_x0000_i1050" o:spt="75" type="#_x0000_t75" style="height:34.75pt;width:62.05pt;" o:ole="t" filled="f" o:preferrelative="t" stroked="f" coordsize="21600,21600">
            <v:path/>
            <v:fill on="f" focussize="0,0"/>
            <v:stroke on="f" joinstyle="miter"/>
            <v:imagedata r:id="rId71" o:title=""/>
            <o:lock v:ext="edit" aspectratio="t"/>
            <w10:wrap type="none"/>
            <w10:anchorlock/>
          </v:shape>
          <o:OLEObject Type="Embed" ProgID="Equation.3" ShapeID="_x0000_i1050" DrawAspect="Content" ObjectID="_1468075750" r:id="rId70">
            <o:LockedField>false</o:LockedField>
          </o:OLEObject>
        </w:object>
      </w:r>
      <w:r>
        <w:rPr>
          <w:highlight w:val="none"/>
        </w:rPr>
        <w:t xml:space="preserve"> (A/m)  </w:t>
      </w:r>
    </w:p>
    <w:p w14:paraId="2D7ED63D">
      <w:pPr>
        <w:shd w:val="clear"/>
        <w:ind w:firstLine="480"/>
        <w:rPr>
          <w:highlight w:val="none"/>
          <w:lang w:val="zh-CN"/>
        </w:rPr>
      </w:pPr>
      <w:r>
        <w:rPr>
          <w:highlight w:val="none"/>
          <w:lang w:val="zh-CN"/>
        </w:rPr>
        <w:t>式中：</w:t>
      </w:r>
      <w:r>
        <w:rPr>
          <w:i/>
          <w:highlight w:val="none"/>
          <w:lang w:val="zh-CN"/>
        </w:rPr>
        <w:t>I</w:t>
      </w:r>
      <w:r>
        <w:rPr>
          <w:highlight w:val="none"/>
          <w:lang w:val="zh-CN"/>
        </w:rPr>
        <w:t>——导线i中的电流值，A；</w:t>
      </w:r>
    </w:p>
    <w:p w14:paraId="75EDAFA2">
      <w:pPr>
        <w:shd w:val="clear"/>
        <w:ind w:firstLine="1200" w:firstLineChars="500"/>
        <w:rPr>
          <w:highlight w:val="none"/>
          <w:lang w:val="zh-CN"/>
        </w:rPr>
      </w:pPr>
      <w:r>
        <w:rPr>
          <w:i/>
          <w:highlight w:val="none"/>
          <w:lang w:val="zh-CN"/>
        </w:rPr>
        <w:t>h</w:t>
      </w:r>
      <w:r>
        <w:rPr>
          <w:highlight w:val="none"/>
          <w:lang w:val="zh-CN"/>
        </w:rPr>
        <w:t>——导线与预测点的高差，m；</w:t>
      </w:r>
    </w:p>
    <w:p w14:paraId="3A77D303">
      <w:pPr>
        <w:shd w:val="clear"/>
        <w:ind w:firstLine="1200" w:firstLineChars="500"/>
        <w:rPr>
          <w:highlight w:val="none"/>
          <w:lang w:val="zh-CN"/>
        </w:rPr>
      </w:pPr>
      <w:r>
        <w:rPr>
          <w:i/>
          <w:highlight w:val="none"/>
          <w:lang w:val="zh-CN"/>
        </w:rPr>
        <w:t>L</w:t>
      </w:r>
      <w:r>
        <w:rPr>
          <w:highlight w:val="none"/>
          <w:lang w:val="zh-CN"/>
        </w:rPr>
        <w:t xml:space="preserve"> ——导线与预测点水平距离，m。</w:t>
      </w:r>
    </w:p>
    <w:p w14:paraId="21E6E8FE">
      <w:pPr>
        <w:shd w:val="clear"/>
        <w:ind w:firstLine="480"/>
        <w:rPr>
          <w:highlight w:val="none"/>
          <w:lang w:val="zh-CN"/>
        </w:rPr>
      </w:pPr>
      <w:r>
        <w:rPr>
          <w:highlight w:val="none"/>
          <w:lang w:val="zh-CN"/>
        </w:rPr>
        <w:t>对于三相线路，由相位不同形成的磁场强度水平和垂直分量都应分别考虑电流间的相角，按相位矢量来合成。合成的旋转矢量在空间的轨迹是一个椭圆。</w:t>
      </w:r>
    </w:p>
    <w:p w14:paraId="32851604">
      <w:pPr>
        <w:pStyle w:val="7"/>
        <w:shd w:val="clear"/>
        <w:ind w:firstLine="480"/>
        <w:jc w:val="center"/>
        <w:rPr>
          <w:highlight w:val="none"/>
        </w:rPr>
      </w:pPr>
      <w:r>
        <w:rPr>
          <w:highlight w:val="none"/>
        </w:rPr>
        <w:t xml:space="preserve"> </w:t>
      </w:r>
      <w:r>
        <w:rPr>
          <w:highlight w:val="none"/>
        </w:rPr>
        <w:drawing>
          <wp:inline distT="0" distB="0" distL="114300" distR="114300">
            <wp:extent cx="2388235" cy="1850390"/>
            <wp:effectExtent l="0" t="0" r="12065" b="16510"/>
            <wp:docPr id="14" name="图片 3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0" descr="05"/>
                    <pic:cNvPicPr>
                      <a:picLocks noChangeAspect="1"/>
                    </pic:cNvPicPr>
                  </pic:nvPicPr>
                  <pic:blipFill>
                    <a:blip r:embed="rId72"/>
                    <a:stretch>
                      <a:fillRect/>
                    </a:stretch>
                  </pic:blipFill>
                  <pic:spPr>
                    <a:xfrm>
                      <a:off x="0" y="0"/>
                      <a:ext cx="2388235" cy="1850390"/>
                    </a:xfrm>
                    <a:prstGeom prst="rect">
                      <a:avLst/>
                    </a:prstGeom>
                    <a:noFill/>
                    <a:ln>
                      <a:noFill/>
                    </a:ln>
                  </pic:spPr>
                </pic:pic>
              </a:graphicData>
            </a:graphic>
          </wp:inline>
        </w:drawing>
      </w:r>
    </w:p>
    <w:p w14:paraId="36AA64B5">
      <w:pPr>
        <w:pStyle w:val="5"/>
        <w:shd w:val="clear"/>
        <w:ind w:firstLine="3162" w:firstLineChars="1500"/>
        <w:rPr>
          <w:highlight w:val="none"/>
        </w:rPr>
      </w:pPr>
      <w:bookmarkStart w:id="532" w:name="_Toc185260014"/>
      <w:r>
        <w:rPr>
          <w:highlight w:val="none"/>
        </w:rPr>
        <w:t>图3.1-4  磁场向量图</w:t>
      </w:r>
      <w:bookmarkEnd w:id="532"/>
    </w:p>
    <w:p w14:paraId="41E631A5">
      <w:pPr>
        <w:pStyle w:val="4"/>
        <w:shd w:val="clear"/>
        <w:ind w:firstLine="482"/>
        <w:rPr>
          <w:highlight w:val="none"/>
        </w:rPr>
      </w:pPr>
      <w:bookmarkStart w:id="533" w:name="_Toc22779"/>
      <w:r>
        <w:rPr>
          <w:highlight w:val="none"/>
        </w:rPr>
        <w:t>3.1.2计算所需参数</w:t>
      </w:r>
      <w:bookmarkEnd w:id="533"/>
    </w:p>
    <w:p w14:paraId="370B6221">
      <w:pPr>
        <w:shd w:val="clear"/>
        <w:ind w:firstLine="480"/>
        <w:rPr>
          <w:highlight w:val="none"/>
          <w:lang w:val="zh-CN"/>
        </w:rPr>
      </w:pPr>
      <w:bookmarkStart w:id="534" w:name="_Toc29909"/>
      <w:r>
        <w:rPr>
          <w:highlight w:val="none"/>
          <w:lang w:val="zh-CN"/>
        </w:rPr>
        <w:t>本次环评将对输电线路进行预测。综合比较各种塔型的参数，本次评价选择导线相间距最大的不利塔型进行理论计算，单回路塔型：110-DD21D-ZM3，绝缘子串按1.8m计。计算参数详见表3</w:t>
      </w:r>
      <w:r>
        <w:rPr>
          <w:rFonts w:hint="eastAsia"/>
          <w:highlight w:val="none"/>
        </w:rPr>
        <w:t>.1-1</w:t>
      </w:r>
      <w:r>
        <w:rPr>
          <w:highlight w:val="none"/>
          <w:lang w:val="zh-CN"/>
        </w:rPr>
        <w:t>。</w:t>
      </w:r>
    </w:p>
    <w:p w14:paraId="4AC06800">
      <w:pPr>
        <w:pStyle w:val="5"/>
        <w:shd w:val="clear"/>
        <w:ind w:firstLine="422"/>
        <w:rPr>
          <w:highlight w:val="none"/>
          <w:lang w:val="zh-CN"/>
        </w:rPr>
      </w:pPr>
      <w:r>
        <w:rPr>
          <w:highlight w:val="none"/>
          <w:lang w:val="zh-CN"/>
        </w:rPr>
        <w:t>表3</w:t>
      </w:r>
      <w:r>
        <w:rPr>
          <w:rFonts w:hint="eastAsia"/>
          <w:highlight w:val="none"/>
        </w:rPr>
        <w:t>.1-1</w:t>
      </w:r>
      <w:r>
        <w:rPr>
          <w:highlight w:val="none"/>
          <w:lang w:val="zh-CN"/>
        </w:rPr>
        <w:t xml:space="preserve">          本项目110kV单回路线路段计算参数</w:t>
      </w:r>
    </w:p>
    <w:tbl>
      <w:tblPr>
        <w:tblStyle w:val="33"/>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3351"/>
        <w:gridCol w:w="5935"/>
      </w:tblGrid>
      <w:tr w14:paraId="19EF7E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5262A3F0">
            <w:pPr>
              <w:shd w:val="clear"/>
              <w:spacing w:line="240" w:lineRule="auto"/>
              <w:ind w:firstLine="0" w:firstLineChars="0"/>
              <w:jc w:val="center"/>
              <w:rPr>
                <w:sz w:val="21"/>
                <w:szCs w:val="21"/>
                <w:highlight w:val="none"/>
                <w:lang w:val="zh-CN"/>
              </w:rPr>
            </w:pPr>
            <w:r>
              <w:rPr>
                <w:sz w:val="21"/>
                <w:szCs w:val="21"/>
                <w:highlight w:val="none"/>
                <w:lang w:val="zh-CN"/>
              </w:rPr>
              <w:t>线路</w:t>
            </w:r>
          </w:p>
        </w:tc>
        <w:tc>
          <w:tcPr>
            <w:tcW w:w="3195" w:type="pct"/>
            <w:tcBorders>
              <w:tl2br w:val="nil"/>
              <w:tr2bl w:val="nil"/>
            </w:tcBorders>
            <w:vAlign w:val="center"/>
          </w:tcPr>
          <w:p w14:paraId="2D380328">
            <w:pPr>
              <w:shd w:val="clear"/>
              <w:spacing w:line="240" w:lineRule="auto"/>
              <w:ind w:firstLine="0" w:firstLineChars="0"/>
              <w:jc w:val="center"/>
              <w:rPr>
                <w:sz w:val="21"/>
                <w:szCs w:val="21"/>
                <w:highlight w:val="none"/>
                <w:lang w:val="zh-CN"/>
              </w:rPr>
            </w:pPr>
            <w:r>
              <w:rPr>
                <w:sz w:val="21"/>
                <w:szCs w:val="21"/>
                <w:highlight w:val="none"/>
                <w:lang w:val="zh-CN"/>
              </w:rPr>
              <w:t>110kV单回线路</w:t>
            </w:r>
          </w:p>
        </w:tc>
      </w:tr>
      <w:tr w14:paraId="18E65F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13D6FE6E">
            <w:pPr>
              <w:shd w:val="clear"/>
              <w:spacing w:line="240" w:lineRule="auto"/>
              <w:ind w:firstLine="0" w:firstLineChars="0"/>
              <w:jc w:val="center"/>
              <w:rPr>
                <w:sz w:val="21"/>
                <w:szCs w:val="21"/>
                <w:highlight w:val="none"/>
                <w:lang w:val="zh-CN"/>
              </w:rPr>
            </w:pPr>
            <w:r>
              <w:rPr>
                <w:sz w:val="21"/>
                <w:szCs w:val="21"/>
                <w:highlight w:val="none"/>
                <w:lang w:val="zh-CN"/>
              </w:rPr>
              <w:t>采用塔型</w:t>
            </w:r>
          </w:p>
        </w:tc>
        <w:tc>
          <w:tcPr>
            <w:tcW w:w="3195" w:type="pct"/>
            <w:tcBorders>
              <w:tl2br w:val="nil"/>
              <w:tr2bl w:val="nil"/>
            </w:tcBorders>
            <w:vAlign w:val="center"/>
          </w:tcPr>
          <w:p w14:paraId="39EB8A91">
            <w:pPr>
              <w:shd w:val="clear"/>
              <w:spacing w:line="240" w:lineRule="auto"/>
              <w:ind w:firstLine="0" w:firstLineChars="0"/>
              <w:jc w:val="center"/>
              <w:rPr>
                <w:sz w:val="21"/>
                <w:szCs w:val="21"/>
                <w:highlight w:val="none"/>
                <w:lang w:val="zh-CN"/>
              </w:rPr>
            </w:pPr>
            <w:r>
              <w:rPr>
                <w:sz w:val="21"/>
                <w:szCs w:val="21"/>
                <w:highlight w:val="none"/>
                <w:lang w:val="zh-CN"/>
              </w:rPr>
              <w:t>110-DD21D-ZM3</w:t>
            </w:r>
          </w:p>
        </w:tc>
      </w:tr>
      <w:tr w14:paraId="4DBCF1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58FC7D57">
            <w:pPr>
              <w:shd w:val="clear"/>
              <w:spacing w:line="240" w:lineRule="auto"/>
              <w:ind w:firstLine="0" w:firstLineChars="0"/>
              <w:jc w:val="center"/>
              <w:rPr>
                <w:sz w:val="21"/>
                <w:szCs w:val="21"/>
                <w:highlight w:val="none"/>
                <w:lang w:val="zh-CN"/>
              </w:rPr>
            </w:pPr>
            <w:r>
              <w:rPr>
                <w:sz w:val="21"/>
                <w:szCs w:val="21"/>
                <w:highlight w:val="none"/>
                <w:lang w:val="zh-CN"/>
              </w:rPr>
              <w:t>相序排列方式</w:t>
            </w:r>
          </w:p>
        </w:tc>
        <w:tc>
          <w:tcPr>
            <w:tcW w:w="3195" w:type="pct"/>
            <w:tcBorders>
              <w:tl2br w:val="nil"/>
              <w:tr2bl w:val="nil"/>
            </w:tcBorders>
            <w:vAlign w:val="center"/>
          </w:tcPr>
          <w:p w14:paraId="6961610C">
            <w:pPr>
              <w:shd w:val="clear"/>
              <w:spacing w:line="240" w:lineRule="auto"/>
              <w:ind w:firstLine="0" w:firstLineChars="0"/>
              <w:jc w:val="center"/>
              <w:rPr>
                <w:sz w:val="21"/>
                <w:szCs w:val="21"/>
                <w:highlight w:val="none"/>
                <w:lang w:val="zh-CN"/>
              </w:rPr>
            </w:pPr>
            <w:r>
              <w:rPr>
                <w:sz w:val="21"/>
                <w:szCs w:val="21"/>
                <w:highlight w:val="none"/>
                <w:lang w:val="zh-CN"/>
              </w:rPr>
              <w:t>三角排列（B相在上，A、C在下）</w:t>
            </w:r>
          </w:p>
        </w:tc>
      </w:tr>
      <w:tr w14:paraId="5A28E2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648CF03D">
            <w:pPr>
              <w:shd w:val="clear"/>
              <w:spacing w:line="240" w:lineRule="auto"/>
              <w:ind w:firstLine="0" w:firstLineChars="0"/>
              <w:jc w:val="center"/>
              <w:rPr>
                <w:sz w:val="21"/>
                <w:szCs w:val="21"/>
                <w:highlight w:val="none"/>
                <w:lang w:val="zh-CN"/>
              </w:rPr>
            </w:pPr>
            <w:r>
              <w:rPr>
                <w:sz w:val="21"/>
                <w:szCs w:val="21"/>
                <w:highlight w:val="none"/>
                <w:lang w:val="zh-CN"/>
              </w:rPr>
              <w:t>导线型号</w:t>
            </w:r>
          </w:p>
        </w:tc>
        <w:tc>
          <w:tcPr>
            <w:tcW w:w="3195" w:type="pct"/>
            <w:tcBorders>
              <w:tl2br w:val="nil"/>
              <w:tr2bl w:val="nil"/>
            </w:tcBorders>
            <w:vAlign w:val="center"/>
          </w:tcPr>
          <w:p w14:paraId="0DE951D1">
            <w:pPr>
              <w:shd w:val="clear"/>
              <w:spacing w:line="240" w:lineRule="auto"/>
              <w:ind w:firstLine="0" w:firstLineChars="0"/>
              <w:jc w:val="center"/>
              <w:rPr>
                <w:sz w:val="21"/>
                <w:szCs w:val="21"/>
                <w:highlight w:val="none"/>
                <w:lang w:val="zh-CN"/>
              </w:rPr>
            </w:pPr>
            <w:r>
              <w:rPr>
                <w:sz w:val="21"/>
                <w:szCs w:val="21"/>
                <w:highlight w:val="none"/>
                <w:lang w:val="zh-CN"/>
              </w:rPr>
              <w:t>JL/G1A-240/</w:t>
            </w:r>
            <w:r>
              <w:rPr>
                <w:rFonts w:hint="eastAsia"/>
                <w:sz w:val="21"/>
                <w:szCs w:val="21"/>
                <w:highlight w:val="none"/>
                <w:lang w:val="en-US" w:eastAsia="zh-CN"/>
              </w:rPr>
              <w:t>4</w:t>
            </w:r>
            <w:r>
              <w:rPr>
                <w:sz w:val="21"/>
                <w:szCs w:val="21"/>
                <w:highlight w:val="none"/>
                <w:lang w:val="zh-CN"/>
              </w:rPr>
              <w:t>0型</w:t>
            </w:r>
          </w:p>
        </w:tc>
      </w:tr>
      <w:tr w14:paraId="67F8A5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6D86FF13">
            <w:pPr>
              <w:shd w:val="clear"/>
              <w:spacing w:line="240" w:lineRule="auto"/>
              <w:ind w:firstLine="0" w:firstLineChars="0"/>
              <w:jc w:val="center"/>
              <w:rPr>
                <w:sz w:val="21"/>
                <w:szCs w:val="21"/>
                <w:highlight w:val="none"/>
                <w:lang w:val="zh-CN"/>
              </w:rPr>
            </w:pPr>
            <w:r>
              <w:rPr>
                <w:sz w:val="21"/>
                <w:szCs w:val="21"/>
                <w:highlight w:val="none"/>
                <w:lang w:val="zh-CN"/>
              </w:rPr>
              <w:t>导线外径</w:t>
            </w:r>
          </w:p>
        </w:tc>
        <w:tc>
          <w:tcPr>
            <w:tcW w:w="3195" w:type="pct"/>
            <w:tcBorders>
              <w:tl2br w:val="nil"/>
              <w:tr2bl w:val="nil"/>
            </w:tcBorders>
            <w:vAlign w:val="center"/>
          </w:tcPr>
          <w:p w14:paraId="6EF47848">
            <w:pPr>
              <w:shd w:val="clear"/>
              <w:spacing w:line="240" w:lineRule="auto"/>
              <w:ind w:firstLine="0" w:firstLineChars="0"/>
              <w:jc w:val="center"/>
              <w:rPr>
                <w:sz w:val="21"/>
                <w:szCs w:val="21"/>
                <w:highlight w:val="none"/>
                <w:lang w:val="zh-CN"/>
              </w:rPr>
            </w:pPr>
            <w:r>
              <w:rPr>
                <w:sz w:val="21"/>
                <w:szCs w:val="21"/>
                <w:highlight w:val="none"/>
                <w:lang w:val="zh-CN"/>
              </w:rPr>
              <w:t>21.</w:t>
            </w:r>
            <w:r>
              <w:rPr>
                <w:rFonts w:hint="eastAsia"/>
                <w:sz w:val="21"/>
                <w:szCs w:val="21"/>
                <w:highlight w:val="none"/>
                <w:lang w:val="en-US" w:eastAsia="zh-CN"/>
              </w:rPr>
              <w:t>7</w:t>
            </w:r>
            <w:r>
              <w:rPr>
                <w:sz w:val="21"/>
                <w:szCs w:val="21"/>
                <w:highlight w:val="none"/>
                <w:lang w:val="zh-CN"/>
              </w:rPr>
              <w:t>mm</w:t>
            </w:r>
          </w:p>
        </w:tc>
      </w:tr>
      <w:tr w14:paraId="097C71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48F7FFD0">
            <w:pPr>
              <w:shd w:val="clear"/>
              <w:spacing w:line="240" w:lineRule="auto"/>
              <w:ind w:firstLine="0" w:firstLineChars="0"/>
              <w:jc w:val="center"/>
              <w:rPr>
                <w:sz w:val="21"/>
                <w:szCs w:val="21"/>
                <w:highlight w:val="none"/>
                <w:lang w:val="zh-CN"/>
              </w:rPr>
            </w:pPr>
            <w:r>
              <w:rPr>
                <w:sz w:val="21"/>
                <w:szCs w:val="21"/>
                <w:highlight w:val="none"/>
                <w:lang w:val="zh-CN"/>
              </w:rPr>
              <w:t>地线外径</w:t>
            </w:r>
          </w:p>
        </w:tc>
        <w:tc>
          <w:tcPr>
            <w:tcW w:w="3195" w:type="pct"/>
            <w:tcBorders>
              <w:tl2br w:val="nil"/>
              <w:tr2bl w:val="nil"/>
            </w:tcBorders>
            <w:vAlign w:val="center"/>
          </w:tcPr>
          <w:p w14:paraId="6D1DA9F9">
            <w:pPr>
              <w:shd w:val="clear"/>
              <w:spacing w:line="240" w:lineRule="auto"/>
              <w:ind w:firstLine="0" w:firstLineChars="0"/>
              <w:jc w:val="center"/>
              <w:rPr>
                <w:sz w:val="21"/>
                <w:szCs w:val="21"/>
                <w:highlight w:val="none"/>
                <w:lang w:val="zh-CN"/>
              </w:rPr>
            </w:pPr>
            <w:r>
              <w:rPr>
                <w:rFonts w:hint="eastAsia"/>
                <w:sz w:val="21"/>
                <w:szCs w:val="21"/>
                <w:highlight w:val="none"/>
                <w:lang w:val="en-US" w:eastAsia="zh-CN"/>
              </w:rPr>
              <w:t>12.3</w:t>
            </w:r>
            <w:r>
              <w:rPr>
                <w:sz w:val="21"/>
                <w:szCs w:val="21"/>
                <w:highlight w:val="none"/>
                <w:lang w:val="zh-CN"/>
              </w:rPr>
              <w:t>mm</w:t>
            </w:r>
          </w:p>
        </w:tc>
      </w:tr>
      <w:tr w14:paraId="134B2F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0624506E">
            <w:pPr>
              <w:shd w:val="clear"/>
              <w:spacing w:line="240" w:lineRule="auto"/>
              <w:ind w:firstLine="0" w:firstLineChars="0"/>
              <w:jc w:val="center"/>
              <w:rPr>
                <w:sz w:val="21"/>
                <w:szCs w:val="21"/>
                <w:highlight w:val="none"/>
                <w:lang w:val="zh-CN"/>
              </w:rPr>
            </w:pPr>
            <w:r>
              <w:rPr>
                <w:sz w:val="21"/>
                <w:szCs w:val="21"/>
                <w:highlight w:val="none"/>
                <w:lang w:val="zh-CN"/>
              </w:rPr>
              <w:t>预测电压</w:t>
            </w:r>
          </w:p>
        </w:tc>
        <w:tc>
          <w:tcPr>
            <w:tcW w:w="3195" w:type="pct"/>
            <w:tcBorders>
              <w:tl2br w:val="nil"/>
              <w:tr2bl w:val="nil"/>
            </w:tcBorders>
            <w:vAlign w:val="center"/>
          </w:tcPr>
          <w:p w14:paraId="3A2E4D99">
            <w:pPr>
              <w:shd w:val="clear"/>
              <w:spacing w:line="240" w:lineRule="auto"/>
              <w:ind w:firstLine="0" w:firstLineChars="0"/>
              <w:jc w:val="center"/>
              <w:rPr>
                <w:sz w:val="21"/>
                <w:szCs w:val="21"/>
                <w:highlight w:val="none"/>
                <w:lang w:val="zh-CN"/>
              </w:rPr>
            </w:pPr>
            <w:r>
              <w:rPr>
                <w:sz w:val="21"/>
                <w:szCs w:val="21"/>
                <w:highlight w:val="none"/>
                <w:lang w:val="zh-CN"/>
              </w:rPr>
              <w:t>115.5kV</w:t>
            </w:r>
          </w:p>
        </w:tc>
      </w:tr>
      <w:tr w14:paraId="252CD1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465B29E0">
            <w:pPr>
              <w:shd w:val="clear"/>
              <w:spacing w:line="240" w:lineRule="auto"/>
              <w:ind w:firstLine="0" w:firstLineChars="0"/>
              <w:jc w:val="center"/>
              <w:rPr>
                <w:sz w:val="21"/>
                <w:szCs w:val="21"/>
                <w:highlight w:val="none"/>
                <w:lang w:val="zh-CN"/>
              </w:rPr>
            </w:pPr>
            <w:r>
              <w:rPr>
                <w:sz w:val="21"/>
                <w:szCs w:val="21"/>
                <w:highlight w:val="none"/>
                <w:lang w:val="zh-CN"/>
              </w:rPr>
              <w:t>极限输送功率</w:t>
            </w:r>
          </w:p>
        </w:tc>
        <w:tc>
          <w:tcPr>
            <w:tcW w:w="3195" w:type="pct"/>
            <w:tcBorders>
              <w:tl2br w:val="nil"/>
              <w:tr2bl w:val="nil"/>
            </w:tcBorders>
            <w:vAlign w:val="center"/>
          </w:tcPr>
          <w:p w14:paraId="32625503">
            <w:pPr>
              <w:shd w:val="clear"/>
              <w:spacing w:line="240" w:lineRule="auto"/>
              <w:ind w:firstLine="0" w:firstLineChars="0"/>
              <w:jc w:val="center"/>
              <w:rPr>
                <w:sz w:val="21"/>
                <w:szCs w:val="21"/>
                <w:highlight w:val="none"/>
                <w:lang w:val="zh-CN"/>
              </w:rPr>
            </w:pPr>
            <w:r>
              <w:rPr>
                <w:rFonts w:hint="eastAsia"/>
                <w:sz w:val="21"/>
                <w:szCs w:val="21"/>
                <w:highlight w:val="none"/>
                <w:lang w:val="en-US" w:eastAsia="zh-CN"/>
              </w:rPr>
              <w:t>80</w:t>
            </w:r>
            <w:r>
              <w:rPr>
                <w:sz w:val="21"/>
                <w:szCs w:val="21"/>
                <w:highlight w:val="none"/>
                <w:lang w:val="zh-CN"/>
              </w:rPr>
              <w:t>MW</w:t>
            </w:r>
          </w:p>
        </w:tc>
      </w:tr>
      <w:tr w14:paraId="22171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4373CFC1">
            <w:pPr>
              <w:shd w:val="clear"/>
              <w:spacing w:line="240" w:lineRule="auto"/>
              <w:ind w:firstLine="0" w:firstLineChars="0"/>
              <w:jc w:val="center"/>
              <w:rPr>
                <w:sz w:val="21"/>
                <w:szCs w:val="21"/>
                <w:highlight w:val="none"/>
                <w:lang w:val="zh-CN"/>
              </w:rPr>
            </w:pPr>
            <w:r>
              <w:rPr>
                <w:sz w:val="21"/>
                <w:szCs w:val="21"/>
                <w:highlight w:val="none"/>
                <w:lang w:val="zh-CN"/>
              </w:rPr>
              <w:t>导线垂直间距</w:t>
            </w:r>
          </w:p>
        </w:tc>
        <w:tc>
          <w:tcPr>
            <w:tcW w:w="3195" w:type="pct"/>
            <w:tcBorders>
              <w:tl2br w:val="nil"/>
              <w:tr2bl w:val="nil"/>
            </w:tcBorders>
            <w:vAlign w:val="center"/>
          </w:tcPr>
          <w:p w14:paraId="7D153538">
            <w:pPr>
              <w:shd w:val="clear"/>
              <w:spacing w:line="240" w:lineRule="auto"/>
              <w:ind w:firstLine="0" w:firstLineChars="0"/>
              <w:jc w:val="center"/>
              <w:rPr>
                <w:sz w:val="21"/>
                <w:szCs w:val="21"/>
                <w:highlight w:val="none"/>
                <w:lang w:val="zh-CN"/>
              </w:rPr>
            </w:pPr>
            <w:r>
              <w:rPr>
                <w:sz w:val="21"/>
                <w:szCs w:val="21"/>
                <w:highlight w:val="none"/>
                <w:lang w:val="zh-CN"/>
              </w:rPr>
              <w:t>A相-B相：</w:t>
            </w:r>
            <w:r>
              <w:rPr>
                <w:rFonts w:hint="default"/>
                <w:sz w:val="21"/>
                <w:szCs w:val="21"/>
                <w:highlight w:val="none"/>
                <w:lang w:val="zh-CN"/>
              </w:rPr>
              <w:t>4.0 m</w:t>
            </w:r>
            <w:r>
              <w:rPr>
                <w:rFonts w:hint="default"/>
                <w:sz w:val="21"/>
                <w:szCs w:val="21"/>
                <w:highlight w:val="none"/>
                <w:lang w:val="zh-CN"/>
              </w:rPr>
              <w:br w:type="textWrapping"/>
            </w:r>
            <w:r>
              <w:rPr>
                <w:rFonts w:hint="default"/>
                <w:sz w:val="21"/>
                <w:szCs w:val="21"/>
                <w:highlight w:val="none"/>
                <w:lang w:val="zh-CN"/>
              </w:rPr>
              <w:t>C相-B相：4.0 m</w:t>
            </w:r>
            <w:r>
              <w:rPr>
                <w:rFonts w:hint="default"/>
                <w:sz w:val="21"/>
                <w:szCs w:val="21"/>
                <w:highlight w:val="none"/>
                <w:lang w:val="zh-CN"/>
              </w:rPr>
              <w:br w:type="textWrapping"/>
            </w:r>
            <w:r>
              <w:rPr>
                <w:rFonts w:hint="default"/>
                <w:sz w:val="21"/>
                <w:szCs w:val="21"/>
                <w:highlight w:val="none"/>
                <w:lang w:val="zh-CN"/>
              </w:rPr>
              <w:t>A相-C相：0 m</w:t>
            </w:r>
          </w:p>
        </w:tc>
      </w:tr>
      <w:tr w14:paraId="049CA8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6BF7D4A7">
            <w:pPr>
              <w:shd w:val="clear"/>
              <w:spacing w:line="240" w:lineRule="auto"/>
              <w:ind w:firstLine="0" w:firstLineChars="0"/>
              <w:jc w:val="center"/>
              <w:rPr>
                <w:sz w:val="21"/>
                <w:szCs w:val="21"/>
                <w:highlight w:val="none"/>
                <w:lang w:val="zh-CN"/>
              </w:rPr>
            </w:pPr>
            <w:r>
              <w:rPr>
                <w:sz w:val="21"/>
                <w:szCs w:val="21"/>
                <w:highlight w:val="none"/>
                <w:lang w:val="zh-CN"/>
              </w:rPr>
              <w:t>相序</w:t>
            </w:r>
          </w:p>
        </w:tc>
        <w:tc>
          <w:tcPr>
            <w:tcW w:w="3195" w:type="pct"/>
            <w:tcBorders>
              <w:tl2br w:val="nil"/>
              <w:tr2bl w:val="nil"/>
            </w:tcBorders>
            <w:vAlign w:val="center"/>
          </w:tcPr>
          <w:p w14:paraId="1DA5F152">
            <w:pPr>
              <w:shd w:val="clear"/>
              <w:spacing w:line="240" w:lineRule="auto"/>
              <w:ind w:firstLine="0" w:firstLineChars="0"/>
              <w:jc w:val="center"/>
              <w:rPr>
                <w:sz w:val="21"/>
                <w:szCs w:val="21"/>
                <w:highlight w:val="none"/>
                <w:lang w:val="zh-CN"/>
              </w:rPr>
            </w:pPr>
            <w:r>
              <w:rPr>
                <w:sz w:val="21"/>
                <w:szCs w:val="21"/>
                <w:highlight w:val="none"/>
                <w:lang w:val="zh-CN"/>
              </w:rPr>
              <w:t>A（左下）、B（上）、C</w:t>
            </w:r>
            <w:r>
              <w:rPr>
                <w:rFonts w:hint="eastAsia"/>
                <w:sz w:val="21"/>
                <w:szCs w:val="21"/>
                <w:highlight w:val="none"/>
                <w:lang w:val="zh-CN"/>
              </w:rPr>
              <w:t>（</w:t>
            </w:r>
            <w:r>
              <w:rPr>
                <w:rFonts w:hint="eastAsia"/>
                <w:sz w:val="21"/>
                <w:szCs w:val="21"/>
                <w:highlight w:val="none"/>
                <w:lang w:val="en-US" w:eastAsia="zh-CN"/>
              </w:rPr>
              <w:t>右下</w:t>
            </w:r>
            <w:r>
              <w:rPr>
                <w:rFonts w:hint="eastAsia"/>
                <w:sz w:val="21"/>
                <w:szCs w:val="21"/>
                <w:highlight w:val="none"/>
                <w:lang w:val="zh-CN"/>
              </w:rPr>
              <w:t>）</w:t>
            </w:r>
          </w:p>
        </w:tc>
      </w:tr>
      <w:tr w14:paraId="29ABE6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08FCBE57">
            <w:pPr>
              <w:shd w:val="clear"/>
              <w:spacing w:line="240" w:lineRule="auto"/>
              <w:ind w:firstLine="0" w:firstLineChars="0"/>
              <w:jc w:val="center"/>
              <w:rPr>
                <w:sz w:val="21"/>
                <w:szCs w:val="21"/>
                <w:highlight w:val="none"/>
                <w:lang w:val="zh-CN"/>
              </w:rPr>
            </w:pPr>
            <w:r>
              <w:rPr>
                <w:sz w:val="21"/>
                <w:szCs w:val="21"/>
                <w:highlight w:val="none"/>
                <w:lang w:val="zh-CN"/>
              </w:rPr>
              <w:t>导线水平间距</w:t>
            </w:r>
          </w:p>
        </w:tc>
        <w:tc>
          <w:tcPr>
            <w:tcW w:w="3195" w:type="pct"/>
            <w:tcBorders>
              <w:tl2br w:val="nil"/>
              <w:tr2bl w:val="nil"/>
            </w:tcBorders>
            <w:vAlign w:val="center"/>
          </w:tcPr>
          <w:p w14:paraId="1B363A7B">
            <w:pPr>
              <w:shd w:val="clear"/>
              <w:spacing w:line="240" w:lineRule="auto"/>
              <w:ind w:firstLine="0" w:firstLineChars="0"/>
              <w:jc w:val="center"/>
              <w:rPr>
                <w:b/>
                <w:bCs/>
                <w:sz w:val="21"/>
                <w:szCs w:val="21"/>
                <w:highlight w:val="none"/>
                <w:lang w:val="zh-CN"/>
              </w:rPr>
            </w:pPr>
            <w:r>
              <w:rPr>
                <w:sz w:val="21"/>
                <w:szCs w:val="21"/>
                <w:highlight w:val="none"/>
                <w:lang w:val="zh-CN"/>
              </w:rPr>
              <w:t>A相-B相：</w:t>
            </w:r>
            <w:r>
              <w:rPr>
                <w:rFonts w:hint="default"/>
                <w:sz w:val="21"/>
                <w:szCs w:val="21"/>
                <w:highlight w:val="none"/>
                <w:lang w:val="zh-CN"/>
              </w:rPr>
              <w:t>3.0 m</w:t>
            </w:r>
            <w:r>
              <w:rPr>
                <w:rFonts w:hint="default"/>
                <w:sz w:val="21"/>
                <w:szCs w:val="21"/>
                <w:highlight w:val="none"/>
                <w:lang w:val="zh-CN"/>
              </w:rPr>
              <w:br w:type="textWrapping"/>
            </w:r>
            <w:r>
              <w:rPr>
                <w:rFonts w:hint="default"/>
                <w:sz w:val="21"/>
                <w:szCs w:val="21"/>
                <w:highlight w:val="none"/>
                <w:lang w:val="zh-CN"/>
              </w:rPr>
              <w:t>C相-B相：3.0 m</w:t>
            </w:r>
            <w:r>
              <w:rPr>
                <w:rFonts w:hint="default"/>
                <w:sz w:val="21"/>
                <w:szCs w:val="21"/>
                <w:highlight w:val="none"/>
                <w:lang w:val="zh-CN"/>
              </w:rPr>
              <w:br w:type="textWrapping"/>
            </w:r>
            <w:r>
              <w:rPr>
                <w:rFonts w:hint="default"/>
                <w:sz w:val="21"/>
                <w:szCs w:val="21"/>
                <w:highlight w:val="none"/>
                <w:lang w:val="zh-CN"/>
              </w:rPr>
              <w:t>A相-C相：6.0 m</w:t>
            </w:r>
          </w:p>
        </w:tc>
      </w:tr>
      <w:tr w14:paraId="4E35A5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42B982CC">
            <w:pPr>
              <w:shd w:val="clear"/>
              <w:spacing w:line="240" w:lineRule="auto"/>
              <w:ind w:firstLine="0" w:firstLineChars="0"/>
              <w:jc w:val="center"/>
              <w:rPr>
                <w:sz w:val="21"/>
                <w:szCs w:val="21"/>
                <w:highlight w:val="none"/>
                <w:lang w:val="zh-CN"/>
              </w:rPr>
            </w:pPr>
            <w:r>
              <w:rPr>
                <w:sz w:val="21"/>
                <w:szCs w:val="21"/>
                <w:highlight w:val="none"/>
                <w:lang w:val="zh-CN"/>
              </w:rPr>
              <w:t>导线-地线垂直间距</w:t>
            </w:r>
          </w:p>
        </w:tc>
        <w:tc>
          <w:tcPr>
            <w:tcW w:w="3195" w:type="pct"/>
            <w:tcBorders>
              <w:tl2br w:val="nil"/>
              <w:tr2bl w:val="nil"/>
            </w:tcBorders>
            <w:vAlign w:val="center"/>
          </w:tcPr>
          <w:p w14:paraId="61DBAD71">
            <w:pPr>
              <w:shd w:val="clear"/>
              <w:spacing w:line="240" w:lineRule="auto"/>
              <w:ind w:firstLine="0" w:firstLineChars="0"/>
              <w:jc w:val="center"/>
              <w:rPr>
                <w:sz w:val="21"/>
                <w:szCs w:val="21"/>
                <w:highlight w:val="none"/>
                <w:lang w:val="zh-CN"/>
              </w:rPr>
            </w:pPr>
            <w:r>
              <w:rPr>
                <w:sz w:val="21"/>
                <w:szCs w:val="21"/>
                <w:highlight w:val="none"/>
                <w:lang w:val="zh-CN"/>
              </w:rPr>
              <w:t>相对A相：约</w:t>
            </w:r>
            <w:r>
              <w:rPr>
                <w:rFonts w:hint="default"/>
                <w:sz w:val="21"/>
                <w:szCs w:val="21"/>
                <w:highlight w:val="none"/>
                <w:lang w:val="zh-CN"/>
              </w:rPr>
              <w:t> 7.0 m</w:t>
            </w:r>
          </w:p>
        </w:tc>
      </w:tr>
      <w:tr w14:paraId="4C84C1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7B1FAFFB">
            <w:pPr>
              <w:shd w:val="clear"/>
              <w:spacing w:line="240" w:lineRule="auto"/>
              <w:ind w:firstLine="0" w:firstLineChars="0"/>
              <w:jc w:val="center"/>
              <w:rPr>
                <w:sz w:val="21"/>
                <w:szCs w:val="21"/>
                <w:highlight w:val="none"/>
                <w:lang w:val="zh-CN"/>
              </w:rPr>
            </w:pPr>
            <w:r>
              <w:rPr>
                <w:sz w:val="21"/>
                <w:szCs w:val="21"/>
                <w:highlight w:val="none"/>
                <w:lang w:val="zh-CN"/>
              </w:rPr>
              <w:t>绝缘子串长度</w:t>
            </w:r>
          </w:p>
        </w:tc>
        <w:tc>
          <w:tcPr>
            <w:tcW w:w="3195" w:type="pct"/>
            <w:tcBorders>
              <w:tl2br w:val="nil"/>
              <w:tr2bl w:val="nil"/>
            </w:tcBorders>
            <w:vAlign w:val="center"/>
          </w:tcPr>
          <w:p w14:paraId="09AF2D9E">
            <w:pPr>
              <w:shd w:val="clear"/>
              <w:spacing w:line="240" w:lineRule="auto"/>
              <w:ind w:firstLine="0" w:firstLineChars="0"/>
              <w:jc w:val="center"/>
              <w:rPr>
                <w:sz w:val="21"/>
                <w:szCs w:val="21"/>
                <w:highlight w:val="none"/>
                <w:lang w:val="zh-CN"/>
              </w:rPr>
            </w:pPr>
            <w:r>
              <w:rPr>
                <w:rFonts w:hint="eastAsia"/>
                <w:sz w:val="21"/>
                <w:szCs w:val="21"/>
                <w:highlight w:val="none"/>
                <w:lang w:val="en-US" w:eastAsia="zh-CN"/>
              </w:rPr>
              <w:t>1.44</w:t>
            </w:r>
            <w:r>
              <w:rPr>
                <w:sz w:val="21"/>
                <w:szCs w:val="21"/>
                <w:highlight w:val="none"/>
                <w:lang w:val="zh-CN"/>
              </w:rPr>
              <w:t>m</w:t>
            </w:r>
          </w:p>
        </w:tc>
      </w:tr>
      <w:tr w14:paraId="3628DE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1804" w:type="pct"/>
            <w:tcBorders>
              <w:tl2br w:val="nil"/>
              <w:tr2bl w:val="nil"/>
            </w:tcBorders>
            <w:vAlign w:val="center"/>
          </w:tcPr>
          <w:p w14:paraId="1C0C2447">
            <w:pPr>
              <w:shd w:val="clear"/>
              <w:spacing w:line="240" w:lineRule="auto"/>
              <w:ind w:firstLine="0" w:firstLineChars="0"/>
              <w:jc w:val="center"/>
              <w:rPr>
                <w:sz w:val="21"/>
                <w:szCs w:val="21"/>
                <w:highlight w:val="none"/>
                <w:lang w:val="zh-CN"/>
              </w:rPr>
            </w:pPr>
            <w:r>
              <w:rPr>
                <w:sz w:val="21"/>
                <w:szCs w:val="21"/>
                <w:highlight w:val="none"/>
                <w:lang w:val="zh-CN"/>
              </w:rPr>
              <w:t>呼称高</w:t>
            </w:r>
          </w:p>
        </w:tc>
        <w:tc>
          <w:tcPr>
            <w:tcW w:w="3195" w:type="pct"/>
            <w:tcBorders>
              <w:tl2br w:val="nil"/>
              <w:tr2bl w:val="nil"/>
            </w:tcBorders>
            <w:vAlign w:val="center"/>
          </w:tcPr>
          <w:p w14:paraId="18D877DC">
            <w:pPr>
              <w:shd w:val="clear"/>
              <w:spacing w:line="240" w:lineRule="auto"/>
              <w:ind w:firstLine="0" w:firstLineChars="0"/>
              <w:jc w:val="center"/>
              <w:rPr>
                <w:sz w:val="21"/>
                <w:szCs w:val="21"/>
                <w:highlight w:val="none"/>
                <w:lang w:val="zh-CN"/>
              </w:rPr>
            </w:pPr>
            <w:r>
              <w:rPr>
                <w:rFonts w:hint="eastAsia"/>
                <w:sz w:val="21"/>
                <w:szCs w:val="21"/>
                <w:highlight w:val="none"/>
                <w:lang w:val="en-US" w:eastAsia="zh-CN"/>
              </w:rPr>
              <w:t>33</w:t>
            </w:r>
            <w:r>
              <w:rPr>
                <w:sz w:val="21"/>
                <w:szCs w:val="21"/>
                <w:highlight w:val="none"/>
                <w:lang w:val="zh-CN"/>
              </w:rPr>
              <w:t>m</w:t>
            </w:r>
          </w:p>
        </w:tc>
      </w:tr>
    </w:tbl>
    <w:p w14:paraId="58D9FB05">
      <w:pPr>
        <w:pStyle w:val="5"/>
        <w:keepNext w:val="0"/>
        <w:keepLines w:val="0"/>
        <w:pageBreakBefore w:val="0"/>
        <w:widowControl w:val="0"/>
        <w:shd w:val="clear"/>
        <w:kinsoku/>
        <w:wordWrap/>
        <w:overflowPunct/>
        <w:topLinePunct w:val="0"/>
        <w:autoSpaceDE/>
        <w:autoSpaceDN/>
        <w:bidi w:val="0"/>
        <w:adjustRightInd w:val="0"/>
        <w:snapToGrid w:val="0"/>
        <w:spacing w:before="157" w:beforeLines="50"/>
        <w:ind w:left="0" w:leftChars="0" w:firstLine="0" w:firstLineChars="0"/>
        <w:textAlignment w:val="auto"/>
        <w:rPr>
          <w:highlight w:val="none"/>
        </w:rPr>
      </w:pPr>
      <w:r>
        <w:rPr>
          <w:highlight w:val="none"/>
        </w:rPr>
        <w:drawing>
          <wp:inline distT="0" distB="0" distL="114300" distR="114300">
            <wp:extent cx="5751830" cy="3381375"/>
            <wp:effectExtent l="0" t="0" r="1270" b="9525"/>
            <wp:docPr id="1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a:blip r:embed="rId73"/>
                    <a:stretch>
                      <a:fillRect/>
                    </a:stretch>
                  </pic:blipFill>
                  <pic:spPr>
                    <a:xfrm>
                      <a:off x="0" y="0"/>
                      <a:ext cx="5751830" cy="3381375"/>
                    </a:xfrm>
                    <a:prstGeom prst="rect">
                      <a:avLst/>
                    </a:prstGeom>
                    <a:noFill/>
                    <a:ln>
                      <a:noFill/>
                    </a:ln>
                  </pic:spPr>
                </pic:pic>
              </a:graphicData>
            </a:graphic>
          </wp:inline>
        </w:drawing>
      </w:r>
    </w:p>
    <w:p w14:paraId="7C62911B">
      <w:pPr>
        <w:pStyle w:val="4"/>
        <w:shd w:val="clear"/>
        <w:ind w:firstLine="482"/>
        <w:rPr>
          <w:rFonts w:hint="eastAsia"/>
          <w:highlight w:val="none"/>
          <w:lang w:val="en-US" w:eastAsia="zh-CN"/>
        </w:rPr>
      </w:pPr>
      <w:r>
        <w:rPr>
          <w:rFonts w:hint="eastAsia"/>
          <w:highlight w:val="none"/>
          <w:lang w:val="en-US" w:eastAsia="zh-CN"/>
        </w:rPr>
        <w:t>图3.1-5          本项目选用杆塔一览图</w:t>
      </w:r>
    </w:p>
    <w:p w14:paraId="59211C03">
      <w:pPr>
        <w:shd w:val="clear"/>
        <w:rPr>
          <w:rFonts w:hint="default"/>
          <w:highlight w:val="none"/>
          <w:lang w:val="en-US" w:eastAsia="zh-CN"/>
        </w:rPr>
      </w:pPr>
      <w:r>
        <w:rPr>
          <w:rFonts w:hint="eastAsia"/>
          <w:highlight w:val="none"/>
          <w:lang w:val="en-US" w:eastAsia="zh-CN"/>
        </w:rPr>
        <w:t>1</w:t>
      </w:r>
      <w:r>
        <w:rPr>
          <w:rFonts w:hint="default"/>
          <w:highlight w:val="none"/>
          <w:lang w:val="en-US" w:eastAsia="zh-CN"/>
        </w:rPr>
        <w:t>10-DD21D-ZM3的导线相间距确实是最大的。因此，按照电磁预测选择“不利塔型”的原则，应选择此型号。</w:t>
      </w:r>
    </w:p>
    <w:p w14:paraId="3D7FD82B">
      <w:pPr>
        <w:pStyle w:val="4"/>
        <w:shd w:val="clear"/>
        <w:ind w:firstLine="482"/>
        <w:rPr>
          <w:highlight w:val="none"/>
        </w:rPr>
      </w:pPr>
      <w:r>
        <w:rPr>
          <w:highlight w:val="none"/>
        </w:rPr>
        <w:t xml:space="preserve">3.1.3 </w:t>
      </w:r>
      <w:bookmarkEnd w:id="534"/>
      <w:r>
        <w:rPr>
          <w:highlight w:val="none"/>
        </w:rPr>
        <w:t>本项目线路工频电场强度、工频磁感应强度预测</w:t>
      </w:r>
    </w:p>
    <w:p w14:paraId="6C94ABEE">
      <w:pPr>
        <w:shd w:val="clear"/>
        <w:ind w:firstLine="480"/>
        <w:rPr>
          <w:highlight w:val="none"/>
          <w:lang w:val="zh-CN"/>
        </w:rPr>
      </w:pPr>
      <w:r>
        <w:rPr>
          <w:highlight w:val="none"/>
          <w:lang w:val="zh-CN"/>
        </w:rPr>
        <w:t>根据《110kV～750kV架空输电线路设计规范》</w:t>
      </w:r>
      <w:r>
        <w:rPr>
          <w:rFonts w:hint="eastAsia"/>
          <w:highlight w:val="none"/>
          <w:lang w:val="zh-CN"/>
        </w:rPr>
        <w:t>（</w:t>
      </w:r>
      <w:r>
        <w:rPr>
          <w:highlight w:val="none"/>
          <w:lang w:val="zh-CN"/>
        </w:rPr>
        <w:t>GB50545-2010</w:t>
      </w:r>
      <w:r>
        <w:rPr>
          <w:rFonts w:hint="eastAsia"/>
          <w:highlight w:val="none"/>
          <w:lang w:val="zh-CN"/>
        </w:rPr>
        <w:t>）</w:t>
      </w:r>
      <w:r>
        <w:rPr>
          <w:highlight w:val="none"/>
          <w:lang w:val="zh-CN"/>
        </w:rPr>
        <w:t>中，</w:t>
      </w:r>
      <w:r>
        <w:rPr>
          <w:highlight w:val="none"/>
        </w:rPr>
        <w:t>110</w:t>
      </w:r>
      <w:r>
        <w:rPr>
          <w:highlight w:val="none"/>
          <w:lang w:val="zh-CN"/>
        </w:rPr>
        <w:t>kV架空线路要求导线对地面最小距离居民区</w:t>
      </w:r>
      <w:r>
        <w:rPr>
          <w:rFonts w:hint="eastAsia"/>
          <w:highlight w:val="none"/>
          <w:lang w:val="zh-CN"/>
        </w:rPr>
        <w:t>（</w:t>
      </w:r>
      <w:r>
        <w:rPr>
          <w:highlight w:val="none"/>
          <w:lang w:val="zh-CN"/>
        </w:rPr>
        <w:t>7</w:t>
      </w:r>
      <w:r>
        <w:rPr>
          <w:highlight w:val="none"/>
        </w:rPr>
        <w:t>.0</w:t>
      </w:r>
      <w:r>
        <w:rPr>
          <w:highlight w:val="none"/>
          <w:lang w:val="zh-CN"/>
        </w:rPr>
        <w:t>m</w:t>
      </w:r>
      <w:r>
        <w:rPr>
          <w:rFonts w:hint="eastAsia"/>
          <w:highlight w:val="none"/>
          <w:lang w:val="zh-CN"/>
        </w:rPr>
        <w:t>）</w:t>
      </w:r>
      <w:r>
        <w:rPr>
          <w:highlight w:val="none"/>
          <w:lang w:val="zh-CN"/>
        </w:rPr>
        <w:t>和非居民区</w:t>
      </w:r>
      <w:r>
        <w:rPr>
          <w:rFonts w:hint="eastAsia"/>
          <w:highlight w:val="none"/>
          <w:lang w:val="zh-CN"/>
        </w:rPr>
        <w:t>（</w:t>
      </w:r>
      <w:r>
        <w:rPr>
          <w:highlight w:val="none"/>
          <w:lang w:val="zh-CN"/>
        </w:rPr>
        <w:t>6</w:t>
      </w:r>
      <w:r>
        <w:rPr>
          <w:highlight w:val="none"/>
        </w:rPr>
        <w:t>.0</w:t>
      </w:r>
      <w:r>
        <w:rPr>
          <w:highlight w:val="none"/>
          <w:lang w:val="zh-CN"/>
        </w:rPr>
        <w:t>m</w:t>
      </w:r>
      <w:r>
        <w:rPr>
          <w:rFonts w:hint="eastAsia"/>
          <w:highlight w:val="none"/>
          <w:lang w:val="zh-CN"/>
        </w:rPr>
        <w:t>）</w:t>
      </w:r>
      <w:r>
        <w:rPr>
          <w:highlight w:val="none"/>
          <w:lang w:val="zh-CN"/>
        </w:rPr>
        <w:t>，本次预测</w:t>
      </w:r>
      <w:r>
        <w:rPr>
          <w:highlight w:val="none"/>
        </w:rPr>
        <w:t>11</w:t>
      </w:r>
      <w:r>
        <w:rPr>
          <w:highlight w:val="none"/>
          <w:lang w:val="zh-CN"/>
        </w:rPr>
        <w:t>0kV架空线路导线对地高度为7.</w:t>
      </w:r>
      <w:r>
        <w:rPr>
          <w:highlight w:val="none"/>
        </w:rPr>
        <w:t>0</w:t>
      </w:r>
      <w:r>
        <w:rPr>
          <w:highlight w:val="none"/>
          <w:lang w:val="zh-CN"/>
        </w:rPr>
        <w:t>m、6.</w:t>
      </w:r>
      <w:r>
        <w:rPr>
          <w:highlight w:val="none"/>
        </w:rPr>
        <w:t>0</w:t>
      </w:r>
      <w:r>
        <w:rPr>
          <w:highlight w:val="none"/>
          <w:lang w:val="zh-CN"/>
        </w:rPr>
        <w:t>m地面上1.5m高度处的工频电场强度。</w:t>
      </w:r>
    </w:p>
    <w:p w14:paraId="1E94C026">
      <w:pPr>
        <w:shd w:val="clear"/>
        <w:ind w:firstLine="480"/>
        <w:rPr>
          <w:highlight w:val="none"/>
          <w:lang w:val="zh-CN"/>
        </w:rPr>
      </w:pPr>
      <w:r>
        <w:rPr>
          <w:highlight w:val="none"/>
          <w:lang w:val="zh-CN"/>
        </w:rPr>
        <w:t>在输电线路的截面上建立平面</w:t>
      </w:r>
      <w:r>
        <w:rPr>
          <w:highlight w:val="none"/>
        </w:rPr>
        <w:t>坐</w:t>
      </w:r>
      <w:r>
        <w:rPr>
          <w:highlight w:val="none"/>
          <w:lang w:val="zh-CN"/>
        </w:rPr>
        <w:t>标系，以线路走廊截面与线路中心在地面投影为</w:t>
      </w:r>
      <w:r>
        <w:rPr>
          <w:highlight w:val="none"/>
        </w:rPr>
        <w:t>坐标</w:t>
      </w:r>
      <w:r>
        <w:rPr>
          <w:highlight w:val="none"/>
          <w:lang w:val="zh-CN"/>
        </w:rPr>
        <w:t>系的原点O(0,0</w:t>
      </w:r>
      <w:r>
        <w:rPr>
          <w:rFonts w:hint="eastAsia"/>
          <w:highlight w:val="none"/>
          <w:lang w:val="zh-CN"/>
        </w:rPr>
        <w:t>）</w:t>
      </w:r>
      <w:r>
        <w:rPr>
          <w:highlight w:val="none"/>
          <w:lang w:val="zh-CN"/>
        </w:rPr>
        <w:t>，X为水平方向、Y为垂直方向，单位为m。</w:t>
      </w:r>
    </w:p>
    <w:p w14:paraId="4B9C40DB">
      <w:pPr>
        <w:shd w:val="clear"/>
        <w:ind w:firstLine="480"/>
        <w:rPr>
          <w:highlight w:val="none"/>
          <w:lang w:val="zh-CN"/>
        </w:rPr>
      </w:pPr>
      <w:r>
        <w:rPr>
          <w:highlight w:val="none"/>
          <w:lang w:val="zh-CN"/>
        </w:rPr>
        <w:t>计算结果详见表</w:t>
      </w:r>
      <w:r>
        <w:rPr>
          <w:rFonts w:hint="eastAsia"/>
          <w:highlight w:val="none"/>
        </w:rPr>
        <w:t>3.1-2</w:t>
      </w:r>
      <w:r>
        <w:rPr>
          <w:highlight w:val="none"/>
        </w:rPr>
        <w:t>和图3</w:t>
      </w:r>
      <w:r>
        <w:rPr>
          <w:rFonts w:hint="eastAsia"/>
          <w:highlight w:val="none"/>
        </w:rPr>
        <w:t>.1</w:t>
      </w:r>
      <w:r>
        <w:rPr>
          <w:highlight w:val="none"/>
        </w:rPr>
        <w:t>-5～图3</w:t>
      </w:r>
      <w:r>
        <w:rPr>
          <w:rFonts w:hint="eastAsia"/>
          <w:highlight w:val="none"/>
        </w:rPr>
        <w:t>.1</w:t>
      </w:r>
      <w:r>
        <w:rPr>
          <w:highlight w:val="none"/>
        </w:rPr>
        <w:t>-</w:t>
      </w:r>
      <w:r>
        <w:rPr>
          <w:rFonts w:hint="eastAsia"/>
          <w:highlight w:val="none"/>
        </w:rPr>
        <w:t>6</w:t>
      </w:r>
      <w:r>
        <w:rPr>
          <w:highlight w:val="none"/>
          <w:lang w:val="zh-CN"/>
        </w:rPr>
        <w:t>。</w:t>
      </w:r>
    </w:p>
    <w:p w14:paraId="4470DD3C">
      <w:pPr>
        <w:shd w:val="clear"/>
        <w:spacing w:line="240" w:lineRule="auto"/>
        <w:ind w:firstLine="482"/>
        <w:rPr>
          <w:b/>
          <w:bCs/>
          <w:highlight w:val="none"/>
        </w:rPr>
      </w:pPr>
      <w:r>
        <w:rPr>
          <w:b/>
          <w:bCs/>
          <w:highlight w:val="none"/>
        </w:rPr>
        <w:t>表</w:t>
      </w:r>
      <w:r>
        <w:rPr>
          <w:rFonts w:hint="eastAsia"/>
          <w:b/>
          <w:bCs/>
          <w:highlight w:val="none"/>
        </w:rPr>
        <w:t>3.1-2</w:t>
      </w:r>
      <w:r>
        <w:rPr>
          <w:b/>
          <w:bCs/>
          <w:highlight w:val="none"/>
        </w:rPr>
        <w:t xml:space="preserve">      单回线路段电磁环境预测值</w:t>
      </w:r>
      <w:r>
        <w:rPr>
          <w:rFonts w:hint="eastAsia"/>
          <w:b/>
          <w:bCs/>
          <w:highlight w:val="none"/>
          <w:lang w:eastAsia="zh-CN"/>
        </w:rPr>
        <w:t>（</w:t>
      </w:r>
      <w:r>
        <w:rPr>
          <w:b/>
          <w:bCs/>
          <w:highlight w:val="none"/>
          <w:lang w:val="zh-CN"/>
        </w:rPr>
        <w:t>110-DD21D-ZM3</w:t>
      </w:r>
      <w:r>
        <w:rPr>
          <w:b/>
          <w:bCs/>
          <w:highlight w:val="none"/>
        </w:rPr>
        <w:t>塔型</w:t>
      </w:r>
      <w:r>
        <w:rPr>
          <w:rFonts w:hint="eastAsia"/>
          <w:b/>
          <w:bCs/>
          <w:highlight w:val="none"/>
          <w:lang w:eastAsia="zh-CN"/>
        </w:rPr>
        <w:t>）</w:t>
      </w:r>
    </w:p>
    <w:tbl>
      <w:tblPr>
        <w:tblStyle w:val="33"/>
        <w:tblW w:w="4998" w:type="pct"/>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Layout w:type="autofit"/>
        <w:tblCellMar>
          <w:top w:w="0" w:type="dxa"/>
          <w:left w:w="108" w:type="dxa"/>
          <w:bottom w:w="0" w:type="dxa"/>
          <w:right w:w="108" w:type="dxa"/>
        </w:tblCellMar>
      </w:tblPr>
      <w:tblGrid>
        <w:gridCol w:w="1272"/>
        <w:gridCol w:w="2418"/>
        <w:gridCol w:w="1393"/>
        <w:gridCol w:w="1400"/>
        <w:gridCol w:w="1393"/>
        <w:gridCol w:w="1408"/>
      </w:tblGrid>
      <w:tr w14:paraId="1899651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vMerge w:val="restart"/>
            <w:tcBorders>
              <w:tl2br w:val="nil"/>
              <w:tr2bl w:val="nil"/>
            </w:tcBorders>
            <w:shd w:val="clear" w:color="auto" w:fill="auto"/>
            <w:vAlign w:val="center"/>
          </w:tcPr>
          <w:p w14:paraId="12C68BB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距中心距离</w:t>
            </w:r>
            <w:r>
              <w:rPr>
                <w:rFonts w:hint="eastAsia" w:cs="Times New Roman"/>
                <w:b w:val="0"/>
                <w:bCs w:val="0"/>
                <w:i w:val="0"/>
                <w:iCs w:val="0"/>
                <w:caps w:val="0"/>
                <w:color w:val="0F1115"/>
                <w:spacing w:val="0"/>
                <w:kern w:val="0"/>
                <w:sz w:val="18"/>
                <w:szCs w:val="18"/>
                <w:highlight w:val="none"/>
                <w:lang w:val="en-US" w:eastAsia="zh-CN" w:bidi="ar"/>
              </w:rPr>
              <w:t>（</w:t>
            </w: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m</w:t>
            </w:r>
            <w:r>
              <w:rPr>
                <w:rFonts w:hint="eastAsia" w:cs="Times New Roman"/>
                <w:b w:val="0"/>
                <w:bCs w:val="0"/>
                <w:i w:val="0"/>
                <w:iCs w:val="0"/>
                <w:caps w:val="0"/>
                <w:color w:val="0F1115"/>
                <w:spacing w:val="0"/>
                <w:kern w:val="0"/>
                <w:sz w:val="18"/>
                <w:szCs w:val="18"/>
                <w:highlight w:val="none"/>
                <w:lang w:val="en-US" w:eastAsia="zh-CN" w:bidi="ar"/>
              </w:rPr>
              <w:t>）</w:t>
            </w:r>
          </w:p>
        </w:tc>
        <w:tc>
          <w:tcPr>
            <w:tcW w:w="1302" w:type="pct"/>
            <w:vMerge w:val="restart"/>
            <w:tcBorders>
              <w:tl2br w:val="nil"/>
              <w:tr2bl w:val="nil"/>
            </w:tcBorders>
            <w:shd w:val="clear" w:color="auto" w:fill="auto"/>
            <w:vAlign w:val="center"/>
          </w:tcPr>
          <w:p w14:paraId="256580A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距边导线距离</w:t>
            </w:r>
            <w:r>
              <w:rPr>
                <w:rFonts w:hint="eastAsia" w:cs="Times New Roman"/>
                <w:b w:val="0"/>
                <w:bCs w:val="0"/>
                <w:i w:val="0"/>
                <w:iCs w:val="0"/>
                <w:caps w:val="0"/>
                <w:color w:val="0F1115"/>
                <w:spacing w:val="0"/>
                <w:kern w:val="0"/>
                <w:sz w:val="18"/>
                <w:szCs w:val="18"/>
                <w:highlight w:val="none"/>
                <w:lang w:val="en-US" w:eastAsia="zh-CN" w:bidi="ar"/>
              </w:rPr>
              <w:t>（</w:t>
            </w: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m</w:t>
            </w:r>
            <w:r>
              <w:rPr>
                <w:rFonts w:hint="eastAsia" w:cs="Times New Roman"/>
                <w:b w:val="0"/>
                <w:bCs w:val="0"/>
                <w:i w:val="0"/>
                <w:iCs w:val="0"/>
                <w:caps w:val="0"/>
                <w:color w:val="0F1115"/>
                <w:spacing w:val="0"/>
                <w:kern w:val="0"/>
                <w:sz w:val="18"/>
                <w:szCs w:val="18"/>
                <w:highlight w:val="none"/>
                <w:lang w:val="en-US" w:eastAsia="zh-CN" w:bidi="ar"/>
              </w:rPr>
              <w:t>）</w:t>
            </w:r>
          </w:p>
        </w:tc>
        <w:tc>
          <w:tcPr>
            <w:tcW w:w="1504" w:type="pct"/>
            <w:gridSpan w:val="2"/>
            <w:tcBorders>
              <w:tl2br w:val="nil"/>
              <w:tr2bl w:val="nil"/>
            </w:tcBorders>
            <w:shd w:val="clear" w:color="auto" w:fill="auto"/>
            <w:vAlign w:val="center"/>
          </w:tcPr>
          <w:p w14:paraId="42044E45">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工频电场强度：E（kV/m）</w:t>
            </w:r>
          </w:p>
        </w:tc>
        <w:tc>
          <w:tcPr>
            <w:tcW w:w="1507" w:type="pct"/>
            <w:gridSpan w:val="2"/>
            <w:tcBorders>
              <w:tl2br w:val="nil"/>
              <w:tr2bl w:val="nil"/>
            </w:tcBorders>
            <w:shd w:val="clear" w:color="auto" w:fill="auto"/>
            <w:vAlign w:val="center"/>
          </w:tcPr>
          <w:p w14:paraId="3A3B863B">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工频磁感应强度：B（μT）</w:t>
            </w:r>
          </w:p>
        </w:tc>
      </w:tr>
      <w:tr w14:paraId="547675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vMerge w:val="continue"/>
            <w:tcBorders>
              <w:tl2br w:val="nil"/>
              <w:tr2bl w:val="nil"/>
            </w:tcBorders>
            <w:shd w:val="clear" w:color="auto" w:fill="auto"/>
            <w:vAlign w:val="center"/>
          </w:tcPr>
          <w:p w14:paraId="4FC90803">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p>
        </w:tc>
        <w:tc>
          <w:tcPr>
            <w:tcW w:w="1302" w:type="pct"/>
            <w:vMerge w:val="continue"/>
            <w:tcBorders>
              <w:tl2br w:val="nil"/>
              <w:tr2bl w:val="nil"/>
            </w:tcBorders>
            <w:shd w:val="clear" w:color="auto" w:fill="auto"/>
            <w:vAlign w:val="center"/>
          </w:tcPr>
          <w:p w14:paraId="32640BFD">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p>
        </w:tc>
        <w:tc>
          <w:tcPr>
            <w:tcW w:w="750" w:type="pct"/>
            <w:tcBorders>
              <w:tl2br w:val="nil"/>
              <w:tr2bl w:val="nil"/>
            </w:tcBorders>
            <w:shd w:val="clear" w:color="auto" w:fill="auto"/>
            <w:vAlign w:val="center"/>
          </w:tcPr>
          <w:p w14:paraId="6E454C4E">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导线对地线高7m</w:t>
            </w:r>
          </w:p>
        </w:tc>
        <w:tc>
          <w:tcPr>
            <w:tcW w:w="754" w:type="pct"/>
            <w:tcBorders>
              <w:tl2br w:val="nil"/>
              <w:tr2bl w:val="nil"/>
            </w:tcBorders>
            <w:shd w:val="clear" w:color="auto" w:fill="auto"/>
            <w:vAlign w:val="center"/>
          </w:tcPr>
          <w:p w14:paraId="738D37C8">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导线对地线高6m</w:t>
            </w:r>
          </w:p>
        </w:tc>
        <w:tc>
          <w:tcPr>
            <w:tcW w:w="750" w:type="pct"/>
            <w:tcBorders>
              <w:tl2br w:val="nil"/>
              <w:tr2bl w:val="nil"/>
            </w:tcBorders>
            <w:shd w:val="clear" w:color="auto" w:fill="auto"/>
            <w:vAlign w:val="center"/>
          </w:tcPr>
          <w:p w14:paraId="0BA1DFC8">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导线对地线高7m</w:t>
            </w:r>
          </w:p>
        </w:tc>
        <w:tc>
          <w:tcPr>
            <w:tcW w:w="757" w:type="pct"/>
            <w:tcBorders>
              <w:tl2br w:val="nil"/>
              <w:tr2bl w:val="nil"/>
            </w:tcBorders>
            <w:shd w:val="clear" w:color="auto" w:fill="auto"/>
            <w:vAlign w:val="center"/>
          </w:tcPr>
          <w:p w14:paraId="5C12B354">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导线对地线高6m</w:t>
            </w:r>
          </w:p>
        </w:tc>
      </w:tr>
      <w:tr w14:paraId="687B141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vMerge w:val="continue"/>
            <w:tcBorders>
              <w:tl2br w:val="nil"/>
              <w:tr2bl w:val="nil"/>
            </w:tcBorders>
            <w:shd w:val="clear" w:color="auto" w:fill="auto"/>
            <w:vAlign w:val="center"/>
          </w:tcPr>
          <w:p w14:paraId="5F915272">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p>
        </w:tc>
        <w:tc>
          <w:tcPr>
            <w:tcW w:w="1302" w:type="pct"/>
            <w:vMerge w:val="continue"/>
            <w:tcBorders>
              <w:tl2br w:val="nil"/>
              <w:tr2bl w:val="nil"/>
            </w:tcBorders>
            <w:shd w:val="clear" w:color="auto" w:fill="auto"/>
            <w:vAlign w:val="center"/>
          </w:tcPr>
          <w:p w14:paraId="5932BB4E">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p>
        </w:tc>
        <w:tc>
          <w:tcPr>
            <w:tcW w:w="3012" w:type="pct"/>
            <w:gridSpan w:val="4"/>
            <w:tcBorders>
              <w:tl2br w:val="nil"/>
              <w:tr2bl w:val="nil"/>
            </w:tcBorders>
            <w:shd w:val="clear" w:color="auto" w:fill="auto"/>
            <w:vAlign w:val="center"/>
          </w:tcPr>
          <w:p w14:paraId="6514C29E">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离地高度1.5m</w:t>
            </w:r>
          </w:p>
        </w:tc>
      </w:tr>
      <w:tr w14:paraId="67014A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4974C5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eastAsia" w:ascii="Times New Roman" w:hAnsi="Times New Roman" w:eastAsia="宋体" w:cs="Times New Roman"/>
                <w:b w:val="0"/>
                <w:bCs w:val="0"/>
                <w:i w:val="0"/>
                <w:iCs w:val="0"/>
                <w:caps w:val="0"/>
                <w:color w:val="0F1115"/>
                <w:spacing w:val="0"/>
                <w:kern w:val="0"/>
                <w:sz w:val="18"/>
                <w:szCs w:val="18"/>
                <w:highlight w:val="none"/>
                <w:lang w:val="en-US" w:eastAsia="zh-CN" w:bidi="ar"/>
              </w:rPr>
              <w:t>-</w:t>
            </w: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53</w:t>
            </w:r>
          </w:p>
        </w:tc>
        <w:tc>
          <w:tcPr>
            <w:tcW w:w="1302" w:type="pct"/>
            <w:tcBorders>
              <w:tl2br w:val="nil"/>
              <w:tr2bl w:val="nil"/>
            </w:tcBorders>
            <w:shd w:val="clear" w:color="auto" w:fill="auto"/>
            <w:vAlign w:val="center"/>
          </w:tcPr>
          <w:p w14:paraId="6169EC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边导线外50m</w:t>
            </w:r>
          </w:p>
        </w:tc>
        <w:tc>
          <w:tcPr>
            <w:tcW w:w="750" w:type="pct"/>
            <w:tcBorders>
              <w:tl2br w:val="nil"/>
              <w:tr2bl w:val="nil"/>
            </w:tcBorders>
            <w:shd w:val="clear" w:color="auto" w:fill="auto"/>
            <w:vAlign w:val="center"/>
          </w:tcPr>
          <w:p w14:paraId="379CCAE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0.025</w:t>
            </w:r>
          </w:p>
        </w:tc>
        <w:tc>
          <w:tcPr>
            <w:tcW w:w="754" w:type="pct"/>
            <w:tcBorders>
              <w:tl2br w:val="nil"/>
              <w:tr2bl w:val="nil"/>
            </w:tcBorders>
            <w:shd w:val="clear" w:color="auto" w:fill="auto"/>
            <w:vAlign w:val="center"/>
          </w:tcPr>
          <w:p w14:paraId="1520DF1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0.022</w:t>
            </w:r>
          </w:p>
        </w:tc>
        <w:tc>
          <w:tcPr>
            <w:tcW w:w="750" w:type="pct"/>
            <w:tcBorders>
              <w:tl2br w:val="nil"/>
              <w:tr2bl w:val="nil"/>
            </w:tcBorders>
            <w:shd w:val="clear" w:color="auto" w:fill="auto"/>
            <w:vAlign w:val="center"/>
          </w:tcPr>
          <w:p w14:paraId="291ACFF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0.64</w:t>
            </w:r>
          </w:p>
        </w:tc>
        <w:tc>
          <w:tcPr>
            <w:tcW w:w="757" w:type="pct"/>
            <w:tcBorders>
              <w:tl2br w:val="nil"/>
              <w:tr2bl w:val="nil"/>
            </w:tcBorders>
            <w:shd w:val="clear" w:color="auto" w:fill="auto"/>
            <w:vAlign w:val="center"/>
          </w:tcPr>
          <w:p w14:paraId="04A91E6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0.65</w:t>
            </w:r>
          </w:p>
        </w:tc>
      </w:tr>
      <w:tr w14:paraId="513F8E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4DA959A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-52</w:t>
            </w:r>
          </w:p>
        </w:tc>
        <w:tc>
          <w:tcPr>
            <w:tcW w:w="1302" w:type="pct"/>
            <w:tcBorders>
              <w:tl2br w:val="nil"/>
              <w:tr2bl w:val="nil"/>
            </w:tcBorders>
            <w:shd w:val="clear" w:color="auto" w:fill="auto"/>
            <w:vAlign w:val="center"/>
          </w:tcPr>
          <w:p w14:paraId="379EDF4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边导线外49m</w:t>
            </w:r>
          </w:p>
        </w:tc>
        <w:tc>
          <w:tcPr>
            <w:tcW w:w="750" w:type="pct"/>
            <w:tcBorders>
              <w:tl2br w:val="nil"/>
              <w:tr2bl w:val="nil"/>
            </w:tcBorders>
            <w:shd w:val="clear" w:color="auto" w:fill="auto"/>
            <w:vAlign w:val="center"/>
          </w:tcPr>
          <w:p w14:paraId="64E893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0.026</w:t>
            </w:r>
          </w:p>
        </w:tc>
        <w:tc>
          <w:tcPr>
            <w:tcW w:w="754" w:type="pct"/>
            <w:tcBorders>
              <w:tl2br w:val="nil"/>
              <w:tr2bl w:val="nil"/>
            </w:tcBorders>
            <w:shd w:val="clear" w:color="auto" w:fill="auto"/>
            <w:vAlign w:val="center"/>
          </w:tcPr>
          <w:p w14:paraId="498137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0.023</w:t>
            </w:r>
          </w:p>
        </w:tc>
        <w:tc>
          <w:tcPr>
            <w:tcW w:w="750" w:type="pct"/>
            <w:tcBorders>
              <w:tl2br w:val="nil"/>
              <w:tr2bl w:val="nil"/>
            </w:tcBorders>
            <w:shd w:val="clear" w:color="auto" w:fill="auto"/>
            <w:vAlign w:val="center"/>
          </w:tcPr>
          <w:p w14:paraId="7D2DDD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0.66</w:t>
            </w:r>
          </w:p>
        </w:tc>
        <w:tc>
          <w:tcPr>
            <w:tcW w:w="757" w:type="pct"/>
            <w:tcBorders>
              <w:tl2br w:val="nil"/>
              <w:tr2bl w:val="nil"/>
            </w:tcBorders>
            <w:shd w:val="clear" w:color="auto" w:fill="auto"/>
            <w:vAlign w:val="center"/>
          </w:tcPr>
          <w:p w14:paraId="63A523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0.67</w:t>
            </w:r>
          </w:p>
        </w:tc>
      </w:tr>
      <w:tr w14:paraId="183307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0" w:hRule="atLeast"/>
        </w:trPr>
        <w:tc>
          <w:tcPr>
            <w:tcW w:w="685" w:type="pct"/>
            <w:tcBorders>
              <w:tl2br w:val="nil"/>
              <w:tr2bl w:val="nil"/>
            </w:tcBorders>
            <w:shd w:val="clear" w:color="auto" w:fill="auto"/>
            <w:vAlign w:val="center"/>
          </w:tcPr>
          <w:p w14:paraId="36AEC7A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-51</w:t>
            </w:r>
          </w:p>
        </w:tc>
        <w:tc>
          <w:tcPr>
            <w:tcW w:w="1302" w:type="pct"/>
            <w:tcBorders>
              <w:tl2br w:val="nil"/>
              <w:tr2bl w:val="nil"/>
            </w:tcBorders>
            <w:shd w:val="clear" w:color="auto" w:fill="auto"/>
            <w:vAlign w:val="center"/>
          </w:tcPr>
          <w:p w14:paraId="0E43309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边导线外48m</w:t>
            </w:r>
          </w:p>
        </w:tc>
        <w:tc>
          <w:tcPr>
            <w:tcW w:w="750" w:type="pct"/>
            <w:tcBorders>
              <w:tl2br w:val="nil"/>
              <w:tr2bl w:val="nil"/>
            </w:tcBorders>
            <w:shd w:val="clear" w:color="auto" w:fill="auto"/>
            <w:vAlign w:val="center"/>
          </w:tcPr>
          <w:p w14:paraId="42ABB3B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0.027</w:t>
            </w:r>
          </w:p>
        </w:tc>
        <w:tc>
          <w:tcPr>
            <w:tcW w:w="754" w:type="pct"/>
            <w:tcBorders>
              <w:tl2br w:val="nil"/>
              <w:tr2bl w:val="nil"/>
            </w:tcBorders>
            <w:shd w:val="clear" w:color="auto" w:fill="auto"/>
            <w:vAlign w:val="center"/>
          </w:tcPr>
          <w:p w14:paraId="50199F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0.024</w:t>
            </w:r>
          </w:p>
        </w:tc>
        <w:tc>
          <w:tcPr>
            <w:tcW w:w="750" w:type="pct"/>
            <w:tcBorders>
              <w:tl2br w:val="nil"/>
              <w:tr2bl w:val="nil"/>
            </w:tcBorders>
            <w:shd w:val="clear" w:color="auto" w:fill="auto"/>
            <w:vAlign w:val="center"/>
          </w:tcPr>
          <w:p w14:paraId="01FFA0E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0.68</w:t>
            </w:r>
          </w:p>
        </w:tc>
        <w:tc>
          <w:tcPr>
            <w:tcW w:w="757" w:type="pct"/>
            <w:tcBorders>
              <w:tl2br w:val="nil"/>
              <w:tr2bl w:val="nil"/>
            </w:tcBorders>
            <w:shd w:val="clear" w:color="auto" w:fill="auto"/>
            <w:vAlign w:val="center"/>
          </w:tcPr>
          <w:p w14:paraId="46CBEC3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0.69</w:t>
            </w:r>
          </w:p>
        </w:tc>
      </w:tr>
      <w:tr w14:paraId="709F2E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6DC3D76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-50</w:t>
            </w:r>
          </w:p>
        </w:tc>
        <w:tc>
          <w:tcPr>
            <w:tcW w:w="1302" w:type="pct"/>
            <w:tcBorders>
              <w:tl2br w:val="nil"/>
              <w:tr2bl w:val="nil"/>
            </w:tcBorders>
            <w:shd w:val="clear" w:color="auto" w:fill="auto"/>
            <w:vAlign w:val="center"/>
          </w:tcPr>
          <w:p w14:paraId="78A7357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边导线外47m</w:t>
            </w:r>
          </w:p>
        </w:tc>
        <w:tc>
          <w:tcPr>
            <w:tcW w:w="750" w:type="pct"/>
            <w:tcBorders>
              <w:tl2br w:val="nil"/>
              <w:tr2bl w:val="nil"/>
            </w:tcBorders>
            <w:shd w:val="clear" w:color="auto" w:fill="auto"/>
            <w:vAlign w:val="center"/>
          </w:tcPr>
          <w:p w14:paraId="41BB1A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0.028</w:t>
            </w:r>
          </w:p>
        </w:tc>
        <w:tc>
          <w:tcPr>
            <w:tcW w:w="754" w:type="pct"/>
            <w:tcBorders>
              <w:tl2br w:val="nil"/>
              <w:tr2bl w:val="nil"/>
            </w:tcBorders>
            <w:shd w:val="clear" w:color="auto" w:fill="auto"/>
            <w:vAlign w:val="center"/>
          </w:tcPr>
          <w:p w14:paraId="41F68B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0.025</w:t>
            </w:r>
          </w:p>
        </w:tc>
        <w:tc>
          <w:tcPr>
            <w:tcW w:w="750" w:type="pct"/>
            <w:tcBorders>
              <w:tl2br w:val="nil"/>
              <w:tr2bl w:val="nil"/>
            </w:tcBorders>
            <w:shd w:val="clear" w:color="auto" w:fill="auto"/>
            <w:vAlign w:val="center"/>
          </w:tcPr>
          <w:p w14:paraId="2A409C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w:t>
            </w:r>
          </w:p>
        </w:tc>
        <w:tc>
          <w:tcPr>
            <w:tcW w:w="757" w:type="pct"/>
            <w:tcBorders>
              <w:tl2br w:val="nil"/>
              <w:tr2bl w:val="nil"/>
            </w:tcBorders>
            <w:shd w:val="clear" w:color="auto" w:fill="auto"/>
            <w:vAlign w:val="center"/>
          </w:tcPr>
          <w:p w14:paraId="0BCA72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0.71</w:t>
            </w:r>
          </w:p>
        </w:tc>
      </w:tr>
      <w:tr w14:paraId="4DF36B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466B5B6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-49</w:t>
            </w:r>
          </w:p>
        </w:tc>
        <w:tc>
          <w:tcPr>
            <w:tcW w:w="1302" w:type="pct"/>
            <w:tcBorders>
              <w:tl2br w:val="nil"/>
              <w:tr2bl w:val="nil"/>
            </w:tcBorders>
            <w:shd w:val="clear" w:color="auto" w:fill="auto"/>
            <w:vAlign w:val="center"/>
          </w:tcPr>
          <w:p w14:paraId="25B54C5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边导线外46m</w:t>
            </w:r>
          </w:p>
        </w:tc>
        <w:tc>
          <w:tcPr>
            <w:tcW w:w="750" w:type="pct"/>
            <w:tcBorders>
              <w:tl2br w:val="nil"/>
              <w:tr2bl w:val="nil"/>
            </w:tcBorders>
            <w:shd w:val="clear" w:color="auto" w:fill="auto"/>
            <w:vAlign w:val="center"/>
          </w:tcPr>
          <w:p w14:paraId="373F377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0.029</w:t>
            </w:r>
          </w:p>
        </w:tc>
        <w:tc>
          <w:tcPr>
            <w:tcW w:w="754" w:type="pct"/>
            <w:tcBorders>
              <w:tl2br w:val="nil"/>
              <w:tr2bl w:val="nil"/>
            </w:tcBorders>
            <w:shd w:val="clear" w:color="auto" w:fill="auto"/>
            <w:vAlign w:val="center"/>
          </w:tcPr>
          <w:p w14:paraId="0F3FCC7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0.026</w:t>
            </w:r>
          </w:p>
        </w:tc>
        <w:tc>
          <w:tcPr>
            <w:tcW w:w="750" w:type="pct"/>
            <w:tcBorders>
              <w:tl2br w:val="nil"/>
              <w:tr2bl w:val="nil"/>
            </w:tcBorders>
            <w:shd w:val="clear" w:color="auto" w:fill="auto"/>
            <w:vAlign w:val="center"/>
          </w:tcPr>
          <w:p w14:paraId="1D93AA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0.72</w:t>
            </w:r>
          </w:p>
        </w:tc>
        <w:tc>
          <w:tcPr>
            <w:tcW w:w="757" w:type="pct"/>
            <w:tcBorders>
              <w:tl2br w:val="nil"/>
              <w:tr2bl w:val="nil"/>
            </w:tcBorders>
            <w:shd w:val="clear" w:color="auto" w:fill="auto"/>
            <w:vAlign w:val="center"/>
          </w:tcPr>
          <w:p w14:paraId="450E3AD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0.73</w:t>
            </w:r>
          </w:p>
        </w:tc>
      </w:tr>
      <w:tr w14:paraId="168CAD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0C9336B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-48</w:t>
            </w:r>
          </w:p>
        </w:tc>
        <w:tc>
          <w:tcPr>
            <w:tcW w:w="1302" w:type="pct"/>
            <w:tcBorders>
              <w:tl2br w:val="nil"/>
              <w:tr2bl w:val="nil"/>
            </w:tcBorders>
            <w:shd w:val="clear" w:color="auto" w:fill="auto"/>
            <w:vAlign w:val="center"/>
          </w:tcPr>
          <w:p w14:paraId="0E5D8BC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边导线外45m</w:t>
            </w:r>
          </w:p>
        </w:tc>
        <w:tc>
          <w:tcPr>
            <w:tcW w:w="750" w:type="pct"/>
            <w:tcBorders>
              <w:tl2br w:val="nil"/>
              <w:tr2bl w:val="nil"/>
            </w:tcBorders>
            <w:shd w:val="clear" w:color="auto" w:fill="auto"/>
            <w:vAlign w:val="center"/>
          </w:tcPr>
          <w:p w14:paraId="35C795B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0.031</w:t>
            </w:r>
          </w:p>
        </w:tc>
        <w:tc>
          <w:tcPr>
            <w:tcW w:w="754" w:type="pct"/>
            <w:tcBorders>
              <w:tl2br w:val="nil"/>
              <w:tr2bl w:val="nil"/>
            </w:tcBorders>
            <w:shd w:val="clear" w:color="auto" w:fill="auto"/>
            <w:vAlign w:val="center"/>
          </w:tcPr>
          <w:p w14:paraId="44C7CAE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0.028</w:t>
            </w:r>
          </w:p>
        </w:tc>
        <w:tc>
          <w:tcPr>
            <w:tcW w:w="750" w:type="pct"/>
            <w:tcBorders>
              <w:tl2br w:val="nil"/>
              <w:tr2bl w:val="nil"/>
            </w:tcBorders>
            <w:shd w:val="clear" w:color="auto" w:fill="auto"/>
            <w:vAlign w:val="center"/>
          </w:tcPr>
          <w:p w14:paraId="3FBFBA9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0.75</w:t>
            </w:r>
          </w:p>
        </w:tc>
        <w:tc>
          <w:tcPr>
            <w:tcW w:w="757" w:type="pct"/>
            <w:tcBorders>
              <w:tl2br w:val="nil"/>
              <w:tr2bl w:val="nil"/>
            </w:tcBorders>
            <w:shd w:val="clear" w:color="auto" w:fill="auto"/>
            <w:vAlign w:val="center"/>
          </w:tcPr>
          <w:p w14:paraId="3965EEF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0.76</w:t>
            </w:r>
          </w:p>
        </w:tc>
      </w:tr>
      <w:tr w14:paraId="00EAFB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72A22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-47</w:t>
            </w:r>
          </w:p>
        </w:tc>
        <w:tc>
          <w:tcPr>
            <w:tcW w:w="1302" w:type="pct"/>
            <w:tcBorders>
              <w:tl2br w:val="nil"/>
              <w:tr2bl w:val="nil"/>
            </w:tcBorders>
            <w:shd w:val="clear" w:color="auto" w:fill="auto"/>
            <w:vAlign w:val="center"/>
          </w:tcPr>
          <w:p w14:paraId="2DEFB80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边导线外44m</w:t>
            </w:r>
          </w:p>
        </w:tc>
        <w:tc>
          <w:tcPr>
            <w:tcW w:w="750" w:type="pct"/>
            <w:tcBorders>
              <w:tl2br w:val="nil"/>
              <w:tr2bl w:val="nil"/>
            </w:tcBorders>
            <w:shd w:val="clear" w:color="auto" w:fill="auto"/>
            <w:vAlign w:val="center"/>
          </w:tcPr>
          <w:p w14:paraId="60742A9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0.032</w:t>
            </w:r>
          </w:p>
        </w:tc>
        <w:tc>
          <w:tcPr>
            <w:tcW w:w="754" w:type="pct"/>
            <w:tcBorders>
              <w:tl2br w:val="nil"/>
              <w:tr2bl w:val="nil"/>
            </w:tcBorders>
            <w:shd w:val="clear" w:color="auto" w:fill="auto"/>
            <w:vAlign w:val="center"/>
          </w:tcPr>
          <w:p w14:paraId="63924C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0.029</w:t>
            </w:r>
          </w:p>
        </w:tc>
        <w:tc>
          <w:tcPr>
            <w:tcW w:w="750" w:type="pct"/>
            <w:tcBorders>
              <w:tl2br w:val="nil"/>
              <w:tr2bl w:val="nil"/>
            </w:tcBorders>
            <w:shd w:val="clear" w:color="auto" w:fill="auto"/>
            <w:vAlign w:val="center"/>
          </w:tcPr>
          <w:p w14:paraId="7E8EAB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0.78</w:t>
            </w:r>
          </w:p>
        </w:tc>
        <w:tc>
          <w:tcPr>
            <w:tcW w:w="757" w:type="pct"/>
            <w:tcBorders>
              <w:tl2br w:val="nil"/>
              <w:tr2bl w:val="nil"/>
            </w:tcBorders>
            <w:shd w:val="clear" w:color="auto" w:fill="auto"/>
            <w:vAlign w:val="center"/>
          </w:tcPr>
          <w:p w14:paraId="4266E84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0.79</w:t>
            </w:r>
          </w:p>
        </w:tc>
      </w:tr>
      <w:tr w14:paraId="784162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3E802F5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-46</w:t>
            </w:r>
          </w:p>
        </w:tc>
        <w:tc>
          <w:tcPr>
            <w:tcW w:w="1302" w:type="pct"/>
            <w:tcBorders>
              <w:tl2br w:val="nil"/>
              <w:tr2bl w:val="nil"/>
            </w:tcBorders>
            <w:shd w:val="clear" w:color="auto" w:fill="auto"/>
            <w:vAlign w:val="center"/>
          </w:tcPr>
          <w:p w14:paraId="51C092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边导线外43m</w:t>
            </w:r>
          </w:p>
        </w:tc>
        <w:tc>
          <w:tcPr>
            <w:tcW w:w="750" w:type="pct"/>
            <w:tcBorders>
              <w:tl2br w:val="nil"/>
              <w:tr2bl w:val="nil"/>
            </w:tcBorders>
            <w:shd w:val="clear" w:color="auto" w:fill="auto"/>
            <w:vAlign w:val="center"/>
          </w:tcPr>
          <w:p w14:paraId="63C61E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0.034</w:t>
            </w:r>
          </w:p>
        </w:tc>
        <w:tc>
          <w:tcPr>
            <w:tcW w:w="754" w:type="pct"/>
            <w:tcBorders>
              <w:tl2br w:val="nil"/>
              <w:tr2bl w:val="nil"/>
            </w:tcBorders>
            <w:shd w:val="clear" w:color="auto" w:fill="auto"/>
            <w:vAlign w:val="center"/>
          </w:tcPr>
          <w:p w14:paraId="429A79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0.030</w:t>
            </w:r>
          </w:p>
        </w:tc>
        <w:tc>
          <w:tcPr>
            <w:tcW w:w="750" w:type="pct"/>
            <w:tcBorders>
              <w:tl2br w:val="nil"/>
              <w:tr2bl w:val="nil"/>
            </w:tcBorders>
            <w:shd w:val="clear" w:color="auto" w:fill="auto"/>
            <w:vAlign w:val="center"/>
          </w:tcPr>
          <w:p w14:paraId="3B42305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0.81</w:t>
            </w:r>
          </w:p>
        </w:tc>
        <w:tc>
          <w:tcPr>
            <w:tcW w:w="757" w:type="pct"/>
            <w:tcBorders>
              <w:tl2br w:val="nil"/>
              <w:tr2bl w:val="nil"/>
            </w:tcBorders>
            <w:shd w:val="clear" w:color="auto" w:fill="auto"/>
            <w:vAlign w:val="center"/>
          </w:tcPr>
          <w:p w14:paraId="754522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0.82</w:t>
            </w:r>
          </w:p>
        </w:tc>
      </w:tr>
      <w:tr w14:paraId="09380D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5C7AE35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-45</w:t>
            </w:r>
          </w:p>
        </w:tc>
        <w:tc>
          <w:tcPr>
            <w:tcW w:w="1302" w:type="pct"/>
            <w:tcBorders>
              <w:tl2br w:val="nil"/>
              <w:tr2bl w:val="nil"/>
            </w:tcBorders>
            <w:shd w:val="clear" w:color="auto" w:fill="auto"/>
            <w:vAlign w:val="center"/>
          </w:tcPr>
          <w:p w14:paraId="7F7CE3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边导线外42m</w:t>
            </w:r>
          </w:p>
        </w:tc>
        <w:tc>
          <w:tcPr>
            <w:tcW w:w="750" w:type="pct"/>
            <w:tcBorders>
              <w:tl2br w:val="nil"/>
              <w:tr2bl w:val="nil"/>
            </w:tcBorders>
            <w:shd w:val="clear" w:color="auto" w:fill="auto"/>
            <w:vAlign w:val="center"/>
          </w:tcPr>
          <w:p w14:paraId="752727A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0.036</w:t>
            </w:r>
          </w:p>
        </w:tc>
        <w:tc>
          <w:tcPr>
            <w:tcW w:w="754" w:type="pct"/>
            <w:tcBorders>
              <w:tl2br w:val="nil"/>
              <w:tr2bl w:val="nil"/>
            </w:tcBorders>
            <w:shd w:val="clear" w:color="auto" w:fill="auto"/>
            <w:vAlign w:val="center"/>
          </w:tcPr>
          <w:p w14:paraId="7A281E6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0.032</w:t>
            </w:r>
          </w:p>
        </w:tc>
        <w:tc>
          <w:tcPr>
            <w:tcW w:w="750" w:type="pct"/>
            <w:tcBorders>
              <w:tl2br w:val="nil"/>
              <w:tr2bl w:val="nil"/>
            </w:tcBorders>
            <w:shd w:val="clear" w:color="auto" w:fill="auto"/>
            <w:vAlign w:val="center"/>
          </w:tcPr>
          <w:p w14:paraId="702465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0.84</w:t>
            </w:r>
          </w:p>
        </w:tc>
        <w:tc>
          <w:tcPr>
            <w:tcW w:w="757" w:type="pct"/>
            <w:tcBorders>
              <w:tl2br w:val="nil"/>
              <w:tr2bl w:val="nil"/>
            </w:tcBorders>
            <w:shd w:val="clear" w:color="auto" w:fill="auto"/>
            <w:vAlign w:val="center"/>
          </w:tcPr>
          <w:p w14:paraId="3F49B1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0.85</w:t>
            </w:r>
          </w:p>
        </w:tc>
      </w:tr>
      <w:tr w14:paraId="730245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39ECB8F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-44</w:t>
            </w:r>
          </w:p>
        </w:tc>
        <w:tc>
          <w:tcPr>
            <w:tcW w:w="1302" w:type="pct"/>
            <w:tcBorders>
              <w:tl2br w:val="nil"/>
              <w:tr2bl w:val="nil"/>
            </w:tcBorders>
            <w:shd w:val="clear" w:color="auto" w:fill="auto"/>
            <w:vAlign w:val="center"/>
          </w:tcPr>
          <w:p w14:paraId="4667C84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边导线外41m</w:t>
            </w:r>
          </w:p>
        </w:tc>
        <w:tc>
          <w:tcPr>
            <w:tcW w:w="750" w:type="pct"/>
            <w:tcBorders>
              <w:tl2br w:val="nil"/>
              <w:tr2bl w:val="nil"/>
            </w:tcBorders>
            <w:shd w:val="clear" w:color="auto" w:fill="auto"/>
            <w:vAlign w:val="center"/>
          </w:tcPr>
          <w:p w14:paraId="167BB9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0.038</w:t>
            </w:r>
          </w:p>
        </w:tc>
        <w:tc>
          <w:tcPr>
            <w:tcW w:w="754" w:type="pct"/>
            <w:tcBorders>
              <w:tl2br w:val="nil"/>
              <w:tr2bl w:val="nil"/>
            </w:tcBorders>
            <w:shd w:val="clear" w:color="auto" w:fill="auto"/>
            <w:vAlign w:val="center"/>
          </w:tcPr>
          <w:p w14:paraId="239549B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0.034</w:t>
            </w:r>
          </w:p>
        </w:tc>
        <w:tc>
          <w:tcPr>
            <w:tcW w:w="750" w:type="pct"/>
            <w:tcBorders>
              <w:tl2br w:val="nil"/>
              <w:tr2bl w:val="nil"/>
            </w:tcBorders>
            <w:shd w:val="clear" w:color="auto" w:fill="auto"/>
            <w:vAlign w:val="center"/>
          </w:tcPr>
          <w:p w14:paraId="3139DEC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0.87</w:t>
            </w:r>
          </w:p>
        </w:tc>
        <w:tc>
          <w:tcPr>
            <w:tcW w:w="757" w:type="pct"/>
            <w:tcBorders>
              <w:tl2br w:val="nil"/>
              <w:tr2bl w:val="nil"/>
            </w:tcBorders>
            <w:shd w:val="clear" w:color="auto" w:fill="auto"/>
            <w:vAlign w:val="center"/>
          </w:tcPr>
          <w:p w14:paraId="142538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0.88</w:t>
            </w:r>
          </w:p>
        </w:tc>
      </w:tr>
      <w:tr w14:paraId="02CF16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3BF682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-43</w:t>
            </w:r>
          </w:p>
        </w:tc>
        <w:tc>
          <w:tcPr>
            <w:tcW w:w="1302" w:type="pct"/>
            <w:tcBorders>
              <w:tl2br w:val="nil"/>
              <w:tr2bl w:val="nil"/>
            </w:tcBorders>
            <w:shd w:val="clear" w:color="auto" w:fill="auto"/>
            <w:vAlign w:val="center"/>
          </w:tcPr>
          <w:p w14:paraId="393DB8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边导线外40m</w:t>
            </w:r>
          </w:p>
        </w:tc>
        <w:tc>
          <w:tcPr>
            <w:tcW w:w="750" w:type="pct"/>
            <w:tcBorders>
              <w:tl2br w:val="nil"/>
              <w:tr2bl w:val="nil"/>
            </w:tcBorders>
            <w:shd w:val="clear" w:color="auto" w:fill="auto"/>
            <w:vAlign w:val="center"/>
          </w:tcPr>
          <w:p w14:paraId="0FEC069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0.040</w:t>
            </w:r>
          </w:p>
        </w:tc>
        <w:tc>
          <w:tcPr>
            <w:tcW w:w="754" w:type="pct"/>
            <w:tcBorders>
              <w:tl2br w:val="nil"/>
              <w:tr2bl w:val="nil"/>
            </w:tcBorders>
            <w:shd w:val="clear" w:color="auto" w:fill="auto"/>
            <w:vAlign w:val="center"/>
          </w:tcPr>
          <w:p w14:paraId="6CC55B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0.036</w:t>
            </w:r>
          </w:p>
        </w:tc>
        <w:tc>
          <w:tcPr>
            <w:tcW w:w="750" w:type="pct"/>
            <w:tcBorders>
              <w:tl2br w:val="nil"/>
              <w:tr2bl w:val="nil"/>
            </w:tcBorders>
            <w:shd w:val="clear" w:color="auto" w:fill="auto"/>
            <w:vAlign w:val="center"/>
          </w:tcPr>
          <w:p w14:paraId="6A57AB6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0.91</w:t>
            </w:r>
          </w:p>
        </w:tc>
        <w:tc>
          <w:tcPr>
            <w:tcW w:w="757" w:type="pct"/>
            <w:tcBorders>
              <w:tl2br w:val="nil"/>
              <w:tr2bl w:val="nil"/>
            </w:tcBorders>
            <w:shd w:val="clear" w:color="auto" w:fill="auto"/>
            <w:vAlign w:val="center"/>
          </w:tcPr>
          <w:p w14:paraId="4057C93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0.92</w:t>
            </w:r>
          </w:p>
        </w:tc>
      </w:tr>
      <w:tr w14:paraId="2B0859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298E989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-42</w:t>
            </w:r>
          </w:p>
        </w:tc>
        <w:tc>
          <w:tcPr>
            <w:tcW w:w="1302" w:type="pct"/>
            <w:tcBorders>
              <w:tl2br w:val="nil"/>
              <w:tr2bl w:val="nil"/>
            </w:tcBorders>
            <w:shd w:val="clear" w:color="auto" w:fill="auto"/>
            <w:vAlign w:val="center"/>
          </w:tcPr>
          <w:p w14:paraId="5D97613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边导线外39m</w:t>
            </w:r>
          </w:p>
        </w:tc>
        <w:tc>
          <w:tcPr>
            <w:tcW w:w="750" w:type="pct"/>
            <w:tcBorders>
              <w:tl2br w:val="nil"/>
              <w:tr2bl w:val="nil"/>
            </w:tcBorders>
            <w:shd w:val="clear" w:color="auto" w:fill="auto"/>
            <w:vAlign w:val="center"/>
          </w:tcPr>
          <w:p w14:paraId="13793B4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0.043</w:t>
            </w:r>
          </w:p>
        </w:tc>
        <w:tc>
          <w:tcPr>
            <w:tcW w:w="754" w:type="pct"/>
            <w:tcBorders>
              <w:tl2br w:val="nil"/>
              <w:tr2bl w:val="nil"/>
            </w:tcBorders>
            <w:shd w:val="clear" w:color="auto" w:fill="auto"/>
            <w:vAlign w:val="center"/>
          </w:tcPr>
          <w:p w14:paraId="2CE3B11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0.038</w:t>
            </w:r>
          </w:p>
        </w:tc>
        <w:tc>
          <w:tcPr>
            <w:tcW w:w="750" w:type="pct"/>
            <w:tcBorders>
              <w:tl2br w:val="nil"/>
              <w:tr2bl w:val="nil"/>
            </w:tcBorders>
            <w:shd w:val="clear" w:color="auto" w:fill="auto"/>
            <w:vAlign w:val="center"/>
          </w:tcPr>
          <w:p w14:paraId="360C9B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0.95</w:t>
            </w:r>
          </w:p>
        </w:tc>
        <w:tc>
          <w:tcPr>
            <w:tcW w:w="757" w:type="pct"/>
            <w:tcBorders>
              <w:tl2br w:val="nil"/>
              <w:tr2bl w:val="nil"/>
            </w:tcBorders>
            <w:shd w:val="clear" w:color="auto" w:fill="auto"/>
            <w:vAlign w:val="center"/>
          </w:tcPr>
          <w:p w14:paraId="1CB01AF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0.96</w:t>
            </w:r>
          </w:p>
        </w:tc>
      </w:tr>
      <w:tr w14:paraId="3A5DCBE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67570CB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-41</w:t>
            </w:r>
          </w:p>
        </w:tc>
        <w:tc>
          <w:tcPr>
            <w:tcW w:w="1302" w:type="pct"/>
            <w:tcBorders>
              <w:tl2br w:val="nil"/>
              <w:tr2bl w:val="nil"/>
            </w:tcBorders>
            <w:shd w:val="clear" w:color="auto" w:fill="auto"/>
            <w:vAlign w:val="center"/>
          </w:tcPr>
          <w:p w14:paraId="7A60DA9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边导线外38m</w:t>
            </w:r>
          </w:p>
        </w:tc>
        <w:tc>
          <w:tcPr>
            <w:tcW w:w="750" w:type="pct"/>
            <w:tcBorders>
              <w:tl2br w:val="nil"/>
              <w:tr2bl w:val="nil"/>
            </w:tcBorders>
            <w:shd w:val="clear" w:color="auto" w:fill="auto"/>
            <w:vAlign w:val="center"/>
          </w:tcPr>
          <w:p w14:paraId="70AF385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0.046</w:t>
            </w:r>
          </w:p>
        </w:tc>
        <w:tc>
          <w:tcPr>
            <w:tcW w:w="754" w:type="pct"/>
            <w:tcBorders>
              <w:tl2br w:val="nil"/>
              <w:tr2bl w:val="nil"/>
            </w:tcBorders>
            <w:shd w:val="clear" w:color="auto" w:fill="auto"/>
            <w:vAlign w:val="center"/>
          </w:tcPr>
          <w:p w14:paraId="0D12095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0.041</w:t>
            </w:r>
          </w:p>
        </w:tc>
        <w:tc>
          <w:tcPr>
            <w:tcW w:w="750" w:type="pct"/>
            <w:tcBorders>
              <w:tl2br w:val="nil"/>
              <w:tr2bl w:val="nil"/>
            </w:tcBorders>
            <w:shd w:val="clear" w:color="auto" w:fill="auto"/>
            <w:vAlign w:val="center"/>
          </w:tcPr>
          <w:p w14:paraId="07FD72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0.99</w:t>
            </w:r>
          </w:p>
        </w:tc>
        <w:tc>
          <w:tcPr>
            <w:tcW w:w="757" w:type="pct"/>
            <w:tcBorders>
              <w:tl2br w:val="nil"/>
              <w:tr2bl w:val="nil"/>
            </w:tcBorders>
            <w:shd w:val="clear" w:color="auto" w:fill="auto"/>
            <w:vAlign w:val="center"/>
          </w:tcPr>
          <w:p w14:paraId="2128EEC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w:t>
            </w:r>
          </w:p>
        </w:tc>
      </w:tr>
      <w:tr w14:paraId="53FDDB9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2F1385B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-40</w:t>
            </w:r>
          </w:p>
        </w:tc>
        <w:tc>
          <w:tcPr>
            <w:tcW w:w="1302" w:type="pct"/>
            <w:tcBorders>
              <w:tl2br w:val="nil"/>
              <w:tr2bl w:val="nil"/>
            </w:tcBorders>
            <w:shd w:val="clear" w:color="auto" w:fill="auto"/>
            <w:vAlign w:val="center"/>
          </w:tcPr>
          <w:p w14:paraId="3B64DEF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边导线外37m</w:t>
            </w:r>
          </w:p>
        </w:tc>
        <w:tc>
          <w:tcPr>
            <w:tcW w:w="750" w:type="pct"/>
            <w:tcBorders>
              <w:tl2br w:val="nil"/>
              <w:tr2bl w:val="nil"/>
            </w:tcBorders>
            <w:shd w:val="clear" w:color="auto" w:fill="auto"/>
            <w:vAlign w:val="center"/>
          </w:tcPr>
          <w:p w14:paraId="27CABF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0.049</w:t>
            </w:r>
          </w:p>
        </w:tc>
        <w:tc>
          <w:tcPr>
            <w:tcW w:w="754" w:type="pct"/>
            <w:tcBorders>
              <w:tl2br w:val="nil"/>
              <w:tr2bl w:val="nil"/>
            </w:tcBorders>
            <w:shd w:val="clear" w:color="auto" w:fill="auto"/>
            <w:vAlign w:val="center"/>
          </w:tcPr>
          <w:p w14:paraId="282D61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0.044</w:t>
            </w:r>
          </w:p>
        </w:tc>
        <w:tc>
          <w:tcPr>
            <w:tcW w:w="750" w:type="pct"/>
            <w:tcBorders>
              <w:tl2br w:val="nil"/>
              <w:tr2bl w:val="nil"/>
            </w:tcBorders>
            <w:shd w:val="clear" w:color="auto" w:fill="auto"/>
            <w:vAlign w:val="center"/>
          </w:tcPr>
          <w:p w14:paraId="700B349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1.03</w:t>
            </w:r>
          </w:p>
        </w:tc>
        <w:tc>
          <w:tcPr>
            <w:tcW w:w="757" w:type="pct"/>
            <w:tcBorders>
              <w:tl2br w:val="nil"/>
              <w:tr2bl w:val="nil"/>
            </w:tcBorders>
            <w:shd w:val="clear" w:color="auto" w:fill="auto"/>
            <w:vAlign w:val="center"/>
          </w:tcPr>
          <w:p w14:paraId="78EDC07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1.05</w:t>
            </w:r>
          </w:p>
        </w:tc>
      </w:tr>
      <w:tr w14:paraId="4BF0A3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69025C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-39</w:t>
            </w:r>
          </w:p>
        </w:tc>
        <w:tc>
          <w:tcPr>
            <w:tcW w:w="1302" w:type="pct"/>
            <w:tcBorders>
              <w:tl2br w:val="nil"/>
              <w:tr2bl w:val="nil"/>
            </w:tcBorders>
            <w:shd w:val="clear" w:color="auto" w:fill="auto"/>
            <w:vAlign w:val="center"/>
          </w:tcPr>
          <w:p w14:paraId="4CDD1C0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边导线外36m</w:t>
            </w:r>
          </w:p>
        </w:tc>
        <w:tc>
          <w:tcPr>
            <w:tcW w:w="750" w:type="pct"/>
            <w:tcBorders>
              <w:tl2br w:val="nil"/>
              <w:tr2bl w:val="nil"/>
            </w:tcBorders>
            <w:shd w:val="clear" w:color="auto" w:fill="auto"/>
            <w:vAlign w:val="center"/>
          </w:tcPr>
          <w:p w14:paraId="5988DD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0.052</w:t>
            </w:r>
          </w:p>
        </w:tc>
        <w:tc>
          <w:tcPr>
            <w:tcW w:w="754" w:type="pct"/>
            <w:tcBorders>
              <w:tl2br w:val="nil"/>
              <w:tr2bl w:val="nil"/>
            </w:tcBorders>
            <w:shd w:val="clear" w:color="auto" w:fill="auto"/>
            <w:vAlign w:val="center"/>
          </w:tcPr>
          <w:p w14:paraId="72A8867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0.047</w:t>
            </w:r>
          </w:p>
        </w:tc>
        <w:tc>
          <w:tcPr>
            <w:tcW w:w="750" w:type="pct"/>
            <w:tcBorders>
              <w:tl2br w:val="nil"/>
              <w:tr2bl w:val="nil"/>
            </w:tcBorders>
            <w:shd w:val="clear" w:color="auto" w:fill="auto"/>
            <w:vAlign w:val="center"/>
          </w:tcPr>
          <w:p w14:paraId="463AB8E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1.08</w:t>
            </w:r>
          </w:p>
        </w:tc>
        <w:tc>
          <w:tcPr>
            <w:tcW w:w="757" w:type="pct"/>
            <w:tcBorders>
              <w:tl2br w:val="nil"/>
              <w:tr2bl w:val="nil"/>
            </w:tcBorders>
            <w:shd w:val="clear" w:color="auto" w:fill="auto"/>
            <w:vAlign w:val="center"/>
          </w:tcPr>
          <w:p w14:paraId="55D448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w:t>
            </w:r>
          </w:p>
        </w:tc>
      </w:tr>
      <w:tr w14:paraId="245D27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2A36B7A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-38</w:t>
            </w:r>
          </w:p>
        </w:tc>
        <w:tc>
          <w:tcPr>
            <w:tcW w:w="1302" w:type="pct"/>
            <w:tcBorders>
              <w:tl2br w:val="nil"/>
              <w:tr2bl w:val="nil"/>
            </w:tcBorders>
            <w:shd w:val="clear" w:color="auto" w:fill="auto"/>
            <w:vAlign w:val="center"/>
          </w:tcPr>
          <w:p w14:paraId="69BFB0B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边导线外35m</w:t>
            </w:r>
          </w:p>
        </w:tc>
        <w:tc>
          <w:tcPr>
            <w:tcW w:w="750" w:type="pct"/>
            <w:tcBorders>
              <w:tl2br w:val="nil"/>
              <w:tr2bl w:val="nil"/>
            </w:tcBorders>
            <w:shd w:val="clear" w:color="auto" w:fill="auto"/>
            <w:vAlign w:val="center"/>
          </w:tcPr>
          <w:p w14:paraId="79EA46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0.056</w:t>
            </w:r>
          </w:p>
        </w:tc>
        <w:tc>
          <w:tcPr>
            <w:tcW w:w="754" w:type="pct"/>
            <w:tcBorders>
              <w:tl2br w:val="nil"/>
              <w:tr2bl w:val="nil"/>
            </w:tcBorders>
            <w:shd w:val="clear" w:color="auto" w:fill="auto"/>
            <w:vAlign w:val="center"/>
          </w:tcPr>
          <w:p w14:paraId="2BAFB6A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0.050</w:t>
            </w:r>
          </w:p>
        </w:tc>
        <w:tc>
          <w:tcPr>
            <w:tcW w:w="750" w:type="pct"/>
            <w:tcBorders>
              <w:tl2br w:val="nil"/>
              <w:tr2bl w:val="nil"/>
            </w:tcBorders>
            <w:shd w:val="clear" w:color="auto" w:fill="auto"/>
            <w:vAlign w:val="center"/>
          </w:tcPr>
          <w:p w14:paraId="0EFF2C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1.13</w:t>
            </w:r>
          </w:p>
        </w:tc>
        <w:tc>
          <w:tcPr>
            <w:tcW w:w="757" w:type="pct"/>
            <w:tcBorders>
              <w:tl2br w:val="nil"/>
              <w:tr2bl w:val="nil"/>
            </w:tcBorders>
            <w:shd w:val="clear" w:color="auto" w:fill="auto"/>
            <w:vAlign w:val="center"/>
          </w:tcPr>
          <w:p w14:paraId="6E61433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1.15</w:t>
            </w:r>
          </w:p>
        </w:tc>
      </w:tr>
      <w:tr w14:paraId="2447BA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D8AB07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-37</w:t>
            </w:r>
          </w:p>
        </w:tc>
        <w:tc>
          <w:tcPr>
            <w:tcW w:w="1302" w:type="pct"/>
            <w:tcBorders>
              <w:tl2br w:val="nil"/>
              <w:tr2bl w:val="nil"/>
            </w:tcBorders>
            <w:shd w:val="clear" w:color="auto" w:fill="auto"/>
            <w:vAlign w:val="center"/>
          </w:tcPr>
          <w:p w14:paraId="24C4C11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边导线外34m</w:t>
            </w:r>
          </w:p>
        </w:tc>
        <w:tc>
          <w:tcPr>
            <w:tcW w:w="750" w:type="pct"/>
            <w:tcBorders>
              <w:tl2br w:val="nil"/>
              <w:tr2bl w:val="nil"/>
            </w:tcBorders>
            <w:shd w:val="clear" w:color="auto" w:fill="auto"/>
            <w:vAlign w:val="center"/>
          </w:tcPr>
          <w:p w14:paraId="2B31800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0.060</w:t>
            </w:r>
          </w:p>
        </w:tc>
        <w:tc>
          <w:tcPr>
            <w:tcW w:w="754" w:type="pct"/>
            <w:tcBorders>
              <w:tl2br w:val="nil"/>
              <w:tr2bl w:val="nil"/>
            </w:tcBorders>
            <w:shd w:val="clear" w:color="auto" w:fill="auto"/>
            <w:vAlign w:val="center"/>
          </w:tcPr>
          <w:p w14:paraId="2508739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0.054</w:t>
            </w:r>
          </w:p>
        </w:tc>
        <w:tc>
          <w:tcPr>
            <w:tcW w:w="750" w:type="pct"/>
            <w:tcBorders>
              <w:tl2br w:val="nil"/>
              <w:tr2bl w:val="nil"/>
            </w:tcBorders>
            <w:shd w:val="clear" w:color="auto" w:fill="auto"/>
            <w:vAlign w:val="center"/>
          </w:tcPr>
          <w:p w14:paraId="504832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1.19</w:t>
            </w:r>
          </w:p>
        </w:tc>
        <w:tc>
          <w:tcPr>
            <w:tcW w:w="757" w:type="pct"/>
            <w:tcBorders>
              <w:tl2br w:val="nil"/>
              <w:tr2bl w:val="nil"/>
            </w:tcBorders>
            <w:shd w:val="clear" w:color="auto" w:fill="auto"/>
            <w:vAlign w:val="center"/>
          </w:tcPr>
          <w:p w14:paraId="7CBE1C1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1.21</w:t>
            </w:r>
          </w:p>
        </w:tc>
      </w:tr>
      <w:tr w14:paraId="0AFFFE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3F28836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-36</w:t>
            </w:r>
          </w:p>
        </w:tc>
        <w:tc>
          <w:tcPr>
            <w:tcW w:w="1302" w:type="pct"/>
            <w:tcBorders>
              <w:tl2br w:val="nil"/>
              <w:tr2bl w:val="nil"/>
            </w:tcBorders>
            <w:shd w:val="clear" w:color="auto" w:fill="auto"/>
            <w:vAlign w:val="center"/>
          </w:tcPr>
          <w:p w14:paraId="6ECC8F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边导线外33m</w:t>
            </w:r>
          </w:p>
        </w:tc>
        <w:tc>
          <w:tcPr>
            <w:tcW w:w="750" w:type="pct"/>
            <w:tcBorders>
              <w:tl2br w:val="nil"/>
              <w:tr2bl w:val="nil"/>
            </w:tcBorders>
            <w:shd w:val="clear" w:color="auto" w:fill="auto"/>
            <w:vAlign w:val="center"/>
          </w:tcPr>
          <w:p w14:paraId="389CECD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0.065</w:t>
            </w:r>
          </w:p>
        </w:tc>
        <w:tc>
          <w:tcPr>
            <w:tcW w:w="754" w:type="pct"/>
            <w:tcBorders>
              <w:tl2br w:val="nil"/>
              <w:tr2bl w:val="nil"/>
            </w:tcBorders>
            <w:shd w:val="clear" w:color="auto" w:fill="auto"/>
            <w:vAlign w:val="center"/>
          </w:tcPr>
          <w:p w14:paraId="7737B3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0.058</w:t>
            </w:r>
          </w:p>
        </w:tc>
        <w:tc>
          <w:tcPr>
            <w:tcW w:w="750" w:type="pct"/>
            <w:tcBorders>
              <w:tl2br w:val="nil"/>
              <w:tr2bl w:val="nil"/>
            </w:tcBorders>
            <w:shd w:val="clear" w:color="auto" w:fill="auto"/>
            <w:vAlign w:val="center"/>
          </w:tcPr>
          <w:p w14:paraId="2EEF025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1.25</w:t>
            </w:r>
          </w:p>
        </w:tc>
        <w:tc>
          <w:tcPr>
            <w:tcW w:w="757" w:type="pct"/>
            <w:tcBorders>
              <w:tl2br w:val="nil"/>
              <w:tr2bl w:val="nil"/>
            </w:tcBorders>
            <w:shd w:val="clear" w:color="auto" w:fill="auto"/>
            <w:vAlign w:val="center"/>
          </w:tcPr>
          <w:p w14:paraId="22394B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1.27</w:t>
            </w:r>
          </w:p>
        </w:tc>
      </w:tr>
      <w:tr w14:paraId="522BA8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1DF05BA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-35</w:t>
            </w:r>
          </w:p>
        </w:tc>
        <w:tc>
          <w:tcPr>
            <w:tcW w:w="1302" w:type="pct"/>
            <w:tcBorders>
              <w:tl2br w:val="nil"/>
              <w:tr2bl w:val="nil"/>
            </w:tcBorders>
            <w:shd w:val="clear" w:color="auto" w:fill="auto"/>
            <w:vAlign w:val="center"/>
          </w:tcPr>
          <w:p w14:paraId="19CD55A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边导线外32m</w:t>
            </w:r>
          </w:p>
        </w:tc>
        <w:tc>
          <w:tcPr>
            <w:tcW w:w="750" w:type="pct"/>
            <w:tcBorders>
              <w:tl2br w:val="nil"/>
              <w:tr2bl w:val="nil"/>
            </w:tcBorders>
            <w:shd w:val="clear" w:color="auto" w:fill="auto"/>
            <w:vAlign w:val="center"/>
          </w:tcPr>
          <w:p w14:paraId="755BBFC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0.070</w:t>
            </w:r>
          </w:p>
        </w:tc>
        <w:tc>
          <w:tcPr>
            <w:tcW w:w="754" w:type="pct"/>
            <w:tcBorders>
              <w:tl2br w:val="nil"/>
              <w:tr2bl w:val="nil"/>
            </w:tcBorders>
            <w:shd w:val="clear" w:color="auto" w:fill="auto"/>
            <w:vAlign w:val="center"/>
          </w:tcPr>
          <w:p w14:paraId="5BD94C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0.063</w:t>
            </w:r>
          </w:p>
        </w:tc>
        <w:tc>
          <w:tcPr>
            <w:tcW w:w="750" w:type="pct"/>
            <w:tcBorders>
              <w:tl2br w:val="nil"/>
              <w:tr2bl w:val="nil"/>
            </w:tcBorders>
            <w:shd w:val="clear" w:color="auto" w:fill="auto"/>
            <w:vAlign w:val="center"/>
          </w:tcPr>
          <w:p w14:paraId="3A66F28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1.32</w:t>
            </w:r>
          </w:p>
        </w:tc>
        <w:tc>
          <w:tcPr>
            <w:tcW w:w="757" w:type="pct"/>
            <w:tcBorders>
              <w:tl2br w:val="nil"/>
              <w:tr2bl w:val="nil"/>
            </w:tcBorders>
            <w:shd w:val="clear" w:color="auto" w:fill="auto"/>
            <w:vAlign w:val="center"/>
          </w:tcPr>
          <w:p w14:paraId="1A733E5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1.34</w:t>
            </w:r>
          </w:p>
        </w:tc>
      </w:tr>
      <w:tr w14:paraId="013046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5564A7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-34</w:t>
            </w:r>
          </w:p>
        </w:tc>
        <w:tc>
          <w:tcPr>
            <w:tcW w:w="1302" w:type="pct"/>
            <w:tcBorders>
              <w:tl2br w:val="nil"/>
              <w:tr2bl w:val="nil"/>
            </w:tcBorders>
            <w:shd w:val="clear" w:color="auto" w:fill="auto"/>
            <w:vAlign w:val="center"/>
          </w:tcPr>
          <w:p w14:paraId="6FE1DF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边导线外31m</w:t>
            </w:r>
          </w:p>
        </w:tc>
        <w:tc>
          <w:tcPr>
            <w:tcW w:w="750" w:type="pct"/>
            <w:tcBorders>
              <w:tl2br w:val="nil"/>
              <w:tr2bl w:val="nil"/>
            </w:tcBorders>
            <w:shd w:val="clear" w:color="auto" w:fill="auto"/>
            <w:vAlign w:val="center"/>
          </w:tcPr>
          <w:p w14:paraId="475021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0.076</w:t>
            </w:r>
          </w:p>
        </w:tc>
        <w:tc>
          <w:tcPr>
            <w:tcW w:w="754" w:type="pct"/>
            <w:tcBorders>
              <w:tl2br w:val="nil"/>
              <w:tr2bl w:val="nil"/>
            </w:tcBorders>
            <w:shd w:val="clear" w:color="auto" w:fill="auto"/>
            <w:vAlign w:val="center"/>
          </w:tcPr>
          <w:p w14:paraId="682BE4D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0.068</w:t>
            </w:r>
          </w:p>
        </w:tc>
        <w:tc>
          <w:tcPr>
            <w:tcW w:w="750" w:type="pct"/>
            <w:tcBorders>
              <w:tl2br w:val="nil"/>
              <w:tr2bl w:val="nil"/>
            </w:tcBorders>
            <w:shd w:val="clear" w:color="auto" w:fill="auto"/>
            <w:vAlign w:val="center"/>
          </w:tcPr>
          <w:p w14:paraId="76F621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1.39</w:t>
            </w:r>
          </w:p>
        </w:tc>
        <w:tc>
          <w:tcPr>
            <w:tcW w:w="757" w:type="pct"/>
            <w:tcBorders>
              <w:tl2br w:val="nil"/>
              <w:tr2bl w:val="nil"/>
            </w:tcBorders>
            <w:shd w:val="clear" w:color="auto" w:fill="auto"/>
            <w:vAlign w:val="center"/>
          </w:tcPr>
          <w:p w14:paraId="5B7DB9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1.42</w:t>
            </w:r>
          </w:p>
        </w:tc>
      </w:tr>
      <w:tr w14:paraId="782993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1E435E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-33</w:t>
            </w:r>
          </w:p>
        </w:tc>
        <w:tc>
          <w:tcPr>
            <w:tcW w:w="1302" w:type="pct"/>
            <w:tcBorders>
              <w:tl2br w:val="nil"/>
              <w:tr2bl w:val="nil"/>
            </w:tcBorders>
            <w:shd w:val="clear" w:color="auto" w:fill="auto"/>
            <w:vAlign w:val="center"/>
          </w:tcPr>
          <w:p w14:paraId="33FDC68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边导线外30m</w:t>
            </w:r>
          </w:p>
        </w:tc>
        <w:tc>
          <w:tcPr>
            <w:tcW w:w="750" w:type="pct"/>
            <w:tcBorders>
              <w:tl2br w:val="nil"/>
              <w:tr2bl w:val="nil"/>
            </w:tcBorders>
            <w:shd w:val="clear" w:color="auto" w:fill="auto"/>
            <w:vAlign w:val="center"/>
          </w:tcPr>
          <w:p w14:paraId="29B72C8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0.082</w:t>
            </w:r>
          </w:p>
        </w:tc>
        <w:tc>
          <w:tcPr>
            <w:tcW w:w="754" w:type="pct"/>
            <w:tcBorders>
              <w:tl2br w:val="nil"/>
              <w:tr2bl w:val="nil"/>
            </w:tcBorders>
            <w:shd w:val="clear" w:color="auto" w:fill="auto"/>
            <w:vAlign w:val="center"/>
          </w:tcPr>
          <w:p w14:paraId="7332F3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0.074</w:t>
            </w:r>
          </w:p>
        </w:tc>
        <w:tc>
          <w:tcPr>
            <w:tcW w:w="750" w:type="pct"/>
            <w:tcBorders>
              <w:tl2br w:val="nil"/>
              <w:tr2bl w:val="nil"/>
            </w:tcBorders>
            <w:shd w:val="clear" w:color="auto" w:fill="auto"/>
            <w:vAlign w:val="center"/>
          </w:tcPr>
          <w:p w14:paraId="04B7DC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1.47</w:t>
            </w:r>
          </w:p>
        </w:tc>
        <w:tc>
          <w:tcPr>
            <w:tcW w:w="757" w:type="pct"/>
            <w:tcBorders>
              <w:tl2br w:val="nil"/>
              <w:tr2bl w:val="nil"/>
            </w:tcBorders>
            <w:shd w:val="clear" w:color="auto" w:fill="auto"/>
            <w:vAlign w:val="center"/>
          </w:tcPr>
          <w:p w14:paraId="1C86BD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w:t>
            </w:r>
          </w:p>
        </w:tc>
      </w:tr>
      <w:tr w14:paraId="34B7C1D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2C1658A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-32</w:t>
            </w:r>
          </w:p>
        </w:tc>
        <w:tc>
          <w:tcPr>
            <w:tcW w:w="1302" w:type="pct"/>
            <w:tcBorders>
              <w:tl2br w:val="nil"/>
              <w:tr2bl w:val="nil"/>
            </w:tcBorders>
            <w:shd w:val="clear" w:color="auto" w:fill="auto"/>
            <w:vAlign w:val="center"/>
          </w:tcPr>
          <w:p w14:paraId="6E1772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lang w:eastAsia="zh-CN"/>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边导线外29m</w:t>
            </w:r>
          </w:p>
        </w:tc>
        <w:tc>
          <w:tcPr>
            <w:tcW w:w="750" w:type="pct"/>
            <w:tcBorders>
              <w:tl2br w:val="nil"/>
              <w:tr2bl w:val="nil"/>
            </w:tcBorders>
            <w:shd w:val="clear" w:color="auto" w:fill="auto"/>
            <w:vAlign w:val="center"/>
          </w:tcPr>
          <w:p w14:paraId="1493EC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0.089</w:t>
            </w:r>
          </w:p>
        </w:tc>
        <w:tc>
          <w:tcPr>
            <w:tcW w:w="754" w:type="pct"/>
            <w:tcBorders>
              <w:tl2br w:val="nil"/>
              <w:tr2bl w:val="nil"/>
            </w:tcBorders>
            <w:shd w:val="clear" w:color="auto" w:fill="auto"/>
            <w:vAlign w:val="center"/>
          </w:tcPr>
          <w:p w14:paraId="09DE853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0.080</w:t>
            </w:r>
          </w:p>
        </w:tc>
        <w:tc>
          <w:tcPr>
            <w:tcW w:w="750" w:type="pct"/>
            <w:tcBorders>
              <w:tl2br w:val="nil"/>
              <w:tr2bl w:val="nil"/>
            </w:tcBorders>
            <w:shd w:val="clear" w:color="auto" w:fill="auto"/>
            <w:vAlign w:val="center"/>
          </w:tcPr>
          <w:p w14:paraId="38A9975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1.56</w:t>
            </w:r>
          </w:p>
        </w:tc>
        <w:tc>
          <w:tcPr>
            <w:tcW w:w="757" w:type="pct"/>
            <w:tcBorders>
              <w:tl2br w:val="nil"/>
              <w:tr2bl w:val="nil"/>
            </w:tcBorders>
            <w:shd w:val="clear" w:color="auto" w:fill="auto"/>
            <w:vAlign w:val="center"/>
          </w:tcPr>
          <w:p w14:paraId="5D2021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1.59</w:t>
            </w:r>
          </w:p>
        </w:tc>
      </w:tr>
      <w:tr w14:paraId="796810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52B5E76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-31</w:t>
            </w:r>
          </w:p>
        </w:tc>
        <w:tc>
          <w:tcPr>
            <w:tcW w:w="1302" w:type="pct"/>
            <w:tcBorders>
              <w:tl2br w:val="nil"/>
              <w:tr2bl w:val="nil"/>
            </w:tcBorders>
            <w:shd w:val="clear" w:color="auto" w:fill="auto"/>
            <w:vAlign w:val="center"/>
          </w:tcPr>
          <w:p w14:paraId="0894E5A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边导线外28m</w:t>
            </w:r>
          </w:p>
        </w:tc>
        <w:tc>
          <w:tcPr>
            <w:tcW w:w="750" w:type="pct"/>
            <w:tcBorders>
              <w:tl2br w:val="nil"/>
              <w:tr2bl w:val="nil"/>
            </w:tcBorders>
            <w:shd w:val="clear" w:color="auto" w:fill="auto"/>
            <w:vAlign w:val="center"/>
          </w:tcPr>
          <w:p w14:paraId="5339D0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0.097</w:t>
            </w:r>
          </w:p>
        </w:tc>
        <w:tc>
          <w:tcPr>
            <w:tcW w:w="754" w:type="pct"/>
            <w:tcBorders>
              <w:tl2br w:val="nil"/>
              <w:tr2bl w:val="nil"/>
            </w:tcBorders>
            <w:shd w:val="clear" w:color="auto" w:fill="auto"/>
            <w:vAlign w:val="center"/>
          </w:tcPr>
          <w:p w14:paraId="6BF8845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0.087</w:t>
            </w:r>
          </w:p>
        </w:tc>
        <w:tc>
          <w:tcPr>
            <w:tcW w:w="750" w:type="pct"/>
            <w:tcBorders>
              <w:tl2br w:val="nil"/>
              <w:tr2bl w:val="nil"/>
            </w:tcBorders>
            <w:shd w:val="clear" w:color="auto" w:fill="auto"/>
            <w:vAlign w:val="center"/>
          </w:tcPr>
          <w:p w14:paraId="37F904A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1.66</w:t>
            </w:r>
          </w:p>
        </w:tc>
        <w:tc>
          <w:tcPr>
            <w:tcW w:w="757" w:type="pct"/>
            <w:tcBorders>
              <w:tl2br w:val="nil"/>
              <w:tr2bl w:val="nil"/>
            </w:tcBorders>
            <w:shd w:val="clear" w:color="auto" w:fill="auto"/>
            <w:vAlign w:val="center"/>
          </w:tcPr>
          <w:p w14:paraId="67350E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1.69</w:t>
            </w:r>
          </w:p>
        </w:tc>
      </w:tr>
      <w:tr w14:paraId="0C8C8F3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047A42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-30</w:t>
            </w:r>
          </w:p>
        </w:tc>
        <w:tc>
          <w:tcPr>
            <w:tcW w:w="1302" w:type="pct"/>
            <w:tcBorders>
              <w:tl2br w:val="nil"/>
              <w:tr2bl w:val="nil"/>
            </w:tcBorders>
            <w:shd w:val="clear" w:color="auto" w:fill="auto"/>
            <w:vAlign w:val="center"/>
          </w:tcPr>
          <w:p w14:paraId="28550A3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lang w:eastAsia="zh-CN"/>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边导线外27m</w:t>
            </w:r>
          </w:p>
        </w:tc>
        <w:tc>
          <w:tcPr>
            <w:tcW w:w="750" w:type="pct"/>
            <w:tcBorders>
              <w:tl2br w:val="nil"/>
              <w:tr2bl w:val="nil"/>
            </w:tcBorders>
            <w:shd w:val="clear" w:color="auto" w:fill="auto"/>
            <w:vAlign w:val="center"/>
          </w:tcPr>
          <w:p w14:paraId="617628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0.106</w:t>
            </w:r>
          </w:p>
        </w:tc>
        <w:tc>
          <w:tcPr>
            <w:tcW w:w="754" w:type="pct"/>
            <w:tcBorders>
              <w:tl2br w:val="nil"/>
              <w:tr2bl w:val="nil"/>
            </w:tcBorders>
            <w:shd w:val="clear" w:color="auto" w:fill="auto"/>
            <w:vAlign w:val="center"/>
          </w:tcPr>
          <w:p w14:paraId="0CF380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0.095</w:t>
            </w:r>
          </w:p>
        </w:tc>
        <w:tc>
          <w:tcPr>
            <w:tcW w:w="750" w:type="pct"/>
            <w:tcBorders>
              <w:tl2br w:val="nil"/>
              <w:tr2bl w:val="nil"/>
            </w:tcBorders>
            <w:shd w:val="clear" w:color="auto" w:fill="auto"/>
            <w:vAlign w:val="center"/>
          </w:tcPr>
          <w:p w14:paraId="748F2F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1.77</w:t>
            </w:r>
          </w:p>
        </w:tc>
        <w:tc>
          <w:tcPr>
            <w:tcW w:w="757" w:type="pct"/>
            <w:tcBorders>
              <w:tl2br w:val="nil"/>
              <w:tr2bl w:val="nil"/>
            </w:tcBorders>
            <w:shd w:val="clear" w:color="auto" w:fill="auto"/>
            <w:vAlign w:val="center"/>
          </w:tcPr>
          <w:p w14:paraId="3421B79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1.8</w:t>
            </w:r>
          </w:p>
        </w:tc>
      </w:tr>
      <w:tr w14:paraId="33D1B3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41ED21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-29</w:t>
            </w:r>
          </w:p>
        </w:tc>
        <w:tc>
          <w:tcPr>
            <w:tcW w:w="1302" w:type="pct"/>
            <w:tcBorders>
              <w:tl2br w:val="nil"/>
              <w:tr2bl w:val="nil"/>
            </w:tcBorders>
            <w:shd w:val="clear" w:color="auto" w:fill="auto"/>
            <w:vAlign w:val="center"/>
          </w:tcPr>
          <w:p w14:paraId="075E304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边导线外26m</w:t>
            </w:r>
          </w:p>
        </w:tc>
        <w:tc>
          <w:tcPr>
            <w:tcW w:w="750" w:type="pct"/>
            <w:tcBorders>
              <w:tl2br w:val="nil"/>
              <w:tr2bl w:val="nil"/>
            </w:tcBorders>
            <w:shd w:val="clear" w:color="auto" w:fill="auto"/>
            <w:vAlign w:val="center"/>
          </w:tcPr>
          <w:p w14:paraId="436E053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0.116</w:t>
            </w:r>
          </w:p>
        </w:tc>
        <w:tc>
          <w:tcPr>
            <w:tcW w:w="754" w:type="pct"/>
            <w:tcBorders>
              <w:tl2br w:val="nil"/>
              <w:tr2bl w:val="nil"/>
            </w:tcBorders>
            <w:shd w:val="clear" w:color="auto" w:fill="auto"/>
            <w:vAlign w:val="center"/>
          </w:tcPr>
          <w:p w14:paraId="6ECA82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0.104</w:t>
            </w:r>
          </w:p>
        </w:tc>
        <w:tc>
          <w:tcPr>
            <w:tcW w:w="750" w:type="pct"/>
            <w:tcBorders>
              <w:tl2br w:val="nil"/>
              <w:tr2bl w:val="nil"/>
            </w:tcBorders>
            <w:shd w:val="clear" w:color="auto" w:fill="auto"/>
            <w:vAlign w:val="center"/>
          </w:tcPr>
          <w:p w14:paraId="6A04A23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1.89</w:t>
            </w:r>
          </w:p>
        </w:tc>
        <w:tc>
          <w:tcPr>
            <w:tcW w:w="757" w:type="pct"/>
            <w:tcBorders>
              <w:tl2br w:val="nil"/>
              <w:tr2bl w:val="nil"/>
            </w:tcBorders>
            <w:shd w:val="clear" w:color="auto" w:fill="auto"/>
            <w:vAlign w:val="center"/>
          </w:tcPr>
          <w:p w14:paraId="4ED09A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1.93</w:t>
            </w:r>
          </w:p>
        </w:tc>
      </w:tr>
      <w:tr w14:paraId="01C2B42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0FCFDF7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-28</w:t>
            </w:r>
          </w:p>
        </w:tc>
        <w:tc>
          <w:tcPr>
            <w:tcW w:w="1302" w:type="pct"/>
            <w:tcBorders>
              <w:tl2br w:val="nil"/>
              <w:tr2bl w:val="nil"/>
            </w:tcBorders>
            <w:shd w:val="clear" w:color="auto" w:fill="auto"/>
            <w:vAlign w:val="center"/>
          </w:tcPr>
          <w:p w14:paraId="0ED49E1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lang w:eastAsia="zh-CN"/>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边导线外25m</w:t>
            </w:r>
          </w:p>
        </w:tc>
        <w:tc>
          <w:tcPr>
            <w:tcW w:w="750" w:type="pct"/>
            <w:tcBorders>
              <w:tl2br w:val="nil"/>
              <w:tr2bl w:val="nil"/>
            </w:tcBorders>
            <w:shd w:val="clear" w:color="auto" w:fill="auto"/>
            <w:vAlign w:val="center"/>
          </w:tcPr>
          <w:p w14:paraId="0DC1CE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0.127</w:t>
            </w:r>
          </w:p>
        </w:tc>
        <w:tc>
          <w:tcPr>
            <w:tcW w:w="754" w:type="pct"/>
            <w:tcBorders>
              <w:tl2br w:val="nil"/>
              <w:tr2bl w:val="nil"/>
            </w:tcBorders>
            <w:shd w:val="clear" w:color="auto" w:fill="auto"/>
            <w:vAlign w:val="center"/>
          </w:tcPr>
          <w:p w14:paraId="5F0E299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0.114</w:t>
            </w:r>
          </w:p>
        </w:tc>
        <w:tc>
          <w:tcPr>
            <w:tcW w:w="750" w:type="pct"/>
            <w:tcBorders>
              <w:tl2br w:val="nil"/>
              <w:tr2bl w:val="nil"/>
            </w:tcBorders>
            <w:shd w:val="clear" w:color="auto" w:fill="auto"/>
            <w:vAlign w:val="center"/>
          </w:tcPr>
          <w:p w14:paraId="3D5EA95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2.02</w:t>
            </w:r>
          </w:p>
        </w:tc>
        <w:tc>
          <w:tcPr>
            <w:tcW w:w="757" w:type="pct"/>
            <w:tcBorders>
              <w:tl2br w:val="nil"/>
              <w:tr2bl w:val="nil"/>
            </w:tcBorders>
            <w:shd w:val="clear" w:color="auto" w:fill="auto"/>
            <w:vAlign w:val="center"/>
          </w:tcPr>
          <w:p w14:paraId="7393A23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2.07</w:t>
            </w:r>
          </w:p>
        </w:tc>
      </w:tr>
      <w:tr w14:paraId="7B3FB4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14ED422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-27</w:t>
            </w:r>
          </w:p>
        </w:tc>
        <w:tc>
          <w:tcPr>
            <w:tcW w:w="1302" w:type="pct"/>
            <w:tcBorders>
              <w:tl2br w:val="nil"/>
              <w:tr2bl w:val="nil"/>
            </w:tcBorders>
            <w:shd w:val="clear" w:color="auto" w:fill="auto"/>
            <w:vAlign w:val="center"/>
          </w:tcPr>
          <w:p w14:paraId="2586216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边导线外24m</w:t>
            </w:r>
          </w:p>
        </w:tc>
        <w:tc>
          <w:tcPr>
            <w:tcW w:w="750" w:type="pct"/>
            <w:tcBorders>
              <w:tl2br w:val="nil"/>
              <w:tr2bl w:val="nil"/>
            </w:tcBorders>
            <w:shd w:val="clear" w:color="auto" w:fill="auto"/>
            <w:vAlign w:val="center"/>
          </w:tcPr>
          <w:p w14:paraId="25BC08B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0.140</w:t>
            </w:r>
          </w:p>
        </w:tc>
        <w:tc>
          <w:tcPr>
            <w:tcW w:w="754" w:type="pct"/>
            <w:tcBorders>
              <w:tl2br w:val="nil"/>
              <w:tr2bl w:val="nil"/>
            </w:tcBorders>
            <w:shd w:val="clear" w:color="auto" w:fill="auto"/>
            <w:vAlign w:val="center"/>
          </w:tcPr>
          <w:p w14:paraId="39A844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0.126</w:t>
            </w:r>
          </w:p>
        </w:tc>
        <w:tc>
          <w:tcPr>
            <w:tcW w:w="750" w:type="pct"/>
            <w:tcBorders>
              <w:tl2br w:val="nil"/>
              <w:tr2bl w:val="nil"/>
            </w:tcBorders>
            <w:shd w:val="clear" w:color="auto" w:fill="auto"/>
            <w:vAlign w:val="center"/>
          </w:tcPr>
          <w:p w14:paraId="076550C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2.17</w:t>
            </w:r>
          </w:p>
        </w:tc>
        <w:tc>
          <w:tcPr>
            <w:tcW w:w="757" w:type="pct"/>
            <w:tcBorders>
              <w:tl2br w:val="nil"/>
              <w:tr2bl w:val="nil"/>
            </w:tcBorders>
            <w:shd w:val="clear" w:color="auto" w:fill="auto"/>
            <w:vAlign w:val="center"/>
          </w:tcPr>
          <w:p w14:paraId="54D7F0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2.22</w:t>
            </w:r>
          </w:p>
        </w:tc>
      </w:tr>
      <w:tr w14:paraId="3BA685D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1E32760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-26</w:t>
            </w:r>
          </w:p>
        </w:tc>
        <w:tc>
          <w:tcPr>
            <w:tcW w:w="1302" w:type="pct"/>
            <w:tcBorders>
              <w:tl2br w:val="nil"/>
              <w:tr2bl w:val="nil"/>
            </w:tcBorders>
            <w:shd w:val="clear" w:color="auto" w:fill="auto"/>
            <w:vAlign w:val="center"/>
          </w:tcPr>
          <w:p w14:paraId="560B2C3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边导线外23m</w:t>
            </w:r>
          </w:p>
        </w:tc>
        <w:tc>
          <w:tcPr>
            <w:tcW w:w="750" w:type="pct"/>
            <w:tcBorders>
              <w:tl2br w:val="nil"/>
              <w:tr2bl w:val="nil"/>
            </w:tcBorders>
            <w:shd w:val="clear" w:color="auto" w:fill="auto"/>
            <w:vAlign w:val="center"/>
          </w:tcPr>
          <w:p w14:paraId="05AB822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0.155</w:t>
            </w:r>
          </w:p>
        </w:tc>
        <w:tc>
          <w:tcPr>
            <w:tcW w:w="754" w:type="pct"/>
            <w:tcBorders>
              <w:tl2br w:val="nil"/>
              <w:tr2bl w:val="nil"/>
            </w:tcBorders>
            <w:shd w:val="clear" w:color="auto" w:fill="auto"/>
            <w:vAlign w:val="center"/>
          </w:tcPr>
          <w:p w14:paraId="1FAD2C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0.139</w:t>
            </w:r>
          </w:p>
        </w:tc>
        <w:tc>
          <w:tcPr>
            <w:tcW w:w="750" w:type="pct"/>
            <w:tcBorders>
              <w:tl2br w:val="nil"/>
              <w:tr2bl w:val="nil"/>
            </w:tcBorders>
            <w:shd w:val="clear" w:color="auto" w:fill="auto"/>
            <w:vAlign w:val="center"/>
          </w:tcPr>
          <w:p w14:paraId="518C0B4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2.34</w:t>
            </w:r>
          </w:p>
        </w:tc>
        <w:tc>
          <w:tcPr>
            <w:tcW w:w="757" w:type="pct"/>
            <w:tcBorders>
              <w:tl2br w:val="nil"/>
              <w:tr2bl w:val="nil"/>
            </w:tcBorders>
            <w:shd w:val="clear" w:color="auto" w:fill="auto"/>
            <w:vAlign w:val="center"/>
          </w:tcPr>
          <w:p w14:paraId="049AA48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2.4</w:t>
            </w:r>
          </w:p>
        </w:tc>
      </w:tr>
      <w:tr w14:paraId="3F182E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46295D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-25</w:t>
            </w:r>
          </w:p>
        </w:tc>
        <w:tc>
          <w:tcPr>
            <w:tcW w:w="1302" w:type="pct"/>
            <w:tcBorders>
              <w:tl2br w:val="nil"/>
              <w:tr2bl w:val="nil"/>
            </w:tcBorders>
            <w:shd w:val="clear" w:color="auto" w:fill="auto"/>
            <w:vAlign w:val="center"/>
          </w:tcPr>
          <w:p w14:paraId="7E68744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边导线外22m</w:t>
            </w:r>
          </w:p>
        </w:tc>
        <w:tc>
          <w:tcPr>
            <w:tcW w:w="750" w:type="pct"/>
            <w:tcBorders>
              <w:tl2br w:val="nil"/>
              <w:tr2bl w:val="nil"/>
            </w:tcBorders>
            <w:shd w:val="clear" w:color="auto" w:fill="auto"/>
            <w:vAlign w:val="center"/>
          </w:tcPr>
          <w:p w14:paraId="08426B7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0.171</w:t>
            </w:r>
          </w:p>
        </w:tc>
        <w:tc>
          <w:tcPr>
            <w:tcW w:w="754" w:type="pct"/>
            <w:tcBorders>
              <w:tl2br w:val="nil"/>
              <w:tr2bl w:val="nil"/>
            </w:tcBorders>
            <w:shd w:val="clear" w:color="auto" w:fill="auto"/>
            <w:vAlign w:val="center"/>
          </w:tcPr>
          <w:p w14:paraId="772279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0.154</w:t>
            </w:r>
          </w:p>
        </w:tc>
        <w:tc>
          <w:tcPr>
            <w:tcW w:w="750" w:type="pct"/>
            <w:tcBorders>
              <w:tl2br w:val="nil"/>
              <w:tr2bl w:val="nil"/>
            </w:tcBorders>
            <w:shd w:val="clear" w:color="auto" w:fill="auto"/>
            <w:vAlign w:val="center"/>
          </w:tcPr>
          <w:p w14:paraId="0090446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2.53</w:t>
            </w:r>
          </w:p>
        </w:tc>
        <w:tc>
          <w:tcPr>
            <w:tcW w:w="757" w:type="pct"/>
            <w:tcBorders>
              <w:tl2br w:val="nil"/>
              <w:tr2bl w:val="nil"/>
            </w:tcBorders>
            <w:shd w:val="clear" w:color="auto" w:fill="auto"/>
            <w:vAlign w:val="center"/>
          </w:tcPr>
          <w:p w14:paraId="399C5F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2.6</w:t>
            </w:r>
          </w:p>
        </w:tc>
      </w:tr>
      <w:tr w14:paraId="417FCC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17D55C6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-24</w:t>
            </w:r>
          </w:p>
        </w:tc>
        <w:tc>
          <w:tcPr>
            <w:tcW w:w="1302" w:type="pct"/>
            <w:tcBorders>
              <w:tl2br w:val="nil"/>
              <w:tr2bl w:val="nil"/>
            </w:tcBorders>
            <w:shd w:val="clear" w:color="auto" w:fill="auto"/>
            <w:vAlign w:val="center"/>
          </w:tcPr>
          <w:p w14:paraId="1DB288C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边导线外21m</w:t>
            </w:r>
          </w:p>
        </w:tc>
        <w:tc>
          <w:tcPr>
            <w:tcW w:w="750" w:type="pct"/>
            <w:tcBorders>
              <w:tl2br w:val="nil"/>
              <w:tr2bl w:val="nil"/>
            </w:tcBorders>
            <w:shd w:val="clear" w:color="auto" w:fill="auto"/>
            <w:vAlign w:val="center"/>
          </w:tcPr>
          <w:p w14:paraId="6535A0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0.190</w:t>
            </w:r>
          </w:p>
        </w:tc>
        <w:tc>
          <w:tcPr>
            <w:tcW w:w="754" w:type="pct"/>
            <w:tcBorders>
              <w:tl2br w:val="nil"/>
              <w:tr2bl w:val="nil"/>
            </w:tcBorders>
            <w:shd w:val="clear" w:color="auto" w:fill="auto"/>
            <w:vAlign w:val="center"/>
          </w:tcPr>
          <w:p w14:paraId="555335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0.171</w:t>
            </w:r>
          </w:p>
        </w:tc>
        <w:tc>
          <w:tcPr>
            <w:tcW w:w="750" w:type="pct"/>
            <w:tcBorders>
              <w:tl2br w:val="nil"/>
              <w:tr2bl w:val="nil"/>
            </w:tcBorders>
            <w:shd w:val="clear" w:color="auto" w:fill="auto"/>
            <w:vAlign w:val="center"/>
          </w:tcPr>
          <w:p w14:paraId="7449FA9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2.74</w:t>
            </w:r>
          </w:p>
        </w:tc>
        <w:tc>
          <w:tcPr>
            <w:tcW w:w="757" w:type="pct"/>
            <w:tcBorders>
              <w:tl2br w:val="nil"/>
              <w:tr2bl w:val="nil"/>
            </w:tcBorders>
            <w:shd w:val="clear" w:color="auto" w:fill="auto"/>
            <w:vAlign w:val="center"/>
          </w:tcPr>
          <w:p w14:paraId="551FD6C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2.82</w:t>
            </w:r>
          </w:p>
        </w:tc>
      </w:tr>
      <w:tr w14:paraId="312FCF9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27B7643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-23</w:t>
            </w:r>
          </w:p>
        </w:tc>
        <w:tc>
          <w:tcPr>
            <w:tcW w:w="1302" w:type="pct"/>
            <w:tcBorders>
              <w:tl2br w:val="nil"/>
              <w:tr2bl w:val="nil"/>
            </w:tcBorders>
            <w:shd w:val="clear" w:color="auto" w:fill="auto"/>
            <w:vAlign w:val="center"/>
          </w:tcPr>
          <w:p w14:paraId="5EC742D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边导线外20m</w:t>
            </w:r>
          </w:p>
        </w:tc>
        <w:tc>
          <w:tcPr>
            <w:tcW w:w="750" w:type="pct"/>
            <w:tcBorders>
              <w:tl2br w:val="nil"/>
              <w:tr2bl w:val="nil"/>
            </w:tcBorders>
            <w:shd w:val="clear" w:color="auto" w:fill="auto"/>
            <w:vAlign w:val="center"/>
          </w:tcPr>
          <w:p w14:paraId="1D5D048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0.211</w:t>
            </w:r>
          </w:p>
        </w:tc>
        <w:tc>
          <w:tcPr>
            <w:tcW w:w="754" w:type="pct"/>
            <w:tcBorders>
              <w:tl2br w:val="nil"/>
              <w:tr2bl w:val="nil"/>
            </w:tcBorders>
            <w:shd w:val="clear" w:color="auto" w:fill="auto"/>
            <w:vAlign w:val="center"/>
          </w:tcPr>
          <w:p w14:paraId="1484A7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0.191</w:t>
            </w:r>
          </w:p>
        </w:tc>
        <w:tc>
          <w:tcPr>
            <w:tcW w:w="750" w:type="pct"/>
            <w:tcBorders>
              <w:tl2br w:val="nil"/>
              <w:tr2bl w:val="nil"/>
            </w:tcBorders>
            <w:shd w:val="clear" w:color="auto" w:fill="auto"/>
            <w:vAlign w:val="center"/>
          </w:tcPr>
          <w:p w14:paraId="401A091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2.98</w:t>
            </w:r>
          </w:p>
        </w:tc>
        <w:tc>
          <w:tcPr>
            <w:tcW w:w="757" w:type="pct"/>
            <w:tcBorders>
              <w:tl2br w:val="nil"/>
              <w:tr2bl w:val="nil"/>
            </w:tcBorders>
            <w:shd w:val="clear" w:color="auto" w:fill="auto"/>
            <w:vAlign w:val="center"/>
          </w:tcPr>
          <w:p w14:paraId="41DC081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3.08</w:t>
            </w:r>
          </w:p>
        </w:tc>
      </w:tr>
      <w:tr w14:paraId="6FEE81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91120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-22</w:t>
            </w:r>
          </w:p>
        </w:tc>
        <w:tc>
          <w:tcPr>
            <w:tcW w:w="1302" w:type="pct"/>
            <w:tcBorders>
              <w:tl2br w:val="nil"/>
              <w:tr2bl w:val="nil"/>
            </w:tcBorders>
            <w:shd w:val="clear" w:color="auto" w:fill="auto"/>
            <w:vAlign w:val="center"/>
          </w:tcPr>
          <w:p w14:paraId="123BE79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边导线外19m</w:t>
            </w:r>
          </w:p>
        </w:tc>
        <w:tc>
          <w:tcPr>
            <w:tcW w:w="750" w:type="pct"/>
            <w:tcBorders>
              <w:tl2br w:val="nil"/>
              <w:tr2bl w:val="nil"/>
            </w:tcBorders>
            <w:shd w:val="clear" w:color="auto" w:fill="auto"/>
            <w:vAlign w:val="center"/>
          </w:tcPr>
          <w:p w14:paraId="1F3153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0.236</w:t>
            </w:r>
          </w:p>
        </w:tc>
        <w:tc>
          <w:tcPr>
            <w:tcW w:w="754" w:type="pct"/>
            <w:tcBorders>
              <w:tl2br w:val="nil"/>
              <w:tr2bl w:val="nil"/>
            </w:tcBorders>
            <w:shd w:val="clear" w:color="auto" w:fill="auto"/>
            <w:vAlign w:val="center"/>
          </w:tcPr>
          <w:p w14:paraId="4258151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0.214</w:t>
            </w:r>
          </w:p>
        </w:tc>
        <w:tc>
          <w:tcPr>
            <w:tcW w:w="750" w:type="pct"/>
            <w:tcBorders>
              <w:tl2br w:val="nil"/>
              <w:tr2bl w:val="nil"/>
            </w:tcBorders>
            <w:shd w:val="clear" w:color="auto" w:fill="auto"/>
            <w:vAlign w:val="center"/>
          </w:tcPr>
          <w:p w14:paraId="482EDCD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3.25</w:t>
            </w:r>
          </w:p>
        </w:tc>
        <w:tc>
          <w:tcPr>
            <w:tcW w:w="757" w:type="pct"/>
            <w:tcBorders>
              <w:tl2br w:val="nil"/>
              <w:tr2bl w:val="nil"/>
            </w:tcBorders>
            <w:shd w:val="clear" w:color="auto" w:fill="auto"/>
            <w:vAlign w:val="center"/>
          </w:tcPr>
          <w:p w14:paraId="48DA0B4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3.37</w:t>
            </w:r>
          </w:p>
        </w:tc>
      </w:tr>
      <w:tr w14:paraId="7D317D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5CC051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w:t>
            </w:r>
          </w:p>
        </w:tc>
        <w:tc>
          <w:tcPr>
            <w:tcW w:w="1302" w:type="pct"/>
            <w:tcBorders>
              <w:tl2br w:val="nil"/>
              <w:tr2bl w:val="nil"/>
            </w:tcBorders>
            <w:shd w:val="clear" w:color="auto" w:fill="auto"/>
            <w:vAlign w:val="center"/>
          </w:tcPr>
          <w:p w14:paraId="2BE9D60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边导线外18m</w:t>
            </w:r>
          </w:p>
        </w:tc>
        <w:tc>
          <w:tcPr>
            <w:tcW w:w="750" w:type="pct"/>
            <w:tcBorders>
              <w:tl2br w:val="nil"/>
              <w:tr2bl w:val="nil"/>
            </w:tcBorders>
            <w:shd w:val="clear" w:color="auto" w:fill="auto"/>
            <w:vAlign w:val="center"/>
          </w:tcPr>
          <w:p w14:paraId="44C480B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0.264</w:t>
            </w:r>
          </w:p>
        </w:tc>
        <w:tc>
          <w:tcPr>
            <w:tcW w:w="754" w:type="pct"/>
            <w:tcBorders>
              <w:tl2br w:val="nil"/>
              <w:tr2bl w:val="nil"/>
            </w:tcBorders>
            <w:shd w:val="clear" w:color="auto" w:fill="auto"/>
            <w:vAlign w:val="center"/>
          </w:tcPr>
          <w:p w14:paraId="418AD2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0.241</w:t>
            </w:r>
          </w:p>
        </w:tc>
        <w:tc>
          <w:tcPr>
            <w:tcW w:w="750" w:type="pct"/>
            <w:tcBorders>
              <w:tl2br w:val="nil"/>
              <w:tr2bl w:val="nil"/>
            </w:tcBorders>
            <w:shd w:val="clear" w:color="auto" w:fill="auto"/>
            <w:vAlign w:val="center"/>
          </w:tcPr>
          <w:p w14:paraId="05C713D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3.56</w:t>
            </w:r>
          </w:p>
        </w:tc>
        <w:tc>
          <w:tcPr>
            <w:tcW w:w="757" w:type="pct"/>
            <w:tcBorders>
              <w:tl2br w:val="nil"/>
              <w:tr2bl w:val="nil"/>
            </w:tcBorders>
            <w:shd w:val="clear" w:color="auto" w:fill="auto"/>
            <w:vAlign w:val="center"/>
          </w:tcPr>
          <w:p w14:paraId="4151E0F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3.7</w:t>
            </w:r>
          </w:p>
        </w:tc>
      </w:tr>
      <w:tr w14:paraId="0E9DFCC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4B18B49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-20</w:t>
            </w:r>
          </w:p>
        </w:tc>
        <w:tc>
          <w:tcPr>
            <w:tcW w:w="1302" w:type="pct"/>
            <w:tcBorders>
              <w:tl2br w:val="nil"/>
              <w:tr2bl w:val="nil"/>
            </w:tcBorders>
            <w:shd w:val="clear" w:color="auto" w:fill="auto"/>
            <w:vAlign w:val="center"/>
          </w:tcPr>
          <w:p w14:paraId="6E97B4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边导线外17m</w:t>
            </w:r>
          </w:p>
        </w:tc>
        <w:tc>
          <w:tcPr>
            <w:tcW w:w="750" w:type="pct"/>
            <w:tcBorders>
              <w:tl2br w:val="nil"/>
              <w:tr2bl w:val="nil"/>
            </w:tcBorders>
            <w:shd w:val="clear" w:color="auto" w:fill="auto"/>
            <w:vAlign w:val="center"/>
          </w:tcPr>
          <w:p w14:paraId="4CEB6C7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0.297</w:t>
            </w:r>
          </w:p>
        </w:tc>
        <w:tc>
          <w:tcPr>
            <w:tcW w:w="754" w:type="pct"/>
            <w:tcBorders>
              <w:tl2br w:val="nil"/>
              <w:tr2bl w:val="nil"/>
            </w:tcBorders>
            <w:shd w:val="clear" w:color="auto" w:fill="auto"/>
            <w:vAlign w:val="center"/>
          </w:tcPr>
          <w:p w14:paraId="7EAC1FD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0.273</w:t>
            </w:r>
          </w:p>
        </w:tc>
        <w:tc>
          <w:tcPr>
            <w:tcW w:w="750" w:type="pct"/>
            <w:tcBorders>
              <w:tl2br w:val="nil"/>
              <w:tr2bl w:val="nil"/>
            </w:tcBorders>
            <w:shd w:val="clear" w:color="auto" w:fill="auto"/>
            <w:vAlign w:val="center"/>
          </w:tcPr>
          <w:p w14:paraId="2C4F41F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3.91</w:t>
            </w:r>
          </w:p>
        </w:tc>
        <w:tc>
          <w:tcPr>
            <w:tcW w:w="757" w:type="pct"/>
            <w:tcBorders>
              <w:tl2br w:val="nil"/>
              <w:tr2bl w:val="nil"/>
            </w:tcBorders>
            <w:shd w:val="clear" w:color="auto" w:fill="auto"/>
            <w:vAlign w:val="center"/>
          </w:tcPr>
          <w:p w14:paraId="77A1A0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4.08</w:t>
            </w:r>
          </w:p>
        </w:tc>
      </w:tr>
      <w:tr w14:paraId="63D382E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221D2C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w:t>
            </w:r>
          </w:p>
        </w:tc>
        <w:tc>
          <w:tcPr>
            <w:tcW w:w="1302" w:type="pct"/>
            <w:tcBorders>
              <w:tl2br w:val="nil"/>
              <w:tr2bl w:val="nil"/>
            </w:tcBorders>
            <w:shd w:val="clear" w:color="auto" w:fill="auto"/>
            <w:vAlign w:val="center"/>
          </w:tcPr>
          <w:p w14:paraId="5DF7B99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边导线外16m</w:t>
            </w:r>
          </w:p>
        </w:tc>
        <w:tc>
          <w:tcPr>
            <w:tcW w:w="750" w:type="pct"/>
            <w:tcBorders>
              <w:tl2br w:val="nil"/>
              <w:tr2bl w:val="nil"/>
            </w:tcBorders>
            <w:shd w:val="clear" w:color="auto" w:fill="auto"/>
            <w:vAlign w:val="center"/>
          </w:tcPr>
          <w:p w14:paraId="0398628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0.335</w:t>
            </w:r>
          </w:p>
        </w:tc>
        <w:tc>
          <w:tcPr>
            <w:tcW w:w="754" w:type="pct"/>
            <w:tcBorders>
              <w:tl2br w:val="nil"/>
              <w:tr2bl w:val="nil"/>
            </w:tcBorders>
            <w:shd w:val="clear" w:color="auto" w:fill="auto"/>
            <w:vAlign w:val="center"/>
          </w:tcPr>
          <w:p w14:paraId="08097CA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0.310</w:t>
            </w:r>
          </w:p>
        </w:tc>
        <w:tc>
          <w:tcPr>
            <w:tcW w:w="750" w:type="pct"/>
            <w:tcBorders>
              <w:tl2br w:val="nil"/>
              <w:tr2bl w:val="nil"/>
            </w:tcBorders>
            <w:shd w:val="clear" w:color="auto" w:fill="auto"/>
            <w:vAlign w:val="center"/>
          </w:tcPr>
          <w:p w14:paraId="6EFF42A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4.31</w:t>
            </w:r>
          </w:p>
        </w:tc>
        <w:tc>
          <w:tcPr>
            <w:tcW w:w="757" w:type="pct"/>
            <w:tcBorders>
              <w:tl2br w:val="nil"/>
              <w:tr2bl w:val="nil"/>
            </w:tcBorders>
            <w:shd w:val="clear" w:color="auto" w:fill="auto"/>
            <w:vAlign w:val="center"/>
          </w:tcPr>
          <w:p w14:paraId="51AC8E1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4.52</w:t>
            </w:r>
          </w:p>
        </w:tc>
      </w:tr>
      <w:tr w14:paraId="602BFA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6E9D0F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-18</w:t>
            </w:r>
          </w:p>
        </w:tc>
        <w:tc>
          <w:tcPr>
            <w:tcW w:w="1302" w:type="pct"/>
            <w:tcBorders>
              <w:tl2br w:val="nil"/>
              <w:tr2bl w:val="nil"/>
            </w:tcBorders>
            <w:shd w:val="clear" w:color="auto" w:fill="auto"/>
            <w:vAlign w:val="center"/>
          </w:tcPr>
          <w:p w14:paraId="44510E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边导线外15m</w:t>
            </w:r>
          </w:p>
        </w:tc>
        <w:tc>
          <w:tcPr>
            <w:tcW w:w="750" w:type="pct"/>
            <w:tcBorders>
              <w:tl2br w:val="nil"/>
              <w:tr2bl w:val="nil"/>
            </w:tcBorders>
            <w:shd w:val="clear" w:color="auto" w:fill="auto"/>
            <w:vAlign w:val="center"/>
          </w:tcPr>
          <w:p w14:paraId="749FEB3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0.380</w:t>
            </w:r>
          </w:p>
        </w:tc>
        <w:tc>
          <w:tcPr>
            <w:tcW w:w="754" w:type="pct"/>
            <w:tcBorders>
              <w:tl2br w:val="nil"/>
              <w:tr2bl w:val="nil"/>
            </w:tcBorders>
            <w:shd w:val="clear" w:color="auto" w:fill="auto"/>
            <w:vAlign w:val="center"/>
          </w:tcPr>
          <w:p w14:paraId="360F34A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0.354</w:t>
            </w:r>
          </w:p>
        </w:tc>
        <w:tc>
          <w:tcPr>
            <w:tcW w:w="750" w:type="pct"/>
            <w:tcBorders>
              <w:tl2br w:val="nil"/>
              <w:tr2bl w:val="nil"/>
            </w:tcBorders>
            <w:shd w:val="clear" w:color="auto" w:fill="auto"/>
            <w:vAlign w:val="center"/>
          </w:tcPr>
          <w:p w14:paraId="0063FA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4.77</w:t>
            </w:r>
          </w:p>
        </w:tc>
        <w:tc>
          <w:tcPr>
            <w:tcW w:w="757" w:type="pct"/>
            <w:tcBorders>
              <w:tl2br w:val="nil"/>
              <w:tr2bl w:val="nil"/>
            </w:tcBorders>
            <w:shd w:val="clear" w:color="auto" w:fill="auto"/>
            <w:vAlign w:val="center"/>
          </w:tcPr>
          <w:p w14:paraId="1680A44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5.02</w:t>
            </w:r>
          </w:p>
        </w:tc>
      </w:tr>
      <w:tr w14:paraId="49DC949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4C5913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-17</w:t>
            </w:r>
          </w:p>
        </w:tc>
        <w:tc>
          <w:tcPr>
            <w:tcW w:w="1302" w:type="pct"/>
            <w:tcBorders>
              <w:tl2br w:val="nil"/>
              <w:tr2bl w:val="nil"/>
            </w:tcBorders>
            <w:shd w:val="clear" w:color="auto" w:fill="auto"/>
            <w:vAlign w:val="center"/>
          </w:tcPr>
          <w:p w14:paraId="123C01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边导线外14m</w:t>
            </w:r>
          </w:p>
        </w:tc>
        <w:tc>
          <w:tcPr>
            <w:tcW w:w="750" w:type="pct"/>
            <w:tcBorders>
              <w:tl2br w:val="nil"/>
              <w:tr2bl w:val="nil"/>
            </w:tcBorders>
            <w:shd w:val="clear" w:color="auto" w:fill="auto"/>
            <w:vAlign w:val="center"/>
          </w:tcPr>
          <w:p w14:paraId="231996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0.433</w:t>
            </w:r>
          </w:p>
        </w:tc>
        <w:tc>
          <w:tcPr>
            <w:tcW w:w="754" w:type="pct"/>
            <w:tcBorders>
              <w:tl2br w:val="nil"/>
              <w:tr2bl w:val="nil"/>
            </w:tcBorders>
            <w:shd w:val="clear" w:color="auto" w:fill="auto"/>
            <w:vAlign w:val="center"/>
          </w:tcPr>
          <w:p w14:paraId="27A602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0.406</w:t>
            </w:r>
          </w:p>
        </w:tc>
        <w:tc>
          <w:tcPr>
            <w:tcW w:w="750" w:type="pct"/>
            <w:tcBorders>
              <w:tl2br w:val="nil"/>
              <w:tr2bl w:val="nil"/>
            </w:tcBorders>
            <w:shd w:val="clear" w:color="auto" w:fill="auto"/>
            <w:vAlign w:val="center"/>
          </w:tcPr>
          <w:p w14:paraId="26C8F4E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5.3</w:t>
            </w:r>
          </w:p>
        </w:tc>
        <w:tc>
          <w:tcPr>
            <w:tcW w:w="757" w:type="pct"/>
            <w:tcBorders>
              <w:tl2br w:val="nil"/>
              <w:tr2bl w:val="nil"/>
            </w:tcBorders>
            <w:shd w:val="clear" w:color="auto" w:fill="auto"/>
            <w:vAlign w:val="center"/>
          </w:tcPr>
          <w:p w14:paraId="066774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5.61</w:t>
            </w:r>
          </w:p>
        </w:tc>
      </w:tr>
      <w:tr w14:paraId="2F4802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4BE7F53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-16</w:t>
            </w:r>
          </w:p>
        </w:tc>
        <w:tc>
          <w:tcPr>
            <w:tcW w:w="1302" w:type="pct"/>
            <w:tcBorders>
              <w:tl2br w:val="nil"/>
              <w:tr2bl w:val="nil"/>
            </w:tcBorders>
            <w:shd w:val="clear" w:color="auto" w:fill="auto"/>
            <w:vAlign w:val="center"/>
          </w:tcPr>
          <w:p w14:paraId="2E3CDAE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边导线外13m</w:t>
            </w:r>
          </w:p>
        </w:tc>
        <w:tc>
          <w:tcPr>
            <w:tcW w:w="750" w:type="pct"/>
            <w:tcBorders>
              <w:tl2br w:val="nil"/>
              <w:tr2bl w:val="nil"/>
            </w:tcBorders>
            <w:shd w:val="clear" w:color="auto" w:fill="auto"/>
            <w:vAlign w:val="center"/>
          </w:tcPr>
          <w:p w14:paraId="6FA6309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0.495</w:t>
            </w:r>
          </w:p>
        </w:tc>
        <w:tc>
          <w:tcPr>
            <w:tcW w:w="754" w:type="pct"/>
            <w:tcBorders>
              <w:tl2br w:val="nil"/>
              <w:tr2bl w:val="nil"/>
            </w:tcBorders>
            <w:shd w:val="clear" w:color="auto" w:fill="auto"/>
            <w:vAlign w:val="center"/>
          </w:tcPr>
          <w:p w14:paraId="55A33A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0.468</w:t>
            </w:r>
          </w:p>
        </w:tc>
        <w:tc>
          <w:tcPr>
            <w:tcW w:w="750" w:type="pct"/>
            <w:tcBorders>
              <w:tl2br w:val="nil"/>
              <w:tr2bl w:val="nil"/>
            </w:tcBorders>
            <w:shd w:val="clear" w:color="auto" w:fill="auto"/>
            <w:vAlign w:val="center"/>
          </w:tcPr>
          <w:p w14:paraId="71FF371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5.92</w:t>
            </w:r>
          </w:p>
        </w:tc>
        <w:tc>
          <w:tcPr>
            <w:tcW w:w="757" w:type="pct"/>
            <w:tcBorders>
              <w:tl2br w:val="nil"/>
              <w:tr2bl w:val="nil"/>
            </w:tcBorders>
            <w:shd w:val="clear" w:color="auto" w:fill="auto"/>
            <w:vAlign w:val="center"/>
          </w:tcPr>
          <w:p w14:paraId="66F0646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6.3</w:t>
            </w:r>
          </w:p>
        </w:tc>
      </w:tr>
      <w:tr w14:paraId="54A614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794D1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-15</w:t>
            </w:r>
          </w:p>
        </w:tc>
        <w:tc>
          <w:tcPr>
            <w:tcW w:w="1302" w:type="pct"/>
            <w:tcBorders>
              <w:tl2br w:val="nil"/>
              <w:tr2bl w:val="nil"/>
            </w:tcBorders>
            <w:shd w:val="clear" w:color="auto" w:fill="auto"/>
            <w:vAlign w:val="center"/>
          </w:tcPr>
          <w:p w14:paraId="788D4A1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边导线外12m</w:t>
            </w:r>
          </w:p>
        </w:tc>
        <w:tc>
          <w:tcPr>
            <w:tcW w:w="750" w:type="pct"/>
            <w:tcBorders>
              <w:tl2br w:val="nil"/>
              <w:tr2bl w:val="nil"/>
            </w:tcBorders>
            <w:shd w:val="clear" w:color="auto" w:fill="auto"/>
            <w:vAlign w:val="center"/>
          </w:tcPr>
          <w:p w14:paraId="5F6059C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0.569</w:t>
            </w:r>
          </w:p>
        </w:tc>
        <w:tc>
          <w:tcPr>
            <w:tcW w:w="754" w:type="pct"/>
            <w:tcBorders>
              <w:tl2br w:val="nil"/>
              <w:tr2bl w:val="nil"/>
            </w:tcBorders>
            <w:shd w:val="clear" w:color="auto" w:fill="auto"/>
            <w:vAlign w:val="center"/>
          </w:tcPr>
          <w:p w14:paraId="0E61FA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0.543</w:t>
            </w:r>
          </w:p>
        </w:tc>
        <w:tc>
          <w:tcPr>
            <w:tcW w:w="750" w:type="pct"/>
            <w:tcBorders>
              <w:tl2br w:val="nil"/>
              <w:tr2bl w:val="nil"/>
            </w:tcBorders>
            <w:shd w:val="clear" w:color="auto" w:fill="auto"/>
            <w:vAlign w:val="center"/>
          </w:tcPr>
          <w:p w14:paraId="5FD9585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6.64</w:t>
            </w:r>
          </w:p>
        </w:tc>
        <w:tc>
          <w:tcPr>
            <w:tcW w:w="757" w:type="pct"/>
            <w:tcBorders>
              <w:tl2br w:val="nil"/>
              <w:tr2bl w:val="nil"/>
            </w:tcBorders>
            <w:shd w:val="clear" w:color="auto" w:fill="auto"/>
            <w:vAlign w:val="center"/>
          </w:tcPr>
          <w:p w14:paraId="301FF2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7.11</w:t>
            </w:r>
          </w:p>
        </w:tc>
      </w:tr>
      <w:tr w14:paraId="73A8D5D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03604AE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-14</w:t>
            </w:r>
          </w:p>
        </w:tc>
        <w:tc>
          <w:tcPr>
            <w:tcW w:w="1302" w:type="pct"/>
            <w:tcBorders>
              <w:tl2br w:val="nil"/>
              <w:tr2bl w:val="nil"/>
            </w:tcBorders>
            <w:shd w:val="clear" w:color="auto" w:fill="auto"/>
            <w:vAlign w:val="center"/>
          </w:tcPr>
          <w:p w14:paraId="026C643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边导线外11m</w:t>
            </w:r>
          </w:p>
        </w:tc>
        <w:tc>
          <w:tcPr>
            <w:tcW w:w="750" w:type="pct"/>
            <w:tcBorders>
              <w:tl2br w:val="nil"/>
              <w:tr2bl w:val="nil"/>
            </w:tcBorders>
            <w:shd w:val="clear" w:color="auto" w:fill="auto"/>
            <w:vAlign w:val="center"/>
          </w:tcPr>
          <w:p w14:paraId="134D47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0.655</w:t>
            </w:r>
          </w:p>
        </w:tc>
        <w:tc>
          <w:tcPr>
            <w:tcW w:w="754" w:type="pct"/>
            <w:tcBorders>
              <w:tl2br w:val="nil"/>
              <w:tr2bl w:val="nil"/>
            </w:tcBorders>
            <w:shd w:val="clear" w:color="auto" w:fill="auto"/>
            <w:vAlign w:val="center"/>
          </w:tcPr>
          <w:p w14:paraId="16CD46E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0.634</w:t>
            </w:r>
          </w:p>
        </w:tc>
        <w:tc>
          <w:tcPr>
            <w:tcW w:w="750" w:type="pct"/>
            <w:tcBorders>
              <w:tl2br w:val="nil"/>
              <w:tr2bl w:val="nil"/>
            </w:tcBorders>
            <w:shd w:val="clear" w:color="auto" w:fill="auto"/>
            <w:vAlign w:val="center"/>
          </w:tcPr>
          <w:p w14:paraId="5C26342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7.48</w:t>
            </w:r>
          </w:p>
        </w:tc>
        <w:tc>
          <w:tcPr>
            <w:tcW w:w="757" w:type="pct"/>
            <w:tcBorders>
              <w:tl2br w:val="nil"/>
              <w:tr2bl w:val="nil"/>
            </w:tcBorders>
            <w:shd w:val="clear" w:color="auto" w:fill="auto"/>
            <w:vAlign w:val="center"/>
          </w:tcPr>
          <w:p w14:paraId="40AACDE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8.07</w:t>
            </w:r>
          </w:p>
        </w:tc>
      </w:tr>
      <w:tr w14:paraId="2F8F667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461D32C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-13</w:t>
            </w:r>
          </w:p>
        </w:tc>
        <w:tc>
          <w:tcPr>
            <w:tcW w:w="1302" w:type="pct"/>
            <w:tcBorders>
              <w:tl2br w:val="nil"/>
              <w:tr2bl w:val="nil"/>
            </w:tcBorders>
            <w:shd w:val="clear" w:color="auto" w:fill="auto"/>
            <w:vAlign w:val="center"/>
          </w:tcPr>
          <w:p w14:paraId="2F1FFC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边导线外10m</w:t>
            </w:r>
          </w:p>
        </w:tc>
        <w:tc>
          <w:tcPr>
            <w:tcW w:w="750" w:type="pct"/>
            <w:tcBorders>
              <w:tl2br w:val="nil"/>
              <w:tr2bl w:val="nil"/>
            </w:tcBorders>
            <w:shd w:val="clear" w:color="auto" w:fill="auto"/>
            <w:vAlign w:val="center"/>
          </w:tcPr>
          <w:p w14:paraId="7925EC3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0.757</w:t>
            </w:r>
          </w:p>
        </w:tc>
        <w:tc>
          <w:tcPr>
            <w:tcW w:w="754" w:type="pct"/>
            <w:tcBorders>
              <w:tl2br w:val="nil"/>
              <w:tr2bl w:val="nil"/>
            </w:tcBorders>
            <w:shd w:val="clear" w:color="auto" w:fill="auto"/>
            <w:vAlign w:val="center"/>
          </w:tcPr>
          <w:p w14:paraId="3EE341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0.743</w:t>
            </w:r>
          </w:p>
        </w:tc>
        <w:tc>
          <w:tcPr>
            <w:tcW w:w="750" w:type="pct"/>
            <w:tcBorders>
              <w:tl2br w:val="nil"/>
              <w:tr2bl w:val="nil"/>
            </w:tcBorders>
            <w:shd w:val="clear" w:color="auto" w:fill="auto"/>
            <w:vAlign w:val="center"/>
          </w:tcPr>
          <w:p w14:paraId="2F540D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8.45</w:t>
            </w:r>
          </w:p>
        </w:tc>
        <w:tc>
          <w:tcPr>
            <w:tcW w:w="757" w:type="pct"/>
            <w:tcBorders>
              <w:tl2br w:val="nil"/>
              <w:tr2bl w:val="nil"/>
            </w:tcBorders>
            <w:shd w:val="clear" w:color="auto" w:fill="auto"/>
            <w:vAlign w:val="center"/>
          </w:tcPr>
          <w:p w14:paraId="469DD2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9.19</w:t>
            </w:r>
          </w:p>
        </w:tc>
      </w:tr>
      <w:tr w14:paraId="038E51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581993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-12</w:t>
            </w:r>
          </w:p>
        </w:tc>
        <w:tc>
          <w:tcPr>
            <w:tcW w:w="1302" w:type="pct"/>
            <w:tcBorders>
              <w:tl2br w:val="nil"/>
              <w:tr2bl w:val="nil"/>
            </w:tcBorders>
            <w:shd w:val="clear" w:color="auto" w:fill="auto"/>
            <w:vAlign w:val="center"/>
          </w:tcPr>
          <w:p w14:paraId="2B5B53E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边导线外9m</w:t>
            </w:r>
          </w:p>
        </w:tc>
        <w:tc>
          <w:tcPr>
            <w:tcW w:w="750" w:type="pct"/>
            <w:tcBorders>
              <w:tl2br w:val="nil"/>
              <w:tr2bl w:val="nil"/>
            </w:tcBorders>
            <w:shd w:val="clear" w:color="auto" w:fill="auto"/>
            <w:vAlign w:val="center"/>
          </w:tcPr>
          <w:p w14:paraId="69AE88E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0.876</w:t>
            </w:r>
          </w:p>
        </w:tc>
        <w:tc>
          <w:tcPr>
            <w:tcW w:w="754" w:type="pct"/>
            <w:tcBorders>
              <w:tl2br w:val="nil"/>
              <w:tr2bl w:val="nil"/>
            </w:tcBorders>
            <w:shd w:val="clear" w:color="auto" w:fill="auto"/>
            <w:vAlign w:val="center"/>
          </w:tcPr>
          <w:p w14:paraId="67C5EF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0.874</w:t>
            </w:r>
          </w:p>
        </w:tc>
        <w:tc>
          <w:tcPr>
            <w:tcW w:w="750" w:type="pct"/>
            <w:tcBorders>
              <w:tl2br w:val="nil"/>
              <w:tr2bl w:val="nil"/>
            </w:tcBorders>
            <w:shd w:val="clear" w:color="auto" w:fill="auto"/>
            <w:vAlign w:val="center"/>
          </w:tcPr>
          <w:p w14:paraId="2F91A51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9.57</w:t>
            </w:r>
          </w:p>
        </w:tc>
        <w:tc>
          <w:tcPr>
            <w:tcW w:w="757" w:type="pct"/>
            <w:tcBorders>
              <w:tl2br w:val="nil"/>
              <w:tr2bl w:val="nil"/>
            </w:tcBorders>
            <w:shd w:val="clear" w:color="auto" w:fill="auto"/>
            <w:vAlign w:val="center"/>
          </w:tcPr>
          <w:p w14:paraId="01786A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10.49</w:t>
            </w:r>
          </w:p>
        </w:tc>
      </w:tr>
      <w:tr w14:paraId="007E8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F00424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-11</w:t>
            </w:r>
          </w:p>
        </w:tc>
        <w:tc>
          <w:tcPr>
            <w:tcW w:w="1302" w:type="pct"/>
            <w:tcBorders>
              <w:tl2br w:val="nil"/>
              <w:tr2bl w:val="nil"/>
            </w:tcBorders>
            <w:shd w:val="clear" w:color="auto" w:fill="auto"/>
            <w:vAlign w:val="center"/>
          </w:tcPr>
          <w:p w14:paraId="05D315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边导线外8m</w:t>
            </w:r>
          </w:p>
        </w:tc>
        <w:tc>
          <w:tcPr>
            <w:tcW w:w="750" w:type="pct"/>
            <w:tcBorders>
              <w:tl2br w:val="nil"/>
              <w:tr2bl w:val="nil"/>
            </w:tcBorders>
            <w:shd w:val="clear" w:color="auto" w:fill="auto"/>
            <w:vAlign w:val="center"/>
          </w:tcPr>
          <w:p w14:paraId="0DFD07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1.014</w:t>
            </w:r>
          </w:p>
        </w:tc>
        <w:tc>
          <w:tcPr>
            <w:tcW w:w="754" w:type="pct"/>
            <w:tcBorders>
              <w:tl2br w:val="nil"/>
              <w:tr2bl w:val="nil"/>
            </w:tcBorders>
            <w:shd w:val="clear" w:color="auto" w:fill="auto"/>
            <w:vAlign w:val="center"/>
          </w:tcPr>
          <w:p w14:paraId="3F18E1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1.030</w:t>
            </w:r>
          </w:p>
        </w:tc>
        <w:tc>
          <w:tcPr>
            <w:tcW w:w="750" w:type="pct"/>
            <w:tcBorders>
              <w:tl2br w:val="nil"/>
              <w:tr2bl w:val="nil"/>
            </w:tcBorders>
            <w:shd w:val="clear" w:color="auto" w:fill="auto"/>
            <w:vAlign w:val="center"/>
          </w:tcPr>
          <w:p w14:paraId="38A047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10.85</w:t>
            </w:r>
          </w:p>
        </w:tc>
        <w:tc>
          <w:tcPr>
            <w:tcW w:w="757" w:type="pct"/>
            <w:tcBorders>
              <w:tl2br w:val="nil"/>
              <w:tr2bl w:val="nil"/>
            </w:tcBorders>
            <w:shd w:val="clear" w:color="auto" w:fill="auto"/>
            <w:vAlign w:val="center"/>
          </w:tcPr>
          <w:p w14:paraId="77D34E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11.98</w:t>
            </w:r>
          </w:p>
        </w:tc>
      </w:tr>
      <w:tr w14:paraId="1ED4BE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572439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-10</w:t>
            </w:r>
          </w:p>
        </w:tc>
        <w:tc>
          <w:tcPr>
            <w:tcW w:w="1302" w:type="pct"/>
            <w:tcBorders>
              <w:tl2br w:val="nil"/>
              <w:tr2bl w:val="nil"/>
            </w:tcBorders>
            <w:shd w:val="clear" w:color="auto" w:fill="auto"/>
            <w:vAlign w:val="center"/>
          </w:tcPr>
          <w:p w14:paraId="10BDC9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边导线外7m</w:t>
            </w:r>
          </w:p>
        </w:tc>
        <w:tc>
          <w:tcPr>
            <w:tcW w:w="750" w:type="pct"/>
            <w:tcBorders>
              <w:tl2br w:val="nil"/>
              <w:tr2bl w:val="nil"/>
            </w:tcBorders>
            <w:shd w:val="clear" w:color="auto" w:fill="auto"/>
            <w:vAlign w:val="center"/>
          </w:tcPr>
          <w:p w14:paraId="5BF620B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1.172</w:t>
            </w:r>
          </w:p>
        </w:tc>
        <w:tc>
          <w:tcPr>
            <w:tcW w:w="754" w:type="pct"/>
            <w:tcBorders>
              <w:tl2br w:val="nil"/>
              <w:tr2bl w:val="nil"/>
            </w:tcBorders>
            <w:shd w:val="clear" w:color="auto" w:fill="auto"/>
            <w:vAlign w:val="center"/>
          </w:tcPr>
          <w:p w14:paraId="0C51F4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1.215</w:t>
            </w:r>
          </w:p>
        </w:tc>
        <w:tc>
          <w:tcPr>
            <w:tcW w:w="750" w:type="pct"/>
            <w:tcBorders>
              <w:tl2br w:val="nil"/>
              <w:tr2bl w:val="nil"/>
            </w:tcBorders>
            <w:shd w:val="clear" w:color="auto" w:fill="auto"/>
            <w:vAlign w:val="center"/>
          </w:tcPr>
          <w:p w14:paraId="3F18A14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12.29</w:t>
            </w:r>
          </w:p>
        </w:tc>
        <w:tc>
          <w:tcPr>
            <w:tcW w:w="757" w:type="pct"/>
            <w:tcBorders>
              <w:tl2br w:val="nil"/>
              <w:tr2bl w:val="nil"/>
            </w:tcBorders>
            <w:shd w:val="clear" w:color="auto" w:fill="auto"/>
            <w:vAlign w:val="center"/>
          </w:tcPr>
          <w:p w14:paraId="2EEEEB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13.68</w:t>
            </w:r>
          </w:p>
        </w:tc>
      </w:tr>
      <w:tr w14:paraId="478D30C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A6F5C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-9</w:t>
            </w:r>
          </w:p>
        </w:tc>
        <w:tc>
          <w:tcPr>
            <w:tcW w:w="1302" w:type="pct"/>
            <w:tcBorders>
              <w:tl2br w:val="nil"/>
              <w:tr2bl w:val="nil"/>
            </w:tcBorders>
            <w:shd w:val="clear" w:color="auto" w:fill="auto"/>
            <w:vAlign w:val="center"/>
          </w:tcPr>
          <w:p w14:paraId="62903B6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边导线外6m</w:t>
            </w:r>
          </w:p>
        </w:tc>
        <w:tc>
          <w:tcPr>
            <w:tcW w:w="750" w:type="pct"/>
            <w:tcBorders>
              <w:tl2br w:val="nil"/>
              <w:tr2bl w:val="nil"/>
            </w:tcBorders>
            <w:shd w:val="clear" w:color="auto" w:fill="auto"/>
            <w:vAlign w:val="center"/>
          </w:tcPr>
          <w:p w14:paraId="5244D38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1.349</w:t>
            </w:r>
          </w:p>
        </w:tc>
        <w:tc>
          <w:tcPr>
            <w:tcW w:w="754" w:type="pct"/>
            <w:tcBorders>
              <w:tl2br w:val="nil"/>
              <w:tr2bl w:val="nil"/>
            </w:tcBorders>
            <w:shd w:val="clear" w:color="auto" w:fill="auto"/>
            <w:vAlign w:val="center"/>
          </w:tcPr>
          <w:p w14:paraId="357504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1.428</w:t>
            </w:r>
          </w:p>
        </w:tc>
        <w:tc>
          <w:tcPr>
            <w:tcW w:w="750" w:type="pct"/>
            <w:tcBorders>
              <w:tl2br w:val="nil"/>
              <w:tr2bl w:val="nil"/>
            </w:tcBorders>
            <w:shd w:val="clear" w:color="auto" w:fill="auto"/>
            <w:vAlign w:val="center"/>
          </w:tcPr>
          <w:p w14:paraId="6540E7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13.86</w:t>
            </w:r>
          </w:p>
        </w:tc>
        <w:tc>
          <w:tcPr>
            <w:tcW w:w="757" w:type="pct"/>
            <w:tcBorders>
              <w:tl2br w:val="nil"/>
              <w:tr2bl w:val="nil"/>
            </w:tcBorders>
            <w:shd w:val="clear" w:color="auto" w:fill="auto"/>
            <w:vAlign w:val="center"/>
          </w:tcPr>
          <w:p w14:paraId="05F5F3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15.56</w:t>
            </w:r>
          </w:p>
        </w:tc>
      </w:tr>
      <w:tr w14:paraId="70E2182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07E750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-8</w:t>
            </w:r>
          </w:p>
        </w:tc>
        <w:tc>
          <w:tcPr>
            <w:tcW w:w="1302" w:type="pct"/>
            <w:tcBorders>
              <w:tl2br w:val="nil"/>
              <w:tr2bl w:val="nil"/>
            </w:tcBorders>
            <w:shd w:val="clear" w:color="auto" w:fill="auto"/>
            <w:vAlign w:val="center"/>
          </w:tcPr>
          <w:p w14:paraId="0E942F5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边导线外5m</w:t>
            </w:r>
          </w:p>
        </w:tc>
        <w:tc>
          <w:tcPr>
            <w:tcW w:w="750" w:type="pct"/>
            <w:tcBorders>
              <w:tl2br w:val="nil"/>
              <w:tr2bl w:val="nil"/>
            </w:tcBorders>
            <w:shd w:val="clear" w:color="auto" w:fill="auto"/>
            <w:vAlign w:val="center"/>
          </w:tcPr>
          <w:p w14:paraId="65E9AE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1.540</w:t>
            </w:r>
          </w:p>
        </w:tc>
        <w:tc>
          <w:tcPr>
            <w:tcW w:w="754" w:type="pct"/>
            <w:tcBorders>
              <w:tl2br w:val="nil"/>
              <w:tr2bl w:val="nil"/>
            </w:tcBorders>
            <w:shd w:val="clear" w:color="auto" w:fill="auto"/>
            <w:vAlign w:val="center"/>
          </w:tcPr>
          <w:p w14:paraId="50DFA7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1.666</w:t>
            </w:r>
          </w:p>
        </w:tc>
        <w:tc>
          <w:tcPr>
            <w:tcW w:w="750" w:type="pct"/>
            <w:tcBorders>
              <w:tl2br w:val="nil"/>
              <w:tr2bl w:val="nil"/>
            </w:tcBorders>
            <w:shd w:val="clear" w:color="auto" w:fill="auto"/>
            <w:vAlign w:val="center"/>
          </w:tcPr>
          <w:p w14:paraId="2F1957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15.5</w:t>
            </w:r>
          </w:p>
        </w:tc>
        <w:tc>
          <w:tcPr>
            <w:tcW w:w="757" w:type="pct"/>
            <w:tcBorders>
              <w:tl2br w:val="nil"/>
              <w:tr2bl w:val="nil"/>
            </w:tcBorders>
            <w:shd w:val="clear" w:color="auto" w:fill="auto"/>
            <w:vAlign w:val="center"/>
          </w:tcPr>
          <w:p w14:paraId="7A3F7E6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17.56</w:t>
            </w:r>
          </w:p>
        </w:tc>
      </w:tr>
      <w:tr w14:paraId="3E76C4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55E5D04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-7</w:t>
            </w:r>
          </w:p>
        </w:tc>
        <w:tc>
          <w:tcPr>
            <w:tcW w:w="1302" w:type="pct"/>
            <w:tcBorders>
              <w:tl2br w:val="nil"/>
              <w:tr2bl w:val="nil"/>
            </w:tcBorders>
            <w:shd w:val="clear" w:color="auto" w:fill="auto"/>
            <w:vAlign w:val="center"/>
          </w:tcPr>
          <w:p w14:paraId="2CC47FA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边导线外4m</w:t>
            </w:r>
          </w:p>
        </w:tc>
        <w:tc>
          <w:tcPr>
            <w:tcW w:w="750" w:type="pct"/>
            <w:tcBorders>
              <w:tl2br w:val="nil"/>
              <w:tr2bl w:val="nil"/>
            </w:tcBorders>
            <w:shd w:val="clear" w:color="auto" w:fill="auto"/>
            <w:vAlign w:val="center"/>
          </w:tcPr>
          <w:p w14:paraId="0961350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1.736</w:t>
            </w:r>
          </w:p>
        </w:tc>
        <w:tc>
          <w:tcPr>
            <w:tcW w:w="754" w:type="pct"/>
            <w:tcBorders>
              <w:tl2br w:val="nil"/>
              <w:tr2bl w:val="nil"/>
            </w:tcBorders>
            <w:shd w:val="clear" w:color="auto" w:fill="auto"/>
            <w:vAlign w:val="center"/>
          </w:tcPr>
          <w:p w14:paraId="713B485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1.922</w:t>
            </w:r>
          </w:p>
        </w:tc>
        <w:tc>
          <w:tcPr>
            <w:tcW w:w="750" w:type="pct"/>
            <w:tcBorders>
              <w:tl2br w:val="nil"/>
              <w:tr2bl w:val="nil"/>
            </w:tcBorders>
            <w:shd w:val="clear" w:color="auto" w:fill="auto"/>
            <w:vAlign w:val="center"/>
          </w:tcPr>
          <w:p w14:paraId="0A524D4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17.12</w:t>
            </w:r>
          </w:p>
        </w:tc>
        <w:tc>
          <w:tcPr>
            <w:tcW w:w="757" w:type="pct"/>
            <w:tcBorders>
              <w:tl2br w:val="nil"/>
              <w:tr2bl w:val="nil"/>
            </w:tcBorders>
            <w:shd w:val="clear" w:color="auto" w:fill="auto"/>
            <w:vAlign w:val="center"/>
          </w:tcPr>
          <w:p w14:paraId="126B6E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19.55</w:t>
            </w:r>
          </w:p>
        </w:tc>
      </w:tr>
      <w:tr w14:paraId="0F3939A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605E40A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-6</w:t>
            </w:r>
          </w:p>
        </w:tc>
        <w:tc>
          <w:tcPr>
            <w:tcW w:w="1302" w:type="pct"/>
            <w:tcBorders>
              <w:tl2br w:val="nil"/>
              <w:tr2bl w:val="nil"/>
            </w:tcBorders>
            <w:shd w:val="clear" w:color="auto" w:fill="auto"/>
            <w:vAlign w:val="center"/>
          </w:tcPr>
          <w:p w14:paraId="6D66CC1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边导线外3m</w:t>
            </w:r>
          </w:p>
        </w:tc>
        <w:tc>
          <w:tcPr>
            <w:tcW w:w="750" w:type="pct"/>
            <w:tcBorders>
              <w:tl2br w:val="nil"/>
              <w:tr2bl w:val="nil"/>
            </w:tcBorders>
            <w:shd w:val="clear" w:color="auto" w:fill="auto"/>
            <w:vAlign w:val="center"/>
          </w:tcPr>
          <w:p w14:paraId="1BB0A67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1.919</w:t>
            </w:r>
          </w:p>
        </w:tc>
        <w:tc>
          <w:tcPr>
            <w:tcW w:w="754" w:type="pct"/>
            <w:tcBorders>
              <w:tl2br w:val="nil"/>
              <w:tr2bl w:val="nil"/>
            </w:tcBorders>
            <w:shd w:val="clear" w:color="auto" w:fill="auto"/>
            <w:vAlign w:val="center"/>
          </w:tcPr>
          <w:p w14:paraId="62EECC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2.181</w:t>
            </w:r>
          </w:p>
        </w:tc>
        <w:tc>
          <w:tcPr>
            <w:tcW w:w="750" w:type="pct"/>
            <w:tcBorders>
              <w:tl2br w:val="nil"/>
              <w:tr2bl w:val="nil"/>
            </w:tcBorders>
            <w:shd w:val="clear" w:color="auto" w:fill="auto"/>
            <w:vAlign w:val="center"/>
          </w:tcPr>
          <w:p w14:paraId="7E28C10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18.62</w:t>
            </w:r>
          </w:p>
        </w:tc>
        <w:tc>
          <w:tcPr>
            <w:tcW w:w="757" w:type="pct"/>
            <w:tcBorders>
              <w:tl2br w:val="nil"/>
              <w:tr2bl w:val="nil"/>
            </w:tcBorders>
            <w:shd w:val="clear" w:color="auto" w:fill="auto"/>
            <w:vAlign w:val="center"/>
          </w:tcPr>
          <w:p w14:paraId="7C8180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21.36</w:t>
            </w:r>
          </w:p>
        </w:tc>
      </w:tr>
      <w:tr w14:paraId="1176057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0B5DEA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w:t>
            </w:r>
          </w:p>
        </w:tc>
        <w:tc>
          <w:tcPr>
            <w:tcW w:w="1302" w:type="pct"/>
            <w:tcBorders>
              <w:tl2br w:val="nil"/>
              <w:tr2bl w:val="nil"/>
            </w:tcBorders>
            <w:shd w:val="clear" w:color="auto" w:fill="auto"/>
            <w:vAlign w:val="center"/>
          </w:tcPr>
          <w:p w14:paraId="2164E13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边导线外2m</w:t>
            </w:r>
          </w:p>
        </w:tc>
        <w:tc>
          <w:tcPr>
            <w:tcW w:w="750" w:type="pct"/>
            <w:tcBorders>
              <w:tl2br w:val="nil"/>
              <w:tr2bl w:val="nil"/>
            </w:tcBorders>
            <w:shd w:val="clear" w:color="auto" w:fill="auto"/>
            <w:vAlign w:val="center"/>
          </w:tcPr>
          <w:p w14:paraId="3621650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2.067</w:t>
            </w:r>
          </w:p>
        </w:tc>
        <w:tc>
          <w:tcPr>
            <w:tcW w:w="754" w:type="pct"/>
            <w:tcBorders>
              <w:tl2br w:val="nil"/>
              <w:tr2bl w:val="nil"/>
            </w:tcBorders>
            <w:shd w:val="clear" w:color="auto" w:fill="auto"/>
            <w:vAlign w:val="center"/>
          </w:tcPr>
          <w:p w14:paraId="3A2EB50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2.418</w:t>
            </w:r>
          </w:p>
        </w:tc>
        <w:tc>
          <w:tcPr>
            <w:tcW w:w="750" w:type="pct"/>
            <w:tcBorders>
              <w:tl2br w:val="nil"/>
              <w:tr2bl w:val="nil"/>
            </w:tcBorders>
            <w:shd w:val="clear" w:color="auto" w:fill="auto"/>
            <w:vAlign w:val="center"/>
          </w:tcPr>
          <w:p w14:paraId="2CE2EF4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19.92</w:t>
            </w:r>
          </w:p>
        </w:tc>
        <w:tc>
          <w:tcPr>
            <w:tcW w:w="757" w:type="pct"/>
            <w:tcBorders>
              <w:tl2br w:val="nil"/>
              <w:tr2bl w:val="nil"/>
            </w:tcBorders>
            <w:shd w:val="clear" w:color="auto" w:fill="auto"/>
            <w:vAlign w:val="center"/>
          </w:tcPr>
          <w:p w14:paraId="19028A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22.86</w:t>
            </w:r>
          </w:p>
        </w:tc>
      </w:tr>
      <w:tr w14:paraId="0082D4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449831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w:t>
            </w:r>
          </w:p>
        </w:tc>
        <w:tc>
          <w:tcPr>
            <w:tcW w:w="1302" w:type="pct"/>
            <w:tcBorders>
              <w:tl2br w:val="nil"/>
              <w:tr2bl w:val="nil"/>
            </w:tcBorders>
            <w:shd w:val="clear" w:color="auto" w:fill="auto"/>
            <w:vAlign w:val="center"/>
          </w:tcPr>
          <w:p w14:paraId="77BC4E5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边导线外1m</w:t>
            </w:r>
          </w:p>
        </w:tc>
        <w:tc>
          <w:tcPr>
            <w:tcW w:w="750" w:type="pct"/>
            <w:tcBorders>
              <w:tl2br w:val="nil"/>
              <w:tr2bl w:val="nil"/>
            </w:tcBorders>
            <w:shd w:val="clear" w:color="auto" w:fill="auto"/>
            <w:vAlign w:val="center"/>
          </w:tcPr>
          <w:p w14:paraId="0E155A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2.159</w:t>
            </w:r>
          </w:p>
        </w:tc>
        <w:tc>
          <w:tcPr>
            <w:tcW w:w="754" w:type="pct"/>
            <w:tcBorders>
              <w:tl2br w:val="nil"/>
              <w:tr2bl w:val="nil"/>
            </w:tcBorders>
            <w:shd w:val="clear" w:color="auto" w:fill="auto"/>
            <w:vAlign w:val="center"/>
          </w:tcPr>
          <w:p w14:paraId="642DBD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2.605</w:t>
            </w:r>
          </w:p>
        </w:tc>
        <w:tc>
          <w:tcPr>
            <w:tcW w:w="750" w:type="pct"/>
            <w:tcBorders>
              <w:tl2br w:val="nil"/>
              <w:tr2bl w:val="nil"/>
            </w:tcBorders>
            <w:shd w:val="clear" w:color="auto" w:fill="auto"/>
            <w:vAlign w:val="center"/>
          </w:tcPr>
          <w:p w14:paraId="49D5850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20.96</w:t>
            </w:r>
          </w:p>
        </w:tc>
        <w:tc>
          <w:tcPr>
            <w:tcW w:w="757" w:type="pct"/>
            <w:tcBorders>
              <w:tl2br w:val="nil"/>
              <w:tr2bl w:val="nil"/>
            </w:tcBorders>
            <w:shd w:val="clear" w:color="auto" w:fill="auto"/>
            <w:vAlign w:val="center"/>
          </w:tcPr>
          <w:p w14:paraId="1F5E522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23.97</w:t>
            </w:r>
          </w:p>
        </w:tc>
      </w:tr>
      <w:tr w14:paraId="1D6029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4A089BE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w:t>
            </w:r>
          </w:p>
        </w:tc>
        <w:tc>
          <w:tcPr>
            <w:tcW w:w="1302" w:type="pct"/>
            <w:tcBorders>
              <w:tl2br w:val="nil"/>
              <w:tr2bl w:val="nil"/>
            </w:tcBorders>
            <w:shd w:val="clear" w:color="auto" w:fill="auto"/>
            <w:vAlign w:val="center"/>
          </w:tcPr>
          <w:p w14:paraId="3613722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边导线下</w:t>
            </w:r>
          </w:p>
        </w:tc>
        <w:tc>
          <w:tcPr>
            <w:tcW w:w="750" w:type="pct"/>
            <w:tcBorders>
              <w:tl2br w:val="nil"/>
              <w:tr2bl w:val="nil"/>
            </w:tcBorders>
            <w:shd w:val="clear" w:color="auto" w:fill="auto"/>
            <w:vAlign w:val="center"/>
          </w:tcPr>
          <w:p w14:paraId="23103D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2.173</w:t>
            </w:r>
          </w:p>
        </w:tc>
        <w:tc>
          <w:tcPr>
            <w:tcW w:w="754" w:type="pct"/>
            <w:tcBorders>
              <w:tl2br w:val="nil"/>
              <w:tr2bl w:val="nil"/>
            </w:tcBorders>
            <w:shd w:val="clear" w:color="auto" w:fill="auto"/>
            <w:vAlign w:val="center"/>
          </w:tcPr>
          <w:p w14:paraId="411E01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2.705</w:t>
            </w:r>
          </w:p>
        </w:tc>
        <w:tc>
          <w:tcPr>
            <w:tcW w:w="750" w:type="pct"/>
            <w:tcBorders>
              <w:tl2br w:val="nil"/>
              <w:tr2bl w:val="nil"/>
            </w:tcBorders>
            <w:shd w:val="clear" w:color="auto" w:fill="auto"/>
            <w:vAlign w:val="center"/>
          </w:tcPr>
          <w:p w14:paraId="373657D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21.69</w:t>
            </w:r>
          </w:p>
        </w:tc>
        <w:tc>
          <w:tcPr>
            <w:tcW w:w="757" w:type="pct"/>
            <w:tcBorders>
              <w:tl2br w:val="nil"/>
              <w:tr2bl w:val="nil"/>
            </w:tcBorders>
            <w:shd w:val="clear" w:color="auto" w:fill="auto"/>
            <w:vAlign w:val="center"/>
          </w:tcPr>
          <w:p w14:paraId="3AD5210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24.66</w:t>
            </w:r>
          </w:p>
        </w:tc>
      </w:tr>
      <w:tr w14:paraId="379A5D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07D0DA4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w:t>
            </w:r>
          </w:p>
        </w:tc>
        <w:tc>
          <w:tcPr>
            <w:tcW w:w="1302" w:type="pct"/>
            <w:tcBorders>
              <w:tl2br w:val="nil"/>
              <w:tr2bl w:val="nil"/>
            </w:tcBorders>
            <w:shd w:val="clear" w:color="auto" w:fill="auto"/>
            <w:vAlign w:val="center"/>
          </w:tcPr>
          <w:p w14:paraId="0D1BB9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边导线内</w:t>
            </w:r>
          </w:p>
        </w:tc>
        <w:tc>
          <w:tcPr>
            <w:tcW w:w="750" w:type="pct"/>
            <w:tcBorders>
              <w:tl2br w:val="nil"/>
              <w:tr2bl w:val="nil"/>
            </w:tcBorders>
            <w:shd w:val="clear" w:color="auto" w:fill="auto"/>
            <w:vAlign w:val="center"/>
          </w:tcPr>
          <w:p w14:paraId="7BA8F66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2.106</w:t>
            </w:r>
          </w:p>
        </w:tc>
        <w:tc>
          <w:tcPr>
            <w:tcW w:w="754" w:type="pct"/>
            <w:tcBorders>
              <w:tl2br w:val="nil"/>
              <w:tr2bl w:val="nil"/>
            </w:tcBorders>
            <w:shd w:val="clear" w:color="auto" w:fill="auto"/>
            <w:vAlign w:val="center"/>
          </w:tcPr>
          <w:p w14:paraId="1C0204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2.699</w:t>
            </w:r>
          </w:p>
        </w:tc>
        <w:tc>
          <w:tcPr>
            <w:tcW w:w="750" w:type="pct"/>
            <w:tcBorders>
              <w:tl2br w:val="nil"/>
              <w:tr2bl w:val="nil"/>
            </w:tcBorders>
            <w:shd w:val="clear" w:color="auto" w:fill="auto"/>
            <w:vAlign w:val="center"/>
          </w:tcPr>
          <w:p w14:paraId="14809F2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22.09</w:t>
            </w:r>
          </w:p>
        </w:tc>
        <w:tc>
          <w:tcPr>
            <w:tcW w:w="757" w:type="pct"/>
            <w:tcBorders>
              <w:tl2br w:val="nil"/>
              <w:tr2bl w:val="nil"/>
            </w:tcBorders>
            <w:shd w:val="clear" w:color="auto" w:fill="auto"/>
            <w:vAlign w:val="center"/>
          </w:tcPr>
          <w:p w14:paraId="25653B2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24.96</w:t>
            </w:r>
          </w:p>
        </w:tc>
      </w:tr>
      <w:tr w14:paraId="1CF2CD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0F9B5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w:t>
            </w:r>
          </w:p>
        </w:tc>
        <w:tc>
          <w:tcPr>
            <w:tcW w:w="1302" w:type="pct"/>
            <w:tcBorders>
              <w:tl2br w:val="nil"/>
              <w:tr2bl w:val="nil"/>
            </w:tcBorders>
            <w:shd w:val="clear" w:color="auto" w:fill="auto"/>
            <w:vAlign w:val="center"/>
          </w:tcPr>
          <w:p w14:paraId="37F42D7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边导线内</w:t>
            </w:r>
          </w:p>
        </w:tc>
        <w:tc>
          <w:tcPr>
            <w:tcW w:w="750" w:type="pct"/>
            <w:tcBorders>
              <w:tl2br w:val="nil"/>
              <w:tr2bl w:val="nil"/>
            </w:tcBorders>
            <w:shd w:val="clear" w:color="auto" w:fill="auto"/>
            <w:vAlign w:val="center"/>
          </w:tcPr>
          <w:p w14:paraId="2D80B3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1.990</w:t>
            </w:r>
          </w:p>
        </w:tc>
        <w:tc>
          <w:tcPr>
            <w:tcW w:w="754" w:type="pct"/>
            <w:tcBorders>
              <w:tl2br w:val="nil"/>
              <w:tr2bl w:val="nil"/>
            </w:tcBorders>
            <w:shd w:val="clear" w:color="auto" w:fill="auto"/>
            <w:vAlign w:val="center"/>
          </w:tcPr>
          <w:p w14:paraId="3D697E9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2.595</w:t>
            </w:r>
          </w:p>
        </w:tc>
        <w:tc>
          <w:tcPr>
            <w:tcW w:w="750" w:type="pct"/>
            <w:tcBorders>
              <w:tl2br w:val="nil"/>
              <w:tr2bl w:val="nil"/>
            </w:tcBorders>
            <w:shd w:val="clear" w:color="auto" w:fill="auto"/>
            <w:vAlign w:val="center"/>
          </w:tcPr>
          <w:p w14:paraId="132AF0C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22.22</w:t>
            </w:r>
          </w:p>
        </w:tc>
        <w:tc>
          <w:tcPr>
            <w:tcW w:w="757" w:type="pct"/>
            <w:tcBorders>
              <w:tl2br w:val="nil"/>
              <w:tr2bl w:val="nil"/>
            </w:tcBorders>
            <w:shd w:val="clear" w:color="auto" w:fill="auto"/>
            <w:vAlign w:val="center"/>
          </w:tcPr>
          <w:p w14:paraId="7163CE6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25</w:t>
            </w:r>
          </w:p>
        </w:tc>
      </w:tr>
      <w:tr w14:paraId="1B41602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59177F3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w:t>
            </w:r>
          </w:p>
        </w:tc>
        <w:tc>
          <w:tcPr>
            <w:tcW w:w="1302" w:type="pct"/>
            <w:tcBorders>
              <w:tl2br w:val="nil"/>
              <w:tr2bl w:val="nil"/>
            </w:tcBorders>
            <w:shd w:val="clear" w:color="auto" w:fill="auto"/>
            <w:vAlign w:val="center"/>
          </w:tcPr>
          <w:p w14:paraId="29C9CBA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线路中心</w:t>
            </w:r>
          </w:p>
        </w:tc>
        <w:tc>
          <w:tcPr>
            <w:tcW w:w="750" w:type="pct"/>
            <w:tcBorders>
              <w:tl2br w:val="nil"/>
              <w:tr2bl w:val="nil"/>
            </w:tcBorders>
            <w:shd w:val="clear" w:color="auto" w:fill="auto"/>
            <w:vAlign w:val="center"/>
          </w:tcPr>
          <w:p w14:paraId="3D96A3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1.955</w:t>
            </w:r>
          </w:p>
        </w:tc>
        <w:tc>
          <w:tcPr>
            <w:tcW w:w="754" w:type="pct"/>
            <w:tcBorders>
              <w:tl2br w:val="nil"/>
              <w:tr2bl w:val="nil"/>
            </w:tcBorders>
            <w:shd w:val="clear" w:color="auto" w:fill="auto"/>
            <w:vAlign w:val="center"/>
          </w:tcPr>
          <w:p w14:paraId="56F929D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2.609</w:t>
            </w:r>
          </w:p>
        </w:tc>
        <w:tc>
          <w:tcPr>
            <w:tcW w:w="750" w:type="pct"/>
            <w:tcBorders>
              <w:tl2br w:val="nil"/>
              <w:tr2bl w:val="nil"/>
            </w:tcBorders>
            <w:shd w:val="clear" w:color="auto" w:fill="auto"/>
            <w:vAlign w:val="center"/>
          </w:tcPr>
          <w:p w14:paraId="2FC634C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21.69</w:t>
            </w:r>
          </w:p>
        </w:tc>
        <w:tc>
          <w:tcPr>
            <w:tcW w:w="757" w:type="pct"/>
            <w:tcBorders>
              <w:tl2br w:val="nil"/>
              <w:tr2bl w:val="nil"/>
            </w:tcBorders>
            <w:shd w:val="clear" w:color="auto" w:fill="auto"/>
            <w:vAlign w:val="center"/>
          </w:tcPr>
          <w:p w14:paraId="61E4A2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24.66</w:t>
            </w:r>
          </w:p>
        </w:tc>
      </w:tr>
      <w:tr w14:paraId="6E7074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538919F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w:t>
            </w:r>
          </w:p>
        </w:tc>
        <w:tc>
          <w:tcPr>
            <w:tcW w:w="1302" w:type="pct"/>
            <w:tcBorders>
              <w:tl2br w:val="nil"/>
              <w:tr2bl w:val="nil"/>
            </w:tcBorders>
            <w:shd w:val="clear" w:color="auto" w:fill="auto"/>
            <w:vAlign w:val="center"/>
          </w:tcPr>
          <w:p w14:paraId="361360F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边导线内</w:t>
            </w:r>
          </w:p>
        </w:tc>
        <w:tc>
          <w:tcPr>
            <w:tcW w:w="750" w:type="pct"/>
            <w:tcBorders>
              <w:tl2br w:val="nil"/>
              <w:tr2bl w:val="nil"/>
            </w:tcBorders>
            <w:shd w:val="clear" w:color="auto" w:fill="auto"/>
            <w:vAlign w:val="center"/>
          </w:tcPr>
          <w:p w14:paraId="207B833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1.990</w:t>
            </w:r>
          </w:p>
        </w:tc>
        <w:tc>
          <w:tcPr>
            <w:tcW w:w="754" w:type="pct"/>
            <w:tcBorders>
              <w:tl2br w:val="nil"/>
              <w:tr2bl w:val="nil"/>
            </w:tcBorders>
            <w:shd w:val="clear" w:color="auto" w:fill="auto"/>
            <w:vAlign w:val="center"/>
          </w:tcPr>
          <w:p w14:paraId="3D65207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2.595</w:t>
            </w:r>
          </w:p>
        </w:tc>
        <w:tc>
          <w:tcPr>
            <w:tcW w:w="750" w:type="pct"/>
            <w:tcBorders>
              <w:tl2br w:val="nil"/>
              <w:tr2bl w:val="nil"/>
            </w:tcBorders>
            <w:shd w:val="clear" w:color="auto" w:fill="auto"/>
            <w:vAlign w:val="center"/>
          </w:tcPr>
          <w:p w14:paraId="6B9AF5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20.96</w:t>
            </w:r>
          </w:p>
        </w:tc>
        <w:tc>
          <w:tcPr>
            <w:tcW w:w="757" w:type="pct"/>
            <w:tcBorders>
              <w:tl2br w:val="nil"/>
              <w:tr2bl w:val="nil"/>
            </w:tcBorders>
            <w:shd w:val="clear" w:color="auto" w:fill="auto"/>
            <w:vAlign w:val="center"/>
          </w:tcPr>
          <w:p w14:paraId="32CFF17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23.97</w:t>
            </w:r>
          </w:p>
        </w:tc>
      </w:tr>
      <w:tr w14:paraId="462C9A0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2BB5119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w:t>
            </w:r>
          </w:p>
        </w:tc>
        <w:tc>
          <w:tcPr>
            <w:tcW w:w="1302" w:type="pct"/>
            <w:tcBorders>
              <w:tl2br w:val="nil"/>
              <w:tr2bl w:val="nil"/>
            </w:tcBorders>
            <w:shd w:val="clear" w:color="auto" w:fill="auto"/>
            <w:vAlign w:val="center"/>
          </w:tcPr>
          <w:p w14:paraId="6B32F4E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边导线内</w:t>
            </w:r>
          </w:p>
        </w:tc>
        <w:tc>
          <w:tcPr>
            <w:tcW w:w="750" w:type="pct"/>
            <w:tcBorders>
              <w:tl2br w:val="nil"/>
              <w:tr2bl w:val="nil"/>
            </w:tcBorders>
            <w:shd w:val="clear" w:color="auto" w:fill="auto"/>
            <w:vAlign w:val="center"/>
          </w:tcPr>
          <w:p w14:paraId="1CEADD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2.106</w:t>
            </w:r>
          </w:p>
        </w:tc>
        <w:tc>
          <w:tcPr>
            <w:tcW w:w="754" w:type="pct"/>
            <w:tcBorders>
              <w:tl2br w:val="nil"/>
              <w:tr2bl w:val="nil"/>
            </w:tcBorders>
            <w:shd w:val="clear" w:color="auto" w:fill="auto"/>
            <w:vAlign w:val="center"/>
          </w:tcPr>
          <w:p w14:paraId="792FE58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2.699</w:t>
            </w:r>
          </w:p>
        </w:tc>
        <w:tc>
          <w:tcPr>
            <w:tcW w:w="750" w:type="pct"/>
            <w:tcBorders>
              <w:tl2br w:val="nil"/>
              <w:tr2bl w:val="nil"/>
            </w:tcBorders>
            <w:shd w:val="clear" w:color="auto" w:fill="auto"/>
            <w:vAlign w:val="center"/>
          </w:tcPr>
          <w:p w14:paraId="3D869FF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19.92</w:t>
            </w:r>
          </w:p>
        </w:tc>
        <w:tc>
          <w:tcPr>
            <w:tcW w:w="757" w:type="pct"/>
            <w:tcBorders>
              <w:tl2br w:val="nil"/>
              <w:tr2bl w:val="nil"/>
            </w:tcBorders>
            <w:shd w:val="clear" w:color="auto" w:fill="auto"/>
            <w:vAlign w:val="center"/>
          </w:tcPr>
          <w:p w14:paraId="70B40B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22.86</w:t>
            </w:r>
          </w:p>
        </w:tc>
      </w:tr>
      <w:tr w14:paraId="64BCE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EB028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w:t>
            </w:r>
          </w:p>
        </w:tc>
        <w:tc>
          <w:tcPr>
            <w:tcW w:w="1302" w:type="pct"/>
            <w:tcBorders>
              <w:tl2br w:val="nil"/>
              <w:tr2bl w:val="nil"/>
            </w:tcBorders>
            <w:shd w:val="clear" w:color="auto" w:fill="auto"/>
            <w:vAlign w:val="center"/>
          </w:tcPr>
          <w:p w14:paraId="381E15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边导线下</w:t>
            </w:r>
          </w:p>
        </w:tc>
        <w:tc>
          <w:tcPr>
            <w:tcW w:w="750" w:type="pct"/>
            <w:tcBorders>
              <w:tl2br w:val="nil"/>
              <w:tr2bl w:val="nil"/>
            </w:tcBorders>
            <w:shd w:val="clear" w:color="auto" w:fill="auto"/>
            <w:vAlign w:val="center"/>
          </w:tcPr>
          <w:p w14:paraId="752C8FB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2.173</w:t>
            </w:r>
          </w:p>
        </w:tc>
        <w:tc>
          <w:tcPr>
            <w:tcW w:w="754" w:type="pct"/>
            <w:tcBorders>
              <w:tl2br w:val="nil"/>
              <w:tr2bl w:val="nil"/>
            </w:tcBorders>
            <w:shd w:val="clear" w:color="auto" w:fill="auto"/>
            <w:vAlign w:val="center"/>
          </w:tcPr>
          <w:p w14:paraId="4993529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2.705</w:t>
            </w:r>
          </w:p>
        </w:tc>
        <w:tc>
          <w:tcPr>
            <w:tcW w:w="750" w:type="pct"/>
            <w:tcBorders>
              <w:tl2br w:val="nil"/>
              <w:tr2bl w:val="nil"/>
            </w:tcBorders>
            <w:shd w:val="clear" w:color="auto" w:fill="auto"/>
            <w:vAlign w:val="center"/>
          </w:tcPr>
          <w:p w14:paraId="33D4AB0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18.62</w:t>
            </w:r>
          </w:p>
        </w:tc>
        <w:tc>
          <w:tcPr>
            <w:tcW w:w="757" w:type="pct"/>
            <w:tcBorders>
              <w:tl2br w:val="nil"/>
              <w:tr2bl w:val="nil"/>
            </w:tcBorders>
            <w:shd w:val="clear" w:color="auto" w:fill="auto"/>
            <w:vAlign w:val="center"/>
          </w:tcPr>
          <w:p w14:paraId="00B2C1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21.36</w:t>
            </w:r>
          </w:p>
        </w:tc>
      </w:tr>
      <w:tr w14:paraId="06350F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A68FBF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w:t>
            </w:r>
          </w:p>
        </w:tc>
        <w:tc>
          <w:tcPr>
            <w:tcW w:w="1302" w:type="pct"/>
            <w:tcBorders>
              <w:tl2br w:val="nil"/>
              <w:tr2bl w:val="nil"/>
            </w:tcBorders>
            <w:shd w:val="clear" w:color="auto" w:fill="auto"/>
            <w:vAlign w:val="center"/>
          </w:tcPr>
          <w:p w14:paraId="3EE7980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边导线外1m</w:t>
            </w:r>
          </w:p>
        </w:tc>
        <w:tc>
          <w:tcPr>
            <w:tcW w:w="750" w:type="pct"/>
            <w:tcBorders>
              <w:tl2br w:val="nil"/>
              <w:tr2bl w:val="nil"/>
            </w:tcBorders>
            <w:shd w:val="clear" w:color="auto" w:fill="auto"/>
            <w:vAlign w:val="center"/>
          </w:tcPr>
          <w:p w14:paraId="55C13F8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2.159</w:t>
            </w:r>
          </w:p>
        </w:tc>
        <w:tc>
          <w:tcPr>
            <w:tcW w:w="754" w:type="pct"/>
            <w:tcBorders>
              <w:tl2br w:val="nil"/>
              <w:tr2bl w:val="nil"/>
            </w:tcBorders>
            <w:shd w:val="clear" w:color="auto" w:fill="auto"/>
            <w:vAlign w:val="center"/>
          </w:tcPr>
          <w:p w14:paraId="71AF143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2.605</w:t>
            </w:r>
          </w:p>
        </w:tc>
        <w:tc>
          <w:tcPr>
            <w:tcW w:w="750" w:type="pct"/>
            <w:tcBorders>
              <w:tl2br w:val="nil"/>
              <w:tr2bl w:val="nil"/>
            </w:tcBorders>
            <w:shd w:val="clear" w:color="auto" w:fill="auto"/>
            <w:vAlign w:val="center"/>
          </w:tcPr>
          <w:p w14:paraId="64A6F9E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17.12</w:t>
            </w:r>
          </w:p>
        </w:tc>
        <w:tc>
          <w:tcPr>
            <w:tcW w:w="757" w:type="pct"/>
            <w:tcBorders>
              <w:tl2br w:val="nil"/>
              <w:tr2bl w:val="nil"/>
            </w:tcBorders>
            <w:shd w:val="clear" w:color="auto" w:fill="auto"/>
            <w:vAlign w:val="center"/>
          </w:tcPr>
          <w:p w14:paraId="74CD61F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19.55</w:t>
            </w:r>
          </w:p>
        </w:tc>
      </w:tr>
      <w:tr w14:paraId="7949FF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996D2A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w:t>
            </w:r>
          </w:p>
        </w:tc>
        <w:tc>
          <w:tcPr>
            <w:tcW w:w="1302" w:type="pct"/>
            <w:tcBorders>
              <w:tl2br w:val="nil"/>
              <w:tr2bl w:val="nil"/>
            </w:tcBorders>
            <w:shd w:val="clear" w:color="auto" w:fill="auto"/>
            <w:vAlign w:val="center"/>
          </w:tcPr>
          <w:p w14:paraId="3CA69DD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边导线外2m</w:t>
            </w:r>
          </w:p>
        </w:tc>
        <w:tc>
          <w:tcPr>
            <w:tcW w:w="750" w:type="pct"/>
            <w:tcBorders>
              <w:tl2br w:val="nil"/>
              <w:tr2bl w:val="nil"/>
            </w:tcBorders>
            <w:shd w:val="clear" w:color="auto" w:fill="auto"/>
            <w:vAlign w:val="center"/>
          </w:tcPr>
          <w:p w14:paraId="5F01F39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2.067</w:t>
            </w:r>
          </w:p>
        </w:tc>
        <w:tc>
          <w:tcPr>
            <w:tcW w:w="754" w:type="pct"/>
            <w:tcBorders>
              <w:tl2br w:val="nil"/>
              <w:tr2bl w:val="nil"/>
            </w:tcBorders>
            <w:shd w:val="clear" w:color="auto" w:fill="auto"/>
            <w:vAlign w:val="center"/>
          </w:tcPr>
          <w:p w14:paraId="68EB6B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2.418</w:t>
            </w:r>
          </w:p>
        </w:tc>
        <w:tc>
          <w:tcPr>
            <w:tcW w:w="750" w:type="pct"/>
            <w:tcBorders>
              <w:tl2br w:val="nil"/>
              <w:tr2bl w:val="nil"/>
            </w:tcBorders>
            <w:shd w:val="clear" w:color="auto" w:fill="auto"/>
            <w:vAlign w:val="center"/>
          </w:tcPr>
          <w:p w14:paraId="2A87364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15.5</w:t>
            </w:r>
          </w:p>
        </w:tc>
        <w:tc>
          <w:tcPr>
            <w:tcW w:w="757" w:type="pct"/>
            <w:tcBorders>
              <w:tl2br w:val="nil"/>
              <w:tr2bl w:val="nil"/>
            </w:tcBorders>
            <w:shd w:val="clear" w:color="auto" w:fill="auto"/>
            <w:vAlign w:val="center"/>
          </w:tcPr>
          <w:p w14:paraId="203A57E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17.56</w:t>
            </w:r>
          </w:p>
        </w:tc>
      </w:tr>
      <w:tr w14:paraId="74175D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954006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6</w:t>
            </w:r>
          </w:p>
        </w:tc>
        <w:tc>
          <w:tcPr>
            <w:tcW w:w="1302" w:type="pct"/>
            <w:tcBorders>
              <w:tl2br w:val="nil"/>
              <w:tr2bl w:val="nil"/>
            </w:tcBorders>
            <w:shd w:val="clear" w:color="auto" w:fill="auto"/>
            <w:vAlign w:val="center"/>
          </w:tcPr>
          <w:p w14:paraId="26DD692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边导线外3m</w:t>
            </w:r>
          </w:p>
        </w:tc>
        <w:tc>
          <w:tcPr>
            <w:tcW w:w="750" w:type="pct"/>
            <w:tcBorders>
              <w:tl2br w:val="nil"/>
              <w:tr2bl w:val="nil"/>
            </w:tcBorders>
            <w:shd w:val="clear" w:color="auto" w:fill="auto"/>
            <w:vAlign w:val="center"/>
          </w:tcPr>
          <w:p w14:paraId="171838D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1.919</w:t>
            </w:r>
          </w:p>
        </w:tc>
        <w:tc>
          <w:tcPr>
            <w:tcW w:w="754" w:type="pct"/>
            <w:tcBorders>
              <w:tl2br w:val="nil"/>
              <w:tr2bl w:val="nil"/>
            </w:tcBorders>
            <w:shd w:val="clear" w:color="auto" w:fill="auto"/>
            <w:vAlign w:val="center"/>
          </w:tcPr>
          <w:p w14:paraId="174A508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2.181</w:t>
            </w:r>
          </w:p>
        </w:tc>
        <w:tc>
          <w:tcPr>
            <w:tcW w:w="750" w:type="pct"/>
            <w:tcBorders>
              <w:tl2br w:val="nil"/>
              <w:tr2bl w:val="nil"/>
            </w:tcBorders>
            <w:shd w:val="clear" w:color="auto" w:fill="auto"/>
            <w:vAlign w:val="center"/>
          </w:tcPr>
          <w:p w14:paraId="18FF0CA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13.86</w:t>
            </w:r>
          </w:p>
        </w:tc>
        <w:tc>
          <w:tcPr>
            <w:tcW w:w="757" w:type="pct"/>
            <w:tcBorders>
              <w:tl2br w:val="nil"/>
              <w:tr2bl w:val="nil"/>
            </w:tcBorders>
            <w:shd w:val="clear" w:color="auto" w:fill="auto"/>
            <w:vAlign w:val="center"/>
          </w:tcPr>
          <w:p w14:paraId="0B95277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15.56</w:t>
            </w:r>
          </w:p>
        </w:tc>
      </w:tr>
      <w:tr w14:paraId="663246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2C70691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7</w:t>
            </w:r>
          </w:p>
        </w:tc>
        <w:tc>
          <w:tcPr>
            <w:tcW w:w="1302" w:type="pct"/>
            <w:tcBorders>
              <w:tl2br w:val="nil"/>
              <w:tr2bl w:val="nil"/>
            </w:tcBorders>
            <w:shd w:val="clear" w:color="auto" w:fill="auto"/>
            <w:vAlign w:val="center"/>
          </w:tcPr>
          <w:p w14:paraId="3F60CD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边导线外4m</w:t>
            </w:r>
          </w:p>
        </w:tc>
        <w:tc>
          <w:tcPr>
            <w:tcW w:w="750" w:type="pct"/>
            <w:tcBorders>
              <w:tl2br w:val="nil"/>
              <w:tr2bl w:val="nil"/>
            </w:tcBorders>
            <w:shd w:val="clear" w:color="auto" w:fill="auto"/>
            <w:vAlign w:val="center"/>
          </w:tcPr>
          <w:p w14:paraId="7FBEF12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1.736</w:t>
            </w:r>
          </w:p>
        </w:tc>
        <w:tc>
          <w:tcPr>
            <w:tcW w:w="754" w:type="pct"/>
            <w:tcBorders>
              <w:tl2br w:val="nil"/>
              <w:tr2bl w:val="nil"/>
            </w:tcBorders>
            <w:shd w:val="clear" w:color="auto" w:fill="auto"/>
            <w:vAlign w:val="center"/>
          </w:tcPr>
          <w:p w14:paraId="5B369C2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1.922</w:t>
            </w:r>
          </w:p>
        </w:tc>
        <w:tc>
          <w:tcPr>
            <w:tcW w:w="750" w:type="pct"/>
            <w:tcBorders>
              <w:tl2br w:val="nil"/>
              <w:tr2bl w:val="nil"/>
            </w:tcBorders>
            <w:shd w:val="clear" w:color="auto" w:fill="auto"/>
            <w:vAlign w:val="center"/>
          </w:tcPr>
          <w:p w14:paraId="591100C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12.29</w:t>
            </w:r>
          </w:p>
        </w:tc>
        <w:tc>
          <w:tcPr>
            <w:tcW w:w="757" w:type="pct"/>
            <w:tcBorders>
              <w:tl2br w:val="nil"/>
              <w:tr2bl w:val="nil"/>
            </w:tcBorders>
            <w:shd w:val="clear" w:color="auto" w:fill="auto"/>
            <w:vAlign w:val="center"/>
          </w:tcPr>
          <w:p w14:paraId="7C58654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13.68</w:t>
            </w:r>
          </w:p>
        </w:tc>
      </w:tr>
      <w:tr w14:paraId="6AF42A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552433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8</w:t>
            </w:r>
          </w:p>
        </w:tc>
        <w:tc>
          <w:tcPr>
            <w:tcW w:w="1302" w:type="pct"/>
            <w:tcBorders>
              <w:tl2br w:val="nil"/>
              <w:tr2bl w:val="nil"/>
            </w:tcBorders>
            <w:shd w:val="clear" w:color="auto" w:fill="auto"/>
            <w:vAlign w:val="center"/>
          </w:tcPr>
          <w:p w14:paraId="31C5E57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边导线外5m</w:t>
            </w:r>
          </w:p>
        </w:tc>
        <w:tc>
          <w:tcPr>
            <w:tcW w:w="750" w:type="pct"/>
            <w:tcBorders>
              <w:tl2br w:val="nil"/>
              <w:tr2bl w:val="nil"/>
            </w:tcBorders>
            <w:shd w:val="clear" w:color="auto" w:fill="auto"/>
            <w:vAlign w:val="center"/>
          </w:tcPr>
          <w:p w14:paraId="10012D2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1.540</w:t>
            </w:r>
          </w:p>
        </w:tc>
        <w:tc>
          <w:tcPr>
            <w:tcW w:w="754" w:type="pct"/>
            <w:tcBorders>
              <w:tl2br w:val="nil"/>
              <w:tr2bl w:val="nil"/>
            </w:tcBorders>
            <w:shd w:val="clear" w:color="auto" w:fill="auto"/>
            <w:vAlign w:val="center"/>
          </w:tcPr>
          <w:p w14:paraId="182EBF2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1.666</w:t>
            </w:r>
          </w:p>
        </w:tc>
        <w:tc>
          <w:tcPr>
            <w:tcW w:w="750" w:type="pct"/>
            <w:tcBorders>
              <w:tl2br w:val="nil"/>
              <w:tr2bl w:val="nil"/>
            </w:tcBorders>
            <w:shd w:val="clear" w:color="auto" w:fill="auto"/>
            <w:vAlign w:val="center"/>
          </w:tcPr>
          <w:p w14:paraId="5467668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10.85</w:t>
            </w:r>
          </w:p>
        </w:tc>
        <w:tc>
          <w:tcPr>
            <w:tcW w:w="757" w:type="pct"/>
            <w:tcBorders>
              <w:tl2br w:val="nil"/>
              <w:tr2bl w:val="nil"/>
            </w:tcBorders>
            <w:shd w:val="clear" w:color="auto" w:fill="auto"/>
            <w:vAlign w:val="center"/>
          </w:tcPr>
          <w:p w14:paraId="1DD40C9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11.98</w:t>
            </w:r>
          </w:p>
        </w:tc>
      </w:tr>
      <w:tr w14:paraId="1EF2B6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5FB8C28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9</w:t>
            </w:r>
          </w:p>
        </w:tc>
        <w:tc>
          <w:tcPr>
            <w:tcW w:w="1302" w:type="pct"/>
            <w:tcBorders>
              <w:tl2br w:val="nil"/>
              <w:tr2bl w:val="nil"/>
            </w:tcBorders>
            <w:shd w:val="clear" w:color="auto" w:fill="auto"/>
            <w:vAlign w:val="center"/>
          </w:tcPr>
          <w:p w14:paraId="33FF8C6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边导线外6m</w:t>
            </w:r>
          </w:p>
        </w:tc>
        <w:tc>
          <w:tcPr>
            <w:tcW w:w="750" w:type="pct"/>
            <w:tcBorders>
              <w:tl2br w:val="nil"/>
              <w:tr2bl w:val="nil"/>
            </w:tcBorders>
            <w:shd w:val="clear" w:color="auto" w:fill="auto"/>
            <w:vAlign w:val="center"/>
          </w:tcPr>
          <w:p w14:paraId="6DB9E90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1.349</w:t>
            </w:r>
          </w:p>
        </w:tc>
        <w:tc>
          <w:tcPr>
            <w:tcW w:w="754" w:type="pct"/>
            <w:tcBorders>
              <w:tl2br w:val="nil"/>
              <w:tr2bl w:val="nil"/>
            </w:tcBorders>
            <w:shd w:val="clear" w:color="auto" w:fill="auto"/>
            <w:vAlign w:val="center"/>
          </w:tcPr>
          <w:p w14:paraId="102D0E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1.428</w:t>
            </w:r>
          </w:p>
        </w:tc>
        <w:tc>
          <w:tcPr>
            <w:tcW w:w="750" w:type="pct"/>
            <w:tcBorders>
              <w:tl2br w:val="nil"/>
              <w:tr2bl w:val="nil"/>
            </w:tcBorders>
            <w:shd w:val="clear" w:color="auto" w:fill="auto"/>
            <w:vAlign w:val="center"/>
          </w:tcPr>
          <w:p w14:paraId="2B96F7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9.57</w:t>
            </w:r>
          </w:p>
        </w:tc>
        <w:tc>
          <w:tcPr>
            <w:tcW w:w="757" w:type="pct"/>
            <w:tcBorders>
              <w:tl2br w:val="nil"/>
              <w:tr2bl w:val="nil"/>
            </w:tcBorders>
            <w:shd w:val="clear" w:color="auto" w:fill="auto"/>
            <w:vAlign w:val="center"/>
          </w:tcPr>
          <w:p w14:paraId="59AB629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10.49</w:t>
            </w:r>
          </w:p>
        </w:tc>
      </w:tr>
      <w:tr w14:paraId="70007B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6F35330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10</w:t>
            </w:r>
          </w:p>
        </w:tc>
        <w:tc>
          <w:tcPr>
            <w:tcW w:w="1302" w:type="pct"/>
            <w:tcBorders>
              <w:tl2br w:val="nil"/>
              <w:tr2bl w:val="nil"/>
            </w:tcBorders>
            <w:shd w:val="clear" w:color="auto" w:fill="auto"/>
            <w:vAlign w:val="center"/>
          </w:tcPr>
          <w:p w14:paraId="60576A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边导线外7m</w:t>
            </w:r>
          </w:p>
        </w:tc>
        <w:tc>
          <w:tcPr>
            <w:tcW w:w="750" w:type="pct"/>
            <w:tcBorders>
              <w:tl2br w:val="nil"/>
              <w:tr2bl w:val="nil"/>
            </w:tcBorders>
            <w:shd w:val="clear" w:color="auto" w:fill="auto"/>
            <w:vAlign w:val="center"/>
          </w:tcPr>
          <w:p w14:paraId="14A67E4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1.172</w:t>
            </w:r>
          </w:p>
        </w:tc>
        <w:tc>
          <w:tcPr>
            <w:tcW w:w="754" w:type="pct"/>
            <w:tcBorders>
              <w:tl2br w:val="nil"/>
              <w:tr2bl w:val="nil"/>
            </w:tcBorders>
            <w:shd w:val="clear" w:color="auto" w:fill="auto"/>
            <w:vAlign w:val="center"/>
          </w:tcPr>
          <w:p w14:paraId="5246097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1.215</w:t>
            </w:r>
          </w:p>
        </w:tc>
        <w:tc>
          <w:tcPr>
            <w:tcW w:w="750" w:type="pct"/>
            <w:tcBorders>
              <w:tl2br w:val="nil"/>
              <w:tr2bl w:val="nil"/>
            </w:tcBorders>
            <w:shd w:val="clear" w:color="auto" w:fill="auto"/>
            <w:vAlign w:val="center"/>
          </w:tcPr>
          <w:p w14:paraId="63E5ADC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8.45</w:t>
            </w:r>
          </w:p>
        </w:tc>
        <w:tc>
          <w:tcPr>
            <w:tcW w:w="757" w:type="pct"/>
            <w:tcBorders>
              <w:tl2br w:val="nil"/>
              <w:tr2bl w:val="nil"/>
            </w:tcBorders>
            <w:shd w:val="clear" w:color="auto" w:fill="auto"/>
            <w:vAlign w:val="center"/>
          </w:tcPr>
          <w:p w14:paraId="7D48E1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9.19</w:t>
            </w:r>
          </w:p>
        </w:tc>
      </w:tr>
      <w:tr w14:paraId="5A7F8FA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1DC974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11</w:t>
            </w:r>
          </w:p>
        </w:tc>
        <w:tc>
          <w:tcPr>
            <w:tcW w:w="1302" w:type="pct"/>
            <w:tcBorders>
              <w:tl2br w:val="nil"/>
              <w:tr2bl w:val="nil"/>
            </w:tcBorders>
            <w:shd w:val="clear" w:color="auto" w:fill="auto"/>
            <w:vAlign w:val="center"/>
          </w:tcPr>
          <w:p w14:paraId="5D9131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边导线外8m</w:t>
            </w:r>
          </w:p>
        </w:tc>
        <w:tc>
          <w:tcPr>
            <w:tcW w:w="750" w:type="pct"/>
            <w:tcBorders>
              <w:tl2br w:val="nil"/>
              <w:tr2bl w:val="nil"/>
            </w:tcBorders>
            <w:shd w:val="clear" w:color="auto" w:fill="auto"/>
            <w:vAlign w:val="center"/>
          </w:tcPr>
          <w:p w14:paraId="26318F3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1.014</w:t>
            </w:r>
          </w:p>
        </w:tc>
        <w:tc>
          <w:tcPr>
            <w:tcW w:w="754" w:type="pct"/>
            <w:tcBorders>
              <w:tl2br w:val="nil"/>
              <w:tr2bl w:val="nil"/>
            </w:tcBorders>
            <w:shd w:val="clear" w:color="auto" w:fill="auto"/>
            <w:vAlign w:val="center"/>
          </w:tcPr>
          <w:p w14:paraId="5650453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1.030</w:t>
            </w:r>
          </w:p>
        </w:tc>
        <w:tc>
          <w:tcPr>
            <w:tcW w:w="750" w:type="pct"/>
            <w:tcBorders>
              <w:tl2br w:val="nil"/>
              <w:tr2bl w:val="nil"/>
            </w:tcBorders>
            <w:shd w:val="clear" w:color="auto" w:fill="auto"/>
            <w:vAlign w:val="center"/>
          </w:tcPr>
          <w:p w14:paraId="607B273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7.48</w:t>
            </w:r>
          </w:p>
        </w:tc>
        <w:tc>
          <w:tcPr>
            <w:tcW w:w="757" w:type="pct"/>
            <w:tcBorders>
              <w:tl2br w:val="nil"/>
              <w:tr2bl w:val="nil"/>
            </w:tcBorders>
            <w:shd w:val="clear" w:color="auto" w:fill="auto"/>
            <w:vAlign w:val="center"/>
          </w:tcPr>
          <w:p w14:paraId="6F9C4E9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8.07</w:t>
            </w:r>
          </w:p>
        </w:tc>
      </w:tr>
      <w:tr w14:paraId="1663C67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4FD917A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12</w:t>
            </w:r>
          </w:p>
        </w:tc>
        <w:tc>
          <w:tcPr>
            <w:tcW w:w="1302" w:type="pct"/>
            <w:tcBorders>
              <w:tl2br w:val="nil"/>
              <w:tr2bl w:val="nil"/>
            </w:tcBorders>
            <w:shd w:val="clear" w:color="auto" w:fill="auto"/>
            <w:vAlign w:val="center"/>
          </w:tcPr>
          <w:p w14:paraId="6AB6FEA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边导线外9m</w:t>
            </w:r>
          </w:p>
        </w:tc>
        <w:tc>
          <w:tcPr>
            <w:tcW w:w="750" w:type="pct"/>
            <w:tcBorders>
              <w:tl2br w:val="nil"/>
              <w:tr2bl w:val="nil"/>
            </w:tcBorders>
            <w:shd w:val="clear" w:color="auto" w:fill="auto"/>
            <w:vAlign w:val="center"/>
          </w:tcPr>
          <w:p w14:paraId="0954A96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0.876</w:t>
            </w:r>
          </w:p>
        </w:tc>
        <w:tc>
          <w:tcPr>
            <w:tcW w:w="754" w:type="pct"/>
            <w:tcBorders>
              <w:tl2br w:val="nil"/>
              <w:tr2bl w:val="nil"/>
            </w:tcBorders>
            <w:shd w:val="clear" w:color="auto" w:fill="auto"/>
            <w:vAlign w:val="center"/>
          </w:tcPr>
          <w:p w14:paraId="0FF3D8F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0.874</w:t>
            </w:r>
          </w:p>
        </w:tc>
        <w:tc>
          <w:tcPr>
            <w:tcW w:w="750" w:type="pct"/>
            <w:tcBorders>
              <w:tl2br w:val="nil"/>
              <w:tr2bl w:val="nil"/>
            </w:tcBorders>
            <w:shd w:val="clear" w:color="auto" w:fill="auto"/>
            <w:vAlign w:val="center"/>
          </w:tcPr>
          <w:p w14:paraId="18D761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6.64</w:t>
            </w:r>
          </w:p>
        </w:tc>
        <w:tc>
          <w:tcPr>
            <w:tcW w:w="757" w:type="pct"/>
            <w:tcBorders>
              <w:tl2br w:val="nil"/>
              <w:tr2bl w:val="nil"/>
            </w:tcBorders>
            <w:shd w:val="clear" w:color="auto" w:fill="auto"/>
            <w:vAlign w:val="center"/>
          </w:tcPr>
          <w:p w14:paraId="19D4DE6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7.11</w:t>
            </w:r>
          </w:p>
        </w:tc>
      </w:tr>
      <w:tr w14:paraId="4D934B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4B298E2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13</w:t>
            </w:r>
          </w:p>
        </w:tc>
        <w:tc>
          <w:tcPr>
            <w:tcW w:w="1302" w:type="pct"/>
            <w:tcBorders>
              <w:tl2br w:val="nil"/>
              <w:tr2bl w:val="nil"/>
            </w:tcBorders>
            <w:shd w:val="clear" w:color="auto" w:fill="auto"/>
            <w:vAlign w:val="center"/>
          </w:tcPr>
          <w:p w14:paraId="0CC1A8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边导线外10m</w:t>
            </w:r>
          </w:p>
        </w:tc>
        <w:tc>
          <w:tcPr>
            <w:tcW w:w="750" w:type="pct"/>
            <w:tcBorders>
              <w:tl2br w:val="nil"/>
              <w:tr2bl w:val="nil"/>
            </w:tcBorders>
            <w:shd w:val="clear" w:color="auto" w:fill="auto"/>
            <w:vAlign w:val="center"/>
          </w:tcPr>
          <w:p w14:paraId="7C79B8C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0.757</w:t>
            </w:r>
          </w:p>
        </w:tc>
        <w:tc>
          <w:tcPr>
            <w:tcW w:w="754" w:type="pct"/>
            <w:tcBorders>
              <w:tl2br w:val="nil"/>
              <w:tr2bl w:val="nil"/>
            </w:tcBorders>
            <w:shd w:val="clear" w:color="auto" w:fill="auto"/>
            <w:vAlign w:val="center"/>
          </w:tcPr>
          <w:p w14:paraId="64B284B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0.743</w:t>
            </w:r>
          </w:p>
        </w:tc>
        <w:tc>
          <w:tcPr>
            <w:tcW w:w="750" w:type="pct"/>
            <w:tcBorders>
              <w:tl2br w:val="nil"/>
              <w:tr2bl w:val="nil"/>
            </w:tcBorders>
            <w:shd w:val="clear" w:color="auto" w:fill="auto"/>
            <w:vAlign w:val="center"/>
          </w:tcPr>
          <w:p w14:paraId="2F9ADD1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5.92</w:t>
            </w:r>
          </w:p>
        </w:tc>
        <w:tc>
          <w:tcPr>
            <w:tcW w:w="757" w:type="pct"/>
            <w:tcBorders>
              <w:tl2br w:val="nil"/>
              <w:tr2bl w:val="nil"/>
            </w:tcBorders>
            <w:shd w:val="clear" w:color="auto" w:fill="auto"/>
            <w:vAlign w:val="center"/>
          </w:tcPr>
          <w:p w14:paraId="631F949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6.3</w:t>
            </w:r>
          </w:p>
        </w:tc>
      </w:tr>
      <w:tr w14:paraId="67F132B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681D7A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14</w:t>
            </w:r>
          </w:p>
        </w:tc>
        <w:tc>
          <w:tcPr>
            <w:tcW w:w="1302" w:type="pct"/>
            <w:tcBorders>
              <w:tl2br w:val="nil"/>
              <w:tr2bl w:val="nil"/>
            </w:tcBorders>
            <w:shd w:val="clear" w:color="auto" w:fill="auto"/>
            <w:vAlign w:val="center"/>
          </w:tcPr>
          <w:p w14:paraId="26CEE79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边导线外11m</w:t>
            </w:r>
          </w:p>
        </w:tc>
        <w:tc>
          <w:tcPr>
            <w:tcW w:w="750" w:type="pct"/>
            <w:tcBorders>
              <w:tl2br w:val="nil"/>
              <w:tr2bl w:val="nil"/>
            </w:tcBorders>
            <w:shd w:val="clear" w:color="auto" w:fill="auto"/>
            <w:vAlign w:val="center"/>
          </w:tcPr>
          <w:p w14:paraId="6A982F1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0.655</w:t>
            </w:r>
          </w:p>
        </w:tc>
        <w:tc>
          <w:tcPr>
            <w:tcW w:w="754" w:type="pct"/>
            <w:tcBorders>
              <w:tl2br w:val="nil"/>
              <w:tr2bl w:val="nil"/>
            </w:tcBorders>
            <w:shd w:val="clear" w:color="auto" w:fill="auto"/>
            <w:vAlign w:val="center"/>
          </w:tcPr>
          <w:p w14:paraId="6B53D3B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0.634</w:t>
            </w:r>
          </w:p>
        </w:tc>
        <w:tc>
          <w:tcPr>
            <w:tcW w:w="750" w:type="pct"/>
            <w:tcBorders>
              <w:tl2br w:val="nil"/>
              <w:tr2bl w:val="nil"/>
            </w:tcBorders>
            <w:shd w:val="clear" w:color="auto" w:fill="auto"/>
            <w:vAlign w:val="center"/>
          </w:tcPr>
          <w:p w14:paraId="09EDA9B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5.3</w:t>
            </w:r>
          </w:p>
        </w:tc>
        <w:tc>
          <w:tcPr>
            <w:tcW w:w="757" w:type="pct"/>
            <w:tcBorders>
              <w:tl2br w:val="nil"/>
              <w:tr2bl w:val="nil"/>
            </w:tcBorders>
            <w:shd w:val="clear" w:color="auto" w:fill="auto"/>
            <w:vAlign w:val="center"/>
          </w:tcPr>
          <w:p w14:paraId="7D95692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5.61</w:t>
            </w:r>
          </w:p>
        </w:tc>
      </w:tr>
      <w:tr w14:paraId="502A34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641D7B2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15</w:t>
            </w:r>
          </w:p>
        </w:tc>
        <w:tc>
          <w:tcPr>
            <w:tcW w:w="1302" w:type="pct"/>
            <w:tcBorders>
              <w:tl2br w:val="nil"/>
              <w:tr2bl w:val="nil"/>
            </w:tcBorders>
            <w:shd w:val="clear" w:color="auto" w:fill="auto"/>
            <w:vAlign w:val="center"/>
          </w:tcPr>
          <w:p w14:paraId="2B34C13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边导线外12m</w:t>
            </w:r>
          </w:p>
        </w:tc>
        <w:tc>
          <w:tcPr>
            <w:tcW w:w="750" w:type="pct"/>
            <w:tcBorders>
              <w:tl2br w:val="nil"/>
              <w:tr2bl w:val="nil"/>
            </w:tcBorders>
            <w:shd w:val="clear" w:color="auto" w:fill="auto"/>
            <w:vAlign w:val="center"/>
          </w:tcPr>
          <w:p w14:paraId="21E4860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0.569</w:t>
            </w:r>
          </w:p>
        </w:tc>
        <w:tc>
          <w:tcPr>
            <w:tcW w:w="754" w:type="pct"/>
            <w:tcBorders>
              <w:tl2br w:val="nil"/>
              <w:tr2bl w:val="nil"/>
            </w:tcBorders>
            <w:shd w:val="clear" w:color="auto" w:fill="auto"/>
            <w:vAlign w:val="center"/>
          </w:tcPr>
          <w:p w14:paraId="56F5FBA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0.543</w:t>
            </w:r>
          </w:p>
        </w:tc>
        <w:tc>
          <w:tcPr>
            <w:tcW w:w="750" w:type="pct"/>
            <w:tcBorders>
              <w:tl2br w:val="nil"/>
              <w:tr2bl w:val="nil"/>
            </w:tcBorders>
            <w:shd w:val="clear" w:color="auto" w:fill="auto"/>
            <w:vAlign w:val="center"/>
          </w:tcPr>
          <w:p w14:paraId="35C50C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4.77</w:t>
            </w:r>
          </w:p>
        </w:tc>
        <w:tc>
          <w:tcPr>
            <w:tcW w:w="757" w:type="pct"/>
            <w:tcBorders>
              <w:tl2br w:val="nil"/>
              <w:tr2bl w:val="nil"/>
            </w:tcBorders>
            <w:shd w:val="clear" w:color="auto" w:fill="auto"/>
            <w:vAlign w:val="center"/>
          </w:tcPr>
          <w:p w14:paraId="638A6AA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5.02</w:t>
            </w:r>
          </w:p>
        </w:tc>
      </w:tr>
      <w:tr w14:paraId="108727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57A711B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16</w:t>
            </w:r>
          </w:p>
        </w:tc>
        <w:tc>
          <w:tcPr>
            <w:tcW w:w="1302" w:type="pct"/>
            <w:tcBorders>
              <w:tl2br w:val="nil"/>
              <w:tr2bl w:val="nil"/>
            </w:tcBorders>
            <w:shd w:val="clear" w:color="auto" w:fill="auto"/>
            <w:vAlign w:val="center"/>
          </w:tcPr>
          <w:p w14:paraId="7E2456B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边导线外13m</w:t>
            </w:r>
          </w:p>
        </w:tc>
        <w:tc>
          <w:tcPr>
            <w:tcW w:w="750" w:type="pct"/>
            <w:tcBorders>
              <w:tl2br w:val="nil"/>
              <w:tr2bl w:val="nil"/>
            </w:tcBorders>
            <w:shd w:val="clear" w:color="auto" w:fill="auto"/>
            <w:vAlign w:val="center"/>
          </w:tcPr>
          <w:p w14:paraId="531EA86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0.495</w:t>
            </w:r>
          </w:p>
        </w:tc>
        <w:tc>
          <w:tcPr>
            <w:tcW w:w="754" w:type="pct"/>
            <w:tcBorders>
              <w:tl2br w:val="nil"/>
              <w:tr2bl w:val="nil"/>
            </w:tcBorders>
            <w:shd w:val="clear" w:color="auto" w:fill="auto"/>
            <w:vAlign w:val="center"/>
          </w:tcPr>
          <w:p w14:paraId="5A2F6B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0.468</w:t>
            </w:r>
          </w:p>
        </w:tc>
        <w:tc>
          <w:tcPr>
            <w:tcW w:w="750" w:type="pct"/>
            <w:tcBorders>
              <w:tl2br w:val="nil"/>
              <w:tr2bl w:val="nil"/>
            </w:tcBorders>
            <w:shd w:val="clear" w:color="auto" w:fill="auto"/>
            <w:vAlign w:val="center"/>
          </w:tcPr>
          <w:p w14:paraId="6829F6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4.31</w:t>
            </w:r>
          </w:p>
        </w:tc>
        <w:tc>
          <w:tcPr>
            <w:tcW w:w="757" w:type="pct"/>
            <w:tcBorders>
              <w:tl2br w:val="nil"/>
              <w:tr2bl w:val="nil"/>
            </w:tcBorders>
            <w:shd w:val="clear" w:color="auto" w:fill="auto"/>
            <w:vAlign w:val="center"/>
          </w:tcPr>
          <w:p w14:paraId="2CD55E1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4.52</w:t>
            </w:r>
          </w:p>
        </w:tc>
      </w:tr>
      <w:tr w14:paraId="2028F5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6222C6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17</w:t>
            </w:r>
          </w:p>
        </w:tc>
        <w:tc>
          <w:tcPr>
            <w:tcW w:w="1302" w:type="pct"/>
            <w:tcBorders>
              <w:tl2br w:val="nil"/>
              <w:tr2bl w:val="nil"/>
            </w:tcBorders>
            <w:shd w:val="clear" w:color="auto" w:fill="auto"/>
            <w:vAlign w:val="center"/>
          </w:tcPr>
          <w:p w14:paraId="2C089A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边导线外14m</w:t>
            </w:r>
          </w:p>
        </w:tc>
        <w:tc>
          <w:tcPr>
            <w:tcW w:w="750" w:type="pct"/>
            <w:tcBorders>
              <w:tl2br w:val="nil"/>
              <w:tr2bl w:val="nil"/>
            </w:tcBorders>
            <w:shd w:val="clear" w:color="auto" w:fill="auto"/>
            <w:vAlign w:val="center"/>
          </w:tcPr>
          <w:p w14:paraId="611C8E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0.433</w:t>
            </w:r>
          </w:p>
        </w:tc>
        <w:tc>
          <w:tcPr>
            <w:tcW w:w="754" w:type="pct"/>
            <w:tcBorders>
              <w:tl2br w:val="nil"/>
              <w:tr2bl w:val="nil"/>
            </w:tcBorders>
            <w:shd w:val="clear" w:color="auto" w:fill="auto"/>
            <w:vAlign w:val="center"/>
          </w:tcPr>
          <w:p w14:paraId="1FA3CC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0.406</w:t>
            </w:r>
          </w:p>
        </w:tc>
        <w:tc>
          <w:tcPr>
            <w:tcW w:w="750" w:type="pct"/>
            <w:tcBorders>
              <w:tl2br w:val="nil"/>
              <w:tr2bl w:val="nil"/>
            </w:tcBorders>
            <w:shd w:val="clear" w:color="auto" w:fill="auto"/>
            <w:vAlign w:val="center"/>
          </w:tcPr>
          <w:p w14:paraId="69F5935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3.91</w:t>
            </w:r>
          </w:p>
        </w:tc>
        <w:tc>
          <w:tcPr>
            <w:tcW w:w="757" w:type="pct"/>
            <w:tcBorders>
              <w:tl2br w:val="nil"/>
              <w:tr2bl w:val="nil"/>
            </w:tcBorders>
            <w:shd w:val="clear" w:color="auto" w:fill="auto"/>
            <w:vAlign w:val="center"/>
          </w:tcPr>
          <w:p w14:paraId="0D23596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4.08</w:t>
            </w:r>
          </w:p>
        </w:tc>
      </w:tr>
      <w:tr w14:paraId="3B29C07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0431EF9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18</w:t>
            </w:r>
          </w:p>
        </w:tc>
        <w:tc>
          <w:tcPr>
            <w:tcW w:w="1302" w:type="pct"/>
            <w:tcBorders>
              <w:tl2br w:val="nil"/>
              <w:tr2bl w:val="nil"/>
            </w:tcBorders>
            <w:shd w:val="clear" w:color="auto" w:fill="auto"/>
            <w:vAlign w:val="center"/>
          </w:tcPr>
          <w:p w14:paraId="5E5CDF0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边导线外15m</w:t>
            </w:r>
          </w:p>
        </w:tc>
        <w:tc>
          <w:tcPr>
            <w:tcW w:w="750" w:type="pct"/>
            <w:tcBorders>
              <w:tl2br w:val="nil"/>
              <w:tr2bl w:val="nil"/>
            </w:tcBorders>
            <w:shd w:val="clear" w:color="auto" w:fill="auto"/>
            <w:vAlign w:val="center"/>
          </w:tcPr>
          <w:p w14:paraId="2BE49D0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0.380</w:t>
            </w:r>
          </w:p>
        </w:tc>
        <w:tc>
          <w:tcPr>
            <w:tcW w:w="754" w:type="pct"/>
            <w:tcBorders>
              <w:tl2br w:val="nil"/>
              <w:tr2bl w:val="nil"/>
            </w:tcBorders>
            <w:shd w:val="clear" w:color="auto" w:fill="auto"/>
            <w:vAlign w:val="center"/>
          </w:tcPr>
          <w:p w14:paraId="7C690A0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0.354</w:t>
            </w:r>
          </w:p>
        </w:tc>
        <w:tc>
          <w:tcPr>
            <w:tcW w:w="750" w:type="pct"/>
            <w:tcBorders>
              <w:tl2br w:val="nil"/>
              <w:tr2bl w:val="nil"/>
            </w:tcBorders>
            <w:shd w:val="clear" w:color="auto" w:fill="auto"/>
            <w:vAlign w:val="center"/>
          </w:tcPr>
          <w:p w14:paraId="64B3A63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3.56</w:t>
            </w:r>
          </w:p>
        </w:tc>
        <w:tc>
          <w:tcPr>
            <w:tcW w:w="757" w:type="pct"/>
            <w:tcBorders>
              <w:tl2br w:val="nil"/>
              <w:tr2bl w:val="nil"/>
            </w:tcBorders>
            <w:shd w:val="clear" w:color="auto" w:fill="auto"/>
            <w:vAlign w:val="center"/>
          </w:tcPr>
          <w:p w14:paraId="5AFD1C0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3.7</w:t>
            </w:r>
          </w:p>
        </w:tc>
      </w:tr>
      <w:tr w14:paraId="53FB1A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6D22DB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19</w:t>
            </w:r>
          </w:p>
        </w:tc>
        <w:tc>
          <w:tcPr>
            <w:tcW w:w="1302" w:type="pct"/>
            <w:tcBorders>
              <w:tl2br w:val="nil"/>
              <w:tr2bl w:val="nil"/>
            </w:tcBorders>
            <w:shd w:val="clear" w:color="auto" w:fill="auto"/>
            <w:vAlign w:val="center"/>
          </w:tcPr>
          <w:p w14:paraId="4BC87ED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边导线外16m</w:t>
            </w:r>
          </w:p>
        </w:tc>
        <w:tc>
          <w:tcPr>
            <w:tcW w:w="750" w:type="pct"/>
            <w:tcBorders>
              <w:tl2br w:val="nil"/>
              <w:tr2bl w:val="nil"/>
            </w:tcBorders>
            <w:shd w:val="clear" w:color="auto" w:fill="auto"/>
            <w:vAlign w:val="center"/>
          </w:tcPr>
          <w:p w14:paraId="65B735D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0.335</w:t>
            </w:r>
          </w:p>
        </w:tc>
        <w:tc>
          <w:tcPr>
            <w:tcW w:w="754" w:type="pct"/>
            <w:tcBorders>
              <w:tl2br w:val="nil"/>
              <w:tr2bl w:val="nil"/>
            </w:tcBorders>
            <w:shd w:val="clear" w:color="auto" w:fill="auto"/>
            <w:vAlign w:val="center"/>
          </w:tcPr>
          <w:p w14:paraId="4098EE8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0.310</w:t>
            </w:r>
          </w:p>
        </w:tc>
        <w:tc>
          <w:tcPr>
            <w:tcW w:w="750" w:type="pct"/>
            <w:tcBorders>
              <w:tl2br w:val="nil"/>
              <w:tr2bl w:val="nil"/>
            </w:tcBorders>
            <w:shd w:val="clear" w:color="auto" w:fill="auto"/>
            <w:vAlign w:val="center"/>
          </w:tcPr>
          <w:p w14:paraId="46040CE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3.25</w:t>
            </w:r>
          </w:p>
        </w:tc>
        <w:tc>
          <w:tcPr>
            <w:tcW w:w="757" w:type="pct"/>
            <w:tcBorders>
              <w:tl2br w:val="nil"/>
              <w:tr2bl w:val="nil"/>
            </w:tcBorders>
            <w:shd w:val="clear" w:color="auto" w:fill="auto"/>
            <w:vAlign w:val="center"/>
          </w:tcPr>
          <w:p w14:paraId="246F11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3.37</w:t>
            </w:r>
          </w:p>
        </w:tc>
      </w:tr>
      <w:tr w14:paraId="379F37C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1CF8930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20</w:t>
            </w:r>
          </w:p>
        </w:tc>
        <w:tc>
          <w:tcPr>
            <w:tcW w:w="1302" w:type="pct"/>
            <w:tcBorders>
              <w:tl2br w:val="nil"/>
              <w:tr2bl w:val="nil"/>
            </w:tcBorders>
            <w:shd w:val="clear" w:color="auto" w:fill="auto"/>
            <w:vAlign w:val="center"/>
          </w:tcPr>
          <w:p w14:paraId="633911D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边导线外17m</w:t>
            </w:r>
          </w:p>
        </w:tc>
        <w:tc>
          <w:tcPr>
            <w:tcW w:w="750" w:type="pct"/>
            <w:tcBorders>
              <w:tl2br w:val="nil"/>
              <w:tr2bl w:val="nil"/>
            </w:tcBorders>
            <w:shd w:val="clear" w:color="auto" w:fill="auto"/>
            <w:vAlign w:val="center"/>
          </w:tcPr>
          <w:p w14:paraId="1F6D40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0.297</w:t>
            </w:r>
          </w:p>
        </w:tc>
        <w:tc>
          <w:tcPr>
            <w:tcW w:w="754" w:type="pct"/>
            <w:tcBorders>
              <w:tl2br w:val="nil"/>
              <w:tr2bl w:val="nil"/>
            </w:tcBorders>
            <w:shd w:val="clear" w:color="auto" w:fill="auto"/>
            <w:vAlign w:val="center"/>
          </w:tcPr>
          <w:p w14:paraId="3D4CF2E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0.273</w:t>
            </w:r>
          </w:p>
        </w:tc>
        <w:tc>
          <w:tcPr>
            <w:tcW w:w="750" w:type="pct"/>
            <w:tcBorders>
              <w:tl2br w:val="nil"/>
              <w:tr2bl w:val="nil"/>
            </w:tcBorders>
            <w:shd w:val="clear" w:color="auto" w:fill="auto"/>
            <w:vAlign w:val="center"/>
          </w:tcPr>
          <w:p w14:paraId="4C0F844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2.98</w:t>
            </w:r>
          </w:p>
        </w:tc>
        <w:tc>
          <w:tcPr>
            <w:tcW w:w="757" w:type="pct"/>
            <w:tcBorders>
              <w:tl2br w:val="nil"/>
              <w:tr2bl w:val="nil"/>
            </w:tcBorders>
            <w:shd w:val="clear" w:color="auto" w:fill="auto"/>
            <w:vAlign w:val="center"/>
          </w:tcPr>
          <w:p w14:paraId="0A53458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3.08</w:t>
            </w:r>
          </w:p>
        </w:tc>
      </w:tr>
      <w:tr w14:paraId="17EEC0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2C236A7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21</w:t>
            </w:r>
          </w:p>
        </w:tc>
        <w:tc>
          <w:tcPr>
            <w:tcW w:w="1302" w:type="pct"/>
            <w:tcBorders>
              <w:tl2br w:val="nil"/>
              <w:tr2bl w:val="nil"/>
            </w:tcBorders>
            <w:shd w:val="clear" w:color="auto" w:fill="auto"/>
            <w:vAlign w:val="center"/>
          </w:tcPr>
          <w:p w14:paraId="722C21D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边导线外18m</w:t>
            </w:r>
          </w:p>
        </w:tc>
        <w:tc>
          <w:tcPr>
            <w:tcW w:w="750" w:type="pct"/>
            <w:tcBorders>
              <w:tl2br w:val="nil"/>
              <w:tr2bl w:val="nil"/>
            </w:tcBorders>
            <w:shd w:val="clear" w:color="auto" w:fill="auto"/>
            <w:vAlign w:val="center"/>
          </w:tcPr>
          <w:p w14:paraId="221C013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0.264</w:t>
            </w:r>
          </w:p>
        </w:tc>
        <w:tc>
          <w:tcPr>
            <w:tcW w:w="754" w:type="pct"/>
            <w:tcBorders>
              <w:tl2br w:val="nil"/>
              <w:tr2bl w:val="nil"/>
            </w:tcBorders>
            <w:shd w:val="clear" w:color="auto" w:fill="auto"/>
            <w:vAlign w:val="center"/>
          </w:tcPr>
          <w:p w14:paraId="2766697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0.241</w:t>
            </w:r>
          </w:p>
        </w:tc>
        <w:tc>
          <w:tcPr>
            <w:tcW w:w="750" w:type="pct"/>
            <w:tcBorders>
              <w:tl2br w:val="nil"/>
              <w:tr2bl w:val="nil"/>
            </w:tcBorders>
            <w:shd w:val="clear" w:color="auto" w:fill="auto"/>
            <w:vAlign w:val="center"/>
          </w:tcPr>
          <w:p w14:paraId="1EE93B6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2.74</w:t>
            </w:r>
          </w:p>
        </w:tc>
        <w:tc>
          <w:tcPr>
            <w:tcW w:w="757" w:type="pct"/>
            <w:tcBorders>
              <w:tl2br w:val="nil"/>
              <w:tr2bl w:val="nil"/>
            </w:tcBorders>
            <w:shd w:val="clear" w:color="auto" w:fill="auto"/>
            <w:vAlign w:val="center"/>
          </w:tcPr>
          <w:p w14:paraId="749875D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2.82</w:t>
            </w:r>
          </w:p>
        </w:tc>
      </w:tr>
      <w:tr w14:paraId="645998D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67413F3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22</w:t>
            </w:r>
          </w:p>
        </w:tc>
        <w:tc>
          <w:tcPr>
            <w:tcW w:w="1302" w:type="pct"/>
            <w:tcBorders>
              <w:tl2br w:val="nil"/>
              <w:tr2bl w:val="nil"/>
            </w:tcBorders>
            <w:shd w:val="clear" w:color="auto" w:fill="auto"/>
            <w:vAlign w:val="center"/>
          </w:tcPr>
          <w:p w14:paraId="3D51779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边导线外19m</w:t>
            </w:r>
          </w:p>
        </w:tc>
        <w:tc>
          <w:tcPr>
            <w:tcW w:w="750" w:type="pct"/>
            <w:tcBorders>
              <w:tl2br w:val="nil"/>
              <w:tr2bl w:val="nil"/>
            </w:tcBorders>
            <w:shd w:val="clear" w:color="auto" w:fill="auto"/>
            <w:vAlign w:val="center"/>
          </w:tcPr>
          <w:p w14:paraId="7964D13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0.236</w:t>
            </w:r>
          </w:p>
        </w:tc>
        <w:tc>
          <w:tcPr>
            <w:tcW w:w="754" w:type="pct"/>
            <w:tcBorders>
              <w:tl2br w:val="nil"/>
              <w:tr2bl w:val="nil"/>
            </w:tcBorders>
            <w:shd w:val="clear" w:color="auto" w:fill="auto"/>
            <w:vAlign w:val="center"/>
          </w:tcPr>
          <w:p w14:paraId="2BBBE9A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0.214</w:t>
            </w:r>
          </w:p>
        </w:tc>
        <w:tc>
          <w:tcPr>
            <w:tcW w:w="750" w:type="pct"/>
            <w:tcBorders>
              <w:tl2br w:val="nil"/>
              <w:tr2bl w:val="nil"/>
            </w:tcBorders>
            <w:shd w:val="clear" w:color="auto" w:fill="auto"/>
            <w:vAlign w:val="center"/>
          </w:tcPr>
          <w:p w14:paraId="62FF731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2.53</w:t>
            </w:r>
          </w:p>
        </w:tc>
        <w:tc>
          <w:tcPr>
            <w:tcW w:w="757" w:type="pct"/>
            <w:tcBorders>
              <w:tl2br w:val="nil"/>
              <w:tr2bl w:val="nil"/>
            </w:tcBorders>
            <w:shd w:val="clear" w:color="auto" w:fill="auto"/>
            <w:vAlign w:val="center"/>
          </w:tcPr>
          <w:p w14:paraId="7CEE7DB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2.6</w:t>
            </w:r>
          </w:p>
        </w:tc>
      </w:tr>
      <w:tr w14:paraId="50B6DBD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5B7D68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23</w:t>
            </w:r>
          </w:p>
        </w:tc>
        <w:tc>
          <w:tcPr>
            <w:tcW w:w="1302" w:type="pct"/>
            <w:tcBorders>
              <w:tl2br w:val="nil"/>
              <w:tr2bl w:val="nil"/>
            </w:tcBorders>
            <w:shd w:val="clear" w:color="auto" w:fill="auto"/>
            <w:vAlign w:val="center"/>
          </w:tcPr>
          <w:p w14:paraId="5C49555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边导线外20m</w:t>
            </w:r>
          </w:p>
        </w:tc>
        <w:tc>
          <w:tcPr>
            <w:tcW w:w="750" w:type="pct"/>
            <w:tcBorders>
              <w:tl2br w:val="nil"/>
              <w:tr2bl w:val="nil"/>
            </w:tcBorders>
            <w:shd w:val="clear" w:color="auto" w:fill="auto"/>
            <w:vAlign w:val="center"/>
          </w:tcPr>
          <w:p w14:paraId="045B86E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0.211</w:t>
            </w:r>
          </w:p>
        </w:tc>
        <w:tc>
          <w:tcPr>
            <w:tcW w:w="754" w:type="pct"/>
            <w:tcBorders>
              <w:tl2br w:val="nil"/>
              <w:tr2bl w:val="nil"/>
            </w:tcBorders>
            <w:shd w:val="clear" w:color="auto" w:fill="auto"/>
            <w:vAlign w:val="center"/>
          </w:tcPr>
          <w:p w14:paraId="465425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0.191</w:t>
            </w:r>
          </w:p>
        </w:tc>
        <w:tc>
          <w:tcPr>
            <w:tcW w:w="750" w:type="pct"/>
            <w:tcBorders>
              <w:tl2br w:val="nil"/>
              <w:tr2bl w:val="nil"/>
            </w:tcBorders>
            <w:shd w:val="clear" w:color="auto" w:fill="auto"/>
            <w:vAlign w:val="center"/>
          </w:tcPr>
          <w:p w14:paraId="25265C2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2.34</w:t>
            </w:r>
          </w:p>
        </w:tc>
        <w:tc>
          <w:tcPr>
            <w:tcW w:w="757" w:type="pct"/>
            <w:tcBorders>
              <w:tl2br w:val="nil"/>
              <w:tr2bl w:val="nil"/>
            </w:tcBorders>
            <w:shd w:val="clear" w:color="auto" w:fill="auto"/>
            <w:vAlign w:val="center"/>
          </w:tcPr>
          <w:p w14:paraId="4BA9EB5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2.4</w:t>
            </w:r>
          </w:p>
        </w:tc>
      </w:tr>
      <w:tr w14:paraId="2BC2A1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B7558A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24</w:t>
            </w:r>
          </w:p>
        </w:tc>
        <w:tc>
          <w:tcPr>
            <w:tcW w:w="1302" w:type="pct"/>
            <w:tcBorders>
              <w:tl2br w:val="nil"/>
              <w:tr2bl w:val="nil"/>
            </w:tcBorders>
            <w:shd w:val="clear" w:color="auto" w:fill="auto"/>
            <w:vAlign w:val="center"/>
          </w:tcPr>
          <w:p w14:paraId="121BF85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边导线外21m</w:t>
            </w:r>
          </w:p>
        </w:tc>
        <w:tc>
          <w:tcPr>
            <w:tcW w:w="750" w:type="pct"/>
            <w:tcBorders>
              <w:tl2br w:val="nil"/>
              <w:tr2bl w:val="nil"/>
            </w:tcBorders>
            <w:shd w:val="clear" w:color="auto" w:fill="auto"/>
            <w:vAlign w:val="center"/>
          </w:tcPr>
          <w:p w14:paraId="5613989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0.190</w:t>
            </w:r>
          </w:p>
        </w:tc>
        <w:tc>
          <w:tcPr>
            <w:tcW w:w="754" w:type="pct"/>
            <w:tcBorders>
              <w:tl2br w:val="nil"/>
              <w:tr2bl w:val="nil"/>
            </w:tcBorders>
            <w:shd w:val="clear" w:color="auto" w:fill="auto"/>
            <w:vAlign w:val="center"/>
          </w:tcPr>
          <w:p w14:paraId="48D0E6E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0.171</w:t>
            </w:r>
          </w:p>
        </w:tc>
        <w:tc>
          <w:tcPr>
            <w:tcW w:w="750" w:type="pct"/>
            <w:tcBorders>
              <w:tl2br w:val="nil"/>
              <w:tr2bl w:val="nil"/>
            </w:tcBorders>
            <w:shd w:val="clear" w:color="auto" w:fill="auto"/>
            <w:vAlign w:val="center"/>
          </w:tcPr>
          <w:p w14:paraId="1136881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2.17</w:t>
            </w:r>
          </w:p>
        </w:tc>
        <w:tc>
          <w:tcPr>
            <w:tcW w:w="757" w:type="pct"/>
            <w:tcBorders>
              <w:tl2br w:val="nil"/>
              <w:tr2bl w:val="nil"/>
            </w:tcBorders>
            <w:shd w:val="clear" w:color="auto" w:fill="auto"/>
            <w:vAlign w:val="center"/>
          </w:tcPr>
          <w:p w14:paraId="74102E0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2.22</w:t>
            </w:r>
          </w:p>
        </w:tc>
      </w:tr>
      <w:tr w14:paraId="010B517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551E5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25</w:t>
            </w:r>
          </w:p>
        </w:tc>
        <w:tc>
          <w:tcPr>
            <w:tcW w:w="1302" w:type="pct"/>
            <w:tcBorders>
              <w:tl2br w:val="nil"/>
              <w:tr2bl w:val="nil"/>
            </w:tcBorders>
            <w:shd w:val="clear" w:color="auto" w:fill="auto"/>
            <w:vAlign w:val="center"/>
          </w:tcPr>
          <w:p w14:paraId="3F44727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边导线外22m</w:t>
            </w:r>
          </w:p>
        </w:tc>
        <w:tc>
          <w:tcPr>
            <w:tcW w:w="750" w:type="pct"/>
            <w:tcBorders>
              <w:tl2br w:val="nil"/>
              <w:tr2bl w:val="nil"/>
            </w:tcBorders>
            <w:shd w:val="clear" w:color="auto" w:fill="auto"/>
            <w:vAlign w:val="center"/>
          </w:tcPr>
          <w:p w14:paraId="1F56FFD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0.171</w:t>
            </w:r>
          </w:p>
        </w:tc>
        <w:tc>
          <w:tcPr>
            <w:tcW w:w="754" w:type="pct"/>
            <w:tcBorders>
              <w:tl2br w:val="nil"/>
              <w:tr2bl w:val="nil"/>
            </w:tcBorders>
            <w:shd w:val="clear" w:color="auto" w:fill="auto"/>
            <w:vAlign w:val="center"/>
          </w:tcPr>
          <w:p w14:paraId="3168A2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0.154</w:t>
            </w:r>
          </w:p>
        </w:tc>
        <w:tc>
          <w:tcPr>
            <w:tcW w:w="750" w:type="pct"/>
            <w:tcBorders>
              <w:tl2br w:val="nil"/>
              <w:tr2bl w:val="nil"/>
            </w:tcBorders>
            <w:shd w:val="clear" w:color="auto" w:fill="auto"/>
            <w:vAlign w:val="center"/>
          </w:tcPr>
          <w:p w14:paraId="4F816C7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2.02</w:t>
            </w:r>
          </w:p>
        </w:tc>
        <w:tc>
          <w:tcPr>
            <w:tcW w:w="757" w:type="pct"/>
            <w:tcBorders>
              <w:tl2br w:val="nil"/>
              <w:tr2bl w:val="nil"/>
            </w:tcBorders>
            <w:shd w:val="clear" w:color="auto" w:fill="auto"/>
            <w:vAlign w:val="center"/>
          </w:tcPr>
          <w:p w14:paraId="28923D6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2.07</w:t>
            </w:r>
          </w:p>
        </w:tc>
      </w:tr>
      <w:tr w14:paraId="07D7DE7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75377E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26</w:t>
            </w:r>
          </w:p>
        </w:tc>
        <w:tc>
          <w:tcPr>
            <w:tcW w:w="1302" w:type="pct"/>
            <w:tcBorders>
              <w:tl2br w:val="nil"/>
              <w:tr2bl w:val="nil"/>
            </w:tcBorders>
            <w:shd w:val="clear" w:color="auto" w:fill="auto"/>
            <w:vAlign w:val="center"/>
          </w:tcPr>
          <w:p w14:paraId="072C2B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边导线外23m</w:t>
            </w:r>
          </w:p>
        </w:tc>
        <w:tc>
          <w:tcPr>
            <w:tcW w:w="750" w:type="pct"/>
            <w:tcBorders>
              <w:tl2br w:val="nil"/>
              <w:tr2bl w:val="nil"/>
            </w:tcBorders>
            <w:shd w:val="clear" w:color="auto" w:fill="auto"/>
            <w:vAlign w:val="center"/>
          </w:tcPr>
          <w:p w14:paraId="01CCA1C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0.155</w:t>
            </w:r>
          </w:p>
        </w:tc>
        <w:tc>
          <w:tcPr>
            <w:tcW w:w="754" w:type="pct"/>
            <w:tcBorders>
              <w:tl2br w:val="nil"/>
              <w:tr2bl w:val="nil"/>
            </w:tcBorders>
            <w:shd w:val="clear" w:color="auto" w:fill="auto"/>
            <w:vAlign w:val="center"/>
          </w:tcPr>
          <w:p w14:paraId="2557928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0.139</w:t>
            </w:r>
          </w:p>
        </w:tc>
        <w:tc>
          <w:tcPr>
            <w:tcW w:w="750" w:type="pct"/>
            <w:tcBorders>
              <w:tl2br w:val="nil"/>
              <w:tr2bl w:val="nil"/>
            </w:tcBorders>
            <w:shd w:val="clear" w:color="auto" w:fill="auto"/>
            <w:vAlign w:val="center"/>
          </w:tcPr>
          <w:p w14:paraId="1D280C9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1.89</w:t>
            </w:r>
          </w:p>
        </w:tc>
        <w:tc>
          <w:tcPr>
            <w:tcW w:w="757" w:type="pct"/>
            <w:tcBorders>
              <w:tl2br w:val="nil"/>
              <w:tr2bl w:val="nil"/>
            </w:tcBorders>
            <w:shd w:val="clear" w:color="auto" w:fill="auto"/>
            <w:vAlign w:val="center"/>
          </w:tcPr>
          <w:p w14:paraId="29E8218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1.93</w:t>
            </w:r>
          </w:p>
        </w:tc>
      </w:tr>
      <w:tr w14:paraId="2AEAED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C5DDD4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27</w:t>
            </w:r>
          </w:p>
        </w:tc>
        <w:tc>
          <w:tcPr>
            <w:tcW w:w="1302" w:type="pct"/>
            <w:tcBorders>
              <w:tl2br w:val="nil"/>
              <w:tr2bl w:val="nil"/>
            </w:tcBorders>
            <w:shd w:val="clear" w:color="auto" w:fill="auto"/>
            <w:vAlign w:val="center"/>
          </w:tcPr>
          <w:p w14:paraId="038932B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边导线外24m</w:t>
            </w:r>
          </w:p>
        </w:tc>
        <w:tc>
          <w:tcPr>
            <w:tcW w:w="750" w:type="pct"/>
            <w:tcBorders>
              <w:tl2br w:val="nil"/>
              <w:tr2bl w:val="nil"/>
            </w:tcBorders>
            <w:shd w:val="clear" w:color="auto" w:fill="auto"/>
            <w:vAlign w:val="center"/>
          </w:tcPr>
          <w:p w14:paraId="55713F6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0.140</w:t>
            </w:r>
          </w:p>
        </w:tc>
        <w:tc>
          <w:tcPr>
            <w:tcW w:w="754" w:type="pct"/>
            <w:tcBorders>
              <w:tl2br w:val="nil"/>
              <w:tr2bl w:val="nil"/>
            </w:tcBorders>
            <w:shd w:val="clear" w:color="auto" w:fill="auto"/>
            <w:vAlign w:val="center"/>
          </w:tcPr>
          <w:p w14:paraId="16D01D1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0.126</w:t>
            </w:r>
          </w:p>
        </w:tc>
        <w:tc>
          <w:tcPr>
            <w:tcW w:w="750" w:type="pct"/>
            <w:tcBorders>
              <w:tl2br w:val="nil"/>
              <w:tr2bl w:val="nil"/>
            </w:tcBorders>
            <w:shd w:val="clear" w:color="auto" w:fill="auto"/>
            <w:vAlign w:val="center"/>
          </w:tcPr>
          <w:p w14:paraId="5D84B4F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1.77</w:t>
            </w:r>
          </w:p>
        </w:tc>
        <w:tc>
          <w:tcPr>
            <w:tcW w:w="757" w:type="pct"/>
            <w:tcBorders>
              <w:tl2br w:val="nil"/>
              <w:tr2bl w:val="nil"/>
            </w:tcBorders>
            <w:shd w:val="clear" w:color="auto" w:fill="auto"/>
            <w:vAlign w:val="center"/>
          </w:tcPr>
          <w:p w14:paraId="1ED8DD3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1.8</w:t>
            </w:r>
          </w:p>
        </w:tc>
      </w:tr>
      <w:tr w14:paraId="00DDB70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0B4C458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28</w:t>
            </w:r>
          </w:p>
        </w:tc>
        <w:tc>
          <w:tcPr>
            <w:tcW w:w="1302" w:type="pct"/>
            <w:tcBorders>
              <w:tl2br w:val="nil"/>
              <w:tr2bl w:val="nil"/>
            </w:tcBorders>
            <w:shd w:val="clear" w:color="auto" w:fill="auto"/>
            <w:vAlign w:val="center"/>
          </w:tcPr>
          <w:p w14:paraId="1DD678A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边导线外25m</w:t>
            </w:r>
          </w:p>
        </w:tc>
        <w:tc>
          <w:tcPr>
            <w:tcW w:w="750" w:type="pct"/>
            <w:tcBorders>
              <w:tl2br w:val="nil"/>
              <w:tr2bl w:val="nil"/>
            </w:tcBorders>
            <w:shd w:val="clear" w:color="auto" w:fill="auto"/>
            <w:vAlign w:val="center"/>
          </w:tcPr>
          <w:p w14:paraId="65A7C15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0.127</w:t>
            </w:r>
          </w:p>
        </w:tc>
        <w:tc>
          <w:tcPr>
            <w:tcW w:w="754" w:type="pct"/>
            <w:tcBorders>
              <w:tl2br w:val="nil"/>
              <w:tr2bl w:val="nil"/>
            </w:tcBorders>
            <w:shd w:val="clear" w:color="auto" w:fill="auto"/>
            <w:vAlign w:val="center"/>
          </w:tcPr>
          <w:p w14:paraId="64FF582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0.114</w:t>
            </w:r>
          </w:p>
        </w:tc>
        <w:tc>
          <w:tcPr>
            <w:tcW w:w="750" w:type="pct"/>
            <w:tcBorders>
              <w:tl2br w:val="nil"/>
              <w:tr2bl w:val="nil"/>
            </w:tcBorders>
            <w:shd w:val="clear" w:color="auto" w:fill="auto"/>
            <w:vAlign w:val="center"/>
          </w:tcPr>
          <w:p w14:paraId="206B130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1.66</w:t>
            </w:r>
          </w:p>
        </w:tc>
        <w:tc>
          <w:tcPr>
            <w:tcW w:w="757" w:type="pct"/>
            <w:tcBorders>
              <w:tl2br w:val="nil"/>
              <w:tr2bl w:val="nil"/>
            </w:tcBorders>
            <w:shd w:val="clear" w:color="auto" w:fill="auto"/>
            <w:vAlign w:val="center"/>
          </w:tcPr>
          <w:p w14:paraId="56EDDDF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1.69</w:t>
            </w:r>
          </w:p>
        </w:tc>
      </w:tr>
      <w:tr w14:paraId="0267077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24684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29</w:t>
            </w:r>
          </w:p>
        </w:tc>
        <w:tc>
          <w:tcPr>
            <w:tcW w:w="1302" w:type="pct"/>
            <w:tcBorders>
              <w:tl2br w:val="nil"/>
              <w:tr2bl w:val="nil"/>
            </w:tcBorders>
            <w:shd w:val="clear" w:color="auto" w:fill="auto"/>
            <w:vAlign w:val="center"/>
          </w:tcPr>
          <w:p w14:paraId="7F932D5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边导线外26m</w:t>
            </w:r>
          </w:p>
        </w:tc>
        <w:tc>
          <w:tcPr>
            <w:tcW w:w="750" w:type="pct"/>
            <w:tcBorders>
              <w:tl2br w:val="nil"/>
              <w:tr2bl w:val="nil"/>
            </w:tcBorders>
            <w:shd w:val="clear" w:color="auto" w:fill="auto"/>
            <w:vAlign w:val="center"/>
          </w:tcPr>
          <w:p w14:paraId="4646121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0.116</w:t>
            </w:r>
          </w:p>
        </w:tc>
        <w:tc>
          <w:tcPr>
            <w:tcW w:w="754" w:type="pct"/>
            <w:tcBorders>
              <w:tl2br w:val="nil"/>
              <w:tr2bl w:val="nil"/>
            </w:tcBorders>
            <w:shd w:val="clear" w:color="auto" w:fill="auto"/>
            <w:vAlign w:val="center"/>
          </w:tcPr>
          <w:p w14:paraId="66A8BCD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0.104</w:t>
            </w:r>
          </w:p>
        </w:tc>
        <w:tc>
          <w:tcPr>
            <w:tcW w:w="750" w:type="pct"/>
            <w:tcBorders>
              <w:tl2br w:val="nil"/>
              <w:tr2bl w:val="nil"/>
            </w:tcBorders>
            <w:shd w:val="clear" w:color="auto" w:fill="auto"/>
            <w:vAlign w:val="center"/>
          </w:tcPr>
          <w:p w14:paraId="0D58FA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1.56</w:t>
            </w:r>
          </w:p>
        </w:tc>
        <w:tc>
          <w:tcPr>
            <w:tcW w:w="757" w:type="pct"/>
            <w:tcBorders>
              <w:tl2br w:val="nil"/>
              <w:tr2bl w:val="nil"/>
            </w:tcBorders>
            <w:shd w:val="clear" w:color="auto" w:fill="auto"/>
            <w:vAlign w:val="center"/>
          </w:tcPr>
          <w:p w14:paraId="3FDAFB0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1.59</w:t>
            </w:r>
          </w:p>
        </w:tc>
      </w:tr>
      <w:tr w14:paraId="376552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09FACAD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30</w:t>
            </w:r>
          </w:p>
        </w:tc>
        <w:tc>
          <w:tcPr>
            <w:tcW w:w="1302" w:type="pct"/>
            <w:tcBorders>
              <w:tl2br w:val="nil"/>
              <w:tr2bl w:val="nil"/>
            </w:tcBorders>
            <w:shd w:val="clear" w:color="auto" w:fill="auto"/>
            <w:vAlign w:val="center"/>
          </w:tcPr>
          <w:p w14:paraId="538FED0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边导线外27m</w:t>
            </w:r>
          </w:p>
        </w:tc>
        <w:tc>
          <w:tcPr>
            <w:tcW w:w="750" w:type="pct"/>
            <w:tcBorders>
              <w:tl2br w:val="nil"/>
              <w:tr2bl w:val="nil"/>
            </w:tcBorders>
            <w:shd w:val="clear" w:color="auto" w:fill="auto"/>
            <w:vAlign w:val="center"/>
          </w:tcPr>
          <w:p w14:paraId="15CD6F9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0.106</w:t>
            </w:r>
          </w:p>
        </w:tc>
        <w:tc>
          <w:tcPr>
            <w:tcW w:w="754" w:type="pct"/>
            <w:tcBorders>
              <w:tl2br w:val="nil"/>
              <w:tr2bl w:val="nil"/>
            </w:tcBorders>
            <w:shd w:val="clear" w:color="auto" w:fill="auto"/>
            <w:vAlign w:val="center"/>
          </w:tcPr>
          <w:p w14:paraId="11361E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0.095</w:t>
            </w:r>
          </w:p>
        </w:tc>
        <w:tc>
          <w:tcPr>
            <w:tcW w:w="750" w:type="pct"/>
            <w:tcBorders>
              <w:tl2br w:val="nil"/>
              <w:tr2bl w:val="nil"/>
            </w:tcBorders>
            <w:shd w:val="clear" w:color="auto" w:fill="auto"/>
            <w:vAlign w:val="center"/>
          </w:tcPr>
          <w:p w14:paraId="0F29C76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1.47</w:t>
            </w:r>
          </w:p>
        </w:tc>
        <w:tc>
          <w:tcPr>
            <w:tcW w:w="757" w:type="pct"/>
            <w:tcBorders>
              <w:tl2br w:val="nil"/>
              <w:tr2bl w:val="nil"/>
            </w:tcBorders>
            <w:shd w:val="clear" w:color="auto" w:fill="auto"/>
            <w:vAlign w:val="center"/>
          </w:tcPr>
          <w:p w14:paraId="0E8D956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1.5</w:t>
            </w:r>
          </w:p>
        </w:tc>
      </w:tr>
      <w:tr w14:paraId="676195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2AC937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31</w:t>
            </w:r>
          </w:p>
        </w:tc>
        <w:tc>
          <w:tcPr>
            <w:tcW w:w="1302" w:type="pct"/>
            <w:tcBorders>
              <w:tl2br w:val="nil"/>
              <w:tr2bl w:val="nil"/>
            </w:tcBorders>
            <w:shd w:val="clear" w:color="auto" w:fill="auto"/>
            <w:vAlign w:val="center"/>
          </w:tcPr>
          <w:p w14:paraId="5CA6BD5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边导线外28m</w:t>
            </w:r>
          </w:p>
        </w:tc>
        <w:tc>
          <w:tcPr>
            <w:tcW w:w="750" w:type="pct"/>
            <w:tcBorders>
              <w:tl2br w:val="nil"/>
              <w:tr2bl w:val="nil"/>
            </w:tcBorders>
            <w:shd w:val="clear" w:color="auto" w:fill="auto"/>
            <w:vAlign w:val="center"/>
          </w:tcPr>
          <w:p w14:paraId="0A3FFD0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0.097</w:t>
            </w:r>
          </w:p>
        </w:tc>
        <w:tc>
          <w:tcPr>
            <w:tcW w:w="754" w:type="pct"/>
            <w:tcBorders>
              <w:tl2br w:val="nil"/>
              <w:tr2bl w:val="nil"/>
            </w:tcBorders>
            <w:shd w:val="clear" w:color="auto" w:fill="auto"/>
            <w:vAlign w:val="center"/>
          </w:tcPr>
          <w:p w14:paraId="7139D1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0.087</w:t>
            </w:r>
          </w:p>
        </w:tc>
        <w:tc>
          <w:tcPr>
            <w:tcW w:w="750" w:type="pct"/>
            <w:tcBorders>
              <w:tl2br w:val="nil"/>
              <w:tr2bl w:val="nil"/>
            </w:tcBorders>
            <w:shd w:val="clear" w:color="auto" w:fill="auto"/>
            <w:vAlign w:val="center"/>
          </w:tcPr>
          <w:p w14:paraId="40A166C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1.39</w:t>
            </w:r>
          </w:p>
        </w:tc>
        <w:tc>
          <w:tcPr>
            <w:tcW w:w="757" w:type="pct"/>
            <w:tcBorders>
              <w:tl2br w:val="nil"/>
              <w:tr2bl w:val="nil"/>
            </w:tcBorders>
            <w:shd w:val="clear" w:color="auto" w:fill="auto"/>
            <w:vAlign w:val="center"/>
          </w:tcPr>
          <w:p w14:paraId="1D22770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1.42</w:t>
            </w:r>
          </w:p>
        </w:tc>
      </w:tr>
      <w:tr w14:paraId="099A9EC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66D6083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32</w:t>
            </w:r>
          </w:p>
        </w:tc>
        <w:tc>
          <w:tcPr>
            <w:tcW w:w="1302" w:type="pct"/>
            <w:tcBorders>
              <w:tl2br w:val="nil"/>
              <w:tr2bl w:val="nil"/>
            </w:tcBorders>
            <w:shd w:val="clear" w:color="auto" w:fill="auto"/>
            <w:vAlign w:val="center"/>
          </w:tcPr>
          <w:p w14:paraId="6AA6DB6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边导线外29m</w:t>
            </w:r>
          </w:p>
        </w:tc>
        <w:tc>
          <w:tcPr>
            <w:tcW w:w="750" w:type="pct"/>
            <w:tcBorders>
              <w:tl2br w:val="nil"/>
              <w:tr2bl w:val="nil"/>
            </w:tcBorders>
            <w:shd w:val="clear" w:color="auto" w:fill="auto"/>
            <w:vAlign w:val="center"/>
          </w:tcPr>
          <w:p w14:paraId="64A4300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0.089</w:t>
            </w:r>
          </w:p>
        </w:tc>
        <w:tc>
          <w:tcPr>
            <w:tcW w:w="754" w:type="pct"/>
            <w:tcBorders>
              <w:tl2br w:val="nil"/>
              <w:tr2bl w:val="nil"/>
            </w:tcBorders>
            <w:shd w:val="clear" w:color="auto" w:fill="auto"/>
            <w:vAlign w:val="center"/>
          </w:tcPr>
          <w:p w14:paraId="4AFC1D6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0.080</w:t>
            </w:r>
          </w:p>
        </w:tc>
        <w:tc>
          <w:tcPr>
            <w:tcW w:w="750" w:type="pct"/>
            <w:tcBorders>
              <w:tl2br w:val="nil"/>
              <w:tr2bl w:val="nil"/>
            </w:tcBorders>
            <w:shd w:val="clear" w:color="auto" w:fill="auto"/>
            <w:vAlign w:val="center"/>
          </w:tcPr>
          <w:p w14:paraId="698BA9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1.32</w:t>
            </w:r>
          </w:p>
        </w:tc>
        <w:tc>
          <w:tcPr>
            <w:tcW w:w="757" w:type="pct"/>
            <w:tcBorders>
              <w:tl2br w:val="nil"/>
              <w:tr2bl w:val="nil"/>
            </w:tcBorders>
            <w:shd w:val="clear" w:color="auto" w:fill="auto"/>
            <w:vAlign w:val="center"/>
          </w:tcPr>
          <w:p w14:paraId="78EA15D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1.34</w:t>
            </w:r>
          </w:p>
        </w:tc>
      </w:tr>
      <w:tr w14:paraId="280672C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1586E3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33</w:t>
            </w:r>
          </w:p>
        </w:tc>
        <w:tc>
          <w:tcPr>
            <w:tcW w:w="1302" w:type="pct"/>
            <w:tcBorders>
              <w:tl2br w:val="nil"/>
              <w:tr2bl w:val="nil"/>
            </w:tcBorders>
            <w:shd w:val="clear" w:color="auto" w:fill="auto"/>
            <w:vAlign w:val="center"/>
          </w:tcPr>
          <w:p w14:paraId="02AF173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边导线外30m</w:t>
            </w:r>
          </w:p>
        </w:tc>
        <w:tc>
          <w:tcPr>
            <w:tcW w:w="750" w:type="pct"/>
            <w:tcBorders>
              <w:tl2br w:val="nil"/>
              <w:tr2bl w:val="nil"/>
            </w:tcBorders>
            <w:shd w:val="clear" w:color="auto" w:fill="auto"/>
            <w:vAlign w:val="center"/>
          </w:tcPr>
          <w:p w14:paraId="4F20F43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0.082</w:t>
            </w:r>
          </w:p>
        </w:tc>
        <w:tc>
          <w:tcPr>
            <w:tcW w:w="754" w:type="pct"/>
            <w:tcBorders>
              <w:tl2br w:val="nil"/>
              <w:tr2bl w:val="nil"/>
            </w:tcBorders>
            <w:shd w:val="clear" w:color="auto" w:fill="auto"/>
            <w:vAlign w:val="center"/>
          </w:tcPr>
          <w:p w14:paraId="4F3BAC8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0.074</w:t>
            </w:r>
          </w:p>
        </w:tc>
        <w:tc>
          <w:tcPr>
            <w:tcW w:w="750" w:type="pct"/>
            <w:tcBorders>
              <w:tl2br w:val="nil"/>
              <w:tr2bl w:val="nil"/>
            </w:tcBorders>
            <w:shd w:val="clear" w:color="auto" w:fill="auto"/>
            <w:vAlign w:val="center"/>
          </w:tcPr>
          <w:p w14:paraId="42D6DE8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1.25</w:t>
            </w:r>
          </w:p>
        </w:tc>
        <w:tc>
          <w:tcPr>
            <w:tcW w:w="757" w:type="pct"/>
            <w:tcBorders>
              <w:tl2br w:val="nil"/>
              <w:tr2bl w:val="nil"/>
            </w:tcBorders>
            <w:shd w:val="clear" w:color="auto" w:fill="auto"/>
            <w:vAlign w:val="center"/>
          </w:tcPr>
          <w:p w14:paraId="23F98B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1.27</w:t>
            </w:r>
          </w:p>
        </w:tc>
      </w:tr>
      <w:tr w14:paraId="3094683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3E8E06F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34</w:t>
            </w:r>
          </w:p>
        </w:tc>
        <w:tc>
          <w:tcPr>
            <w:tcW w:w="1302" w:type="pct"/>
            <w:tcBorders>
              <w:tl2br w:val="nil"/>
              <w:tr2bl w:val="nil"/>
            </w:tcBorders>
            <w:shd w:val="clear" w:color="auto" w:fill="auto"/>
            <w:vAlign w:val="center"/>
          </w:tcPr>
          <w:p w14:paraId="21813B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边导线外31m</w:t>
            </w:r>
          </w:p>
        </w:tc>
        <w:tc>
          <w:tcPr>
            <w:tcW w:w="750" w:type="pct"/>
            <w:tcBorders>
              <w:tl2br w:val="nil"/>
              <w:tr2bl w:val="nil"/>
            </w:tcBorders>
            <w:shd w:val="clear" w:color="auto" w:fill="auto"/>
            <w:vAlign w:val="center"/>
          </w:tcPr>
          <w:p w14:paraId="17F4549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0.076</w:t>
            </w:r>
          </w:p>
        </w:tc>
        <w:tc>
          <w:tcPr>
            <w:tcW w:w="754" w:type="pct"/>
            <w:tcBorders>
              <w:tl2br w:val="nil"/>
              <w:tr2bl w:val="nil"/>
            </w:tcBorders>
            <w:shd w:val="clear" w:color="auto" w:fill="auto"/>
            <w:vAlign w:val="center"/>
          </w:tcPr>
          <w:p w14:paraId="5BBFC8B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0.068</w:t>
            </w:r>
          </w:p>
        </w:tc>
        <w:tc>
          <w:tcPr>
            <w:tcW w:w="750" w:type="pct"/>
            <w:tcBorders>
              <w:tl2br w:val="nil"/>
              <w:tr2bl w:val="nil"/>
            </w:tcBorders>
            <w:shd w:val="clear" w:color="auto" w:fill="auto"/>
            <w:vAlign w:val="center"/>
          </w:tcPr>
          <w:p w14:paraId="604372C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1.19</w:t>
            </w:r>
          </w:p>
        </w:tc>
        <w:tc>
          <w:tcPr>
            <w:tcW w:w="757" w:type="pct"/>
            <w:tcBorders>
              <w:tl2br w:val="nil"/>
              <w:tr2bl w:val="nil"/>
            </w:tcBorders>
            <w:shd w:val="clear" w:color="auto" w:fill="auto"/>
            <w:vAlign w:val="center"/>
          </w:tcPr>
          <w:p w14:paraId="5468D5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1.21</w:t>
            </w:r>
          </w:p>
        </w:tc>
      </w:tr>
      <w:tr w14:paraId="2BC230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26328C6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35</w:t>
            </w:r>
          </w:p>
        </w:tc>
        <w:tc>
          <w:tcPr>
            <w:tcW w:w="1302" w:type="pct"/>
            <w:tcBorders>
              <w:tl2br w:val="nil"/>
              <w:tr2bl w:val="nil"/>
            </w:tcBorders>
            <w:shd w:val="clear" w:color="auto" w:fill="auto"/>
            <w:vAlign w:val="center"/>
          </w:tcPr>
          <w:p w14:paraId="6AB8AD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边导线外32m</w:t>
            </w:r>
          </w:p>
        </w:tc>
        <w:tc>
          <w:tcPr>
            <w:tcW w:w="750" w:type="pct"/>
            <w:tcBorders>
              <w:tl2br w:val="nil"/>
              <w:tr2bl w:val="nil"/>
            </w:tcBorders>
            <w:shd w:val="clear" w:color="auto" w:fill="auto"/>
            <w:vAlign w:val="center"/>
          </w:tcPr>
          <w:p w14:paraId="227D32E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0.070</w:t>
            </w:r>
          </w:p>
        </w:tc>
        <w:tc>
          <w:tcPr>
            <w:tcW w:w="754" w:type="pct"/>
            <w:tcBorders>
              <w:tl2br w:val="nil"/>
              <w:tr2bl w:val="nil"/>
            </w:tcBorders>
            <w:shd w:val="clear" w:color="auto" w:fill="auto"/>
            <w:vAlign w:val="center"/>
          </w:tcPr>
          <w:p w14:paraId="42928D8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0.063</w:t>
            </w:r>
          </w:p>
        </w:tc>
        <w:tc>
          <w:tcPr>
            <w:tcW w:w="750" w:type="pct"/>
            <w:tcBorders>
              <w:tl2br w:val="nil"/>
              <w:tr2bl w:val="nil"/>
            </w:tcBorders>
            <w:shd w:val="clear" w:color="auto" w:fill="auto"/>
            <w:vAlign w:val="center"/>
          </w:tcPr>
          <w:p w14:paraId="7FFD79E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1.13</w:t>
            </w:r>
          </w:p>
        </w:tc>
        <w:tc>
          <w:tcPr>
            <w:tcW w:w="757" w:type="pct"/>
            <w:tcBorders>
              <w:tl2br w:val="nil"/>
              <w:tr2bl w:val="nil"/>
            </w:tcBorders>
            <w:shd w:val="clear" w:color="auto" w:fill="auto"/>
            <w:vAlign w:val="center"/>
          </w:tcPr>
          <w:p w14:paraId="2F0146E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1.15</w:t>
            </w:r>
          </w:p>
        </w:tc>
      </w:tr>
      <w:tr w14:paraId="348571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0547E65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36</w:t>
            </w:r>
          </w:p>
        </w:tc>
        <w:tc>
          <w:tcPr>
            <w:tcW w:w="1302" w:type="pct"/>
            <w:tcBorders>
              <w:tl2br w:val="nil"/>
              <w:tr2bl w:val="nil"/>
            </w:tcBorders>
            <w:shd w:val="clear" w:color="auto" w:fill="auto"/>
            <w:vAlign w:val="center"/>
          </w:tcPr>
          <w:p w14:paraId="73F5890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边导线外33m</w:t>
            </w:r>
          </w:p>
        </w:tc>
        <w:tc>
          <w:tcPr>
            <w:tcW w:w="750" w:type="pct"/>
            <w:tcBorders>
              <w:tl2br w:val="nil"/>
              <w:tr2bl w:val="nil"/>
            </w:tcBorders>
            <w:shd w:val="clear" w:color="auto" w:fill="auto"/>
            <w:vAlign w:val="center"/>
          </w:tcPr>
          <w:p w14:paraId="3FB5E54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0.065</w:t>
            </w:r>
          </w:p>
        </w:tc>
        <w:tc>
          <w:tcPr>
            <w:tcW w:w="754" w:type="pct"/>
            <w:tcBorders>
              <w:tl2br w:val="nil"/>
              <w:tr2bl w:val="nil"/>
            </w:tcBorders>
            <w:shd w:val="clear" w:color="auto" w:fill="auto"/>
            <w:vAlign w:val="center"/>
          </w:tcPr>
          <w:p w14:paraId="5B2AD26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0.058</w:t>
            </w:r>
          </w:p>
        </w:tc>
        <w:tc>
          <w:tcPr>
            <w:tcW w:w="750" w:type="pct"/>
            <w:tcBorders>
              <w:tl2br w:val="nil"/>
              <w:tr2bl w:val="nil"/>
            </w:tcBorders>
            <w:shd w:val="clear" w:color="auto" w:fill="auto"/>
            <w:vAlign w:val="center"/>
          </w:tcPr>
          <w:p w14:paraId="7AC772D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1.08</w:t>
            </w:r>
          </w:p>
        </w:tc>
        <w:tc>
          <w:tcPr>
            <w:tcW w:w="757" w:type="pct"/>
            <w:tcBorders>
              <w:tl2br w:val="nil"/>
              <w:tr2bl w:val="nil"/>
            </w:tcBorders>
            <w:shd w:val="clear" w:color="auto" w:fill="auto"/>
            <w:vAlign w:val="center"/>
          </w:tcPr>
          <w:p w14:paraId="38B984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1.1</w:t>
            </w:r>
          </w:p>
        </w:tc>
      </w:tr>
      <w:tr w14:paraId="40585A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531FBF7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37</w:t>
            </w:r>
          </w:p>
        </w:tc>
        <w:tc>
          <w:tcPr>
            <w:tcW w:w="1302" w:type="pct"/>
            <w:tcBorders>
              <w:tl2br w:val="nil"/>
              <w:tr2bl w:val="nil"/>
            </w:tcBorders>
            <w:shd w:val="clear" w:color="auto" w:fill="auto"/>
            <w:vAlign w:val="center"/>
          </w:tcPr>
          <w:p w14:paraId="5515A07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边导线外34m</w:t>
            </w:r>
          </w:p>
        </w:tc>
        <w:tc>
          <w:tcPr>
            <w:tcW w:w="750" w:type="pct"/>
            <w:tcBorders>
              <w:tl2br w:val="nil"/>
              <w:tr2bl w:val="nil"/>
            </w:tcBorders>
            <w:shd w:val="clear" w:color="auto" w:fill="auto"/>
            <w:vAlign w:val="center"/>
          </w:tcPr>
          <w:p w14:paraId="4AA9A72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0.060</w:t>
            </w:r>
          </w:p>
        </w:tc>
        <w:tc>
          <w:tcPr>
            <w:tcW w:w="754" w:type="pct"/>
            <w:tcBorders>
              <w:tl2br w:val="nil"/>
              <w:tr2bl w:val="nil"/>
            </w:tcBorders>
            <w:shd w:val="clear" w:color="auto" w:fill="auto"/>
            <w:vAlign w:val="center"/>
          </w:tcPr>
          <w:p w14:paraId="0842E5B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0.054</w:t>
            </w:r>
          </w:p>
        </w:tc>
        <w:tc>
          <w:tcPr>
            <w:tcW w:w="750" w:type="pct"/>
            <w:tcBorders>
              <w:tl2br w:val="nil"/>
              <w:tr2bl w:val="nil"/>
            </w:tcBorders>
            <w:shd w:val="clear" w:color="auto" w:fill="auto"/>
            <w:vAlign w:val="center"/>
          </w:tcPr>
          <w:p w14:paraId="3D2767C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1.03</w:t>
            </w:r>
          </w:p>
        </w:tc>
        <w:tc>
          <w:tcPr>
            <w:tcW w:w="757" w:type="pct"/>
            <w:tcBorders>
              <w:tl2br w:val="nil"/>
              <w:tr2bl w:val="nil"/>
            </w:tcBorders>
            <w:shd w:val="clear" w:color="auto" w:fill="auto"/>
            <w:vAlign w:val="center"/>
          </w:tcPr>
          <w:p w14:paraId="5383BEF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1.05</w:t>
            </w:r>
          </w:p>
        </w:tc>
      </w:tr>
      <w:tr w14:paraId="5E308FA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61C20E5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38</w:t>
            </w:r>
          </w:p>
        </w:tc>
        <w:tc>
          <w:tcPr>
            <w:tcW w:w="1302" w:type="pct"/>
            <w:tcBorders>
              <w:tl2br w:val="nil"/>
              <w:tr2bl w:val="nil"/>
            </w:tcBorders>
            <w:shd w:val="clear" w:color="auto" w:fill="auto"/>
            <w:vAlign w:val="center"/>
          </w:tcPr>
          <w:p w14:paraId="73ACF02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边导线外35m</w:t>
            </w:r>
          </w:p>
        </w:tc>
        <w:tc>
          <w:tcPr>
            <w:tcW w:w="750" w:type="pct"/>
            <w:tcBorders>
              <w:tl2br w:val="nil"/>
              <w:tr2bl w:val="nil"/>
            </w:tcBorders>
            <w:shd w:val="clear" w:color="auto" w:fill="auto"/>
            <w:vAlign w:val="center"/>
          </w:tcPr>
          <w:p w14:paraId="0D1214C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0.056</w:t>
            </w:r>
          </w:p>
        </w:tc>
        <w:tc>
          <w:tcPr>
            <w:tcW w:w="754" w:type="pct"/>
            <w:tcBorders>
              <w:tl2br w:val="nil"/>
              <w:tr2bl w:val="nil"/>
            </w:tcBorders>
            <w:shd w:val="clear" w:color="auto" w:fill="auto"/>
            <w:vAlign w:val="center"/>
          </w:tcPr>
          <w:p w14:paraId="780BCF7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0.050</w:t>
            </w:r>
          </w:p>
        </w:tc>
        <w:tc>
          <w:tcPr>
            <w:tcW w:w="750" w:type="pct"/>
            <w:tcBorders>
              <w:tl2br w:val="nil"/>
              <w:tr2bl w:val="nil"/>
            </w:tcBorders>
            <w:shd w:val="clear" w:color="auto" w:fill="auto"/>
            <w:vAlign w:val="center"/>
          </w:tcPr>
          <w:p w14:paraId="283F139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0.99</w:t>
            </w:r>
          </w:p>
        </w:tc>
        <w:tc>
          <w:tcPr>
            <w:tcW w:w="757" w:type="pct"/>
            <w:tcBorders>
              <w:tl2br w:val="nil"/>
              <w:tr2bl w:val="nil"/>
            </w:tcBorders>
            <w:shd w:val="clear" w:color="auto" w:fill="auto"/>
            <w:vAlign w:val="center"/>
          </w:tcPr>
          <w:p w14:paraId="77C60EA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1</w:t>
            </w:r>
          </w:p>
        </w:tc>
      </w:tr>
      <w:tr w14:paraId="131BA3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5695FD6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39</w:t>
            </w:r>
          </w:p>
        </w:tc>
        <w:tc>
          <w:tcPr>
            <w:tcW w:w="1302" w:type="pct"/>
            <w:tcBorders>
              <w:tl2br w:val="nil"/>
              <w:tr2bl w:val="nil"/>
            </w:tcBorders>
            <w:shd w:val="clear" w:color="auto" w:fill="auto"/>
            <w:vAlign w:val="center"/>
          </w:tcPr>
          <w:p w14:paraId="2256C7C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边导线外36m</w:t>
            </w:r>
          </w:p>
        </w:tc>
        <w:tc>
          <w:tcPr>
            <w:tcW w:w="750" w:type="pct"/>
            <w:tcBorders>
              <w:tl2br w:val="nil"/>
              <w:tr2bl w:val="nil"/>
            </w:tcBorders>
            <w:shd w:val="clear" w:color="auto" w:fill="auto"/>
            <w:vAlign w:val="center"/>
          </w:tcPr>
          <w:p w14:paraId="049F5A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0.052</w:t>
            </w:r>
          </w:p>
        </w:tc>
        <w:tc>
          <w:tcPr>
            <w:tcW w:w="754" w:type="pct"/>
            <w:tcBorders>
              <w:tl2br w:val="nil"/>
              <w:tr2bl w:val="nil"/>
            </w:tcBorders>
            <w:shd w:val="clear" w:color="auto" w:fill="auto"/>
            <w:vAlign w:val="center"/>
          </w:tcPr>
          <w:p w14:paraId="7A63BAB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0.047</w:t>
            </w:r>
          </w:p>
        </w:tc>
        <w:tc>
          <w:tcPr>
            <w:tcW w:w="750" w:type="pct"/>
            <w:tcBorders>
              <w:tl2br w:val="nil"/>
              <w:tr2bl w:val="nil"/>
            </w:tcBorders>
            <w:shd w:val="clear" w:color="auto" w:fill="auto"/>
            <w:vAlign w:val="center"/>
          </w:tcPr>
          <w:p w14:paraId="3BE1C4A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0.95</w:t>
            </w:r>
          </w:p>
        </w:tc>
        <w:tc>
          <w:tcPr>
            <w:tcW w:w="757" w:type="pct"/>
            <w:tcBorders>
              <w:tl2br w:val="nil"/>
              <w:tr2bl w:val="nil"/>
            </w:tcBorders>
            <w:shd w:val="clear" w:color="auto" w:fill="auto"/>
            <w:vAlign w:val="center"/>
          </w:tcPr>
          <w:p w14:paraId="5A2DBC5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0.96</w:t>
            </w:r>
          </w:p>
        </w:tc>
      </w:tr>
      <w:tr w14:paraId="7861FB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3A4FD64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40</w:t>
            </w:r>
          </w:p>
        </w:tc>
        <w:tc>
          <w:tcPr>
            <w:tcW w:w="1302" w:type="pct"/>
            <w:tcBorders>
              <w:tl2br w:val="nil"/>
              <w:tr2bl w:val="nil"/>
            </w:tcBorders>
            <w:shd w:val="clear" w:color="auto" w:fill="auto"/>
            <w:vAlign w:val="center"/>
          </w:tcPr>
          <w:p w14:paraId="30BBC91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边导线外37m</w:t>
            </w:r>
          </w:p>
        </w:tc>
        <w:tc>
          <w:tcPr>
            <w:tcW w:w="750" w:type="pct"/>
            <w:tcBorders>
              <w:tl2br w:val="nil"/>
              <w:tr2bl w:val="nil"/>
            </w:tcBorders>
            <w:shd w:val="clear" w:color="auto" w:fill="auto"/>
            <w:vAlign w:val="center"/>
          </w:tcPr>
          <w:p w14:paraId="74C555C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0.049</w:t>
            </w:r>
          </w:p>
        </w:tc>
        <w:tc>
          <w:tcPr>
            <w:tcW w:w="754" w:type="pct"/>
            <w:tcBorders>
              <w:tl2br w:val="nil"/>
              <w:tr2bl w:val="nil"/>
            </w:tcBorders>
            <w:shd w:val="clear" w:color="auto" w:fill="auto"/>
            <w:vAlign w:val="center"/>
          </w:tcPr>
          <w:p w14:paraId="6533076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0.044</w:t>
            </w:r>
          </w:p>
        </w:tc>
        <w:tc>
          <w:tcPr>
            <w:tcW w:w="750" w:type="pct"/>
            <w:tcBorders>
              <w:tl2br w:val="nil"/>
              <w:tr2bl w:val="nil"/>
            </w:tcBorders>
            <w:shd w:val="clear" w:color="auto" w:fill="auto"/>
            <w:vAlign w:val="center"/>
          </w:tcPr>
          <w:p w14:paraId="48F00CC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0.91</w:t>
            </w:r>
          </w:p>
        </w:tc>
        <w:tc>
          <w:tcPr>
            <w:tcW w:w="757" w:type="pct"/>
            <w:tcBorders>
              <w:tl2br w:val="nil"/>
              <w:tr2bl w:val="nil"/>
            </w:tcBorders>
            <w:shd w:val="clear" w:color="auto" w:fill="auto"/>
            <w:vAlign w:val="center"/>
          </w:tcPr>
          <w:p w14:paraId="6EFB7BB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0.92</w:t>
            </w:r>
          </w:p>
        </w:tc>
      </w:tr>
      <w:tr w14:paraId="5A9CBB7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FC4B19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41</w:t>
            </w:r>
          </w:p>
        </w:tc>
        <w:tc>
          <w:tcPr>
            <w:tcW w:w="1302" w:type="pct"/>
            <w:tcBorders>
              <w:tl2br w:val="nil"/>
              <w:tr2bl w:val="nil"/>
            </w:tcBorders>
            <w:shd w:val="clear" w:color="auto" w:fill="auto"/>
            <w:vAlign w:val="center"/>
          </w:tcPr>
          <w:p w14:paraId="6FB7FA9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边导线外38m</w:t>
            </w:r>
          </w:p>
        </w:tc>
        <w:tc>
          <w:tcPr>
            <w:tcW w:w="750" w:type="pct"/>
            <w:tcBorders>
              <w:tl2br w:val="nil"/>
              <w:tr2bl w:val="nil"/>
            </w:tcBorders>
            <w:shd w:val="clear" w:color="auto" w:fill="auto"/>
            <w:vAlign w:val="center"/>
          </w:tcPr>
          <w:p w14:paraId="33612EF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0.046</w:t>
            </w:r>
          </w:p>
        </w:tc>
        <w:tc>
          <w:tcPr>
            <w:tcW w:w="754" w:type="pct"/>
            <w:tcBorders>
              <w:tl2br w:val="nil"/>
              <w:tr2bl w:val="nil"/>
            </w:tcBorders>
            <w:shd w:val="clear" w:color="auto" w:fill="auto"/>
            <w:vAlign w:val="center"/>
          </w:tcPr>
          <w:p w14:paraId="63D4E13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0.041</w:t>
            </w:r>
          </w:p>
        </w:tc>
        <w:tc>
          <w:tcPr>
            <w:tcW w:w="750" w:type="pct"/>
            <w:tcBorders>
              <w:tl2br w:val="nil"/>
              <w:tr2bl w:val="nil"/>
            </w:tcBorders>
            <w:shd w:val="clear" w:color="auto" w:fill="auto"/>
            <w:vAlign w:val="center"/>
          </w:tcPr>
          <w:p w14:paraId="5AA0C8B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0.87</w:t>
            </w:r>
          </w:p>
        </w:tc>
        <w:tc>
          <w:tcPr>
            <w:tcW w:w="757" w:type="pct"/>
            <w:tcBorders>
              <w:tl2br w:val="nil"/>
              <w:tr2bl w:val="nil"/>
            </w:tcBorders>
            <w:shd w:val="clear" w:color="auto" w:fill="auto"/>
            <w:vAlign w:val="center"/>
          </w:tcPr>
          <w:p w14:paraId="2B4074C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0.88</w:t>
            </w:r>
          </w:p>
        </w:tc>
      </w:tr>
      <w:tr w14:paraId="67CE76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2B2FD9B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42</w:t>
            </w:r>
          </w:p>
        </w:tc>
        <w:tc>
          <w:tcPr>
            <w:tcW w:w="1302" w:type="pct"/>
            <w:tcBorders>
              <w:tl2br w:val="nil"/>
              <w:tr2bl w:val="nil"/>
            </w:tcBorders>
            <w:shd w:val="clear" w:color="auto" w:fill="auto"/>
            <w:vAlign w:val="center"/>
          </w:tcPr>
          <w:p w14:paraId="6EF8631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边导线外39m</w:t>
            </w:r>
          </w:p>
        </w:tc>
        <w:tc>
          <w:tcPr>
            <w:tcW w:w="750" w:type="pct"/>
            <w:tcBorders>
              <w:tl2br w:val="nil"/>
              <w:tr2bl w:val="nil"/>
            </w:tcBorders>
            <w:shd w:val="clear" w:color="auto" w:fill="auto"/>
            <w:vAlign w:val="center"/>
          </w:tcPr>
          <w:p w14:paraId="75A4607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0.043</w:t>
            </w:r>
          </w:p>
        </w:tc>
        <w:tc>
          <w:tcPr>
            <w:tcW w:w="754" w:type="pct"/>
            <w:tcBorders>
              <w:tl2br w:val="nil"/>
              <w:tr2bl w:val="nil"/>
            </w:tcBorders>
            <w:shd w:val="clear" w:color="auto" w:fill="auto"/>
            <w:vAlign w:val="center"/>
          </w:tcPr>
          <w:p w14:paraId="4B834CA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0.038</w:t>
            </w:r>
          </w:p>
        </w:tc>
        <w:tc>
          <w:tcPr>
            <w:tcW w:w="750" w:type="pct"/>
            <w:tcBorders>
              <w:tl2br w:val="nil"/>
              <w:tr2bl w:val="nil"/>
            </w:tcBorders>
            <w:shd w:val="clear" w:color="auto" w:fill="auto"/>
            <w:vAlign w:val="center"/>
          </w:tcPr>
          <w:p w14:paraId="315C527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0.84</w:t>
            </w:r>
          </w:p>
        </w:tc>
        <w:tc>
          <w:tcPr>
            <w:tcW w:w="757" w:type="pct"/>
            <w:tcBorders>
              <w:tl2br w:val="nil"/>
              <w:tr2bl w:val="nil"/>
            </w:tcBorders>
            <w:shd w:val="clear" w:color="auto" w:fill="auto"/>
            <w:vAlign w:val="center"/>
          </w:tcPr>
          <w:p w14:paraId="088D55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0.85</w:t>
            </w:r>
          </w:p>
        </w:tc>
      </w:tr>
      <w:tr w14:paraId="721B28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0C9FE98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43</w:t>
            </w:r>
          </w:p>
        </w:tc>
        <w:tc>
          <w:tcPr>
            <w:tcW w:w="1302" w:type="pct"/>
            <w:tcBorders>
              <w:tl2br w:val="nil"/>
              <w:tr2bl w:val="nil"/>
            </w:tcBorders>
            <w:shd w:val="clear" w:color="auto" w:fill="auto"/>
            <w:vAlign w:val="center"/>
          </w:tcPr>
          <w:p w14:paraId="69B12A6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边导线外40m</w:t>
            </w:r>
          </w:p>
        </w:tc>
        <w:tc>
          <w:tcPr>
            <w:tcW w:w="750" w:type="pct"/>
            <w:tcBorders>
              <w:tl2br w:val="nil"/>
              <w:tr2bl w:val="nil"/>
            </w:tcBorders>
            <w:shd w:val="clear" w:color="auto" w:fill="auto"/>
            <w:vAlign w:val="center"/>
          </w:tcPr>
          <w:p w14:paraId="4D36B2F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0.040</w:t>
            </w:r>
          </w:p>
        </w:tc>
        <w:tc>
          <w:tcPr>
            <w:tcW w:w="754" w:type="pct"/>
            <w:tcBorders>
              <w:tl2br w:val="nil"/>
              <w:tr2bl w:val="nil"/>
            </w:tcBorders>
            <w:shd w:val="clear" w:color="auto" w:fill="auto"/>
            <w:vAlign w:val="center"/>
          </w:tcPr>
          <w:p w14:paraId="64FB836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0.036</w:t>
            </w:r>
          </w:p>
        </w:tc>
        <w:tc>
          <w:tcPr>
            <w:tcW w:w="750" w:type="pct"/>
            <w:tcBorders>
              <w:tl2br w:val="nil"/>
              <w:tr2bl w:val="nil"/>
            </w:tcBorders>
            <w:shd w:val="clear" w:color="auto" w:fill="auto"/>
            <w:vAlign w:val="center"/>
          </w:tcPr>
          <w:p w14:paraId="7F940AA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0.81</w:t>
            </w:r>
          </w:p>
        </w:tc>
        <w:tc>
          <w:tcPr>
            <w:tcW w:w="757" w:type="pct"/>
            <w:tcBorders>
              <w:tl2br w:val="nil"/>
              <w:tr2bl w:val="nil"/>
            </w:tcBorders>
            <w:shd w:val="clear" w:color="auto" w:fill="auto"/>
            <w:vAlign w:val="center"/>
          </w:tcPr>
          <w:p w14:paraId="5991DDB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0.82</w:t>
            </w:r>
          </w:p>
        </w:tc>
      </w:tr>
      <w:tr w14:paraId="578E9BC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51C5551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44</w:t>
            </w:r>
          </w:p>
        </w:tc>
        <w:tc>
          <w:tcPr>
            <w:tcW w:w="1302" w:type="pct"/>
            <w:tcBorders>
              <w:tl2br w:val="nil"/>
              <w:tr2bl w:val="nil"/>
            </w:tcBorders>
            <w:shd w:val="clear" w:color="auto" w:fill="auto"/>
            <w:vAlign w:val="center"/>
          </w:tcPr>
          <w:p w14:paraId="61B2F61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边导线外41m</w:t>
            </w:r>
          </w:p>
        </w:tc>
        <w:tc>
          <w:tcPr>
            <w:tcW w:w="750" w:type="pct"/>
            <w:tcBorders>
              <w:tl2br w:val="nil"/>
              <w:tr2bl w:val="nil"/>
            </w:tcBorders>
            <w:shd w:val="clear" w:color="auto" w:fill="auto"/>
            <w:vAlign w:val="center"/>
          </w:tcPr>
          <w:p w14:paraId="2505F3E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0.038</w:t>
            </w:r>
          </w:p>
        </w:tc>
        <w:tc>
          <w:tcPr>
            <w:tcW w:w="754" w:type="pct"/>
            <w:tcBorders>
              <w:tl2br w:val="nil"/>
              <w:tr2bl w:val="nil"/>
            </w:tcBorders>
            <w:shd w:val="clear" w:color="auto" w:fill="auto"/>
            <w:vAlign w:val="center"/>
          </w:tcPr>
          <w:p w14:paraId="05F7CBD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0.034</w:t>
            </w:r>
          </w:p>
        </w:tc>
        <w:tc>
          <w:tcPr>
            <w:tcW w:w="750" w:type="pct"/>
            <w:tcBorders>
              <w:tl2br w:val="nil"/>
              <w:tr2bl w:val="nil"/>
            </w:tcBorders>
            <w:shd w:val="clear" w:color="auto" w:fill="auto"/>
            <w:vAlign w:val="center"/>
          </w:tcPr>
          <w:p w14:paraId="0B42073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0.78</w:t>
            </w:r>
          </w:p>
        </w:tc>
        <w:tc>
          <w:tcPr>
            <w:tcW w:w="757" w:type="pct"/>
            <w:tcBorders>
              <w:tl2br w:val="nil"/>
              <w:tr2bl w:val="nil"/>
            </w:tcBorders>
            <w:shd w:val="clear" w:color="auto" w:fill="auto"/>
            <w:vAlign w:val="center"/>
          </w:tcPr>
          <w:p w14:paraId="31750A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0.79</w:t>
            </w:r>
          </w:p>
        </w:tc>
      </w:tr>
      <w:tr w14:paraId="2B05559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712889A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45</w:t>
            </w:r>
          </w:p>
        </w:tc>
        <w:tc>
          <w:tcPr>
            <w:tcW w:w="1302" w:type="pct"/>
            <w:tcBorders>
              <w:tl2br w:val="nil"/>
              <w:tr2bl w:val="nil"/>
            </w:tcBorders>
            <w:shd w:val="clear" w:color="auto" w:fill="auto"/>
            <w:vAlign w:val="center"/>
          </w:tcPr>
          <w:p w14:paraId="1079B42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边导线外42m</w:t>
            </w:r>
          </w:p>
        </w:tc>
        <w:tc>
          <w:tcPr>
            <w:tcW w:w="750" w:type="pct"/>
            <w:tcBorders>
              <w:tl2br w:val="nil"/>
              <w:tr2bl w:val="nil"/>
            </w:tcBorders>
            <w:shd w:val="clear" w:color="auto" w:fill="auto"/>
            <w:vAlign w:val="center"/>
          </w:tcPr>
          <w:p w14:paraId="5000675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0.036</w:t>
            </w:r>
          </w:p>
        </w:tc>
        <w:tc>
          <w:tcPr>
            <w:tcW w:w="754" w:type="pct"/>
            <w:tcBorders>
              <w:tl2br w:val="nil"/>
              <w:tr2bl w:val="nil"/>
            </w:tcBorders>
            <w:shd w:val="clear" w:color="auto" w:fill="auto"/>
            <w:vAlign w:val="center"/>
          </w:tcPr>
          <w:p w14:paraId="280962C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0.032</w:t>
            </w:r>
          </w:p>
        </w:tc>
        <w:tc>
          <w:tcPr>
            <w:tcW w:w="750" w:type="pct"/>
            <w:tcBorders>
              <w:tl2br w:val="nil"/>
              <w:tr2bl w:val="nil"/>
            </w:tcBorders>
            <w:shd w:val="clear" w:color="auto" w:fill="auto"/>
            <w:vAlign w:val="center"/>
          </w:tcPr>
          <w:p w14:paraId="2FAC1EC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0.75</w:t>
            </w:r>
          </w:p>
        </w:tc>
        <w:tc>
          <w:tcPr>
            <w:tcW w:w="757" w:type="pct"/>
            <w:tcBorders>
              <w:tl2br w:val="nil"/>
              <w:tr2bl w:val="nil"/>
            </w:tcBorders>
            <w:shd w:val="clear" w:color="auto" w:fill="auto"/>
            <w:vAlign w:val="center"/>
          </w:tcPr>
          <w:p w14:paraId="6ACB935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0.76</w:t>
            </w:r>
          </w:p>
        </w:tc>
      </w:tr>
      <w:tr w14:paraId="43983E8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485DC5B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46</w:t>
            </w:r>
          </w:p>
        </w:tc>
        <w:tc>
          <w:tcPr>
            <w:tcW w:w="1302" w:type="pct"/>
            <w:tcBorders>
              <w:tl2br w:val="nil"/>
              <w:tr2bl w:val="nil"/>
            </w:tcBorders>
            <w:shd w:val="clear" w:color="auto" w:fill="auto"/>
            <w:vAlign w:val="center"/>
          </w:tcPr>
          <w:p w14:paraId="6D2BD1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边导线外43m</w:t>
            </w:r>
          </w:p>
        </w:tc>
        <w:tc>
          <w:tcPr>
            <w:tcW w:w="750" w:type="pct"/>
            <w:tcBorders>
              <w:tl2br w:val="nil"/>
              <w:tr2bl w:val="nil"/>
            </w:tcBorders>
            <w:shd w:val="clear" w:color="auto" w:fill="auto"/>
            <w:vAlign w:val="center"/>
          </w:tcPr>
          <w:p w14:paraId="29E2D94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0.034</w:t>
            </w:r>
          </w:p>
        </w:tc>
        <w:tc>
          <w:tcPr>
            <w:tcW w:w="754" w:type="pct"/>
            <w:tcBorders>
              <w:tl2br w:val="nil"/>
              <w:tr2bl w:val="nil"/>
            </w:tcBorders>
            <w:shd w:val="clear" w:color="auto" w:fill="auto"/>
            <w:vAlign w:val="center"/>
          </w:tcPr>
          <w:p w14:paraId="487EF78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0.030</w:t>
            </w:r>
          </w:p>
        </w:tc>
        <w:tc>
          <w:tcPr>
            <w:tcW w:w="750" w:type="pct"/>
            <w:tcBorders>
              <w:tl2br w:val="nil"/>
              <w:tr2bl w:val="nil"/>
            </w:tcBorders>
            <w:shd w:val="clear" w:color="auto" w:fill="auto"/>
            <w:vAlign w:val="center"/>
          </w:tcPr>
          <w:p w14:paraId="1262D90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0.72</w:t>
            </w:r>
          </w:p>
        </w:tc>
        <w:tc>
          <w:tcPr>
            <w:tcW w:w="757" w:type="pct"/>
            <w:tcBorders>
              <w:tl2br w:val="nil"/>
              <w:tr2bl w:val="nil"/>
            </w:tcBorders>
            <w:shd w:val="clear" w:color="auto" w:fill="auto"/>
            <w:vAlign w:val="center"/>
          </w:tcPr>
          <w:p w14:paraId="0ED9F97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0.73</w:t>
            </w:r>
          </w:p>
        </w:tc>
      </w:tr>
      <w:tr w14:paraId="299BC70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71EFCC0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47</w:t>
            </w:r>
          </w:p>
        </w:tc>
        <w:tc>
          <w:tcPr>
            <w:tcW w:w="1302" w:type="pct"/>
            <w:tcBorders>
              <w:tl2br w:val="nil"/>
              <w:tr2bl w:val="nil"/>
            </w:tcBorders>
            <w:shd w:val="clear" w:color="auto" w:fill="auto"/>
            <w:vAlign w:val="center"/>
          </w:tcPr>
          <w:p w14:paraId="19D5566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边导线外44m</w:t>
            </w:r>
          </w:p>
        </w:tc>
        <w:tc>
          <w:tcPr>
            <w:tcW w:w="750" w:type="pct"/>
            <w:tcBorders>
              <w:tl2br w:val="nil"/>
              <w:tr2bl w:val="nil"/>
            </w:tcBorders>
            <w:shd w:val="clear" w:color="auto" w:fill="auto"/>
            <w:vAlign w:val="center"/>
          </w:tcPr>
          <w:p w14:paraId="7E7AA8B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0.032</w:t>
            </w:r>
          </w:p>
        </w:tc>
        <w:tc>
          <w:tcPr>
            <w:tcW w:w="754" w:type="pct"/>
            <w:tcBorders>
              <w:tl2br w:val="nil"/>
              <w:tr2bl w:val="nil"/>
            </w:tcBorders>
            <w:shd w:val="clear" w:color="auto" w:fill="auto"/>
            <w:vAlign w:val="center"/>
          </w:tcPr>
          <w:p w14:paraId="617B110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0.029</w:t>
            </w:r>
          </w:p>
        </w:tc>
        <w:tc>
          <w:tcPr>
            <w:tcW w:w="750" w:type="pct"/>
            <w:tcBorders>
              <w:tl2br w:val="nil"/>
              <w:tr2bl w:val="nil"/>
            </w:tcBorders>
            <w:shd w:val="clear" w:color="auto" w:fill="auto"/>
            <w:vAlign w:val="center"/>
          </w:tcPr>
          <w:p w14:paraId="7D5792A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w:t>
            </w:r>
          </w:p>
        </w:tc>
        <w:tc>
          <w:tcPr>
            <w:tcW w:w="757" w:type="pct"/>
            <w:tcBorders>
              <w:tl2br w:val="nil"/>
              <w:tr2bl w:val="nil"/>
            </w:tcBorders>
            <w:shd w:val="clear" w:color="auto" w:fill="auto"/>
            <w:vAlign w:val="center"/>
          </w:tcPr>
          <w:p w14:paraId="5854E82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0.71</w:t>
            </w:r>
          </w:p>
        </w:tc>
      </w:tr>
      <w:tr w14:paraId="542A807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3E0F2C5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48</w:t>
            </w:r>
          </w:p>
        </w:tc>
        <w:tc>
          <w:tcPr>
            <w:tcW w:w="1302" w:type="pct"/>
            <w:tcBorders>
              <w:tl2br w:val="nil"/>
              <w:tr2bl w:val="nil"/>
            </w:tcBorders>
            <w:shd w:val="clear" w:color="auto" w:fill="auto"/>
            <w:vAlign w:val="center"/>
          </w:tcPr>
          <w:p w14:paraId="03D7B2E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边导线外45m</w:t>
            </w:r>
          </w:p>
        </w:tc>
        <w:tc>
          <w:tcPr>
            <w:tcW w:w="750" w:type="pct"/>
            <w:tcBorders>
              <w:tl2br w:val="nil"/>
              <w:tr2bl w:val="nil"/>
            </w:tcBorders>
            <w:shd w:val="clear" w:color="auto" w:fill="auto"/>
            <w:vAlign w:val="center"/>
          </w:tcPr>
          <w:p w14:paraId="106C4B9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0.031</w:t>
            </w:r>
          </w:p>
        </w:tc>
        <w:tc>
          <w:tcPr>
            <w:tcW w:w="754" w:type="pct"/>
            <w:tcBorders>
              <w:tl2br w:val="nil"/>
              <w:tr2bl w:val="nil"/>
            </w:tcBorders>
            <w:shd w:val="clear" w:color="auto" w:fill="auto"/>
            <w:vAlign w:val="center"/>
          </w:tcPr>
          <w:p w14:paraId="1E400A8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0.028</w:t>
            </w:r>
          </w:p>
        </w:tc>
        <w:tc>
          <w:tcPr>
            <w:tcW w:w="750" w:type="pct"/>
            <w:tcBorders>
              <w:tl2br w:val="nil"/>
              <w:tr2bl w:val="nil"/>
            </w:tcBorders>
            <w:shd w:val="clear" w:color="auto" w:fill="auto"/>
            <w:vAlign w:val="center"/>
          </w:tcPr>
          <w:p w14:paraId="5C26EFB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0.68</w:t>
            </w:r>
          </w:p>
        </w:tc>
        <w:tc>
          <w:tcPr>
            <w:tcW w:w="757" w:type="pct"/>
            <w:tcBorders>
              <w:tl2br w:val="nil"/>
              <w:tr2bl w:val="nil"/>
            </w:tcBorders>
            <w:shd w:val="clear" w:color="auto" w:fill="auto"/>
            <w:vAlign w:val="center"/>
          </w:tcPr>
          <w:p w14:paraId="7D7A042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0.69</w:t>
            </w:r>
          </w:p>
        </w:tc>
      </w:tr>
      <w:tr w14:paraId="325F430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675C085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49</w:t>
            </w:r>
          </w:p>
        </w:tc>
        <w:tc>
          <w:tcPr>
            <w:tcW w:w="1302" w:type="pct"/>
            <w:tcBorders>
              <w:tl2br w:val="nil"/>
              <w:tr2bl w:val="nil"/>
            </w:tcBorders>
            <w:shd w:val="clear" w:color="auto" w:fill="auto"/>
            <w:vAlign w:val="center"/>
          </w:tcPr>
          <w:p w14:paraId="16703B0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边导线外46m</w:t>
            </w:r>
          </w:p>
        </w:tc>
        <w:tc>
          <w:tcPr>
            <w:tcW w:w="750" w:type="pct"/>
            <w:tcBorders>
              <w:tl2br w:val="nil"/>
              <w:tr2bl w:val="nil"/>
            </w:tcBorders>
            <w:shd w:val="clear" w:color="auto" w:fill="auto"/>
            <w:vAlign w:val="center"/>
          </w:tcPr>
          <w:p w14:paraId="61C4436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0.029</w:t>
            </w:r>
          </w:p>
        </w:tc>
        <w:tc>
          <w:tcPr>
            <w:tcW w:w="754" w:type="pct"/>
            <w:tcBorders>
              <w:tl2br w:val="nil"/>
              <w:tr2bl w:val="nil"/>
            </w:tcBorders>
            <w:shd w:val="clear" w:color="auto" w:fill="auto"/>
            <w:vAlign w:val="center"/>
          </w:tcPr>
          <w:p w14:paraId="05CFAE1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0.026</w:t>
            </w:r>
          </w:p>
        </w:tc>
        <w:tc>
          <w:tcPr>
            <w:tcW w:w="750" w:type="pct"/>
            <w:tcBorders>
              <w:tl2br w:val="nil"/>
              <w:tr2bl w:val="nil"/>
            </w:tcBorders>
            <w:shd w:val="clear" w:color="auto" w:fill="auto"/>
            <w:vAlign w:val="center"/>
          </w:tcPr>
          <w:p w14:paraId="4503355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0.66</w:t>
            </w:r>
          </w:p>
        </w:tc>
        <w:tc>
          <w:tcPr>
            <w:tcW w:w="757" w:type="pct"/>
            <w:tcBorders>
              <w:tl2br w:val="nil"/>
              <w:tr2bl w:val="nil"/>
            </w:tcBorders>
            <w:shd w:val="clear" w:color="auto" w:fill="auto"/>
            <w:vAlign w:val="center"/>
          </w:tcPr>
          <w:p w14:paraId="2C4AF7F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0.67</w:t>
            </w:r>
          </w:p>
        </w:tc>
      </w:tr>
      <w:tr w14:paraId="677772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1E16A4C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50</w:t>
            </w:r>
          </w:p>
        </w:tc>
        <w:tc>
          <w:tcPr>
            <w:tcW w:w="1302" w:type="pct"/>
            <w:tcBorders>
              <w:tl2br w:val="nil"/>
              <w:tr2bl w:val="nil"/>
            </w:tcBorders>
            <w:shd w:val="clear" w:color="auto" w:fill="auto"/>
            <w:vAlign w:val="center"/>
          </w:tcPr>
          <w:p w14:paraId="47FEEE97">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边导线外47m</w:t>
            </w:r>
          </w:p>
        </w:tc>
        <w:tc>
          <w:tcPr>
            <w:tcW w:w="750" w:type="pct"/>
            <w:tcBorders>
              <w:tl2br w:val="nil"/>
              <w:tr2bl w:val="nil"/>
            </w:tcBorders>
            <w:shd w:val="clear" w:color="auto" w:fill="auto"/>
            <w:vAlign w:val="center"/>
          </w:tcPr>
          <w:p w14:paraId="36D9068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0.028</w:t>
            </w:r>
          </w:p>
        </w:tc>
        <w:tc>
          <w:tcPr>
            <w:tcW w:w="754" w:type="pct"/>
            <w:tcBorders>
              <w:tl2br w:val="nil"/>
              <w:tr2bl w:val="nil"/>
            </w:tcBorders>
            <w:shd w:val="clear" w:color="auto" w:fill="auto"/>
            <w:vAlign w:val="center"/>
          </w:tcPr>
          <w:p w14:paraId="2CC5D2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0.025</w:t>
            </w:r>
          </w:p>
        </w:tc>
        <w:tc>
          <w:tcPr>
            <w:tcW w:w="750" w:type="pct"/>
            <w:tcBorders>
              <w:tl2br w:val="nil"/>
              <w:tr2bl w:val="nil"/>
            </w:tcBorders>
            <w:shd w:val="clear" w:color="auto" w:fill="auto"/>
            <w:vAlign w:val="center"/>
          </w:tcPr>
          <w:p w14:paraId="4702B9DB">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0.64</w:t>
            </w:r>
          </w:p>
        </w:tc>
        <w:tc>
          <w:tcPr>
            <w:tcW w:w="757" w:type="pct"/>
            <w:tcBorders>
              <w:tl2br w:val="nil"/>
              <w:tr2bl w:val="nil"/>
            </w:tcBorders>
            <w:shd w:val="clear" w:color="auto" w:fill="auto"/>
            <w:vAlign w:val="center"/>
          </w:tcPr>
          <w:p w14:paraId="4B334D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0.65</w:t>
            </w:r>
          </w:p>
        </w:tc>
      </w:tr>
      <w:tr w14:paraId="129C20C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685" w:type="pct"/>
            <w:tcBorders>
              <w:tl2br w:val="nil"/>
              <w:tr2bl w:val="nil"/>
            </w:tcBorders>
            <w:shd w:val="clear" w:color="auto" w:fill="auto"/>
            <w:vAlign w:val="center"/>
          </w:tcPr>
          <w:p w14:paraId="21D0A843">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51</w:t>
            </w:r>
          </w:p>
        </w:tc>
        <w:tc>
          <w:tcPr>
            <w:tcW w:w="1302" w:type="pct"/>
            <w:tcBorders>
              <w:tl2br w:val="nil"/>
              <w:tr2bl w:val="nil"/>
            </w:tcBorders>
            <w:shd w:val="clear" w:color="auto" w:fill="auto"/>
            <w:vAlign w:val="center"/>
          </w:tcPr>
          <w:p w14:paraId="6EEDE35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边导线外48m</w:t>
            </w:r>
          </w:p>
        </w:tc>
        <w:tc>
          <w:tcPr>
            <w:tcW w:w="750" w:type="pct"/>
            <w:tcBorders>
              <w:tl2br w:val="nil"/>
              <w:tr2bl w:val="nil"/>
            </w:tcBorders>
            <w:shd w:val="clear" w:color="auto" w:fill="auto"/>
            <w:vAlign w:val="center"/>
          </w:tcPr>
          <w:p w14:paraId="39BE97F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0.027</w:t>
            </w:r>
          </w:p>
        </w:tc>
        <w:tc>
          <w:tcPr>
            <w:tcW w:w="754" w:type="pct"/>
            <w:tcBorders>
              <w:tl2br w:val="nil"/>
              <w:tr2bl w:val="nil"/>
            </w:tcBorders>
            <w:shd w:val="clear" w:color="auto" w:fill="auto"/>
            <w:vAlign w:val="center"/>
          </w:tcPr>
          <w:p w14:paraId="14C2515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0.024</w:t>
            </w:r>
          </w:p>
        </w:tc>
        <w:tc>
          <w:tcPr>
            <w:tcW w:w="750" w:type="pct"/>
            <w:tcBorders>
              <w:tl2br w:val="nil"/>
              <w:tr2bl w:val="nil"/>
            </w:tcBorders>
            <w:shd w:val="clear" w:color="auto" w:fill="auto"/>
            <w:vAlign w:val="center"/>
          </w:tcPr>
          <w:p w14:paraId="693C8964">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0.62</w:t>
            </w:r>
          </w:p>
        </w:tc>
        <w:tc>
          <w:tcPr>
            <w:tcW w:w="757" w:type="pct"/>
            <w:tcBorders>
              <w:tl2br w:val="nil"/>
              <w:tr2bl w:val="nil"/>
            </w:tcBorders>
            <w:shd w:val="clear" w:color="auto" w:fill="auto"/>
            <w:vAlign w:val="center"/>
          </w:tcPr>
          <w:p w14:paraId="517479A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0.63</w:t>
            </w:r>
          </w:p>
        </w:tc>
      </w:tr>
      <w:tr w14:paraId="016A5E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6F50A1AF">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52</w:t>
            </w:r>
          </w:p>
        </w:tc>
        <w:tc>
          <w:tcPr>
            <w:tcW w:w="1302" w:type="pct"/>
            <w:tcBorders>
              <w:tl2br w:val="nil"/>
              <w:tr2bl w:val="nil"/>
            </w:tcBorders>
            <w:shd w:val="clear" w:color="auto" w:fill="auto"/>
            <w:vAlign w:val="center"/>
          </w:tcPr>
          <w:p w14:paraId="4A6DAE5D">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边导线外49m</w:t>
            </w:r>
          </w:p>
        </w:tc>
        <w:tc>
          <w:tcPr>
            <w:tcW w:w="750" w:type="pct"/>
            <w:tcBorders>
              <w:tl2br w:val="nil"/>
              <w:tr2bl w:val="nil"/>
            </w:tcBorders>
            <w:shd w:val="clear" w:color="auto" w:fill="auto"/>
            <w:vAlign w:val="center"/>
          </w:tcPr>
          <w:p w14:paraId="1AF09BD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0.026</w:t>
            </w:r>
          </w:p>
        </w:tc>
        <w:tc>
          <w:tcPr>
            <w:tcW w:w="754" w:type="pct"/>
            <w:tcBorders>
              <w:tl2br w:val="nil"/>
              <w:tr2bl w:val="nil"/>
            </w:tcBorders>
            <w:shd w:val="clear" w:color="auto" w:fill="auto"/>
            <w:vAlign w:val="center"/>
          </w:tcPr>
          <w:p w14:paraId="7DC792F5">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0.023</w:t>
            </w:r>
          </w:p>
        </w:tc>
        <w:tc>
          <w:tcPr>
            <w:tcW w:w="750" w:type="pct"/>
            <w:tcBorders>
              <w:tl2br w:val="nil"/>
              <w:tr2bl w:val="nil"/>
            </w:tcBorders>
            <w:shd w:val="clear" w:color="auto" w:fill="auto"/>
            <w:vAlign w:val="center"/>
          </w:tcPr>
          <w:p w14:paraId="75AE24E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w:t>
            </w:r>
          </w:p>
        </w:tc>
        <w:tc>
          <w:tcPr>
            <w:tcW w:w="757" w:type="pct"/>
            <w:tcBorders>
              <w:tl2br w:val="nil"/>
              <w:tr2bl w:val="nil"/>
            </w:tcBorders>
            <w:shd w:val="clear" w:color="auto" w:fill="auto"/>
            <w:vAlign w:val="center"/>
          </w:tcPr>
          <w:p w14:paraId="5C806BFE">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0.61</w:t>
            </w:r>
          </w:p>
        </w:tc>
      </w:tr>
      <w:tr w14:paraId="14F3001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685" w:type="pct"/>
            <w:tcBorders>
              <w:tl2br w:val="nil"/>
              <w:tr2bl w:val="nil"/>
            </w:tcBorders>
            <w:shd w:val="clear" w:color="auto" w:fill="auto"/>
            <w:vAlign w:val="center"/>
          </w:tcPr>
          <w:p w14:paraId="7BBCDBE8">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53</w:t>
            </w:r>
          </w:p>
        </w:tc>
        <w:tc>
          <w:tcPr>
            <w:tcW w:w="1302" w:type="pct"/>
            <w:tcBorders>
              <w:tl2br w:val="nil"/>
              <w:tr2bl w:val="nil"/>
            </w:tcBorders>
            <w:shd w:val="clear" w:color="auto" w:fill="auto"/>
            <w:vAlign w:val="center"/>
          </w:tcPr>
          <w:p w14:paraId="5A2E94C9">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边导线外50m</w:t>
            </w:r>
          </w:p>
        </w:tc>
        <w:tc>
          <w:tcPr>
            <w:tcW w:w="750" w:type="pct"/>
            <w:tcBorders>
              <w:tl2br w:val="nil"/>
              <w:tr2bl w:val="nil"/>
            </w:tcBorders>
            <w:shd w:val="clear" w:color="auto" w:fill="auto"/>
            <w:vAlign w:val="center"/>
          </w:tcPr>
          <w:p w14:paraId="770CC86C">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0.025</w:t>
            </w:r>
          </w:p>
        </w:tc>
        <w:tc>
          <w:tcPr>
            <w:tcW w:w="754" w:type="pct"/>
            <w:tcBorders>
              <w:tl2br w:val="nil"/>
              <w:tr2bl w:val="nil"/>
            </w:tcBorders>
            <w:shd w:val="clear" w:color="auto" w:fill="auto"/>
            <w:vAlign w:val="center"/>
          </w:tcPr>
          <w:p w14:paraId="2DD0992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pPr>
            <w:r>
              <w:rPr>
                <w:rFonts w:hint="default" w:ascii="Times New Roman" w:hAnsi="Times New Roman" w:eastAsia="宋体" w:cs="Times New Roman"/>
                <w:b w:val="0"/>
                <w:bCs w:val="0"/>
                <w:i w:val="0"/>
                <w:iCs w:val="0"/>
                <w:caps w:val="0"/>
                <w:color w:val="0F1115"/>
                <w:spacing w:val="0"/>
                <w:kern w:val="0"/>
                <w:sz w:val="18"/>
                <w:szCs w:val="18"/>
                <w:highlight w:val="none"/>
                <w:lang w:val="en-US" w:eastAsia="zh-CN" w:bidi="ar"/>
              </w:rPr>
              <w:t>0.022</w:t>
            </w:r>
          </w:p>
        </w:tc>
        <w:tc>
          <w:tcPr>
            <w:tcW w:w="750" w:type="pct"/>
            <w:tcBorders>
              <w:tl2br w:val="nil"/>
              <w:tr2bl w:val="nil"/>
            </w:tcBorders>
            <w:shd w:val="clear" w:color="auto" w:fill="auto"/>
            <w:vAlign w:val="center"/>
          </w:tcPr>
          <w:p w14:paraId="29614112">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0.58</w:t>
            </w:r>
          </w:p>
        </w:tc>
        <w:tc>
          <w:tcPr>
            <w:tcW w:w="757" w:type="pct"/>
            <w:tcBorders>
              <w:tl2br w:val="nil"/>
              <w:tr2bl w:val="nil"/>
            </w:tcBorders>
            <w:shd w:val="clear" w:color="auto" w:fill="auto"/>
            <w:vAlign w:val="center"/>
          </w:tcPr>
          <w:p w14:paraId="32D98600">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0.59</w:t>
            </w:r>
          </w:p>
        </w:tc>
      </w:tr>
      <w:tr w14:paraId="1465B87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1987" w:type="pct"/>
            <w:gridSpan w:val="2"/>
            <w:tcBorders>
              <w:tl2br w:val="nil"/>
              <w:tr2bl w:val="nil"/>
            </w:tcBorders>
            <w:shd w:val="clear" w:color="auto" w:fill="auto"/>
            <w:vAlign w:val="center"/>
          </w:tcPr>
          <w:p w14:paraId="64BC8459">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最大值</w:t>
            </w:r>
            <w:r>
              <w:rPr>
                <w:rFonts w:hint="eastAsia" w:cs="Times New Roman"/>
                <w:b w:val="0"/>
                <w:bCs w:val="0"/>
                <w:sz w:val="18"/>
                <w:szCs w:val="18"/>
                <w:highlight w:val="none"/>
                <w:lang w:eastAsia="zh-CN"/>
              </w:rPr>
              <w:t>（</w:t>
            </w:r>
            <w:r>
              <w:rPr>
                <w:rFonts w:hint="default" w:ascii="Times New Roman" w:hAnsi="Times New Roman" w:eastAsia="宋体" w:cs="Times New Roman"/>
                <w:b w:val="0"/>
                <w:bCs w:val="0"/>
                <w:sz w:val="18"/>
                <w:szCs w:val="18"/>
                <w:highlight w:val="none"/>
              </w:rPr>
              <w:t>kV/m</w:t>
            </w:r>
            <w:r>
              <w:rPr>
                <w:rFonts w:hint="eastAsia" w:cs="Times New Roman"/>
                <w:b w:val="0"/>
                <w:bCs w:val="0"/>
                <w:sz w:val="18"/>
                <w:szCs w:val="18"/>
                <w:highlight w:val="none"/>
                <w:lang w:eastAsia="zh-CN"/>
              </w:rPr>
              <w:t>）</w:t>
            </w:r>
          </w:p>
        </w:tc>
        <w:tc>
          <w:tcPr>
            <w:tcW w:w="750" w:type="pct"/>
            <w:tcBorders>
              <w:tl2br w:val="nil"/>
              <w:tr2bl w:val="nil"/>
            </w:tcBorders>
            <w:shd w:val="clear" w:color="auto" w:fill="auto"/>
            <w:vAlign w:val="center"/>
          </w:tcPr>
          <w:p w14:paraId="2F2E3A47">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2.173</w:t>
            </w:r>
          </w:p>
        </w:tc>
        <w:tc>
          <w:tcPr>
            <w:tcW w:w="754" w:type="pct"/>
            <w:tcBorders>
              <w:tl2br w:val="nil"/>
              <w:tr2bl w:val="nil"/>
            </w:tcBorders>
            <w:shd w:val="clear" w:color="auto" w:fill="auto"/>
            <w:vAlign w:val="center"/>
          </w:tcPr>
          <w:p w14:paraId="1B7E7782">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2.705 </w:t>
            </w:r>
          </w:p>
        </w:tc>
        <w:tc>
          <w:tcPr>
            <w:tcW w:w="750" w:type="pct"/>
            <w:tcBorders>
              <w:tl2br w:val="nil"/>
              <w:tr2bl w:val="nil"/>
            </w:tcBorders>
            <w:shd w:val="clear" w:color="auto" w:fill="auto"/>
            <w:vAlign w:val="center"/>
          </w:tcPr>
          <w:p w14:paraId="5DBB752A">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22.22</w:t>
            </w:r>
          </w:p>
        </w:tc>
        <w:tc>
          <w:tcPr>
            <w:tcW w:w="757" w:type="pct"/>
            <w:tcBorders>
              <w:tl2br w:val="nil"/>
              <w:tr2bl w:val="nil"/>
            </w:tcBorders>
            <w:shd w:val="clear" w:color="auto" w:fill="auto"/>
            <w:vAlign w:val="center"/>
          </w:tcPr>
          <w:p w14:paraId="7B8ABC4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default" w:ascii="Times New Roman" w:hAnsi="Times New Roman" w:eastAsia="宋体" w:cs="Times New Roman"/>
                <w:i w:val="0"/>
                <w:iCs w:val="0"/>
                <w:color w:val="0F1115"/>
                <w:kern w:val="0"/>
                <w:sz w:val="18"/>
                <w:szCs w:val="18"/>
                <w:highlight w:val="none"/>
                <w:u w:val="none"/>
                <w:lang w:val="en-US" w:eastAsia="zh-CN" w:bidi="ar"/>
              </w:rPr>
              <w:t>25</w:t>
            </w:r>
          </w:p>
        </w:tc>
      </w:tr>
      <w:tr w14:paraId="1C47454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c>
          <w:tcPr>
            <w:tcW w:w="1987" w:type="pct"/>
            <w:gridSpan w:val="2"/>
            <w:tcBorders>
              <w:tl2br w:val="nil"/>
              <w:tr2bl w:val="nil"/>
            </w:tcBorders>
            <w:shd w:val="clear" w:color="auto" w:fill="auto"/>
            <w:vAlign w:val="center"/>
          </w:tcPr>
          <w:p w14:paraId="1D62DB4B">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最大值处距线路走廊中心距离</w:t>
            </w:r>
            <w:r>
              <w:rPr>
                <w:rFonts w:hint="eastAsia" w:cs="Times New Roman"/>
                <w:b w:val="0"/>
                <w:bCs w:val="0"/>
                <w:sz w:val="18"/>
                <w:szCs w:val="18"/>
                <w:highlight w:val="none"/>
                <w:lang w:eastAsia="zh-CN"/>
              </w:rPr>
              <w:t>（</w:t>
            </w:r>
            <w:r>
              <w:rPr>
                <w:rFonts w:hint="default" w:ascii="Times New Roman" w:hAnsi="Times New Roman" w:eastAsia="宋体" w:cs="Times New Roman"/>
                <w:b w:val="0"/>
                <w:bCs w:val="0"/>
                <w:sz w:val="18"/>
                <w:szCs w:val="18"/>
                <w:highlight w:val="none"/>
              </w:rPr>
              <w:t>m</w:t>
            </w:r>
            <w:r>
              <w:rPr>
                <w:rFonts w:hint="eastAsia" w:cs="Times New Roman"/>
                <w:b w:val="0"/>
                <w:bCs w:val="0"/>
                <w:sz w:val="18"/>
                <w:szCs w:val="18"/>
                <w:highlight w:val="none"/>
                <w:lang w:eastAsia="zh-CN"/>
              </w:rPr>
              <w:t>）</w:t>
            </w:r>
          </w:p>
        </w:tc>
        <w:tc>
          <w:tcPr>
            <w:tcW w:w="750" w:type="pct"/>
            <w:tcBorders>
              <w:tl2br w:val="nil"/>
              <w:tr2bl w:val="nil"/>
            </w:tcBorders>
            <w:shd w:val="clear" w:color="auto" w:fill="auto"/>
            <w:vAlign w:val="center"/>
          </w:tcPr>
          <w:p w14:paraId="74837DD9">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lang w:val="en-US" w:eastAsia="zh-CN"/>
              </w:rPr>
            </w:pPr>
            <w:r>
              <w:rPr>
                <w:rFonts w:hint="default" w:ascii="Times New Roman" w:hAnsi="Times New Roman" w:eastAsia="宋体" w:cs="Times New Roman"/>
                <w:b w:val="0"/>
                <w:bCs w:val="0"/>
                <w:sz w:val="18"/>
                <w:szCs w:val="18"/>
                <w:highlight w:val="none"/>
                <w:lang w:val="en-US" w:eastAsia="zh-CN"/>
              </w:rPr>
              <w:t>±3</w:t>
            </w:r>
          </w:p>
        </w:tc>
        <w:tc>
          <w:tcPr>
            <w:tcW w:w="754" w:type="pct"/>
            <w:tcBorders>
              <w:tl2br w:val="nil"/>
              <w:tr2bl w:val="nil"/>
            </w:tcBorders>
            <w:shd w:val="clear" w:color="auto" w:fill="auto"/>
            <w:vAlign w:val="center"/>
          </w:tcPr>
          <w:p w14:paraId="737FD11C">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lang w:val="en-US" w:eastAsia="zh-CN"/>
              </w:rPr>
              <w:t>±3</w:t>
            </w:r>
          </w:p>
        </w:tc>
        <w:tc>
          <w:tcPr>
            <w:tcW w:w="750" w:type="pct"/>
            <w:tcBorders>
              <w:tl2br w:val="nil"/>
              <w:tr2bl w:val="nil"/>
            </w:tcBorders>
            <w:shd w:val="clear" w:color="auto" w:fill="auto"/>
            <w:vAlign w:val="center"/>
          </w:tcPr>
          <w:p w14:paraId="098612F1">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eastAsia" w:cs="Times New Roman"/>
                <w:i w:val="0"/>
                <w:iCs w:val="0"/>
                <w:color w:val="0F1115"/>
                <w:kern w:val="2"/>
                <w:sz w:val="18"/>
                <w:szCs w:val="18"/>
                <w:highlight w:val="none"/>
                <w:u w:val="none"/>
                <w:lang w:val="en-US" w:eastAsia="zh-CN" w:bidi="ar-SA"/>
              </w:rPr>
              <w:t>0</w:t>
            </w:r>
          </w:p>
        </w:tc>
        <w:tc>
          <w:tcPr>
            <w:tcW w:w="757" w:type="pct"/>
            <w:tcBorders>
              <w:tl2br w:val="nil"/>
              <w:tr2bl w:val="nil"/>
            </w:tcBorders>
            <w:shd w:val="clear" w:color="auto" w:fill="auto"/>
            <w:vAlign w:val="center"/>
          </w:tcPr>
          <w:p w14:paraId="77914D16">
            <w:pPr>
              <w:keepNext w:val="0"/>
              <w:keepLines w:val="0"/>
              <w:pageBreakBefore w:val="0"/>
              <w:widowControl/>
              <w:suppressLineNumbers w:val="0"/>
              <w:shd w:val="clear"/>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F1115"/>
                <w:kern w:val="2"/>
                <w:sz w:val="18"/>
                <w:szCs w:val="18"/>
                <w:highlight w:val="none"/>
                <w:u w:val="none"/>
                <w:lang w:val="en-US" w:eastAsia="zh-CN" w:bidi="ar-SA"/>
              </w:rPr>
            </w:pPr>
            <w:r>
              <w:rPr>
                <w:rFonts w:hint="eastAsia" w:cs="Times New Roman"/>
                <w:i w:val="0"/>
                <w:iCs w:val="0"/>
                <w:color w:val="0F1115"/>
                <w:kern w:val="2"/>
                <w:sz w:val="18"/>
                <w:szCs w:val="18"/>
                <w:highlight w:val="none"/>
                <w:u w:val="none"/>
                <w:lang w:val="en-US" w:eastAsia="zh-CN" w:bidi="ar-SA"/>
              </w:rPr>
              <w:t>0</w:t>
            </w:r>
          </w:p>
        </w:tc>
      </w:tr>
      <w:tr w14:paraId="4116D32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auto"/>
          <w:tblCellMar>
            <w:top w:w="0" w:type="dxa"/>
            <w:left w:w="108" w:type="dxa"/>
            <w:bottom w:w="0" w:type="dxa"/>
            <w:right w:w="108" w:type="dxa"/>
          </w:tblCellMar>
        </w:tblPrEx>
        <w:tc>
          <w:tcPr>
            <w:tcW w:w="1987" w:type="pct"/>
            <w:gridSpan w:val="2"/>
            <w:tcBorders>
              <w:tl2br w:val="nil"/>
              <w:tr2bl w:val="nil"/>
            </w:tcBorders>
            <w:shd w:val="clear" w:color="auto" w:fill="auto"/>
            <w:vAlign w:val="center"/>
          </w:tcPr>
          <w:p w14:paraId="753940B4">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标准限值</w:t>
            </w:r>
          </w:p>
        </w:tc>
        <w:tc>
          <w:tcPr>
            <w:tcW w:w="750" w:type="pct"/>
            <w:tcBorders>
              <w:tl2br w:val="nil"/>
              <w:tr2bl w:val="nil"/>
            </w:tcBorders>
            <w:shd w:val="clear" w:color="auto" w:fill="auto"/>
            <w:vAlign w:val="center"/>
          </w:tcPr>
          <w:p w14:paraId="30743506">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4</w:t>
            </w:r>
          </w:p>
        </w:tc>
        <w:tc>
          <w:tcPr>
            <w:tcW w:w="754" w:type="pct"/>
            <w:tcBorders>
              <w:tl2br w:val="nil"/>
              <w:tr2bl w:val="nil"/>
            </w:tcBorders>
            <w:shd w:val="clear" w:color="auto" w:fill="auto"/>
            <w:vAlign w:val="center"/>
          </w:tcPr>
          <w:p w14:paraId="7522F5ED">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10</w:t>
            </w:r>
          </w:p>
        </w:tc>
        <w:tc>
          <w:tcPr>
            <w:tcW w:w="1507" w:type="pct"/>
            <w:gridSpan w:val="2"/>
            <w:tcBorders>
              <w:tl2br w:val="nil"/>
              <w:tr2bl w:val="nil"/>
            </w:tcBorders>
            <w:shd w:val="clear" w:color="auto" w:fill="auto"/>
            <w:vAlign w:val="center"/>
          </w:tcPr>
          <w:p w14:paraId="594181A1">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sz w:val="18"/>
                <w:szCs w:val="18"/>
                <w:highlight w:val="none"/>
              </w:rPr>
            </w:pPr>
            <w:r>
              <w:rPr>
                <w:rFonts w:hint="default" w:ascii="Times New Roman" w:hAnsi="Times New Roman" w:eastAsia="宋体" w:cs="Times New Roman"/>
                <w:b w:val="0"/>
                <w:bCs w:val="0"/>
                <w:sz w:val="18"/>
                <w:szCs w:val="18"/>
                <w:highlight w:val="none"/>
              </w:rPr>
              <w:t>100</w:t>
            </w:r>
          </w:p>
        </w:tc>
      </w:tr>
    </w:tbl>
    <w:p w14:paraId="50D23E01">
      <w:pPr>
        <w:pStyle w:val="5"/>
        <w:shd w:val="clear"/>
        <w:ind w:firstLine="2108" w:firstLineChars="1000"/>
        <w:rPr>
          <w:highlight w:val="none"/>
        </w:rPr>
      </w:pPr>
    </w:p>
    <w:p w14:paraId="7A0177F2">
      <w:pPr>
        <w:shd w:val="clear"/>
        <w:ind w:left="0" w:leftChars="0" w:firstLine="0" w:firstLineChars="0"/>
        <w:rPr>
          <w:highlight w:val="none"/>
        </w:rPr>
      </w:pPr>
      <w:r>
        <w:rPr>
          <w:highlight w:val="none"/>
        </w:rPr>
        <w:drawing>
          <wp:inline distT="0" distB="0" distL="114300" distR="114300">
            <wp:extent cx="5708650" cy="3674110"/>
            <wp:effectExtent l="0" t="0" r="6350" b="2540"/>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74"/>
                    <a:stretch>
                      <a:fillRect/>
                    </a:stretch>
                  </pic:blipFill>
                  <pic:spPr>
                    <a:xfrm>
                      <a:off x="0" y="0"/>
                      <a:ext cx="5708650" cy="3674110"/>
                    </a:xfrm>
                    <a:prstGeom prst="rect">
                      <a:avLst/>
                    </a:prstGeom>
                    <a:noFill/>
                    <a:ln>
                      <a:noFill/>
                    </a:ln>
                  </pic:spPr>
                </pic:pic>
              </a:graphicData>
            </a:graphic>
          </wp:inline>
        </w:drawing>
      </w:r>
    </w:p>
    <w:p w14:paraId="256384E3">
      <w:pPr>
        <w:shd w:val="clear"/>
        <w:ind w:firstLine="482"/>
        <w:jc w:val="center"/>
        <w:rPr>
          <w:b/>
          <w:bCs/>
          <w:highlight w:val="none"/>
        </w:rPr>
      </w:pPr>
      <w:r>
        <w:rPr>
          <w:b/>
          <w:bCs/>
          <w:highlight w:val="none"/>
        </w:rPr>
        <w:t>图</w:t>
      </w:r>
      <w:r>
        <w:rPr>
          <w:rFonts w:hint="eastAsia"/>
          <w:b/>
          <w:bCs/>
          <w:highlight w:val="none"/>
        </w:rPr>
        <w:t xml:space="preserve">3.1-5 </w:t>
      </w:r>
      <w:r>
        <w:rPr>
          <w:b/>
          <w:bCs/>
          <w:highlight w:val="none"/>
        </w:rPr>
        <w:t>110kV单回路线路工频电场强度预测分布曲线</w:t>
      </w:r>
      <w:r>
        <w:rPr>
          <w:rFonts w:hint="eastAsia"/>
          <w:b/>
          <w:bCs/>
          <w:highlight w:val="none"/>
          <w:lang w:eastAsia="zh-CN"/>
        </w:rPr>
        <w:t>（110-DD21D-ZM3</w:t>
      </w:r>
      <w:r>
        <w:rPr>
          <w:b/>
          <w:bCs/>
          <w:highlight w:val="none"/>
        </w:rPr>
        <w:t>塔型</w:t>
      </w:r>
      <w:r>
        <w:rPr>
          <w:rFonts w:hint="eastAsia"/>
          <w:b/>
          <w:bCs/>
          <w:highlight w:val="none"/>
          <w:lang w:eastAsia="zh-CN"/>
        </w:rPr>
        <w:t>）</w:t>
      </w:r>
    </w:p>
    <w:p w14:paraId="75EDC99C">
      <w:pPr>
        <w:pStyle w:val="5"/>
        <w:keepNext w:val="0"/>
        <w:keepLines w:val="0"/>
        <w:pageBreakBefore w:val="0"/>
        <w:widowControl w:val="0"/>
        <w:shd w:val="clear"/>
        <w:kinsoku/>
        <w:wordWrap/>
        <w:overflowPunct/>
        <w:topLinePunct w:val="0"/>
        <w:autoSpaceDE/>
        <w:autoSpaceDN/>
        <w:bidi w:val="0"/>
        <w:adjustRightInd w:val="0"/>
        <w:snapToGrid w:val="0"/>
        <w:ind w:firstLine="0" w:firstLineChars="0"/>
        <w:jc w:val="left"/>
        <w:textAlignment w:val="auto"/>
        <w:rPr>
          <w:highlight w:val="none"/>
        </w:rPr>
      </w:pPr>
      <w:r>
        <w:rPr>
          <w:highlight w:val="none"/>
        </w:rPr>
        <w:drawing>
          <wp:anchor distT="0" distB="0" distL="114300" distR="114300" simplePos="0" relativeHeight="251660288" behindDoc="0" locked="0" layoutInCell="1" allowOverlap="1">
            <wp:simplePos x="0" y="0"/>
            <wp:positionH relativeFrom="column">
              <wp:posOffset>205740</wp:posOffset>
            </wp:positionH>
            <wp:positionV relativeFrom="paragraph">
              <wp:posOffset>356870</wp:posOffset>
            </wp:positionV>
            <wp:extent cx="352425" cy="2228850"/>
            <wp:effectExtent l="0" t="0" r="9525" b="0"/>
            <wp:wrapNone/>
            <wp:docPr id="2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1"/>
                    <pic:cNvPicPr>
                      <a:picLocks noChangeAspect="1"/>
                    </pic:cNvPicPr>
                  </pic:nvPicPr>
                  <pic:blipFill>
                    <a:blip r:embed="rId75"/>
                    <a:stretch>
                      <a:fillRect/>
                    </a:stretch>
                  </pic:blipFill>
                  <pic:spPr>
                    <a:xfrm>
                      <a:off x="0" y="0"/>
                      <a:ext cx="352425" cy="2228850"/>
                    </a:xfrm>
                    <a:prstGeom prst="rect">
                      <a:avLst/>
                    </a:prstGeom>
                    <a:noFill/>
                    <a:ln>
                      <a:noFill/>
                    </a:ln>
                  </pic:spPr>
                </pic:pic>
              </a:graphicData>
            </a:graphic>
          </wp:anchor>
        </w:drawing>
      </w:r>
      <w:r>
        <w:rPr>
          <w:highlight w:val="none"/>
        </w:rPr>
        <w:drawing>
          <wp:anchor distT="0" distB="0" distL="114300" distR="114300" simplePos="0" relativeHeight="251659264" behindDoc="0" locked="0" layoutInCell="1" allowOverlap="1">
            <wp:simplePos x="0" y="0"/>
            <wp:positionH relativeFrom="column">
              <wp:posOffset>1797685</wp:posOffset>
            </wp:positionH>
            <wp:positionV relativeFrom="paragraph">
              <wp:posOffset>3096260</wp:posOffset>
            </wp:positionV>
            <wp:extent cx="2108835" cy="201295"/>
            <wp:effectExtent l="0" t="0" r="5715" b="8255"/>
            <wp:wrapNone/>
            <wp:docPr id="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0"/>
                    <pic:cNvPicPr>
                      <a:picLocks noChangeAspect="1"/>
                    </pic:cNvPicPr>
                  </pic:nvPicPr>
                  <pic:blipFill>
                    <a:blip r:embed="rId76"/>
                    <a:stretch>
                      <a:fillRect/>
                    </a:stretch>
                  </pic:blipFill>
                  <pic:spPr>
                    <a:xfrm>
                      <a:off x="0" y="0"/>
                      <a:ext cx="2108835" cy="201295"/>
                    </a:xfrm>
                    <a:prstGeom prst="rect">
                      <a:avLst/>
                    </a:prstGeom>
                    <a:noFill/>
                    <a:ln>
                      <a:noFill/>
                    </a:ln>
                  </pic:spPr>
                </pic:pic>
              </a:graphicData>
            </a:graphic>
          </wp:anchor>
        </w:drawing>
      </w:r>
      <w:r>
        <w:rPr>
          <w:highlight w:val="none"/>
        </w:rPr>
        <w:drawing>
          <wp:inline distT="0" distB="0" distL="114300" distR="114300">
            <wp:extent cx="5755640" cy="3336925"/>
            <wp:effectExtent l="0" t="0" r="16510" b="15875"/>
            <wp:docPr id="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9"/>
                    <pic:cNvPicPr>
                      <a:picLocks noChangeAspect="1"/>
                    </pic:cNvPicPr>
                  </pic:nvPicPr>
                  <pic:blipFill>
                    <a:blip r:embed="rId77"/>
                    <a:stretch>
                      <a:fillRect/>
                    </a:stretch>
                  </pic:blipFill>
                  <pic:spPr>
                    <a:xfrm>
                      <a:off x="0" y="0"/>
                      <a:ext cx="5755640" cy="3336925"/>
                    </a:xfrm>
                    <a:prstGeom prst="rect">
                      <a:avLst/>
                    </a:prstGeom>
                    <a:noFill/>
                    <a:ln>
                      <a:noFill/>
                    </a:ln>
                  </pic:spPr>
                </pic:pic>
              </a:graphicData>
            </a:graphic>
          </wp:inline>
        </w:drawing>
      </w:r>
    </w:p>
    <w:p w14:paraId="781C46F2">
      <w:pPr>
        <w:shd w:val="clear"/>
        <w:ind w:firstLine="482"/>
        <w:jc w:val="center"/>
        <w:rPr>
          <w:b/>
          <w:bCs/>
          <w:highlight w:val="none"/>
        </w:rPr>
      </w:pPr>
      <w:r>
        <w:rPr>
          <w:b/>
          <w:bCs/>
          <w:highlight w:val="none"/>
        </w:rPr>
        <w:t>图3</w:t>
      </w:r>
      <w:r>
        <w:rPr>
          <w:rFonts w:hint="eastAsia"/>
          <w:b/>
          <w:bCs/>
          <w:highlight w:val="none"/>
        </w:rPr>
        <w:t>.1</w:t>
      </w:r>
      <w:r>
        <w:rPr>
          <w:b/>
          <w:bCs/>
          <w:highlight w:val="none"/>
        </w:rPr>
        <w:t>-6 110kV单回线路工频磁感应强度预测分布曲线</w:t>
      </w:r>
      <w:r>
        <w:rPr>
          <w:rFonts w:hint="eastAsia"/>
          <w:b/>
          <w:bCs/>
          <w:highlight w:val="none"/>
          <w:lang w:eastAsia="zh-CN"/>
        </w:rPr>
        <w:t>（110-DD21D-ZM3</w:t>
      </w:r>
      <w:r>
        <w:rPr>
          <w:b/>
          <w:bCs/>
          <w:highlight w:val="none"/>
        </w:rPr>
        <w:t>塔型</w:t>
      </w:r>
      <w:r>
        <w:rPr>
          <w:rFonts w:hint="eastAsia"/>
          <w:b/>
          <w:bCs/>
          <w:highlight w:val="none"/>
          <w:lang w:eastAsia="zh-CN"/>
        </w:rPr>
        <w:t>）</w:t>
      </w:r>
    </w:p>
    <w:p w14:paraId="6FDAAF57">
      <w:pPr>
        <w:pStyle w:val="4"/>
        <w:shd w:val="clear"/>
        <w:ind w:firstLine="482"/>
        <w:rPr>
          <w:highlight w:val="none"/>
        </w:rPr>
      </w:pPr>
      <w:r>
        <w:rPr>
          <w:highlight w:val="none"/>
        </w:rPr>
        <w:t>3.1.3 计算结果分析</w:t>
      </w:r>
    </w:p>
    <w:p w14:paraId="33859F82">
      <w:pPr>
        <w:shd w:val="clear"/>
        <w:ind w:firstLine="480"/>
        <w:rPr>
          <w:highlight w:val="none"/>
        </w:rPr>
      </w:pPr>
      <w:r>
        <w:rPr>
          <w:highlight w:val="none"/>
        </w:rPr>
        <w:t>根据预测结果分析可知，当线高按7.0m计，110kV单回路线路段</w:t>
      </w:r>
      <w:r>
        <w:rPr>
          <w:rFonts w:hint="eastAsia"/>
          <w:highlight w:val="none"/>
          <w:lang w:eastAsia="zh-CN"/>
        </w:rPr>
        <w:t>110-DD21D-ZM3</w:t>
      </w:r>
      <w:r>
        <w:rPr>
          <w:highlight w:val="none"/>
        </w:rPr>
        <w:t>塔型产生的工频电场强度最大值为2.173kV/m；工频磁感应强度最大值为</w:t>
      </w:r>
      <w:r>
        <w:rPr>
          <w:rFonts w:hint="default"/>
          <w:highlight w:val="none"/>
          <w:lang w:val="en-US" w:eastAsia="zh-CN"/>
        </w:rPr>
        <w:t>22.22</w:t>
      </w:r>
      <w:r>
        <w:rPr>
          <w:highlight w:val="none"/>
        </w:rPr>
        <w:t>μT；线路运行产生的工频电场强度、工频磁感应强度能满足《电磁环境控制限值》（GB8702-2014）中规定的频率为50Hz时电场强度≤4kV/m、磁感应强度≤100μT。</w:t>
      </w:r>
    </w:p>
    <w:p w14:paraId="2844FE4B">
      <w:pPr>
        <w:shd w:val="clear"/>
        <w:ind w:firstLine="480"/>
        <w:rPr>
          <w:highlight w:val="none"/>
        </w:rPr>
      </w:pPr>
      <w:r>
        <w:rPr>
          <w:highlight w:val="none"/>
        </w:rPr>
        <w:t>当线高按6.0m计，110kV单回路线路段</w:t>
      </w:r>
      <w:r>
        <w:rPr>
          <w:rFonts w:hint="eastAsia"/>
          <w:highlight w:val="none"/>
          <w:lang w:eastAsia="zh-CN"/>
        </w:rPr>
        <w:t>110-DD21D-ZM3</w:t>
      </w:r>
      <w:r>
        <w:rPr>
          <w:highlight w:val="none"/>
        </w:rPr>
        <w:t>塔型产生的工频电场强度最大值为</w:t>
      </w:r>
      <w:r>
        <w:rPr>
          <w:rFonts w:hint="default"/>
          <w:highlight w:val="none"/>
        </w:rPr>
        <w:t>2.705 </w:t>
      </w:r>
      <w:r>
        <w:rPr>
          <w:highlight w:val="none"/>
        </w:rPr>
        <w:t>kV/m；工频磁感应强度最大值为</w:t>
      </w:r>
      <w:r>
        <w:rPr>
          <w:rFonts w:hint="default"/>
          <w:highlight w:val="none"/>
          <w:lang w:val="en-US" w:eastAsia="zh-CN"/>
        </w:rPr>
        <w:t>25</w:t>
      </w:r>
      <w:r>
        <w:rPr>
          <w:highlight w:val="none"/>
        </w:rPr>
        <w:t>μT；线路运行产生的工频磁感应强度能满足《电磁环境控制限值》（GB8702-2014）中规定的频率为50Hz时磁感应强度≤100μT控制限值，线路运行产生的工频电场强度能满足《电磁环境控制限值》（GB8702-2014）中规定（架空输电线路线下的耕地、园地、牧草地、畜禽饲养地、养殖水面、道路等场所，其频率50Hz）的电场强度≤10kV/m的控制限值。</w:t>
      </w:r>
    </w:p>
    <w:p w14:paraId="79DC4255">
      <w:pPr>
        <w:pStyle w:val="3"/>
        <w:shd w:val="clear"/>
        <w:ind w:firstLine="482" w:firstLineChars="200"/>
        <w:rPr>
          <w:highlight w:val="none"/>
        </w:rPr>
      </w:pPr>
      <w:bookmarkStart w:id="535" w:name="_Toc8850"/>
      <w:r>
        <w:rPr>
          <w:highlight w:val="none"/>
        </w:rPr>
        <w:t>3.2</w:t>
      </w:r>
      <w:r>
        <w:rPr>
          <w:color w:val="FF0000"/>
          <w:highlight w:val="none"/>
        </w:rPr>
        <w:t>升压站</w:t>
      </w:r>
      <w:r>
        <w:rPr>
          <w:highlight w:val="none"/>
        </w:rPr>
        <w:t>电磁环境影响分析</w:t>
      </w:r>
      <w:bookmarkEnd w:id="535"/>
    </w:p>
    <w:p w14:paraId="11E9B4D6">
      <w:pPr>
        <w:pStyle w:val="4"/>
        <w:shd w:val="clear"/>
        <w:ind w:firstLine="482"/>
        <w:rPr>
          <w:highlight w:val="none"/>
        </w:rPr>
      </w:pPr>
      <w:bookmarkStart w:id="536" w:name="_Toc505347744"/>
      <w:r>
        <w:rPr>
          <w:highlight w:val="none"/>
        </w:rPr>
        <w:t>3.2.1类比的可行性</w:t>
      </w:r>
      <w:bookmarkEnd w:id="536"/>
    </w:p>
    <w:p w14:paraId="4DCB3641">
      <w:pPr>
        <w:shd w:val="clear"/>
        <w:ind w:firstLine="480"/>
        <w:rPr>
          <w:highlight w:val="none"/>
        </w:rPr>
      </w:pPr>
      <w:r>
        <w:rPr>
          <w:highlight w:val="none"/>
        </w:rPr>
        <w:t>本次评价</w:t>
      </w:r>
      <w:r>
        <w:rPr>
          <w:rFonts w:hint="eastAsia"/>
          <w:highlight w:val="none"/>
          <w:lang w:eastAsia="zh-CN"/>
        </w:rPr>
        <w:t>升压站</w:t>
      </w:r>
      <w:r>
        <w:rPr>
          <w:highlight w:val="none"/>
        </w:rPr>
        <w:t>的电磁环境影响评价预测采用类比监测的方法进行，按照类似工程的主变规模、电压等级、布置形式等原则，该</w:t>
      </w:r>
      <w:r>
        <w:rPr>
          <w:rFonts w:hint="eastAsia"/>
          <w:highlight w:val="none"/>
          <w:lang w:val="en-US" w:eastAsia="zh-CN"/>
        </w:rPr>
        <w:t>升压站</w:t>
      </w:r>
      <w:r>
        <w:rPr>
          <w:highlight w:val="none"/>
        </w:rPr>
        <w:t>主变压器容量为2×</w:t>
      </w:r>
      <w:r>
        <w:rPr>
          <w:rFonts w:hint="eastAsia"/>
          <w:highlight w:val="none"/>
          <w:lang w:val="en-US" w:eastAsia="zh-CN"/>
        </w:rPr>
        <w:t>50</w:t>
      </w:r>
      <w:r>
        <w:rPr>
          <w:highlight w:val="none"/>
        </w:rPr>
        <w:t>MVA，电压等级为</w:t>
      </w:r>
      <w:r>
        <w:rPr>
          <w:rFonts w:hint="eastAsia"/>
          <w:highlight w:val="none"/>
          <w:lang w:val="en-US" w:eastAsia="zh-CN"/>
        </w:rPr>
        <w:t>11</w:t>
      </w:r>
      <w:r>
        <w:rPr>
          <w:highlight w:val="none"/>
        </w:rPr>
        <w:t>0kV，为户外GIS布置形式。</w:t>
      </w:r>
    </w:p>
    <w:p w14:paraId="07ED4484">
      <w:pPr>
        <w:shd w:val="clear"/>
        <w:ind w:firstLine="480"/>
        <w:rPr>
          <w:highlight w:val="none"/>
        </w:rPr>
      </w:pPr>
      <w:r>
        <w:rPr>
          <w:highlight w:val="none"/>
        </w:rPr>
        <w:t>类比</w:t>
      </w:r>
      <w:r>
        <w:rPr>
          <w:rFonts w:hint="eastAsia"/>
          <w:highlight w:val="none"/>
          <w:lang w:eastAsia="zh-CN"/>
        </w:rPr>
        <w:t>升压站</w:t>
      </w:r>
      <w:r>
        <w:rPr>
          <w:highlight w:val="none"/>
        </w:rPr>
        <w:t>与本项目</w:t>
      </w:r>
      <w:r>
        <w:rPr>
          <w:rFonts w:hint="eastAsia"/>
          <w:highlight w:val="none"/>
          <w:lang w:eastAsia="zh-CN"/>
        </w:rPr>
        <w:t>升压站</w:t>
      </w:r>
      <w:r>
        <w:rPr>
          <w:highlight w:val="none"/>
        </w:rPr>
        <w:t>主要技术参数对照，见表</w:t>
      </w:r>
      <w:r>
        <w:rPr>
          <w:rFonts w:hint="eastAsia"/>
          <w:highlight w:val="none"/>
        </w:rPr>
        <w:t>3.2-1</w:t>
      </w:r>
      <w:r>
        <w:rPr>
          <w:highlight w:val="none"/>
        </w:rPr>
        <w:t>。</w:t>
      </w:r>
    </w:p>
    <w:p w14:paraId="13D0745D">
      <w:pPr>
        <w:shd w:val="clear"/>
        <w:spacing w:line="240" w:lineRule="auto"/>
        <w:ind w:firstLine="482"/>
        <w:rPr>
          <w:b/>
          <w:bCs/>
          <w:highlight w:val="none"/>
        </w:rPr>
      </w:pPr>
    </w:p>
    <w:p w14:paraId="346A3AD2">
      <w:pPr>
        <w:shd w:val="clear"/>
        <w:spacing w:line="240" w:lineRule="auto"/>
        <w:ind w:firstLine="482"/>
        <w:rPr>
          <w:b/>
          <w:bCs/>
          <w:highlight w:val="none"/>
        </w:rPr>
      </w:pPr>
      <w:r>
        <w:rPr>
          <w:b/>
          <w:bCs/>
          <w:highlight w:val="none"/>
        </w:rPr>
        <w:t>表</w:t>
      </w:r>
      <w:r>
        <w:rPr>
          <w:rFonts w:hint="eastAsia"/>
          <w:b/>
          <w:bCs/>
          <w:highlight w:val="none"/>
        </w:rPr>
        <w:t>3.2-1</w:t>
      </w:r>
      <w:r>
        <w:rPr>
          <w:b/>
          <w:bCs/>
          <w:highlight w:val="none"/>
        </w:rPr>
        <w:t xml:space="preserve">                  主要技术指标对照表</w:t>
      </w:r>
    </w:p>
    <w:tbl>
      <w:tblPr>
        <w:tblStyle w:val="3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14"/>
        <w:gridCol w:w="5346"/>
        <w:gridCol w:w="2228"/>
      </w:tblGrid>
      <w:tr w14:paraId="085A29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12" w:space="0"/>
              <w:left w:val="single" w:color="auto" w:sz="12" w:space="0"/>
              <w:bottom w:val="single" w:color="auto" w:sz="6" w:space="0"/>
              <w:right w:val="single" w:color="auto" w:sz="6" w:space="0"/>
            </w:tcBorders>
            <w:vAlign w:val="center"/>
          </w:tcPr>
          <w:p w14:paraId="6A5F4CF9">
            <w:pPr>
              <w:shd w:val="clear"/>
              <w:spacing w:line="240" w:lineRule="auto"/>
              <w:ind w:firstLine="0" w:firstLineChars="0"/>
              <w:jc w:val="center"/>
              <w:rPr>
                <w:sz w:val="21"/>
                <w:szCs w:val="21"/>
                <w:highlight w:val="none"/>
              </w:rPr>
            </w:pPr>
            <w:r>
              <w:rPr>
                <w:sz w:val="21"/>
                <w:szCs w:val="21"/>
                <w:highlight w:val="none"/>
              </w:rPr>
              <w:t>主要指标</w:t>
            </w:r>
          </w:p>
        </w:tc>
        <w:tc>
          <w:tcPr>
            <w:tcW w:w="0" w:type="auto"/>
            <w:tcBorders>
              <w:top w:val="single" w:color="auto" w:sz="12" w:space="0"/>
              <w:left w:val="single" w:color="auto" w:sz="6" w:space="0"/>
              <w:bottom w:val="single" w:color="auto" w:sz="6" w:space="0"/>
              <w:right w:val="single" w:color="auto" w:sz="6" w:space="0"/>
            </w:tcBorders>
            <w:vAlign w:val="center"/>
          </w:tcPr>
          <w:p w14:paraId="6518DF9F">
            <w:pPr>
              <w:shd w:val="clear"/>
              <w:spacing w:line="240" w:lineRule="auto"/>
              <w:ind w:firstLine="0" w:firstLineChars="0"/>
              <w:jc w:val="center"/>
              <w:rPr>
                <w:rFonts w:hint="eastAsia" w:eastAsia="宋体"/>
                <w:sz w:val="21"/>
                <w:szCs w:val="21"/>
                <w:highlight w:val="none"/>
                <w:lang w:eastAsia="zh-CN"/>
              </w:rPr>
            </w:pPr>
            <w:r>
              <w:rPr>
                <w:sz w:val="21"/>
                <w:szCs w:val="21"/>
                <w:highlight w:val="none"/>
              </w:rPr>
              <w:t>克州白沙湖110kV</w:t>
            </w:r>
            <w:r>
              <w:rPr>
                <w:rFonts w:hint="eastAsia"/>
                <w:sz w:val="21"/>
                <w:szCs w:val="21"/>
                <w:highlight w:val="none"/>
                <w:lang w:eastAsia="zh-CN"/>
              </w:rPr>
              <w:t>升压站</w:t>
            </w:r>
          </w:p>
        </w:tc>
        <w:tc>
          <w:tcPr>
            <w:tcW w:w="0" w:type="auto"/>
            <w:tcBorders>
              <w:top w:val="single" w:color="auto" w:sz="12" w:space="0"/>
              <w:left w:val="single" w:color="auto" w:sz="6" w:space="0"/>
              <w:bottom w:val="single" w:color="auto" w:sz="6" w:space="0"/>
              <w:right w:val="single" w:color="auto" w:sz="12" w:space="0"/>
            </w:tcBorders>
            <w:vAlign w:val="center"/>
          </w:tcPr>
          <w:p w14:paraId="0647B793">
            <w:pPr>
              <w:shd w:val="clear"/>
              <w:spacing w:line="240" w:lineRule="auto"/>
              <w:ind w:firstLine="0" w:firstLineChars="0"/>
              <w:jc w:val="center"/>
              <w:rPr>
                <w:rFonts w:hint="eastAsia" w:eastAsia="宋体"/>
                <w:sz w:val="21"/>
                <w:szCs w:val="21"/>
                <w:highlight w:val="none"/>
                <w:lang w:eastAsia="zh-CN"/>
              </w:rPr>
            </w:pPr>
            <w:r>
              <w:rPr>
                <w:sz w:val="21"/>
                <w:szCs w:val="21"/>
                <w:highlight w:val="none"/>
              </w:rPr>
              <w:t>拟建110kV</w:t>
            </w:r>
            <w:r>
              <w:rPr>
                <w:rFonts w:hint="eastAsia"/>
                <w:sz w:val="21"/>
                <w:szCs w:val="21"/>
                <w:highlight w:val="none"/>
                <w:lang w:eastAsia="zh-CN"/>
              </w:rPr>
              <w:t>升压站</w:t>
            </w:r>
          </w:p>
        </w:tc>
      </w:tr>
      <w:tr w14:paraId="433DD9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14:paraId="05FA5FA0">
            <w:pPr>
              <w:shd w:val="clear"/>
              <w:spacing w:line="240" w:lineRule="auto"/>
              <w:ind w:firstLine="0" w:firstLineChars="0"/>
              <w:jc w:val="center"/>
              <w:rPr>
                <w:sz w:val="21"/>
                <w:szCs w:val="21"/>
                <w:highlight w:val="none"/>
              </w:rPr>
            </w:pPr>
            <w:r>
              <w:rPr>
                <w:sz w:val="21"/>
                <w:szCs w:val="21"/>
                <w:highlight w:val="none"/>
              </w:rPr>
              <w:t>主变规模</w:t>
            </w:r>
          </w:p>
        </w:tc>
        <w:tc>
          <w:tcPr>
            <w:tcW w:w="0" w:type="auto"/>
            <w:tcBorders>
              <w:top w:val="single" w:color="auto" w:sz="6" w:space="0"/>
              <w:left w:val="single" w:color="auto" w:sz="6" w:space="0"/>
              <w:bottom w:val="single" w:color="auto" w:sz="6" w:space="0"/>
              <w:right w:val="single" w:color="auto" w:sz="6" w:space="0"/>
            </w:tcBorders>
            <w:vAlign w:val="center"/>
          </w:tcPr>
          <w:p w14:paraId="71332176">
            <w:pPr>
              <w:shd w:val="clear"/>
              <w:spacing w:line="240" w:lineRule="auto"/>
              <w:ind w:firstLine="0" w:firstLineChars="0"/>
              <w:jc w:val="center"/>
              <w:rPr>
                <w:sz w:val="21"/>
                <w:szCs w:val="21"/>
                <w:highlight w:val="none"/>
              </w:rPr>
            </w:pPr>
            <w:r>
              <w:rPr>
                <w:sz w:val="21"/>
                <w:szCs w:val="21"/>
                <w:highlight w:val="none"/>
              </w:rPr>
              <w:t>2×50MVA</w:t>
            </w:r>
          </w:p>
        </w:tc>
        <w:tc>
          <w:tcPr>
            <w:tcW w:w="0" w:type="auto"/>
            <w:tcBorders>
              <w:top w:val="single" w:color="auto" w:sz="6" w:space="0"/>
              <w:left w:val="single" w:color="auto" w:sz="6" w:space="0"/>
              <w:bottom w:val="single" w:color="auto" w:sz="6" w:space="0"/>
              <w:right w:val="single" w:color="auto" w:sz="12" w:space="0"/>
            </w:tcBorders>
            <w:vAlign w:val="center"/>
          </w:tcPr>
          <w:p w14:paraId="5197AFBD">
            <w:pPr>
              <w:shd w:val="clear"/>
              <w:spacing w:line="240" w:lineRule="auto"/>
              <w:ind w:firstLine="0" w:firstLineChars="0"/>
              <w:jc w:val="center"/>
              <w:rPr>
                <w:sz w:val="21"/>
                <w:szCs w:val="21"/>
                <w:highlight w:val="none"/>
              </w:rPr>
            </w:pPr>
            <w:r>
              <w:rPr>
                <w:sz w:val="21"/>
                <w:szCs w:val="21"/>
                <w:highlight w:val="none"/>
              </w:rPr>
              <w:t>63MVA</w:t>
            </w:r>
          </w:p>
        </w:tc>
      </w:tr>
      <w:tr w14:paraId="2AF248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14:paraId="36DC35A6">
            <w:pPr>
              <w:shd w:val="clear"/>
              <w:spacing w:line="240" w:lineRule="auto"/>
              <w:ind w:firstLine="0" w:firstLineChars="0"/>
              <w:jc w:val="center"/>
              <w:rPr>
                <w:sz w:val="21"/>
                <w:szCs w:val="21"/>
                <w:highlight w:val="none"/>
              </w:rPr>
            </w:pPr>
            <w:r>
              <w:rPr>
                <w:sz w:val="21"/>
                <w:szCs w:val="21"/>
                <w:highlight w:val="none"/>
              </w:rPr>
              <w:t>电压等级</w:t>
            </w:r>
          </w:p>
        </w:tc>
        <w:tc>
          <w:tcPr>
            <w:tcW w:w="0" w:type="auto"/>
            <w:tcBorders>
              <w:top w:val="single" w:color="auto" w:sz="6" w:space="0"/>
              <w:left w:val="single" w:color="auto" w:sz="6" w:space="0"/>
              <w:bottom w:val="single" w:color="auto" w:sz="6" w:space="0"/>
              <w:right w:val="single" w:color="auto" w:sz="6" w:space="0"/>
            </w:tcBorders>
            <w:vAlign w:val="center"/>
          </w:tcPr>
          <w:p w14:paraId="390301E3">
            <w:pPr>
              <w:shd w:val="clear"/>
              <w:spacing w:line="240" w:lineRule="auto"/>
              <w:ind w:firstLine="0" w:firstLineChars="0"/>
              <w:jc w:val="center"/>
              <w:rPr>
                <w:sz w:val="21"/>
                <w:szCs w:val="21"/>
                <w:highlight w:val="none"/>
              </w:rPr>
            </w:pPr>
            <w:r>
              <w:rPr>
                <w:sz w:val="21"/>
                <w:szCs w:val="21"/>
                <w:highlight w:val="none"/>
              </w:rPr>
              <w:t>110kV</w:t>
            </w:r>
          </w:p>
        </w:tc>
        <w:tc>
          <w:tcPr>
            <w:tcW w:w="0" w:type="auto"/>
            <w:tcBorders>
              <w:top w:val="single" w:color="auto" w:sz="6" w:space="0"/>
              <w:left w:val="single" w:color="auto" w:sz="6" w:space="0"/>
              <w:bottom w:val="single" w:color="auto" w:sz="6" w:space="0"/>
              <w:right w:val="single" w:color="auto" w:sz="12" w:space="0"/>
            </w:tcBorders>
            <w:vAlign w:val="center"/>
          </w:tcPr>
          <w:p w14:paraId="436C4079">
            <w:pPr>
              <w:shd w:val="clear"/>
              <w:spacing w:line="240" w:lineRule="auto"/>
              <w:ind w:firstLine="0" w:firstLineChars="0"/>
              <w:jc w:val="center"/>
              <w:rPr>
                <w:sz w:val="21"/>
                <w:szCs w:val="21"/>
                <w:highlight w:val="none"/>
              </w:rPr>
            </w:pPr>
            <w:r>
              <w:rPr>
                <w:sz w:val="21"/>
                <w:szCs w:val="21"/>
                <w:highlight w:val="none"/>
              </w:rPr>
              <w:t>110kV</w:t>
            </w:r>
          </w:p>
        </w:tc>
      </w:tr>
      <w:tr w14:paraId="64B02C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14:paraId="2BC43D93">
            <w:pPr>
              <w:shd w:val="clear"/>
              <w:spacing w:line="240" w:lineRule="auto"/>
              <w:ind w:firstLine="0" w:firstLineChars="0"/>
              <w:jc w:val="center"/>
              <w:rPr>
                <w:sz w:val="21"/>
                <w:szCs w:val="21"/>
                <w:highlight w:val="none"/>
              </w:rPr>
            </w:pPr>
            <w:r>
              <w:rPr>
                <w:sz w:val="21"/>
                <w:szCs w:val="21"/>
                <w:highlight w:val="none"/>
              </w:rPr>
              <w:t>主变布置形式</w:t>
            </w:r>
          </w:p>
        </w:tc>
        <w:tc>
          <w:tcPr>
            <w:tcW w:w="0" w:type="auto"/>
            <w:tcBorders>
              <w:top w:val="single" w:color="auto" w:sz="6" w:space="0"/>
              <w:left w:val="single" w:color="auto" w:sz="6" w:space="0"/>
              <w:bottom w:val="single" w:color="auto" w:sz="6" w:space="0"/>
              <w:right w:val="single" w:color="auto" w:sz="6" w:space="0"/>
            </w:tcBorders>
            <w:vAlign w:val="center"/>
          </w:tcPr>
          <w:p w14:paraId="227AF21E">
            <w:pPr>
              <w:shd w:val="clear"/>
              <w:spacing w:line="240" w:lineRule="auto"/>
              <w:ind w:firstLine="0" w:firstLineChars="0"/>
              <w:jc w:val="center"/>
              <w:rPr>
                <w:sz w:val="21"/>
                <w:szCs w:val="21"/>
                <w:highlight w:val="none"/>
              </w:rPr>
            </w:pPr>
            <w:r>
              <w:rPr>
                <w:sz w:val="21"/>
                <w:szCs w:val="21"/>
                <w:highlight w:val="none"/>
              </w:rPr>
              <w:t>户外</w:t>
            </w:r>
          </w:p>
        </w:tc>
        <w:tc>
          <w:tcPr>
            <w:tcW w:w="0" w:type="auto"/>
            <w:tcBorders>
              <w:top w:val="single" w:color="auto" w:sz="6" w:space="0"/>
              <w:left w:val="single" w:color="auto" w:sz="6" w:space="0"/>
              <w:bottom w:val="single" w:color="auto" w:sz="6" w:space="0"/>
              <w:right w:val="single" w:color="auto" w:sz="12" w:space="0"/>
            </w:tcBorders>
            <w:vAlign w:val="center"/>
          </w:tcPr>
          <w:p w14:paraId="61A727D6">
            <w:pPr>
              <w:shd w:val="clear"/>
              <w:spacing w:line="240" w:lineRule="auto"/>
              <w:ind w:firstLine="0" w:firstLineChars="0"/>
              <w:jc w:val="center"/>
              <w:rPr>
                <w:sz w:val="21"/>
                <w:szCs w:val="21"/>
                <w:highlight w:val="none"/>
              </w:rPr>
            </w:pPr>
            <w:r>
              <w:rPr>
                <w:sz w:val="21"/>
                <w:szCs w:val="21"/>
                <w:highlight w:val="none"/>
              </w:rPr>
              <w:t>户外</w:t>
            </w:r>
          </w:p>
        </w:tc>
      </w:tr>
      <w:tr w14:paraId="6C45B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14:paraId="55B1FD85">
            <w:pPr>
              <w:shd w:val="clear"/>
              <w:spacing w:line="240" w:lineRule="auto"/>
              <w:ind w:firstLine="0" w:firstLineChars="0"/>
              <w:jc w:val="center"/>
              <w:rPr>
                <w:sz w:val="21"/>
                <w:szCs w:val="21"/>
                <w:highlight w:val="none"/>
              </w:rPr>
            </w:pPr>
            <w:r>
              <w:rPr>
                <w:rFonts w:hint="eastAsia"/>
                <w:sz w:val="21"/>
                <w:szCs w:val="21"/>
                <w:highlight w:val="none"/>
                <w:lang w:eastAsia="zh-CN"/>
              </w:rPr>
              <w:t>升压站</w:t>
            </w:r>
            <w:r>
              <w:rPr>
                <w:sz w:val="21"/>
                <w:szCs w:val="21"/>
                <w:highlight w:val="none"/>
              </w:rPr>
              <w:t>占地面积</w:t>
            </w:r>
          </w:p>
        </w:tc>
        <w:tc>
          <w:tcPr>
            <w:tcW w:w="0" w:type="auto"/>
            <w:tcBorders>
              <w:top w:val="single" w:color="auto" w:sz="6" w:space="0"/>
              <w:left w:val="single" w:color="auto" w:sz="6" w:space="0"/>
              <w:bottom w:val="single" w:color="auto" w:sz="6" w:space="0"/>
              <w:right w:val="single" w:color="auto" w:sz="6" w:space="0"/>
            </w:tcBorders>
            <w:vAlign w:val="center"/>
          </w:tcPr>
          <w:p w14:paraId="2857B880">
            <w:pPr>
              <w:shd w:val="clear"/>
              <w:spacing w:line="240" w:lineRule="auto"/>
              <w:ind w:firstLine="0" w:firstLineChars="0"/>
              <w:jc w:val="center"/>
              <w:rPr>
                <w:sz w:val="21"/>
                <w:szCs w:val="21"/>
                <w:highlight w:val="none"/>
              </w:rPr>
            </w:pPr>
            <w:r>
              <w:rPr>
                <w:sz w:val="21"/>
                <w:szCs w:val="21"/>
                <w:highlight w:val="none"/>
              </w:rPr>
              <w:t>3746.95m</w:t>
            </w:r>
            <w:r>
              <w:rPr>
                <w:sz w:val="21"/>
                <w:szCs w:val="21"/>
                <w:highlight w:val="none"/>
                <w:vertAlign w:val="superscript"/>
              </w:rPr>
              <w:t>2</w:t>
            </w:r>
          </w:p>
        </w:tc>
        <w:tc>
          <w:tcPr>
            <w:tcW w:w="0" w:type="auto"/>
            <w:tcBorders>
              <w:top w:val="single" w:color="auto" w:sz="6" w:space="0"/>
              <w:left w:val="single" w:color="auto" w:sz="6" w:space="0"/>
              <w:bottom w:val="single" w:color="auto" w:sz="6" w:space="0"/>
              <w:right w:val="single" w:color="auto" w:sz="12" w:space="0"/>
            </w:tcBorders>
            <w:vAlign w:val="center"/>
          </w:tcPr>
          <w:p w14:paraId="484DD087">
            <w:pPr>
              <w:shd w:val="clear"/>
              <w:spacing w:line="240" w:lineRule="auto"/>
              <w:ind w:firstLine="0" w:firstLineChars="0"/>
              <w:jc w:val="center"/>
              <w:rPr>
                <w:sz w:val="21"/>
                <w:szCs w:val="21"/>
                <w:highlight w:val="none"/>
              </w:rPr>
            </w:pPr>
            <w:r>
              <w:rPr>
                <w:sz w:val="21"/>
                <w:szCs w:val="21"/>
                <w:highlight w:val="none"/>
              </w:rPr>
              <w:t>17855m</w:t>
            </w:r>
            <w:r>
              <w:rPr>
                <w:sz w:val="21"/>
                <w:szCs w:val="21"/>
                <w:highlight w:val="none"/>
                <w:vertAlign w:val="superscript"/>
              </w:rPr>
              <w:t>2</w:t>
            </w:r>
          </w:p>
        </w:tc>
      </w:tr>
      <w:tr w14:paraId="409A38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14:paraId="4979A541">
            <w:pPr>
              <w:shd w:val="clear"/>
              <w:spacing w:line="240" w:lineRule="auto"/>
              <w:ind w:firstLine="0" w:firstLineChars="0"/>
              <w:jc w:val="center"/>
              <w:rPr>
                <w:sz w:val="21"/>
                <w:szCs w:val="21"/>
                <w:highlight w:val="none"/>
              </w:rPr>
            </w:pPr>
            <w:r>
              <w:rPr>
                <w:sz w:val="21"/>
                <w:szCs w:val="21"/>
                <w:highlight w:val="none"/>
              </w:rPr>
              <w:t>110kV配电装置</w:t>
            </w:r>
          </w:p>
        </w:tc>
        <w:tc>
          <w:tcPr>
            <w:tcW w:w="0" w:type="auto"/>
            <w:tcBorders>
              <w:top w:val="single" w:color="auto" w:sz="6" w:space="0"/>
              <w:left w:val="single" w:color="auto" w:sz="6" w:space="0"/>
              <w:bottom w:val="single" w:color="auto" w:sz="6" w:space="0"/>
              <w:right w:val="single" w:color="auto" w:sz="6" w:space="0"/>
            </w:tcBorders>
            <w:vAlign w:val="center"/>
          </w:tcPr>
          <w:p w14:paraId="5AC57AAA">
            <w:pPr>
              <w:shd w:val="clear"/>
              <w:spacing w:line="240" w:lineRule="auto"/>
              <w:ind w:firstLine="0" w:firstLineChars="0"/>
              <w:jc w:val="center"/>
              <w:rPr>
                <w:sz w:val="21"/>
                <w:szCs w:val="21"/>
                <w:highlight w:val="none"/>
              </w:rPr>
            </w:pPr>
            <w:r>
              <w:rPr>
                <w:sz w:val="21"/>
                <w:szCs w:val="21"/>
                <w:highlight w:val="none"/>
              </w:rPr>
              <w:t>户外布置GIS</w:t>
            </w:r>
          </w:p>
        </w:tc>
        <w:tc>
          <w:tcPr>
            <w:tcW w:w="0" w:type="auto"/>
            <w:tcBorders>
              <w:top w:val="single" w:color="auto" w:sz="6" w:space="0"/>
              <w:left w:val="single" w:color="auto" w:sz="6" w:space="0"/>
              <w:bottom w:val="single" w:color="auto" w:sz="6" w:space="0"/>
              <w:right w:val="single" w:color="auto" w:sz="12" w:space="0"/>
            </w:tcBorders>
            <w:vAlign w:val="center"/>
          </w:tcPr>
          <w:p w14:paraId="64FFB39B">
            <w:pPr>
              <w:shd w:val="clear"/>
              <w:spacing w:line="240" w:lineRule="auto"/>
              <w:ind w:firstLine="0" w:firstLineChars="0"/>
              <w:jc w:val="center"/>
              <w:rPr>
                <w:sz w:val="21"/>
                <w:szCs w:val="21"/>
                <w:highlight w:val="none"/>
              </w:rPr>
            </w:pPr>
            <w:r>
              <w:rPr>
                <w:sz w:val="21"/>
                <w:szCs w:val="21"/>
                <w:highlight w:val="none"/>
              </w:rPr>
              <w:t>户</w:t>
            </w:r>
            <w:r>
              <w:rPr>
                <w:rFonts w:hint="eastAsia"/>
                <w:sz w:val="21"/>
                <w:szCs w:val="21"/>
                <w:highlight w:val="none"/>
                <w:lang w:val="en-US" w:eastAsia="zh-CN"/>
              </w:rPr>
              <w:t>外</w:t>
            </w:r>
            <w:r>
              <w:rPr>
                <w:sz w:val="21"/>
                <w:szCs w:val="21"/>
                <w:highlight w:val="none"/>
              </w:rPr>
              <w:t>布置GIS</w:t>
            </w:r>
          </w:p>
        </w:tc>
      </w:tr>
      <w:tr w14:paraId="65585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14:paraId="7765E08E">
            <w:pPr>
              <w:shd w:val="clear"/>
              <w:spacing w:line="240" w:lineRule="auto"/>
              <w:ind w:firstLine="0" w:firstLineChars="0"/>
              <w:jc w:val="center"/>
              <w:rPr>
                <w:sz w:val="21"/>
                <w:szCs w:val="21"/>
                <w:highlight w:val="none"/>
              </w:rPr>
            </w:pPr>
            <w:r>
              <w:rPr>
                <w:sz w:val="21"/>
                <w:szCs w:val="21"/>
                <w:highlight w:val="none"/>
              </w:rPr>
              <w:t>110kV线路进出回数</w:t>
            </w:r>
          </w:p>
        </w:tc>
        <w:tc>
          <w:tcPr>
            <w:tcW w:w="0" w:type="auto"/>
            <w:tcBorders>
              <w:top w:val="single" w:color="auto" w:sz="6" w:space="0"/>
              <w:left w:val="single" w:color="auto" w:sz="6" w:space="0"/>
              <w:bottom w:val="single" w:color="auto" w:sz="6" w:space="0"/>
              <w:right w:val="single" w:color="auto" w:sz="6" w:space="0"/>
            </w:tcBorders>
            <w:vAlign w:val="center"/>
          </w:tcPr>
          <w:p w14:paraId="1A649582">
            <w:pPr>
              <w:shd w:val="clear"/>
              <w:spacing w:line="240" w:lineRule="auto"/>
              <w:ind w:firstLine="0" w:firstLineChars="0"/>
              <w:jc w:val="center"/>
              <w:rPr>
                <w:sz w:val="21"/>
                <w:szCs w:val="21"/>
                <w:highlight w:val="none"/>
              </w:rPr>
            </w:pPr>
            <w:r>
              <w:rPr>
                <w:sz w:val="21"/>
                <w:szCs w:val="21"/>
                <w:highlight w:val="none"/>
              </w:rPr>
              <w:t>110kV出线：4回；</w:t>
            </w:r>
          </w:p>
        </w:tc>
        <w:tc>
          <w:tcPr>
            <w:tcW w:w="0" w:type="auto"/>
            <w:tcBorders>
              <w:top w:val="single" w:color="auto" w:sz="6" w:space="0"/>
              <w:left w:val="single" w:color="auto" w:sz="6" w:space="0"/>
              <w:bottom w:val="single" w:color="auto" w:sz="6" w:space="0"/>
              <w:right w:val="single" w:color="auto" w:sz="12" w:space="0"/>
            </w:tcBorders>
            <w:vAlign w:val="center"/>
          </w:tcPr>
          <w:p w14:paraId="1FC861B0">
            <w:pPr>
              <w:shd w:val="clear"/>
              <w:spacing w:line="240" w:lineRule="auto"/>
              <w:ind w:firstLine="0" w:firstLineChars="0"/>
              <w:jc w:val="center"/>
              <w:rPr>
                <w:sz w:val="21"/>
                <w:szCs w:val="21"/>
                <w:highlight w:val="none"/>
              </w:rPr>
            </w:pPr>
            <w:r>
              <w:rPr>
                <w:sz w:val="21"/>
                <w:szCs w:val="21"/>
                <w:highlight w:val="none"/>
              </w:rPr>
              <w:t>110kV出线：1回；</w:t>
            </w:r>
          </w:p>
        </w:tc>
      </w:tr>
      <w:tr w14:paraId="431D3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6" w:space="0"/>
              <w:right w:val="single" w:color="auto" w:sz="6" w:space="0"/>
            </w:tcBorders>
            <w:vAlign w:val="center"/>
          </w:tcPr>
          <w:p w14:paraId="0A424AF7">
            <w:pPr>
              <w:shd w:val="clear"/>
              <w:spacing w:line="240" w:lineRule="auto"/>
              <w:ind w:firstLine="0" w:firstLineChars="0"/>
              <w:jc w:val="center"/>
              <w:rPr>
                <w:sz w:val="21"/>
                <w:szCs w:val="21"/>
                <w:highlight w:val="none"/>
              </w:rPr>
            </w:pPr>
            <w:r>
              <w:rPr>
                <w:sz w:val="21"/>
                <w:szCs w:val="21"/>
                <w:highlight w:val="none"/>
              </w:rPr>
              <w:t>运行工况</w:t>
            </w:r>
          </w:p>
        </w:tc>
        <w:tc>
          <w:tcPr>
            <w:tcW w:w="0" w:type="auto"/>
            <w:tcBorders>
              <w:top w:val="single" w:color="auto" w:sz="6" w:space="0"/>
              <w:left w:val="single" w:color="auto" w:sz="6" w:space="0"/>
              <w:bottom w:val="single" w:color="auto" w:sz="6" w:space="0"/>
              <w:right w:val="single" w:color="auto" w:sz="6" w:space="0"/>
            </w:tcBorders>
            <w:vAlign w:val="center"/>
          </w:tcPr>
          <w:p w14:paraId="2C429AC8">
            <w:pPr>
              <w:shd w:val="clear"/>
              <w:spacing w:line="240" w:lineRule="auto"/>
              <w:ind w:firstLine="0" w:firstLineChars="0"/>
              <w:jc w:val="center"/>
              <w:rPr>
                <w:sz w:val="21"/>
                <w:szCs w:val="21"/>
                <w:highlight w:val="none"/>
              </w:rPr>
            </w:pPr>
            <w:r>
              <w:rPr>
                <w:sz w:val="21"/>
                <w:szCs w:val="21"/>
                <w:highlight w:val="none"/>
              </w:rPr>
              <w:t>1#主变：运行电压为118.32kV～119.13kV、运行电流为37.96A～38.47A；</w:t>
            </w:r>
          </w:p>
          <w:p w14:paraId="1238B537">
            <w:pPr>
              <w:shd w:val="clear"/>
              <w:spacing w:line="240" w:lineRule="auto"/>
              <w:ind w:firstLine="0" w:firstLineChars="0"/>
              <w:jc w:val="center"/>
              <w:rPr>
                <w:sz w:val="21"/>
                <w:szCs w:val="21"/>
                <w:highlight w:val="none"/>
              </w:rPr>
            </w:pPr>
            <w:r>
              <w:rPr>
                <w:sz w:val="21"/>
                <w:szCs w:val="21"/>
                <w:highlight w:val="none"/>
              </w:rPr>
              <w:t>2#主变：运行电压为118.60kV～119.13kV、运行电流为45.21A～46.22。</w:t>
            </w:r>
          </w:p>
        </w:tc>
        <w:tc>
          <w:tcPr>
            <w:tcW w:w="0" w:type="auto"/>
            <w:tcBorders>
              <w:top w:val="single" w:color="auto" w:sz="6" w:space="0"/>
              <w:left w:val="single" w:color="auto" w:sz="6" w:space="0"/>
              <w:bottom w:val="single" w:color="auto" w:sz="6" w:space="0"/>
              <w:right w:val="single" w:color="auto" w:sz="12" w:space="0"/>
            </w:tcBorders>
            <w:vAlign w:val="center"/>
          </w:tcPr>
          <w:p w14:paraId="248CA831">
            <w:pPr>
              <w:shd w:val="clear"/>
              <w:spacing w:line="240" w:lineRule="auto"/>
              <w:ind w:firstLine="0" w:firstLineChars="0"/>
              <w:jc w:val="center"/>
              <w:rPr>
                <w:sz w:val="21"/>
                <w:szCs w:val="21"/>
                <w:highlight w:val="none"/>
              </w:rPr>
            </w:pPr>
            <w:r>
              <w:rPr>
                <w:sz w:val="21"/>
                <w:szCs w:val="21"/>
                <w:highlight w:val="none"/>
              </w:rPr>
              <w:t>/</w:t>
            </w:r>
          </w:p>
        </w:tc>
      </w:tr>
      <w:tr w14:paraId="48774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0" w:type="auto"/>
            <w:tcBorders>
              <w:top w:val="single" w:color="auto" w:sz="6" w:space="0"/>
              <w:left w:val="single" w:color="auto" w:sz="12" w:space="0"/>
              <w:bottom w:val="single" w:color="auto" w:sz="12" w:space="0"/>
              <w:right w:val="single" w:color="auto" w:sz="6" w:space="0"/>
            </w:tcBorders>
            <w:vAlign w:val="center"/>
          </w:tcPr>
          <w:p w14:paraId="52A960B7">
            <w:pPr>
              <w:shd w:val="clear"/>
              <w:spacing w:line="240" w:lineRule="auto"/>
              <w:ind w:firstLine="0" w:firstLineChars="0"/>
              <w:jc w:val="center"/>
              <w:rPr>
                <w:sz w:val="21"/>
                <w:szCs w:val="21"/>
                <w:highlight w:val="none"/>
              </w:rPr>
            </w:pPr>
            <w:r>
              <w:rPr>
                <w:sz w:val="21"/>
                <w:szCs w:val="21"/>
                <w:highlight w:val="none"/>
              </w:rPr>
              <w:t>环境条件</w:t>
            </w:r>
          </w:p>
        </w:tc>
        <w:tc>
          <w:tcPr>
            <w:tcW w:w="0" w:type="auto"/>
            <w:tcBorders>
              <w:top w:val="single" w:color="auto" w:sz="6" w:space="0"/>
              <w:left w:val="single" w:color="auto" w:sz="6" w:space="0"/>
              <w:bottom w:val="single" w:color="auto" w:sz="12" w:space="0"/>
              <w:right w:val="single" w:color="auto" w:sz="6" w:space="0"/>
            </w:tcBorders>
            <w:vAlign w:val="center"/>
          </w:tcPr>
          <w:p w14:paraId="46F0341B">
            <w:pPr>
              <w:shd w:val="clear"/>
              <w:spacing w:line="240" w:lineRule="auto"/>
              <w:ind w:firstLine="0" w:firstLineChars="0"/>
              <w:jc w:val="center"/>
              <w:rPr>
                <w:sz w:val="21"/>
                <w:szCs w:val="21"/>
                <w:highlight w:val="none"/>
              </w:rPr>
            </w:pPr>
            <w:r>
              <w:rPr>
                <w:sz w:val="21"/>
                <w:szCs w:val="21"/>
                <w:highlight w:val="none"/>
              </w:rPr>
              <w:t>气候干旱少雨，属于荒漠戈壁区域</w:t>
            </w:r>
          </w:p>
        </w:tc>
        <w:tc>
          <w:tcPr>
            <w:tcW w:w="0" w:type="auto"/>
            <w:tcBorders>
              <w:top w:val="single" w:color="auto" w:sz="6" w:space="0"/>
              <w:left w:val="single" w:color="auto" w:sz="6" w:space="0"/>
              <w:bottom w:val="single" w:color="auto" w:sz="12" w:space="0"/>
              <w:right w:val="single" w:color="auto" w:sz="12" w:space="0"/>
            </w:tcBorders>
            <w:vAlign w:val="center"/>
          </w:tcPr>
          <w:p w14:paraId="080BD1AB">
            <w:pPr>
              <w:shd w:val="clear"/>
              <w:spacing w:line="240" w:lineRule="auto"/>
              <w:ind w:firstLine="0" w:firstLineChars="0"/>
              <w:jc w:val="center"/>
              <w:rPr>
                <w:sz w:val="21"/>
                <w:szCs w:val="21"/>
                <w:highlight w:val="none"/>
              </w:rPr>
            </w:pPr>
            <w:r>
              <w:rPr>
                <w:sz w:val="21"/>
                <w:szCs w:val="21"/>
                <w:highlight w:val="none"/>
              </w:rPr>
              <w:t>干旱大陆性气候，干燥少雨</w:t>
            </w:r>
          </w:p>
        </w:tc>
      </w:tr>
    </w:tbl>
    <w:p w14:paraId="233DB083">
      <w:pPr>
        <w:shd w:val="clear"/>
        <w:ind w:firstLine="480"/>
        <w:rPr>
          <w:highlight w:val="none"/>
        </w:rPr>
      </w:pPr>
      <w:bookmarkStart w:id="537" w:name="_Toc61882580"/>
      <w:bookmarkStart w:id="538" w:name="_Toc38780083"/>
      <w:r>
        <w:rPr>
          <w:highlight w:val="none"/>
        </w:rPr>
        <w:t>由表3-1-1对比分析，选取的类比</w:t>
      </w:r>
      <w:r>
        <w:rPr>
          <w:rFonts w:hint="eastAsia"/>
          <w:highlight w:val="none"/>
          <w:lang w:eastAsia="zh-CN"/>
        </w:rPr>
        <w:t>升压站</w:t>
      </w:r>
      <w:r>
        <w:rPr>
          <w:highlight w:val="none"/>
        </w:rPr>
        <w:t>与本项目</w:t>
      </w:r>
      <w:r>
        <w:rPr>
          <w:rFonts w:hint="eastAsia"/>
          <w:highlight w:val="none"/>
          <w:lang w:eastAsia="zh-CN"/>
        </w:rPr>
        <w:t>升压站</w:t>
      </w:r>
      <w:r>
        <w:rPr>
          <w:highlight w:val="none"/>
        </w:rPr>
        <w:t>主变布置形式、电压等级一致，类比</w:t>
      </w:r>
      <w:r>
        <w:rPr>
          <w:rFonts w:hint="eastAsia"/>
          <w:highlight w:val="none"/>
          <w:lang w:eastAsia="zh-CN"/>
        </w:rPr>
        <w:t>升压站</w:t>
      </w:r>
      <w:r>
        <w:rPr>
          <w:highlight w:val="none"/>
        </w:rPr>
        <w:t>为主变容量略大于本项目，类比结果偏保守；监测期间类比</w:t>
      </w:r>
      <w:r>
        <w:rPr>
          <w:rFonts w:hint="eastAsia"/>
          <w:highlight w:val="none"/>
          <w:lang w:eastAsia="zh-CN"/>
        </w:rPr>
        <w:t>升压站</w:t>
      </w:r>
      <w:r>
        <w:rPr>
          <w:highlight w:val="none"/>
        </w:rPr>
        <w:t>运行正常，类比可行。</w:t>
      </w:r>
    </w:p>
    <w:p w14:paraId="10A9618B">
      <w:pPr>
        <w:pStyle w:val="4"/>
        <w:shd w:val="clear"/>
        <w:ind w:firstLine="482"/>
        <w:rPr>
          <w:highlight w:val="none"/>
        </w:rPr>
      </w:pPr>
      <w:bookmarkStart w:id="539" w:name="_Toc7001"/>
      <w:bookmarkStart w:id="540" w:name="_Toc70009866"/>
      <w:bookmarkStart w:id="541" w:name="_Toc70009678"/>
      <w:bookmarkStart w:id="542" w:name="_Toc38780082"/>
      <w:r>
        <w:rPr>
          <w:highlight w:val="none"/>
        </w:rPr>
        <w:t>3.1.2 工频电场、工频磁场类比监测</w:t>
      </w:r>
      <w:bookmarkEnd w:id="539"/>
      <w:bookmarkEnd w:id="540"/>
      <w:bookmarkEnd w:id="541"/>
      <w:bookmarkEnd w:id="542"/>
    </w:p>
    <w:p w14:paraId="4D0FBDB4">
      <w:pPr>
        <w:shd w:val="clear"/>
        <w:ind w:firstLine="482"/>
        <w:outlineLvl w:val="3"/>
        <w:rPr>
          <w:b/>
          <w:bCs/>
          <w:highlight w:val="none"/>
        </w:rPr>
      </w:pPr>
      <w:r>
        <w:rPr>
          <w:b/>
          <w:bCs/>
          <w:highlight w:val="none"/>
        </w:rPr>
        <w:t>3.1.2.1 监测因子</w:t>
      </w:r>
    </w:p>
    <w:p w14:paraId="6FED82AC">
      <w:pPr>
        <w:shd w:val="clear"/>
        <w:ind w:firstLine="480"/>
        <w:rPr>
          <w:highlight w:val="none"/>
        </w:rPr>
      </w:pPr>
      <w:r>
        <w:rPr>
          <w:highlight w:val="none"/>
        </w:rPr>
        <w:t>工频电场、工频磁场</w:t>
      </w:r>
    </w:p>
    <w:p w14:paraId="05BAE9FD">
      <w:pPr>
        <w:shd w:val="clear"/>
        <w:ind w:firstLine="482"/>
        <w:outlineLvl w:val="3"/>
        <w:rPr>
          <w:b/>
          <w:bCs/>
          <w:highlight w:val="none"/>
        </w:rPr>
      </w:pPr>
      <w:r>
        <w:rPr>
          <w:b/>
          <w:bCs/>
          <w:highlight w:val="none"/>
        </w:rPr>
        <w:t>3.1.2.2 监测方法</w:t>
      </w:r>
    </w:p>
    <w:p w14:paraId="6EAF38CB">
      <w:pPr>
        <w:shd w:val="clear"/>
        <w:ind w:firstLine="480"/>
        <w:rPr>
          <w:highlight w:val="none"/>
        </w:rPr>
      </w:pPr>
      <w:r>
        <w:rPr>
          <w:highlight w:val="none"/>
        </w:rPr>
        <w:t>监测方法：《交流输变电工程电磁环境监测方法（试行）》</w:t>
      </w:r>
      <w:r>
        <w:rPr>
          <w:rFonts w:hint="eastAsia"/>
          <w:highlight w:val="none"/>
          <w:lang w:eastAsia="zh-CN"/>
        </w:rPr>
        <w:t>（</w:t>
      </w:r>
      <w:r>
        <w:rPr>
          <w:highlight w:val="none"/>
        </w:rPr>
        <w:t>HJ681-2013</w:t>
      </w:r>
      <w:r>
        <w:rPr>
          <w:rFonts w:hint="eastAsia"/>
          <w:highlight w:val="none"/>
          <w:lang w:eastAsia="zh-CN"/>
        </w:rPr>
        <w:t>）</w:t>
      </w:r>
      <w:r>
        <w:rPr>
          <w:highlight w:val="none"/>
        </w:rPr>
        <w:t>。</w:t>
      </w:r>
    </w:p>
    <w:p w14:paraId="5322B231">
      <w:pPr>
        <w:shd w:val="clear"/>
        <w:ind w:firstLine="482"/>
        <w:outlineLvl w:val="3"/>
        <w:rPr>
          <w:b/>
          <w:bCs/>
          <w:highlight w:val="none"/>
        </w:rPr>
      </w:pPr>
      <w:r>
        <w:rPr>
          <w:b/>
          <w:bCs/>
          <w:highlight w:val="none"/>
        </w:rPr>
        <w:t>3.1.2.3 监测单位及监测时间</w:t>
      </w:r>
    </w:p>
    <w:p w14:paraId="751AD1BF">
      <w:pPr>
        <w:shd w:val="clear"/>
        <w:ind w:firstLine="480"/>
        <w:rPr>
          <w:highlight w:val="none"/>
        </w:rPr>
      </w:pPr>
      <w:r>
        <w:rPr>
          <w:highlight w:val="none"/>
        </w:rPr>
        <w:t>监测单位：新疆德能辐射环境科技有限公司</w:t>
      </w:r>
    </w:p>
    <w:p w14:paraId="20ED8553">
      <w:pPr>
        <w:shd w:val="clear"/>
        <w:ind w:firstLine="480"/>
        <w:rPr>
          <w:highlight w:val="none"/>
        </w:rPr>
      </w:pPr>
      <w:r>
        <w:rPr>
          <w:highlight w:val="none"/>
        </w:rPr>
        <w:t>监测时间：监测时间：2021年9月9日</w:t>
      </w:r>
    </w:p>
    <w:p w14:paraId="53207B39">
      <w:pPr>
        <w:shd w:val="clear"/>
        <w:ind w:firstLine="482"/>
        <w:outlineLvl w:val="3"/>
        <w:rPr>
          <w:b/>
          <w:bCs/>
          <w:highlight w:val="none"/>
        </w:rPr>
      </w:pPr>
      <w:r>
        <w:rPr>
          <w:b/>
          <w:bCs/>
          <w:highlight w:val="none"/>
        </w:rPr>
        <w:t>3.1.2.4 监测仪器、监测条件</w:t>
      </w:r>
    </w:p>
    <w:p w14:paraId="20240AC8">
      <w:pPr>
        <w:shd w:val="clear"/>
        <w:ind w:firstLine="480"/>
        <w:rPr>
          <w:highlight w:val="none"/>
        </w:rPr>
      </w:pPr>
      <w:r>
        <w:rPr>
          <w:highlight w:val="none"/>
        </w:rPr>
        <w:t>监测仪器参数，见表3</w:t>
      </w:r>
      <w:r>
        <w:rPr>
          <w:rFonts w:hint="eastAsia"/>
          <w:highlight w:val="none"/>
        </w:rPr>
        <w:t>.2-2</w:t>
      </w:r>
      <w:r>
        <w:rPr>
          <w:highlight w:val="none"/>
        </w:rPr>
        <w:t>。</w:t>
      </w:r>
    </w:p>
    <w:p w14:paraId="21BE62AA">
      <w:pPr>
        <w:shd w:val="clear"/>
        <w:spacing w:line="240" w:lineRule="auto"/>
        <w:ind w:firstLine="482"/>
        <w:rPr>
          <w:b/>
          <w:bCs/>
          <w:highlight w:val="none"/>
        </w:rPr>
      </w:pPr>
      <w:r>
        <w:rPr>
          <w:b/>
          <w:bCs/>
          <w:highlight w:val="none"/>
        </w:rPr>
        <w:t>表</w:t>
      </w:r>
      <w:r>
        <w:rPr>
          <w:rFonts w:hint="eastAsia"/>
          <w:b/>
          <w:bCs/>
          <w:highlight w:val="none"/>
        </w:rPr>
        <w:t>3.2-2</w:t>
      </w:r>
      <w:r>
        <w:rPr>
          <w:b/>
          <w:bCs/>
          <w:highlight w:val="none"/>
        </w:rPr>
        <w:t xml:space="preserve">            监测仪器参数表</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78"/>
        <w:gridCol w:w="1948"/>
        <w:gridCol w:w="2194"/>
        <w:gridCol w:w="2071"/>
        <w:gridCol w:w="2307"/>
      </w:tblGrid>
      <w:tr w14:paraId="02C3F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0" w:type="auto"/>
            <w:tcBorders>
              <w:tl2br w:val="nil"/>
              <w:tr2bl w:val="nil"/>
            </w:tcBorders>
            <w:tcMar>
              <w:top w:w="0" w:type="dxa"/>
              <w:left w:w="0" w:type="dxa"/>
              <w:bottom w:w="0" w:type="dxa"/>
              <w:right w:w="0" w:type="dxa"/>
            </w:tcMar>
            <w:vAlign w:val="center"/>
          </w:tcPr>
          <w:p w14:paraId="1FDBDC97">
            <w:pPr>
              <w:shd w:val="clear"/>
              <w:spacing w:line="240" w:lineRule="auto"/>
              <w:ind w:firstLine="0" w:firstLineChars="0"/>
              <w:jc w:val="center"/>
              <w:rPr>
                <w:sz w:val="21"/>
                <w:szCs w:val="21"/>
                <w:highlight w:val="none"/>
              </w:rPr>
            </w:pPr>
            <w:r>
              <w:rPr>
                <w:sz w:val="21"/>
                <w:szCs w:val="21"/>
                <w:highlight w:val="none"/>
              </w:rPr>
              <w:t>序号</w:t>
            </w:r>
          </w:p>
        </w:tc>
        <w:tc>
          <w:tcPr>
            <w:tcW w:w="0" w:type="auto"/>
            <w:tcBorders>
              <w:tl2br w:val="nil"/>
              <w:tr2bl w:val="nil"/>
            </w:tcBorders>
            <w:tcMar>
              <w:top w:w="0" w:type="dxa"/>
              <w:left w:w="0" w:type="dxa"/>
              <w:bottom w:w="0" w:type="dxa"/>
              <w:right w:w="0" w:type="dxa"/>
            </w:tcMar>
            <w:vAlign w:val="center"/>
          </w:tcPr>
          <w:p w14:paraId="50AA559C">
            <w:pPr>
              <w:shd w:val="clear"/>
              <w:spacing w:line="240" w:lineRule="auto"/>
              <w:ind w:firstLine="0" w:firstLineChars="0"/>
              <w:jc w:val="center"/>
              <w:rPr>
                <w:sz w:val="21"/>
                <w:szCs w:val="21"/>
                <w:highlight w:val="none"/>
              </w:rPr>
            </w:pPr>
            <w:r>
              <w:rPr>
                <w:sz w:val="21"/>
                <w:szCs w:val="21"/>
                <w:highlight w:val="none"/>
              </w:rPr>
              <w:t>监测项目</w:t>
            </w:r>
          </w:p>
        </w:tc>
        <w:tc>
          <w:tcPr>
            <w:tcW w:w="0" w:type="auto"/>
            <w:tcBorders>
              <w:tl2br w:val="nil"/>
              <w:tr2bl w:val="nil"/>
            </w:tcBorders>
            <w:tcMar>
              <w:top w:w="0" w:type="dxa"/>
              <w:left w:w="0" w:type="dxa"/>
              <w:bottom w:w="0" w:type="dxa"/>
              <w:right w:w="0" w:type="dxa"/>
            </w:tcMar>
            <w:vAlign w:val="center"/>
          </w:tcPr>
          <w:p w14:paraId="31A329D3">
            <w:pPr>
              <w:shd w:val="clear"/>
              <w:spacing w:line="240" w:lineRule="auto"/>
              <w:ind w:firstLine="0" w:firstLineChars="0"/>
              <w:jc w:val="center"/>
              <w:rPr>
                <w:sz w:val="21"/>
                <w:szCs w:val="21"/>
                <w:highlight w:val="none"/>
              </w:rPr>
            </w:pPr>
            <w:r>
              <w:rPr>
                <w:sz w:val="21"/>
                <w:szCs w:val="21"/>
                <w:highlight w:val="none"/>
              </w:rPr>
              <w:t>设备名称</w:t>
            </w:r>
          </w:p>
        </w:tc>
        <w:tc>
          <w:tcPr>
            <w:tcW w:w="0" w:type="auto"/>
            <w:tcBorders>
              <w:tl2br w:val="nil"/>
              <w:tr2bl w:val="nil"/>
            </w:tcBorders>
            <w:tcMar>
              <w:top w:w="0" w:type="dxa"/>
              <w:left w:w="0" w:type="dxa"/>
              <w:bottom w:w="0" w:type="dxa"/>
              <w:right w:w="0" w:type="dxa"/>
            </w:tcMar>
            <w:vAlign w:val="center"/>
          </w:tcPr>
          <w:p w14:paraId="5B88498F">
            <w:pPr>
              <w:shd w:val="clear"/>
              <w:spacing w:line="240" w:lineRule="auto"/>
              <w:ind w:firstLine="0" w:firstLineChars="0"/>
              <w:jc w:val="center"/>
              <w:rPr>
                <w:sz w:val="21"/>
                <w:szCs w:val="21"/>
                <w:highlight w:val="none"/>
              </w:rPr>
            </w:pPr>
            <w:r>
              <w:rPr>
                <w:sz w:val="21"/>
                <w:szCs w:val="21"/>
                <w:highlight w:val="none"/>
              </w:rPr>
              <w:t>设备编号</w:t>
            </w:r>
          </w:p>
        </w:tc>
        <w:tc>
          <w:tcPr>
            <w:tcW w:w="0" w:type="auto"/>
            <w:tcBorders>
              <w:tl2br w:val="nil"/>
              <w:tr2bl w:val="nil"/>
            </w:tcBorders>
            <w:tcMar>
              <w:top w:w="0" w:type="dxa"/>
              <w:left w:w="0" w:type="dxa"/>
              <w:bottom w:w="0" w:type="dxa"/>
              <w:right w:w="0" w:type="dxa"/>
            </w:tcMar>
            <w:vAlign w:val="center"/>
          </w:tcPr>
          <w:p w14:paraId="167ADED9">
            <w:pPr>
              <w:shd w:val="clear"/>
              <w:spacing w:line="240" w:lineRule="auto"/>
              <w:ind w:firstLine="0" w:firstLineChars="0"/>
              <w:jc w:val="center"/>
              <w:rPr>
                <w:sz w:val="21"/>
                <w:szCs w:val="21"/>
                <w:highlight w:val="none"/>
              </w:rPr>
            </w:pPr>
            <w:r>
              <w:rPr>
                <w:sz w:val="21"/>
                <w:szCs w:val="21"/>
                <w:highlight w:val="none"/>
              </w:rPr>
              <w:t>有效日期</w:t>
            </w:r>
          </w:p>
        </w:tc>
      </w:tr>
      <w:tr w14:paraId="747B4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restart"/>
            <w:tcBorders>
              <w:tl2br w:val="nil"/>
              <w:tr2bl w:val="nil"/>
            </w:tcBorders>
            <w:tcMar>
              <w:top w:w="0" w:type="dxa"/>
              <w:left w:w="0" w:type="dxa"/>
              <w:bottom w:w="0" w:type="dxa"/>
              <w:right w:w="0" w:type="dxa"/>
            </w:tcMar>
            <w:vAlign w:val="center"/>
          </w:tcPr>
          <w:p w14:paraId="32702920">
            <w:pPr>
              <w:shd w:val="clear"/>
              <w:spacing w:line="240" w:lineRule="auto"/>
              <w:ind w:firstLine="0" w:firstLineChars="0"/>
              <w:jc w:val="center"/>
              <w:rPr>
                <w:sz w:val="21"/>
                <w:szCs w:val="21"/>
                <w:highlight w:val="none"/>
              </w:rPr>
            </w:pPr>
            <w:r>
              <w:rPr>
                <w:sz w:val="21"/>
                <w:szCs w:val="21"/>
                <w:highlight w:val="none"/>
              </w:rPr>
              <w:t>1</w:t>
            </w:r>
          </w:p>
        </w:tc>
        <w:tc>
          <w:tcPr>
            <w:tcW w:w="0" w:type="auto"/>
            <w:tcBorders>
              <w:tl2br w:val="nil"/>
              <w:tr2bl w:val="nil"/>
            </w:tcBorders>
            <w:tcMar>
              <w:top w:w="0" w:type="dxa"/>
              <w:left w:w="0" w:type="dxa"/>
              <w:bottom w:w="0" w:type="dxa"/>
              <w:right w:w="0" w:type="dxa"/>
            </w:tcMar>
            <w:vAlign w:val="center"/>
          </w:tcPr>
          <w:p w14:paraId="13E68C6B">
            <w:pPr>
              <w:shd w:val="clear"/>
              <w:spacing w:line="240" w:lineRule="auto"/>
              <w:ind w:firstLine="0" w:firstLineChars="0"/>
              <w:jc w:val="center"/>
              <w:rPr>
                <w:sz w:val="21"/>
                <w:szCs w:val="21"/>
                <w:highlight w:val="none"/>
              </w:rPr>
            </w:pPr>
            <w:r>
              <w:rPr>
                <w:sz w:val="21"/>
                <w:szCs w:val="21"/>
                <w:highlight w:val="none"/>
              </w:rPr>
              <w:t>工频电场强度</w:t>
            </w:r>
          </w:p>
        </w:tc>
        <w:tc>
          <w:tcPr>
            <w:tcW w:w="0" w:type="auto"/>
            <w:vMerge w:val="restart"/>
            <w:tcBorders>
              <w:tl2br w:val="nil"/>
              <w:tr2bl w:val="nil"/>
            </w:tcBorders>
            <w:tcMar>
              <w:top w:w="0" w:type="dxa"/>
              <w:left w:w="0" w:type="dxa"/>
              <w:bottom w:w="0" w:type="dxa"/>
              <w:right w:w="0" w:type="dxa"/>
            </w:tcMar>
            <w:vAlign w:val="center"/>
          </w:tcPr>
          <w:p w14:paraId="0EA59C8C">
            <w:pPr>
              <w:shd w:val="clear"/>
              <w:spacing w:line="240" w:lineRule="auto"/>
              <w:ind w:firstLine="0" w:firstLineChars="0"/>
              <w:jc w:val="center"/>
              <w:rPr>
                <w:sz w:val="21"/>
                <w:szCs w:val="21"/>
                <w:highlight w:val="none"/>
              </w:rPr>
            </w:pPr>
            <w:r>
              <w:rPr>
                <w:sz w:val="21"/>
                <w:szCs w:val="21"/>
                <w:highlight w:val="none"/>
              </w:rPr>
              <w:t>LF-01和SEM-600</w:t>
            </w:r>
          </w:p>
        </w:tc>
        <w:tc>
          <w:tcPr>
            <w:tcW w:w="0" w:type="auto"/>
            <w:vMerge w:val="restart"/>
            <w:tcBorders>
              <w:tl2br w:val="nil"/>
              <w:tr2bl w:val="nil"/>
            </w:tcBorders>
            <w:tcMar>
              <w:top w:w="0" w:type="dxa"/>
              <w:left w:w="0" w:type="dxa"/>
              <w:bottom w:w="0" w:type="dxa"/>
              <w:right w:w="0" w:type="dxa"/>
            </w:tcMar>
            <w:vAlign w:val="center"/>
          </w:tcPr>
          <w:p w14:paraId="027358C4">
            <w:pPr>
              <w:shd w:val="clear"/>
              <w:spacing w:line="240" w:lineRule="auto"/>
              <w:ind w:firstLine="0" w:firstLineChars="0"/>
              <w:jc w:val="center"/>
              <w:rPr>
                <w:sz w:val="21"/>
                <w:szCs w:val="21"/>
                <w:highlight w:val="none"/>
              </w:rPr>
            </w:pPr>
            <w:r>
              <w:rPr>
                <w:sz w:val="21"/>
                <w:szCs w:val="21"/>
                <w:highlight w:val="none"/>
              </w:rPr>
              <w:t>S-0176和G-0176</w:t>
            </w:r>
          </w:p>
        </w:tc>
        <w:tc>
          <w:tcPr>
            <w:tcW w:w="0" w:type="auto"/>
            <w:vMerge w:val="restart"/>
            <w:tcBorders>
              <w:tl2br w:val="nil"/>
              <w:tr2bl w:val="nil"/>
            </w:tcBorders>
            <w:tcMar>
              <w:top w:w="0" w:type="dxa"/>
              <w:left w:w="0" w:type="dxa"/>
              <w:bottom w:w="0" w:type="dxa"/>
              <w:right w:w="0" w:type="dxa"/>
            </w:tcMar>
            <w:vAlign w:val="center"/>
          </w:tcPr>
          <w:p w14:paraId="1E2109A2">
            <w:pPr>
              <w:shd w:val="clear"/>
              <w:spacing w:line="240" w:lineRule="auto"/>
              <w:ind w:firstLine="0" w:firstLineChars="0"/>
              <w:jc w:val="center"/>
              <w:rPr>
                <w:sz w:val="21"/>
                <w:szCs w:val="21"/>
                <w:highlight w:val="none"/>
              </w:rPr>
            </w:pPr>
            <w:r>
              <w:rPr>
                <w:sz w:val="21"/>
                <w:szCs w:val="21"/>
                <w:highlight w:val="none"/>
              </w:rPr>
              <w:t>2021年10月15日</w:t>
            </w:r>
          </w:p>
        </w:tc>
      </w:tr>
      <w:tr w14:paraId="7EFA3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continue"/>
            <w:tcBorders>
              <w:tl2br w:val="nil"/>
              <w:tr2bl w:val="nil"/>
            </w:tcBorders>
            <w:vAlign w:val="center"/>
          </w:tcPr>
          <w:p w14:paraId="38A0B207">
            <w:pPr>
              <w:shd w:val="clear"/>
              <w:spacing w:line="240" w:lineRule="auto"/>
              <w:ind w:firstLine="0" w:firstLineChars="0"/>
              <w:jc w:val="center"/>
              <w:rPr>
                <w:sz w:val="21"/>
                <w:szCs w:val="21"/>
                <w:highlight w:val="none"/>
              </w:rPr>
            </w:pPr>
          </w:p>
        </w:tc>
        <w:tc>
          <w:tcPr>
            <w:tcW w:w="0" w:type="auto"/>
            <w:tcBorders>
              <w:tl2br w:val="nil"/>
              <w:tr2bl w:val="nil"/>
            </w:tcBorders>
            <w:tcMar>
              <w:top w:w="0" w:type="dxa"/>
              <w:left w:w="0" w:type="dxa"/>
              <w:bottom w:w="0" w:type="dxa"/>
              <w:right w:w="0" w:type="dxa"/>
            </w:tcMar>
            <w:vAlign w:val="center"/>
          </w:tcPr>
          <w:p w14:paraId="07DA769C">
            <w:pPr>
              <w:shd w:val="clear"/>
              <w:spacing w:line="240" w:lineRule="auto"/>
              <w:ind w:firstLine="0" w:firstLineChars="0"/>
              <w:jc w:val="center"/>
              <w:rPr>
                <w:sz w:val="21"/>
                <w:szCs w:val="21"/>
                <w:highlight w:val="none"/>
              </w:rPr>
            </w:pPr>
            <w:r>
              <w:rPr>
                <w:sz w:val="21"/>
                <w:szCs w:val="21"/>
                <w:highlight w:val="none"/>
              </w:rPr>
              <w:t>工频磁感应强度</w:t>
            </w:r>
          </w:p>
        </w:tc>
        <w:tc>
          <w:tcPr>
            <w:tcW w:w="0" w:type="auto"/>
            <w:vMerge w:val="continue"/>
            <w:tcBorders>
              <w:tl2br w:val="nil"/>
              <w:tr2bl w:val="nil"/>
            </w:tcBorders>
            <w:tcMar>
              <w:top w:w="0" w:type="dxa"/>
              <w:left w:w="0" w:type="dxa"/>
              <w:bottom w:w="0" w:type="dxa"/>
              <w:right w:w="0" w:type="dxa"/>
            </w:tcMar>
            <w:vAlign w:val="center"/>
          </w:tcPr>
          <w:p w14:paraId="6304FDC2">
            <w:pPr>
              <w:shd w:val="clear"/>
              <w:spacing w:line="240" w:lineRule="auto"/>
              <w:ind w:firstLine="0" w:firstLineChars="0"/>
              <w:jc w:val="center"/>
              <w:rPr>
                <w:sz w:val="21"/>
                <w:szCs w:val="21"/>
                <w:highlight w:val="none"/>
              </w:rPr>
            </w:pPr>
          </w:p>
        </w:tc>
        <w:tc>
          <w:tcPr>
            <w:tcW w:w="0" w:type="auto"/>
            <w:vMerge w:val="continue"/>
            <w:tcBorders>
              <w:tl2br w:val="nil"/>
              <w:tr2bl w:val="nil"/>
            </w:tcBorders>
            <w:tcMar>
              <w:top w:w="0" w:type="dxa"/>
              <w:left w:w="0" w:type="dxa"/>
              <w:bottom w:w="0" w:type="dxa"/>
              <w:right w:w="0" w:type="dxa"/>
            </w:tcMar>
            <w:vAlign w:val="center"/>
          </w:tcPr>
          <w:p w14:paraId="5187F96E">
            <w:pPr>
              <w:shd w:val="clear"/>
              <w:spacing w:line="240" w:lineRule="auto"/>
              <w:ind w:firstLine="0" w:firstLineChars="0"/>
              <w:jc w:val="center"/>
              <w:rPr>
                <w:sz w:val="21"/>
                <w:szCs w:val="21"/>
                <w:highlight w:val="none"/>
              </w:rPr>
            </w:pPr>
          </w:p>
        </w:tc>
        <w:tc>
          <w:tcPr>
            <w:tcW w:w="0" w:type="auto"/>
            <w:vMerge w:val="continue"/>
            <w:tcBorders>
              <w:tl2br w:val="nil"/>
              <w:tr2bl w:val="nil"/>
            </w:tcBorders>
            <w:tcMar>
              <w:top w:w="0" w:type="dxa"/>
              <w:left w:w="0" w:type="dxa"/>
              <w:bottom w:w="0" w:type="dxa"/>
              <w:right w:w="0" w:type="dxa"/>
            </w:tcMar>
            <w:vAlign w:val="center"/>
          </w:tcPr>
          <w:p w14:paraId="6878D7C3">
            <w:pPr>
              <w:shd w:val="clear"/>
              <w:spacing w:line="240" w:lineRule="auto"/>
              <w:ind w:firstLine="0" w:firstLineChars="0"/>
              <w:jc w:val="center"/>
              <w:rPr>
                <w:sz w:val="21"/>
                <w:szCs w:val="21"/>
                <w:highlight w:val="none"/>
              </w:rPr>
            </w:pPr>
          </w:p>
        </w:tc>
      </w:tr>
    </w:tbl>
    <w:p w14:paraId="5FEDAFEA">
      <w:pPr>
        <w:shd w:val="clear"/>
        <w:ind w:firstLine="480"/>
        <w:rPr>
          <w:highlight w:val="none"/>
        </w:rPr>
      </w:pPr>
      <w:r>
        <w:rPr>
          <w:highlight w:val="none"/>
        </w:rPr>
        <w:t>监测条件：晴，温度29.3～33.2℃，湿度24～28%。</w:t>
      </w:r>
    </w:p>
    <w:p w14:paraId="3C828CD5">
      <w:pPr>
        <w:shd w:val="clear"/>
        <w:ind w:firstLine="482"/>
        <w:outlineLvl w:val="3"/>
        <w:rPr>
          <w:b/>
          <w:bCs/>
          <w:highlight w:val="none"/>
        </w:rPr>
      </w:pPr>
      <w:r>
        <w:rPr>
          <w:b/>
          <w:bCs/>
          <w:highlight w:val="none"/>
        </w:rPr>
        <w:t>3.1.2.5 监测结果</w:t>
      </w:r>
    </w:p>
    <w:p w14:paraId="7761A5A3">
      <w:pPr>
        <w:shd w:val="clear"/>
        <w:ind w:firstLine="480"/>
        <w:rPr>
          <w:highlight w:val="none"/>
        </w:rPr>
      </w:pPr>
      <w:r>
        <w:rPr>
          <w:highlight w:val="none"/>
        </w:rPr>
        <w:t>监测结果见表</w:t>
      </w:r>
      <w:r>
        <w:rPr>
          <w:rFonts w:hint="eastAsia"/>
          <w:highlight w:val="none"/>
        </w:rPr>
        <w:t>3.2-3</w:t>
      </w:r>
      <w:r>
        <w:rPr>
          <w:highlight w:val="none"/>
        </w:rPr>
        <w:t>；</w:t>
      </w:r>
    </w:p>
    <w:p w14:paraId="781C4B62">
      <w:pPr>
        <w:shd w:val="clear"/>
        <w:ind w:firstLine="480"/>
        <w:rPr>
          <w:highlight w:val="none"/>
        </w:rPr>
      </w:pPr>
    </w:p>
    <w:p w14:paraId="7084E177">
      <w:pPr>
        <w:shd w:val="clear"/>
        <w:ind w:firstLine="480"/>
        <w:rPr>
          <w:highlight w:val="none"/>
        </w:rPr>
      </w:pPr>
    </w:p>
    <w:p w14:paraId="34CA7D9B">
      <w:pPr>
        <w:shd w:val="clear"/>
        <w:spacing w:line="240" w:lineRule="auto"/>
        <w:ind w:firstLine="482"/>
        <w:rPr>
          <w:b/>
          <w:bCs/>
          <w:highlight w:val="none"/>
        </w:rPr>
      </w:pPr>
      <w:r>
        <w:rPr>
          <w:b/>
          <w:bCs/>
          <w:highlight w:val="none"/>
        </w:rPr>
        <w:t>表</w:t>
      </w:r>
      <w:r>
        <w:rPr>
          <w:rFonts w:hint="eastAsia"/>
          <w:b/>
          <w:bCs/>
          <w:highlight w:val="none"/>
        </w:rPr>
        <w:t>3.2-3</w:t>
      </w:r>
      <w:r>
        <w:rPr>
          <w:b/>
          <w:bCs/>
          <w:highlight w:val="none"/>
        </w:rPr>
        <w:t xml:space="preserve">       白沙湖110kV</w:t>
      </w:r>
      <w:r>
        <w:rPr>
          <w:rFonts w:hint="eastAsia"/>
          <w:b/>
          <w:bCs/>
          <w:highlight w:val="none"/>
          <w:lang w:eastAsia="zh-CN"/>
        </w:rPr>
        <w:t>升压站</w:t>
      </w:r>
      <w:r>
        <w:rPr>
          <w:b/>
          <w:bCs/>
          <w:highlight w:val="none"/>
        </w:rPr>
        <w:t>工频电场、工频磁场测试结果</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2937"/>
        <w:gridCol w:w="2637"/>
        <w:gridCol w:w="2869"/>
      </w:tblGrid>
      <w:tr w14:paraId="1E755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3" w:type="pct"/>
            <w:tcBorders>
              <w:tl2br w:val="nil"/>
              <w:tr2bl w:val="nil"/>
            </w:tcBorders>
            <w:vAlign w:val="center"/>
          </w:tcPr>
          <w:p w14:paraId="57416206">
            <w:pPr>
              <w:shd w:val="clear"/>
              <w:spacing w:line="240" w:lineRule="auto"/>
              <w:ind w:firstLine="0" w:firstLineChars="0"/>
              <w:jc w:val="center"/>
              <w:rPr>
                <w:sz w:val="21"/>
                <w:szCs w:val="21"/>
                <w:highlight w:val="none"/>
              </w:rPr>
            </w:pPr>
            <w:r>
              <w:rPr>
                <w:sz w:val="21"/>
                <w:szCs w:val="21"/>
                <w:highlight w:val="none"/>
              </w:rPr>
              <w:t>序号</w:t>
            </w:r>
          </w:p>
        </w:tc>
        <w:tc>
          <w:tcPr>
            <w:tcW w:w="1581" w:type="pct"/>
            <w:tcBorders>
              <w:tl2br w:val="nil"/>
              <w:tr2bl w:val="nil"/>
            </w:tcBorders>
            <w:vAlign w:val="center"/>
          </w:tcPr>
          <w:p w14:paraId="025A5B4C">
            <w:pPr>
              <w:shd w:val="clear"/>
              <w:spacing w:line="240" w:lineRule="auto"/>
              <w:ind w:firstLine="0" w:firstLineChars="0"/>
              <w:jc w:val="center"/>
              <w:rPr>
                <w:sz w:val="21"/>
                <w:szCs w:val="21"/>
                <w:highlight w:val="none"/>
              </w:rPr>
            </w:pPr>
            <w:r>
              <w:rPr>
                <w:sz w:val="21"/>
                <w:szCs w:val="21"/>
                <w:highlight w:val="none"/>
              </w:rPr>
              <w:t>测点位置</w:t>
            </w:r>
          </w:p>
        </w:tc>
        <w:tc>
          <w:tcPr>
            <w:tcW w:w="1419" w:type="pct"/>
            <w:tcBorders>
              <w:tl2br w:val="nil"/>
              <w:tr2bl w:val="nil"/>
            </w:tcBorders>
            <w:vAlign w:val="center"/>
          </w:tcPr>
          <w:p w14:paraId="5F6D214A">
            <w:pPr>
              <w:shd w:val="clear"/>
              <w:spacing w:line="240" w:lineRule="auto"/>
              <w:ind w:firstLine="0" w:firstLineChars="0"/>
              <w:jc w:val="center"/>
              <w:rPr>
                <w:sz w:val="21"/>
                <w:szCs w:val="21"/>
                <w:highlight w:val="none"/>
              </w:rPr>
            </w:pPr>
            <w:r>
              <w:rPr>
                <w:sz w:val="21"/>
                <w:szCs w:val="21"/>
                <w:highlight w:val="none"/>
              </w:rPr>
              <w:t>工频电场强度</w:t>
            </w:r>
            <w:r>
              <w:rPr>
                <w:rFonts w:hint="eastAsia"/>
                <w:sz w:val="21"/>
                <w:szCs w:val="21"/>
                <w:highlight w:val="none"/>
                <w:lang w:eastAsia="zh-CN"/>
              </w:rPr>
              <w:t>（</w:t>
            </w:r>
            <w:r>
              <w:rPr>
                <w:sz w:val="21"/>
                <w:szCs w:val="21"/>
                <w:highlight w:val="none"/>
              </w:rPr>
              <w:t>V/m</w:t>
            </w:r>
            <w:r>
              <w:rPr>
                <w:rFonts w:hint="eastAsia"/>
                <w:sz w:val="21"/>
                <w:szCs w:val="21"/>
                <w:highlight w:val="none"/>
                <w:lang w:eastAsia="zh-CN"/>
              </w:rPr>
              <w:t>）</w:t>
            </w:r>
          </w:p>
        </w:tc>
        <w:tc>
          <w:tcPr>
            <w:tcW w:w="1544" w:type="pct"/>
            <w:tcBorders>
              <w:tl2br w:val="nil"/>
              <w:tr2bl w:val="nil"/>
            </w:tcBorders>
            <w:vAlign w:val="center"/>
          </w:tcPr>
          <w:p w14:paraId="78A2F3F1">
            <w:pPr>
              <w:shd w:val="clear"/>
              <w:spacing w:line="240" w:lineRule="auto"/>
              <w:ind w:firstLine="0" w:firstLineChars="0"/>
              <w:jc w:val="center"/>
              <w:rPr>
                <w:sz w:val="21"/>
                <w:szCs w:val="21"/>
                <w:highlight w:val="none"/>
              </w:rPr>
            </w:pPr>
            <w:r>
              <w:rPr>
                <w:sz w:val="21"/>
                <w:szCs w:val="21"/>
                <w:highlight w:val="none"/>
              </w:rPr>
              <w:t>工频磁感应强度</w:t>
            </w:r>
            <w:r>
              <w:rPr>
                <w:rFonts w:hint="eastAsia"/>
                <w:sz w:val="21"/>
                <w:szCs w:val="21"/>
                <w:highlight w:val="none"/>
                <w:lang w:eastAsia="zh-CN"/>
              </w:rPr>
              <w:t>（</w:t>
            </w:r>
            <w:r>
              <w:rPr>
                <w:sz w:val="21"/>
                <w:szCs w:val="21"/>
                <w:highlight w:val="none"/>
              </w:rPr>
              <w:t>μT</w:t>
            </w:r>
            <w:r>
              <w:rPr>
                <w:rFonts w:hint="eastAsia"/>
                <w:sz w:val="21"/>
                <w:szCs w:val="21"/>
                <w:highlight w:val="none"/>
                <w:lang w:eastAsia="zh-CN"/>
              </w:rPr>
              <w:t>）</w:t>
            </w:r>
          </w:p>
        </w:tc>
      </w:tr>
      <w:tr w14:paraId="7C5C1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3" w:type="pct"/>
            <w:tcBorders>
              <w:tl2br w:val="nil"/>
              <w:tr2bl w:val="nil"/>
            </w:tcBorders>
            <w:vAlign w:val="center"/>
          </w:tcPr>
          <w:p w14:paraId="1590955A">
            <w:pPr>
              <w:shd w:val="clear"/>
              <w:spacing w:line="240" w:lineRule="auto"/>
              <w:ind w:firstLine="0" w:firstLineChars="0"/>
              <w:jc w:val="center"/>
              <w:rPr>
                <w:sz w:val="21"/>
                <w:szCs w:val="21"/>
                <w:highlight w:val="none"/>
              </w:rPr>
            </w:pPr>
            <w:r>
              <w:rPr>
                <w:sz w:val="21"/>
                <w:szCs w:val="21"/>
                <w:highlight w:val="none"/>
              </w:rPr>
              <w:t>1</w:t>
            </w:r>
          </w:p>
        </w:tc>
        <w:tc>
          <w:tcPr>
            <w:tcW w:w="1581" w:type="pct"/>
            <w:tcBorders>
              <w:tl2br w:val="nil"/>
              <w:tr2bl w:val="nil"/>
            </w:tcBorders>
            <w:vAlign w:val="center"/>
          </w:tcPr>
          <w:p w14:paraId="66BE6579">
            <w:pPr>
              <w:shd w:val="clear"/>
              <w:spacing w:line="240" w:lineRule="auto"/>
              <w:ind w:firstLine="0" w:firstLineChars="0"/>
              <w:jc w:val="center"/>
              <w:rPr>
                <w:sz w:val="21"/>
                <w:szCs w:val="21"/>
                <w:highlight w:val="none"/>
              </w:rPr>
            </w:pPr>
            <w:r>
              <w:rPr>
                <w:sz w:val="21"/>
                <w:szCs w:val="21"/>
                <w:highlight w:val="none"/>
              </w:rPr>
              <w:t>厂界东北侧围墙外5m</w:t>
            </w:r>
          </w:p>
        </w:tc>
        <w:tc>
          <w:tcPr>
            <w:tcW w:w="1419" w:type="pct"/>
            <w:tcBorders>
              <w:tl2br w:val="nil"/>
              <w:tr2bl w:val="nil"/>
            </w:tcBorders>
            <w:vAlign w:val="center"/>
          </w:tcPr>
          <w:p w14:paraId="3147D39C">
            <w:pPr>
              <w:shd w:val="clear"/>
              <w:spacing w:line="240" w:lineRule="auto"/>
              <w:ind w:firstLine="0" w:firstLineChars="0"/>
              <w:jc w:val="center"/>
              <w:rPr>
                <w:sz w:val="21"/>
                <w:szCs w:val="21"/>
                <w:highlight w:val="none"/>
              </w:rPr>
            </w:pPr>
            <w:r>
              <w:rPr>
                <w:sz w:val="21"/>
                <w:szCs w:val="21"/>
                <w:highlight w:val="none"/>
              </w:rPr>
              <w:t>31.23</w:t>
            </w:r>
          </w:p>
        </w:tc>
        <w:tc>
          <w:tcPr>
            <w:tcW w:w="1544" w:type="pct"/>
            <w:tcBorders>
              <w:tl2br w:val="nil"/>
              <w:tr2bl w:val="nil"/>
            </w:tcBorders>
            <w:vAlign w:val="center"/>
          </w:tcPr>
          <w:p w14:paraId="2B8DDCCB">
            <w:pPr>
              <w:shd w:val="clear"/>
              <w:spacing w:line="240" w:lineRule="auto"/>
              <w:ind w:firstLine="0" w:firstLineChars="0"/>
              <w:jc w:val="center"/>
              <w:rPr>
                <w:sz w:val="21"/>
                <w:szCs w:val="21"/>
                <w:highlight w:val="none"/>
              </w:rPr>
            </w:pPr>
            <w:r>
              <w:rPr>
                <w:sz w:val="21"/>
                <w:szCs w:val="21"/>
                <w:highlight w:val="none"/>
              </w:rPr>
              <w:t>0.0123</w:t>
            </w:r>
          </w:p>
        </w:tc>
      </w:tr>
      <w:tr w14:paraId="6BBB3E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3" w:type="pct"/>
            <w:tcBorders>
              <w:tl2br w:val="nil"/>
              <w:tr2bl w:val="nil"/>
            </w:tcBorders>
            <w:vAlign w:val="center"/>
          </w:tcPr>
          <w:p w14:paraId="7421449D">
            <w:pPr>
              <w:shd w:val="clear"/>
              <w:spacing w:line="240" w:lineRule="auto"/>
              <w:ind w:firstLine="0" w:firstLineChars="0"/>
              <w:jc w:val="center"/>
              <w:rPr>
                <w:sz w:val="21"/>
                <w:szCs w:val="21"/>
                <w:highlight w:val="none"/>
              </w:rPr>
            </w:pPr>
            <w:r>
              <w:rPr>
                <w:sz w:val="21"/>
                <w:szCs w:val="21"/>
                <w:highlight w:val="none"/>
              </w:rPr>
              <w:t>2</w:t>
            </w:r>
          </w:p>
        </w:tc>
        <w:tc>
          <w:tcPr>
            <w:tcW w:w="1581" w:type="pct"/>
            <w:tcBorders>
              <w:tl2br w:val="nil"/>
              <w:tr2bl w:val="nil"/>
            </w:tcBorders>
            <w:vAlign w:val="center"/>
          </w:tcPr>
          <w:p w14:paraId="3B523E89">
            <w:pPr>
              <w:shd w:val="clear"/>
              <w:spacing w:line="240" w:lineRule="auto"/>
              <w:ind w:firstLine="0" w:firstLineChars="0"/>
              <w:jc w:val="center"/>
              <w:rPr>
                <w:sz w:val="21"/>
                <w:szCs w:val="21"/>
                <w:highlight w:val="none"/>
              </w:rPr>
            </w:pPr>
            <w:r>
              <w:rPr>
                <w:sz w:val="21"/>
                <w:szCs w:val="21"/>
                <w:highlight w:val="none"/>
              </w:rPr>
              <w:t>厂界东南侧围墙外5m</w:t>
            </w:r>
          </w:p>
        </w:tc>
        <w:tc>
          <w:tcPr>
            <w:tcW w:w="1419" w:type="pct"/>
            <w:tcBorders>
              <w:tl2br w:val="nil"/>
              <w:tr2bl w:val="nil"/>
            </w:tcBorders>
            <w:vAlign w:val="center"/>
          </w:tcPr>
          <w:p w14:paraId="5D35DF37">
            <w:pPr>
              <w:shd w:val="clear"/>
              <w:spacing w:line="240" w:lineRule="auto"/>
              <w:ind w:firstLine="0" w:firstLineChars="0"/>
              <w:jc w:val="center"/>
              <w:rPr>
                <w:sz w:val="21"/>
                <w:szCs w:val="21"/>
                <w:highlight w:val="none"/>
              </w:rPr>
            </w:pPr>
            <w:r>
              <w:rPr>
                <w:sz w:val="21"/>
                <w:szCs w:val="21"/>
                <w:highlight w:val="none"/>
              </w:rPr>
              <w:t>25.62</w:t>
            </w:r>
          </w:p>
        </w:tc>
        <w:tc>
          <w:tcPr>
            <w:tcW w:w="1544" w:type="pct"/>
            <w:tcBorders>
              <w:tl2br w:val="nil"/>
              <w:tr2bl w:val="nil"/>
            </w:tcBorders>
            <w:vAlign w:val="center"/>
          </w:tcPr>
          <w:p w14:paraId="76C12BD3">
            <w:pPr>
              <w:shd w:val="clear"/>
              <w:spacing w:line="240" w:lineRule="auto"/>
              <w:ind w:firstLine="0" w:firstLineChars="0"/>
              <w:jc w:val="center"/>
              <w:rPr>
                <w:sz w:val="21"/>
                <w:szCs w:val="21"/>
                <w:highlight w:val="none"/>
              </w:rPr>
            </w:pPr>
            <w:r>
              <w:rPr>
                <w:sz w:val="21"/>
                <w:szCs w:val="21"/>
                <w:highlight w:val="none"/>
              </w:rPr>
              <w:t>0.0098</w:t>
            </w:r>
          </w:p>
        </w:tc>
      </w:tr>
      <w:tr w14:paraId="1EE6D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3" w:type="pct"/>
            <w:tcBorders>
              <w:tl2br w:val="nil"/>
              <w:tr2bl w:val="nil"/>
            </w:tcBorders>
            <w:vAlign w:val="center"/>
          </w:tcPr>
          <w:p w14:paraId="095D8B04">
            <w:pPr>
              <w:shd w:val="clear"/>
              <w:spacing w:line="240" w:lineRule="auto"/>
              <w:ind w:firstLine="0" w:firstLineChars="0"/>
              <w:jc w:val="center"/>
              <w:rPr>
                <w:sz w:val="21"/>
                <w:szCs w:val="21"/>
                <w:highlight w:val="none"/>
              </w:rPr>
            </w:pPr>
            <w:r>
              <w:rPr>
                <w:sz w:val="21"/>
                <w:szCs w:val="21"/>
                <w:highlight w:val="none"/>
              </w:rPr>
              <w:t>3</w:t>
            </w:r>
          </w:p>
        </w:tc>
        <w:tc>
          <w:tcPr>
            <w:tcW w:w="1581" w:type="pct"/>
            <w:tcBorders>
              <w:tl2br w:val="nil"/>
              <w:tr2bl w:val="nil"/>
            </w:tcBorders>
            <w:vAlign w:val="center"/>
          </w:tcPr>
          <w:p w14:paraId="64AACFAC">
            <w:pPr>
              <w:shd w:val="clear"/>
              <w:spacing w:line="240" w:lineRule="auto"/>
              <w:ind w:firstLine="0" w:firstLineChars="0"/>
              <w:jc w:val="center"/>
              <w:rPr>
                <w:sz w:val="21"/>
                <w:szCs w:val="21"/>
                <w:highlight w:val="none"/>
              </w:rPr>
            </w:pPr>
            <w:r>
              <w:rPr>
                <w:sz w:val="21"/>
                <w:szCs w:val="21"/>
                <w:highlight w:val="none"/>
              </w:rPr>
              <w:t>厂界西南侧围墙外5m</w:t>
            </w:r>
          </w:p>
        </w:tc>
        <w:tc>
          <w:tcPr>
            <w:tcW w:w="1419" w:type="pct"/>
            <w:tcBorders>
              <w:tl2br w:val="nil"/>
              <w:tr2bl w:val="nil"/>
            </w:tcBorders>
            <w:vAlign w:val="center"/>
          </w:tcPr>
          <w:p w14:paraId="07EDF4AC">
            <w:pPr>
              <w:shd w:val="clear"/>
              <w:spacing w:line="240" w:lineRule="auto"/>
              <w:ind w:firstLine="0" w:firstLineChars="0"/>
              <w:jc w:val="center"/>
              <w:rPr>
                <w:sz w:val="21"/>
                <w:szCs w:val="21"/>
                <w:highlight w:val="none"/>
              </w:rPr>
            </w:pPr>
            <w:r>
              <w:rPr>
                <w:sz w:val="21"/>
                <w:szCs w:val="21"/>
                <w:highlight w:val="none"/>
              </w:rPr>
              <w:t>26.48</w:t>
            </w:r>
          </w:p>
        </w:tc>
        <w:tc>
          <w:tcPr>
            <w:tcW w:w="1544" w:type="pct"/>
            <w:tcBorders>
              <w:tl2br w:val="nil"/>
              <w:tr2bl w:val="nil"/>
            </w:tcBorders>
            <w:vAlign w:val="center"/>
          </w:tcPr>
          <w:p w14:paraId="4ED00F46">
            <w:pPr>
              <w:shd w:val="clear"/>
              <w:spacing w:line="240" w:lineRule="auto"/>
              <w:ind w:firstLine="0" w:firstLineChars="0"/>
              <w:jc w:val="center"/>
              <w:rPr>
                <w:sz w:val="21"/>
                <w:szCs w:val="21"/>
                <w:highlight w:val="none"/>
              </w:rPr>
            </w:pPr>
            <w:r>
              <w:rPr>
                <w:sz w:val="21"/>
                <w:szCs w:val="21"/>
                <w:highlight w:val="none"/>
              </w:rPr>
              <w:t>0.0099</w:t>
            </w:r>
          </w:p>
        </w:tc>
      </w:tr>
      <w:tr w14:paraId="5368B7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453" w:type="pct"/>
            <w:tcBorders>
              <w:tl2br w:val="nil"/>
              <w:tr2bl w:val="nil"/>
            </w:tcBorders>
            <w:vAlign w:val="center"/>
          </w:tcPr>
          <w:p w14:paraId="17FB9E74">
            <w:pPr>
              <w:shd w:val="clear"/>
              <w:spacing w:line="240" w:lineRule="auto"/>
              <w:ind w:firstLine="0" w:firstLineChars="0"/>
              <w:jc w:val="center"/>
              <w:rPr>
                <w:sz w:val="21"/>
                <w:szCs w:val="21"/>
                <w:highlight w:val="none"/>
              </w:rPr>
            </w:pPr>
            <w:r>
              <w:rPr>
                <w:sz w:val="21"/>
                <w:szCs w:val="21"/>
                <w:highlight w:val="none"/>
              </w:rPr>
              <w:t>4</w:t>
            </w:r>
          </w:p>
        </w:tc>
        <w:tc>
          <w:tcPr>
            <w:tcW w:w="1581" w:type="pct"/>
            <w:tcBorders>
              <w:tl2br w:val="nil"/>
              <w:tr2bl w:val="nil"/>
            </w:tcBorders>
            <w:vAlign w:val="center"/>
          </w:tcPr>
          <w:p w14:paraId="2AFA99AA">
            <w:pPr>
              <w:shd w:val="clear"/>
              <w:spacing w:line="240" w:lineRule="auto"/>
              <w:ind w:firstLine="0" w:firstLineChars="0"/>
              <w:jc w:val="center"/>
              <w:rPr>
                <w:sz w:val="21"/>
                <w:szCs w:val="21"/>
                <w:highlight w:val="none"/>
              </w:rPr>
            </w:pPr>
            <w:r>
              <w:rPr>
                <w:sz w:val="21"/>
                <w:szCs w:val="21"/>
                <w:highlight w:val="none"/>
              </w:rPr>
              <w:t>厂界西北侧围墙外5m</w:t>
            </w:r>
          </w:p>
        </w:tc>
        <w:tc>
          <w:tcPr>
            <w:tcW w:w="1419" w:type="pct"/>
            <w:tcBorders>
              <w:tl2br w:val="nil"/>
              <w:tr2bl w:val="nil"/>
            </w:tcBorders>
            <w:vAlign w:val="center"/>
          </w:tcPr>
          <w:p w14:paraId="6AE5DA35">
            <w:pPr>
              <w:shd w:val="clear"/>
              <w:spacing w:line="240" w:lineRule="auto"/>
              <w:ind w:firstLine="0" w:firstLineChars="0"/>
              <w:jc w:val="center"/>
              <w:rPr>
                <w:sz w:val="21"/>
                <w:szCs w:val="21"/>
                <w:highlight w:val="none"/>
              </w:rPr>
            </w:pPr>
            <w:r>
              <w:rPr>
                <w:sz w:val="21"/>
                <w:szCs w:val="21"/>
                <w:highlight w:val="none"/>
              </w:rPr>
              <w:t>23.32</w:t>
            </w:r>
          </w:p>
        </w:tc>
        <w:tc>
          <w:tcPr>
            <w:tcW w:w="1544" w:type="pct"/>
            <w:tcBorders>
              <w:tl2br w:val="nil"/>
              <w:tr2bl w:val="nil"/>
            </w:tcBorders>
            <w:vAlign w:val="center"/>
          </w:tcPr>
          <w:p w14:paraId="0EF12016">
            <w:pPr>
              <w:shd w:val="clear"/>
              <w:spacing w:line="240" w:lineRule="auto"/>
              <w:ind w:firstLine="0" w:firstLineChars="0"/>
              <w:jc w:val="center"/>
              <w:rPr>
                <w:sz w:val="21"/>
                <w:szCs w:val="21"/>
                <w:highlight w:val="none"/>
              </w:rPr>
            </w:pPr>
            <w:r>
              <w:rPr>
                <w:sz w:val="21"/>
                <w:szCs w:val="21"/>
                <w:highlight w:val="none"/>
              </w:rPr>
              <w:t>0.0102</w:t>
            </w:r>
          </w:p>
        </w:tc>
      </w:tr>
    </w:tbl>
    <w:p w14:paraId="7346E765">
      <w:pPr>
        <w:shd w:val="clear"/>
        <w:ind w:firstLine="480"/>
        <w:rPr>
          <w:highlight w:val="none"/>
        </w:rPr>
      </w:pPr>
      <w:r>
        <w:rPr>
          <w:rFonts w:hint="eastAsia"/>
          <w:highlight w:val="none"/>
          <w:lang w:eastAsia="zh-CN"/>
        </w:rPr>
        <w:t>升压站</w:t>
      </w:r>
      <w:r>
        <w:rPr>
          <w:highlight w:val="none"/>
        </w:rPr>
        <w:t>厂界电场强度在23.32～31.23V/m之间，磁感应强度在0.0098～0.0123μT之间，小于《电磁环境控制限值》</w:t>
      </w:r>
      <w:r>
        <w:rPr>
          <w:rFonts w:hint="eastAsia"/>
          <w:highlight w:val="none"/>
          <w:lang w:eastAsia="zh-CN"/>
        </w:rPr>
        <w:t>（</w:t>
      </w:r>
      <w:r>
        <w:rPr>
          <w:highlight w:val="none"/>
        </w:rPr>
        <w:t>GB8702-2014</w:t>
      </w:r>
      <w:r>
        <w:rPr>
          <w:rFonts w:hint="eastAsia"/>
          <w:highlight w:val="none"/>
          <w:lang w:eastAsia="zh-CN"/>
        </w:rPr>
        <w:t>）</w:t>
      </w:r>
      <w:r>
        <w:rPr>
          <w:highlight w:val="none"/>
        </w:rPr>
        <w:t>中相应限值：电场强度4000V/m，磁感应强度100μT。</w:t>
      </w:r>
    </w:p>
    <w:p w14:paraId="02280F8C">
      <w:pPr>
        <w:pStyle w:val="4"/>
        <w:shd w:val="clear"/>
        <w:ind w:firstLine="482"/>
        <w:rPr>
          <w:highlight w:val="none"/>
        </w:rPr>
      </w:pPr>
      <w:r>
        <w:rPr>
          <w:highlight w:val="none"/>
        </w:rPr>
        <w:t>3.3.3</w:t>
      </w:r>
      <w:r>
        <w:rPr>
          <w:rFonts w:hint="eastAsia"/>
          <w:highlight w:val="none"/>
          <w:lang w:eastAsia="zh-CN"/>
        </w:rPr>
        <w:t>升压站</w:t>
      </w:r>
      <w:r>
        <w:rPr>
          <w:highlight w:val="none"/>
        </w:rPr>
        <w:t>工频电场、工频磁场环境影响评价</w:t>
      </w:r>
      <w:bookmarkEnd w:id="537"/>
      <w:bookmarkEnd w:id="538"/>
    </w:p>
    <w:p w14:paraId="55E91918">
      <w:pPr>
        <w:shd w:val="clear"/>
        <w:ind w:firstLine="480"/>
        <w:rPr>
          <w:highlight w:val="none"/>
        </w:rPr>
      </w:pPr>
      <w:r>
        <w:rPr>
          <w:highlight w:val="none"/>
        </w:rPr>
        <w:t>根据类比测量结果进行分析，类比工程工频电场强度以及工频磁感应强度低于《电磁环境控制限值》（GB 8702-2014）中控制限值要求。类比分析可知，本项目</w:t>
      </w:r>
      <w:r>
        <w:rPr>
          <w:rFonts w:hint="eastAsia"/>
          <w:highlight w:val="none"/>
          <w:lang w:eastAsia="zh-CN"/>
        </w:rPr>
        <w:t>升压站</w:t>
      </w:r>
      <w:r>
        <w:rPr>
          <w:highlight w:val="none"/>
        </w:rPr>
        <w:t>建成投运后，均能满足《电磁环境控制限值》（GB 8702-2014）规定公众曝露控制限值：工频电场强度≤4000V/m，工频磁感应强度≤100μT。</w:t>
      </w:r>
    </w:p>
    <w:p w14:paraId="6A748024">
      <w:pPr>
        <w:pStyle w:val="3"/>
        <w:shd w:val="clear"/>
        <w:rPr>
          <w:highlight w:val="none"/>
        </w:rPr>
      </w:pPr>
      <w:bookmarkStart w:id="543" w:name="_Toc10868"/>
      <w:r>
        <w:rPr>
          <w:highlight w:val="none"/>
        </w:rPr>
        <w:t>3.3电缆线路影响分析</w:t>
      </w:r>
      <w:bookmarkEnd w:id="543"/>
    </w:p>
    <w:p w14:paraId="1264CE6E">
      <w:pPr>
        <w:pStyle w:val="40"/>
        <w:shd w:val="clear"/>
        <w:ind w:firstLine="480"/>
        <w:rPr>
          <w:highlight w:val="none"/>
        </w:rPr>
      </w:pPr>
      <w:r>
        <w:rPr>
          <w:highlight w:val="none"/>
        </w:rPr>
        <w:t>本项目输电线路（地下电缆）电磁环境评价等级为三级，根据《环境影响评价技术导则 输变电》</w:t>
      </w:r>
      <w:r>
        <w:rPr>
          <w:rFonts w:hint="eastAsia"/>
          <w:highlight w:val="none"/>
          <w:lang w:eastAsia="zh-CN"/>
        </w:rPr>
        <w:t>（</w:t>
      </w:r>
      <w:r>
        <w:rPr>
          <w:highlight w:val="none"/>
        </w:rPr>
        <w:t>HJ24-2020</w:t>
      </w:r>
      <w:r>
        <w:rPr>
          <w:rFonts w:hint="eastAsia"/>
          <w:highlight w:val="none"/>
          <w:lang w:eastAsia="zh-CN"/>
        </w:rPr>
        <w:t>）</w:t>
      </w:r>
      <w:r>
        <w:rPr>
          <w:highlight w:val="none"/>
        </w:rPr>
        <w:t>要求，地下电缆采用定性分析。</w:t>
      </w:r>
    </w:p>
    <w:p w14:paraId="40501446">
      <w:pPr>
        <w:pStyle w:val="40"/>
        <w:shd w:val="clear"/>
        <w:ind w:firstLine="480"/>
        <w:rPr>
          <w:highlight w:val="none"/>
        </w:rPr>
      </w:pPr>
      <w:r>
        <w:rPr>
          <w:highlight w:val="none"/>
        </w:rPr>
        <w:t>参考《环境健康准则：极低频场》（世界卫生组织著），</w:t>
      </w:r>
      <w:r>
        <w:rPr>
          <w:rFonts w:hint="eastAsia"/>
          <w:highlight w:val="none"/>
          <w:lang w:eastAsia="zh-CN"/>
        </w:rPr>
        <w:t>“</w:t>
      </w:r>
      <w:r>
        <w:rPr>
          <w:highlight w:val="none"/>
        </w:rPr>
        <w:t>当一根电缆埋入地下时……埋置的电缆在地面上并不产生电场，其部分原因是，大地本身有屏蔽作用，但主要是由于地下电缆实际上经常配有屏蔽电场的金属护套</w:t>
      </w:r>
      <w:r>
        <w:rPr>
          <w:rFonts w:hint="eastAsia"/>
          <w:highlight w:val="none"/>
          <w:lang w:eastAsia="zh-CN"/>
        </w:rPr>
        <w:t>”</w:t>
      </w:r>
      <w:r>
        <w:rPr>
          <w:highlight w:val="none"/>
        </w:rPr>
        <w:t>，电缆线路</w:t>
      </w:r>
      <w:r>
        <w:rPr>
          <w:rFonts w:hint="eastAsia"/>
          <w:highlight w:val="none"/>
          <w:lang w:eastAsia="zh-CN"/>
        </w:rPr>
        <w:t>“</w:t>
      </w:r>
      <w:r>
        <w:rPr>
          <w:highlight w:val="none"/>
        </w:rPr>
        <w:t>各导线之间是绝缘的……依据线路的电压，各导线能够包含在一个外护层之内以构成单根电缆。在此情况下，不但各导线的间隔可进一步下降，而且它们通常被绕成螺旋状，这使得所产生的磁场进一步显著降低</w:t>
      </w:r>
      <w:r>
        <w:rPr>
          <w:rFonts w:hint="eastAsia"/>
          <w:highlight w:val="none"/>
          <w:lang w:eastAsia="zh-CN"/>
        </w:rPr>
        <w:t>”</w:t>
      </w:r>
      <w:r>
        <w:rPr>
          <w:highlight w:val="none"/>
        </w:rPr>
        <w:t>。</w:t>
      </w:r>
    </w:p>
    <w:p w14:paraId="5B2691C0">
      <w:pPr>
        <w:pStyle w:val="3"/>
        <w:shd w:val="clear"/>
        <w:rPr>
          <w:highlight w:val="none"/>
        </w:rPr>
      </w:pPr>
      <w:bookmarkStart w:id="544" w:name="_Toc20364"/>
      <w:r>
        <w:rPr>
          <w:highlight w:val="none"/>
        </w:rPr>
        <w:t>3.4敏感目标工频电场、磁感应强度预测</w:t>
      </w:r>
      <w:bookmarkEnd w:id="544"/>
    </w:p>
    <w:p w14:paraId="71B26829">
      <w:pPr>
        <w:shd w:val="clear"/>
        <w:ind w:firstLine="480"/>
        <w:rPr>
          <w:highlight w:val="none"/>
        </w:rPr>
      </w:pPr>
      <w:r>
        <w:rPr>
          <w:highlight w:val="none"/>
        </w:rPr>
        <w:t>本项目拟建110kV线路评价范围内无敏感点。</w:t>
      </w:r>
    </w:p>
    <w:p w14:paraId="6452DEEF">
      <w:pPr>
        <w:pStyle w:val="2"/>
        <w:shd w:val="clear"/>
        <w:rPr>
          <w:rFonts w:eastAsia="宋体"/>
          <w:color w:val="auto"/>
          <w:highlight w:val="none"/>
        </w:rPr>
      </w:pPr>
      <w:bookmarkStart w:id="545" w:name="_Toc57028488"/>
      <w:bookmarkStart w:id="546" w:name="_Toc1151"/>
      <w:bookmarkStart w:id="547" w:name="_Toc31421"/>
      <w:bookmarkStart w:id="548" w:name="_Toc29134"/>
      <w:r>
        <w:rPr>
          <w:rFonts w:eastAsia="宋体"/>
          <w:color w:val="auto"/>
          <w:highlight w:val="none"/>
        </w:rPr>
        <w:t>4电磁环境保护措施</w:t>
      </w:r>
      <w:bookmarkEnd w:id="545"/>
      <w:bookmarkEnd w:id="546"/>
      <w:bookmarkEnd w:id="547"/>
    </w:p>
    <w:p w14:paraId="5A3F6258">
      <w:pPr>
        <w:shd w:val="clear"/>
        <w:ind w:firstLine="480"/>
        <w:rPr>
          <w:highlight w:val="none"/>
        </w:rPr>
      </w:pPr>
      <w:r>
        <w:rPr>
          <w:highlight w:val="none"/>
        </w:rPr>
        <w:t>（1）合理布局站内电气设备及配电装置。</w:t>
      </w:r>
    </w:p>
    <w:p w14:paraId="4CACBCE9">
      <w:pPr>
        <w:shd w:val="clear"/>
        <w:ind w:firstLine="480"/>
        <w:rPr>
          <w:highlight w:val="none"/>
        </w:rPr>
      </w:pPr>
      <w:r>
        <w:rPr>
          <w:highlight w:val="none"/>
        </w:rPr>
        <w:t>（2）线路建成后，应加强输电线路防护距离宣传教育和督查工作，导线下方不得再建设房屋。</w:t>
      </w:r>
    </w:p>
    <w:p w14:paraId="19D8028D">
      <w:pPr>
        <w:shd w:val="clear"/>
        <w:ind w:firstLine="480"/>
        <w:rPr>
          <w:highlight w:val="none"/>
        </w:rPr>
      </w:pPr>
      <w:r>
        <w:rPr>
          <w:highlight w:val="none"/>
        </w:rPr>
        <w:t>（3）线路选用的导线质量应符合国家相关标准的要求，防止由于导线缺陷导致的电晕增加，降低线路运行时产生的噪声。</w:t>
      </w:r>
    </w:p>
    <w:p w14:paraId="0EE68EC7">
      <w:pPr>
        <w:shd w:val="clear"/>
        <w:ind w:firstLine="480"/>
        <w:rPr>
          <w:highlight w:val="none"/>
        </w:rPr>
      </w:pPr>
      <w:r>
        <w:rPr>
          <w:highlight w:val="none"/>
        </w:rPr>
        <w:t>（4）做好警示和防护指示标志及环保标志的悬挂设立工作，禁止无关人员进入</w:t>
      </w:r>
      <w:r>
        <w:rPr>
          <w:rFonts w:hint="eastAsia"/>
          <w:highlight w:val="none"/>
          <w:lang w:eastAsia="zh-CN"/>
        </w:rPr>
        <w:t>升压站</w:t>
      </w:r>
      <w:r>
        <w:rPr>
          <w:highlight w:val="none"/>
        </w:rPr>
        <w:t>或靠近带电架构。</w:t>
      </w:r>
    </w:p>
    <w:p w14:paraId="3E001A92">
      <w:pPr>
        <w:shd w:val="clear"/>
        <w:ind w:firstLine="480"/>
        <w:rPr>
          <w:highlight w:val="none"/>
        </w:rPr>
      </w:pPr>
      <w:r>
        <w:rPr>
          <w:highlight w:val="none"/>
        </w:rPr>
        <w:t>（5）建设单位应设立一名兼职的环保工作人员，负责输电线路运行期间的环境保护工作，并做好对线路沿线群众的电磁环境知识的宣传。</w:t>
      </w:r>
    </w:p>
    <w:p w14:paraId="2508284F">
      <w:pPr>
        <w:shd w:val="clear"/>
        <w:ind w:firstLine="480"/>
        <w:rPr>
          <w:highlight w:val="none"/>
        </w:rPr>
      </w:pPr>
      <w:r>
        <w:rPr>
          <w:highlight w:val="none"/>
        </w:rPr>
        <w:t>（6）对员工进行电磁基础知识培训，在巡检带电维修过程中，尽可能减少曝露在电磁场中的时间。</w:t>
      </w:r>
    </w:p>
    <w:p w14:paraId="44FF2D4D">
      <w:pPr>
        <w:shd w:val="clear"/>
        <w:ind w:firstLine="480"/>
        <w:rPr>
          <w:highlight w:val="none"/>
        </w:rPr>
      </w:pPr>
      <w:r>
        <w:rPr>
          <w:highlight w:val="none"/>
        </w:rPr>
        <w:t>（7）本项目线路工频电场、工频磁场强满足设计规范要求，线路与公路、通讯线、电力线时，严格按照有关规范要求留有足够净空距离，控制地面最大场强。</w:t>
      </w:r>
    </w:p>
    <w:p w14:paraId="0C79AB35">
      <w:pPr>
        <w:shd w:val="clear"/>
        <w:ind w:firstLine="480"/>
        <w:rPr>
          <w:highlight w:val="none"/>
        </w:rPr>
      </w:pPr>
      <w:r>
        <w:rPr>
          <w:highlight w:val="none"/>
        </w:rPr>
        <w:t>（8）制定安全操作规程，加强职工安全教育，加强电磁水平监测。</w:t>
      </w:r>
    </w:p>
    <w:p w14:paraId="32A9C7A1">
      <w:pPr>
        <w:pStyle w:val="2"/>
        <w:shd w:val="clear"/>
        <w:rPr>
          <w:rFonts w:eastAsia="宋体"/>
          <w:color w:val="auto"/>
          <w:highlight w:val="none"/>
        </w:rPr>
      </w:pPr>
      <w:bookmarkStart w:id="549" w:name="_Toc18901"/>
      <w:bookmarkStart w:id="550" w:name="_Toc30634"/>
      <w:r>
        <w:rPr>
          <w:rFonts w:eastAsia="宋体"/>
          <w:color w:val="auto"/>
          <w:highlight w:val="none"/>
        </w:rPr>
        <w:t>5电磁环境影响评价结论</w:t>
      </w:r>
      <w:bookmarkEnd w:id="548"/>
      <w:bookmarkEnd w:id="549"/>
      <w:bookmarkEnd w:id="550"/>
    </w:p>
    <w:p w14:paraId="365C27E2">
      <w:pPr>
        <w:shd w:val="clear"/>
        <w:ind w:firstLine="480"/>
        <w:rPr>
          <w:highlight w:val="none"/>
        </w:rPr>
      </w:pPr>
      <w:r>
        <w:rPr>
          <w:highlight w:val="none"/>
        </w:rPr>
        <w:t>（1）升压站</w:t>
      </w:r>
    </w:p>
    <w:p w14:paraId="0872CC04">
      <w:pPr>
        <w:shd w:val="clear"/>
        <w:ind w:firstLine="480"/>
        <w:rPr>
          <w:highlight w:val="none"/>
        </w:rPr>
      </w:pPr>
      <w:r>
        <w:rPr>
          <w:highlight w:val="none"/>
        </w:rPr>
        <w:t>根据类比监测方式预测结果进行分析，本项目</w:t>
      </w:r>
      <w:r>
        <w:rPr>
          <w:rFonts w:hint="eastAsia"/>
          <w:highlight w:val="none"/>
          <w:lang w:val="en-US" w:eastAsia="zh-CN"/>
        </w:rPr>
        <w:t>11</w:t>
      </w:r>
      <w:r>
        <w:rPr>
          <w:highlight w:val="none"/>
        </w:rPr>
        <w:t>0kV</w:t>
      </w:r>
      <w:r>
        <w:rPr>
          <w:rFonts w:hint="eastAsia"/>
          <w:color w:val="0070C0"/>
          <w:highlight w:val="none"/>
          <w:lang w:val="en-US" w:eastAsia="zh-CN"/>
        </w:rPr>
        <w:t>升压站</w:t>
      </w:r>
      <w:r>
        <w:rPr>
          <w:highlight w:val="none"/>
        </w:rPr>
        <w:t>建成投运后，对</w:t>
      </w:r>
      <w:r>
        <w:rPr>
          <w:rFonts w:hint="eastAsia"/>
          <w:color w:val="0070C0"/>
          <w:highlight w:val="none"/>
          <w:lang w:val="en-US" w:eastAsia="zh-CN"/>
        </w:rPr>
        <w:t>升压站</w:t>
      </w:r>
      <w:r>
        <w:rPr>
          <w:highlight w:val="none"/>
        </w:rPr>
        <w:t>周围环境产生的影响在可接受范围，</w:t>
      </w:r>
      <w:r>
        <w:rPr>
          <w:rFonts w:hint="eastAsia"/>
          <w:highlight w:val="none"/>
          <w:lang w:eastAsia="zh-CN"/>
        </w:rPr>
        <w:t>升压站</w:t>
      </w:r>
      <w:r>
        <w:rPr>
          <w:highlight w:val="none"/>
        </w:rPr>
        <w:t>电磁环境影响能满足《电磁环境控制限值》（GB 8702-2014）中频率为50Hz时的工频电场强度≤4kV/m、工频磁感应强度≤100μT的公众曝露控制限值要求。</w:t>
      </w:r>
    </w:p>
    <w:p w14:paraId="370970CC">
      <w:pPr>
        <w:shd w:val="clear"/>
        <w:ind w:firstLine="480"/>
        <w:rPr>
          <w:highlight w:val="none"/>
        </w:rPr>
      </w:pPr>
      <w:r>
        <w:rPr>
          <w:highlight w:val="none"/>
        </w:rPr>
        <w:t>（2）输电线路</w:t>
      </w:r>
    </w:p>
    <w:p w14:paraId="0039168F">
      <w:pPr>
        <w:shd w:val="clear"/>
        <w:ind w:firstLine="480"/>
        <w:rPr>
          <w:highlight w:val="none"/>
        </w:rPr>
      </w:pPr>
      <w:r>
        <w:rPr>
          <w:highlight w:val="none"/>
        </w:rPr>
        <w:t>根据预测结果分析可知，当线路经过非居民区时，110kV线路运行产生的工频磁感应强度能满足《电磁环境控制限值》（GB 8702-2014）中规定的频率为50Hz时磁感应强度≤100μT控制限值，线路运行产生的工频电场强度能满足《电磁环境控制限值》（GB 8702-2014）中规定（架空输电线路线下的耕地、园地、牧草地、畜禽饲养地、养殖水面、道路等场所，其频率50Hz）的电场强度≤10kV/m的控制限值；当线路经过居民区时，线路产生的工频电场强度能满足《电磁环境控制限值》（GB 8702-2014）中规定的频率为50Hz时电场强度≤4kV/m要求，工频磁感应强度能满足《电磁环境控制限值》（GB 8702-2014）中规定的频率为50Hz时磁感应强度≤100μT控制限值。</w:t>
      </w:r>
    </w:p>
    <w:p w14:paraId="29231443">
      <w:pPr>
        <w:shd w:val="clear"/>
        <w:ind w:firstLine="480"/>
        <w:rPr>
          <w:highlight w:val="none"/>
        </w:rPr>
      </w:pPr>
      <w:r>
        <w:rPr>
          <w:highlight w:val="none"/>
        </w:rPr>
        <w:t>（3）敏感目标</w:t>
      </w:r>
    </w:p>
    <w:p w14:paraId="41CD1D8A">
      <w:pPr>
        <w:shd w:val="clear"/>
        <w:ind w:firstLine="480"/>
        <w:rPr>
          <w:highlight w:val="none"/>
        </w:rPr>
      </w:pPr>
      <w:r>
        <w:rPr>
          <w:highlight w:val="none"/>
        </w:rPr>
        <w:t>根据现状监测及预测结果分析可知，线路沿线敏感目标处的工频电场强度和工频磁感应强度满足《电磁环境控制限值》（GB 8702-2014）中规定的频率为50Hz时电场强度≤4kV/m、磁感应强度≤100μT公众曝露控制限值要求。</w:t>
      </w:r>
    </w:p>
    <w:p w14:paraId="74F31F21">
      <w:pPr>
        <w:shd w:val="clear"/>
        <w:ind w:firstLine="480"/>
        <w:rPr>
          <w:highlight w:val="none"/>
        </w:rPr>
      </w:pPr>
      <w:r>
        <w:rPr>
          <w:highlight w:val="none"/>
        </w:rPr>
        <w:t>（4）结论</w:t>
      </w:r>
    </w:p>
    <w:p w14:paraId="348E7286">
      <w:pPr>
        <w:shd w:val="clear"/>
        <w:ind w:firstLine="480"/>
        <w:rPr>
          <w:rFonts w:ascii="Times New Roman" w:hAnsi="Times New Roman" w:cs="Times New Roman"/>
          <w:color w:val="auto"/>
          <w:highlight w:val="none"/>
        </w:rPr>
      </w:pPr>
      <w:r>
        <w:rPr>
          <w:highlight w:val="none"/>
        </w:rPr>
        <w:t>综上所述，本项目建成运行后产生的工频电场、工频磁场能满足《电磁环境控制限值》（GB 8702-2014）标准要求限值，项目对周边的电磁环境影响较小。</w:t>
      </w:r>
    </w:p>
    <w:sectPr>
      <w:headerReference r:id="rId8" w:type="default"/>
      <w:footerReference r:id="rId9" w:type="default"/>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F64C">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55D6D">
    <w:pPr>
      <w:pStyle w:val="17"/>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081768">
    <w:pPr>
      <w:pStyle w:val="17"/>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4DCD79">
                          <w:pPr>
                            <w:pStyle w:val="17"/>
                            <w:ind w:firstLine="360"/>
                          </w:pPr>
                          <w:r>
                            <w:fldChar w:fldCharType="begin"/>
                          </w:r>
                          <w:r>
                            <w:instrText xml:space="preserve"> PAGE  \* MERGEFORMAT </w:instrText>
                          </w:r>
                          <w:r>
                            <w:fldChar w:fldCharType="separate"/>
                          </w:r>
                          <w:r>
                            <w:t>69</w:t>
                          </w:r>
                          <w:r>
                            <w:fldChar w:fldCharType="end"/>
                          </w:r>
                        </w:p>
                      </w:txbxContent>
                    </wps:txbx>
                    <wps:bodyPr vert="horz" wrap="none" lIns="0" tIns="0" rIns="0" bIns="0" anchor="t" anchorCtr="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cY99TtwBAADBAwAADgAAAAAAAAAB&#10;ACAAAAAeAQAAZHJzL2Uyb0RvYy54bWxQSwUGAAAAAAYABgBZAQAAbAUAAAAA&#10;">
              <v:fill on="f" focussize="0,0"/>
              <v:stroke on="f"/>
              <v:imagedata o:title=""/>
              <o:lock v:ext="edit" aspectratio="f"/>
              <v:textbox inset="0mm,0mm,0mm,0mm" style="mso-fit-shape-to-text:t;">
                <w:txbxContent>
                  <w:p w14:paraId="4E4DCD79">
                    <w:pPr>
                      <w:pStyle w:val="17"/>
                      <w:ind w:firstLine="360"/>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BAD54">
    <w:pPr>
      <w:tabs>
        <w:tab w:val="center" w:pos="4153"/>
        <w:tab w:val="right" w:pos="8306"/>
      </w:tabs>
      <w:ind w:firstLine="360"/>
      <w:jc w:val="left"/>
      <w:rPr>
        <w:rFonts w:ascii="Calibri" w:hAnsi="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EEDFCC8">
                          <w:pPr>
                            <w:pStyle w:val="17"/>
                            <w:ind w:firstLine="360"/>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wps:txbx>
                    <wps:bodyPr vert="horz" wrap="none" lIns="0" tIns="0" rIns="0" bIns="0" anchor="t" anchorCtr="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OqXm5zwAAAAUBAAAPAAAAAAAAAAEAIAAA&#10;ACIAAABkcnMvZG93bnJldi54bWxQSwECFAAUAAAACACHTuJADQd7GdwBAADCAwAADgAAAAAAAAAB&#10;ACAAAAAeAQAAZHJzL2Uyb0RvYy54bWxQSwUGAAAAAAYABgBZAQAAbAUAAAAA&#10;">
              <v:fill on="f" focussize="0,0"/>
              <v:stroke on="f"/>
              <v:imagedata o:title=""/>
              <o:lock v:ext="edit" aspectratio="f"/>
              <v:textbox inset="0mm,0mm,0mm,0mm" style="mso-fit-shape-to-text:t;">
                <w:txbxContent>
                  <w:p w14:paraId="0EEDFCC8">
                    <w:pPr>
                      <w:pStyle w:val="17"/>
                      <w:ind w:firstLine="360"/>
                    </w:pPr>
                    <w:r>
                      <w:rPr>
                        <w:rFonts w:hint="eastAsia"/>
                      </w:rPr>
                      <w:fldChar w:fldCharType="begin"/>
                    </w:r>
                    <w:r>
                      <w:rPr>
                        <w:rFonts w:hint="eastAsia"/>
                      </w:rPr>
                      <w:instrText xml:space="preserve"> PAGE  \* MERGEFORMAT </w:instrText>
                    </w:r>
                    <w:r>
                      <w:rPr>
                        <w:rFonts w:hint="eastAsia"/>
                      </w:rPr>
                      <w:fldChar w:fldCharType="separate"/>
                    </w:r>
                    <w:r>
                      <w:t>78</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13924">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360"/>
      <w:rPr>
        <w:rFonts w:ascii="Calibri" w:hAnsi="Calibri" w:cs="Calibri"/>
        <w:sz w:val="18"/>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0169D1"/>
    <w:multiLevelType w:val="singleLevel"/>
    <w:tmpl w:val="990169D1"/>
    <w:lvl w:ilvl="0" w:tentative="0">
      <w:start w:val="1"/>
      <w:numFmt w:val="bullet"/>
      <w:pStyle w:val="11"/>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UxMGNkYzJhOWMyN2M5ODE4OTFiOGFlOTgzNDI5MTcifQ=="/>
  </w:docVars>
  <w:rsids>
    <w:rsidRoot w:val="00A14947"/>
    <w:rsid w:val="00001CED"/>
    <w:rsid w:val="00001E67"/>
    <w:rsid w:val="00003CD8"/>
    <w:rsid w:val="00014965"/>
    <w:rsid w:val="0001523A"/>
    <w:rsid w:val="00016ECB"/>
    <w:rsid w:val="000269F6"/>
    <w:rsid w:val="00031939"/>
    <w:rsid w:val="00032D25"/>
    <w:rsid w:val="0005219D"/>
    <w:rsid w:val="0005568F"/>
    <w:rsid w:val="0006153D"/>
    <w:rsid w:val="00061B1F"/>
    <w:rsid w:val="000664DB"/>
    <w:rsid w:val="0007127D"/>
    <w:rsid w:val="00071AE5"/>
    <w:rsid w:val="00074783"/>
    <w:rsid w:val="000801E0"/>
    <w:rsid w:val="00082A29"/>
    <w:rsid w:val="0008331D"/>
    <w:rsid w:val="00083C18"/>
    <w:rsid w:val="000917ED"/>
    <w:rsid w:val="00092899"/>
    <w:rsid w:val="000935E2"/>
    <w:rsid w:val="000956A2"/>
    <w:rsid w:val="000A178E"/>
    <w:rsid w:val="000A557E"/>
    <w:rsid w:val="000B058F"/>
    <w:rsid w:val="000B693F"/>
    <w:rsid w:val="000B7032"/>
    <w:rsid w:val="000C09AC"/>
    <w:rsid w:val="000C0A63"/>
    <w:rsid w:val="000C32A2"/>
    <w:rsid w:val="000C437E"/>
    <w:rsid w:val="000E5F16"/>
    <w:rsid w:val="000F4452"/>
    <w:rsid w:val="000F6DA1"/>
    <w:rsid w:val="000F701B"/>
    <w:rsid w:val="001056A0"/>
    <w:rsid w:val="001056FF"/>
    <w:rsid w:val="00115279"/>
    <w:rsid w:val="00117459"/>
    <w:rsid w:val="0011749A"/>
    <w:rsid w:val="00127A68"/>
    <w:rsid w:val="00134E38"/>
    <w:rsid w:val="00140B13"/>
    <w:rsid w:val="00141B68"/>
    <w:rsid w:val="001466DA"/>
    <w:rsid w:val="00154DE1"/>
    <w:rsid w:val="00155B40"/>
    <w:rsid w:val="00157435"/>
    <w:rsid w:val="00163EEA"/>
    <w:rsid w:val="00167A07"/>
    <w:rsid w:val="0017046A"/>
    <w:rsid w:val="001704A3"/>
    <w:rsid w:val="0017504D"/>
    <w:rsid w:val="00177422"/>
    <w:rsid w:val="00184F10"/>
    <w:rsid w:val="00185546"/>
    <w:rsid w:val="0019146B"/>
    <w:rsid w:val="00191DE7"/>
    <w:rsid w:val="00194398"/>
    <w:rsid w:val="001A7D2A"/>
    <w:rsid w:val="001B574C"/>
    <w:rsid w:val="001C0AF9"/>
    <w:rsid w:val="001C155A"/>
    <w:rsid w:val="001C48C0"/>
    <w:rsid w:val="001D6726"/>
    <w:rsid w:val="001E6D5B"/>
    <w:rsid w:val="001F3347"/>
    <w:rsid w:val="001F4440"/>
    <w:rsid w:val="001F69E4"/>
    <w:rsid w:val="00206A65"/>
    <w:rsid w:val="00212D31"/>
    <w:rsid w:val="002130C7"/>
    <w:rsid w:val="00213AB2"/>
    <w:rsid w:val="002218A8"/>
    <w:rsid w:val="0022306D"/>
    <w:rsid w:val="00226574"/>
    <w:rsid w:val="002278EC"/>
    <w:rsid w:val="002357C7"/>
    <w:rsid w:val="002367C4"/>
    <w:rsid w:val="0025679E"/>
    <w:rsid w:val="00260C68"/>
    <w:rsid w:val="002648B0"/>
    <w:rsid w:val="00275271"/>
    <w:rsid w:val="0027535E"/>
    <w:rsid w:val="00275AA6"/>
    <w:rsid w:val="002807D5"/>
    <w:rsid w:val="00282CCD"/>
    <w:rsid w:val="00292D29"/>
    <w:rsid w:val="00294CC4"/>
    <w:rsid w:val="002A168C"/>
    <w:rsid w:val="002A2C48"/>
    <w:rsid w:val="002A3EED"/>
    <w:rsid w:val="002A4A39"/>
    <w:rsid w:val="002A5A17"/>
    <w:rsid w:val="002A6425"/>
    <w:rsid w:val="002B1717"/>
    <w:rsid w:val="002B49E2"/>
    <w:rsid w:val="002B7B00"/>
    <w:rsid w:val="002B7C44"/>
    <w:rsid w:val="002C1388"/>
    <w:rsid w:val="002C3C6A"/>
    <w:rsid w:val="002D42DB"/>
    <w:rsid w:val="002E1F3A"/>
    <w:rsid w:val="002E298A"/>
    <w:rsid w:val="002F02A4"/>
    <w:rsid w:val="002F272B"/>
    <w:rsid w:val="002F7C6D"/>
    <w:rsid w:val="003027E4"/>
    <w:rsid w:val="0030332C"/>
    <w:rsid w:val="00312296"/>
    <w:rsid w:val="0031340E"/>
    <w:rsid w:val="00316464"/>
    <w:rsid w:val="0032073A"/>
    <w:rsid w:val="00321D8E"/>
    <w:rsid w:val="00334996"/>
    <w:rsid w:val="00336969"/>
    <w:rsid w:val="00336C52"/>
    <w:rsid w:val="00341B3E"/>
    <w:rsid w:val="00341B42"/>
    <w:rsid w:val="00345154"/>
    <w:rsid w:val="0034560E"/>
    <w:rsid w:val="00350523"/>
    <w:rsid w:val="00352975"/>
    <w:rsid w:val="00356868"/>
    <w:rsid w:val="00356E76"/>
    <w:rsid w:val="0036485B"/>
    <w:rsid w:val="00373B0D"/>
    <w:rsid w:val="00376907"/>
    <w:rsid w:val="00376988"/>
    <w:rsid w:val="00381A72"/>
    <w:rsid w:val="003A1948"/>
    <w:rsid w:val="003B152A"/>
    <w:rsid w:val="003B545B"/>
    <w:rsid w:val="003C2BCF"/>
    <w:rsid w:val="003D3EE9"/>
    <w:rsid w:val="003E7681"/>
    <w:rsid w:val="003F0809"/>
    <w:rsid w:val="003F611C"/>
    <w:rsid w:val="003F755C"/>
    <w:rsid w:val="003F7875"/>
    <w:rsid w:val="00406F01"/>
    <w:rsid w:val="00411B36"/>
    <w:rsid w:val="004121D7"/>
    <w:rsid w:val="00416D50"/>
    <w:rsid w:val="00417772"/>
    <w:rsid w:val="00420E6A"/>
    <w:rsid w:val="00433CA9"/>
    <w:rsid w:val="0043521D"/>
    <w:rsid w:val="00442024"/>
    <w:rsid w:val="0044254C"/>
    <w:rsid w:val="00443F6A"/>
    <w:rsid w:val="00450A17"/>
    <w:rsid w:val="00466321"/>
    <w:rsid w:val="004672AF"/>
    <w:rsid w:val="004727B0"/>
    <w:rsid w:val="00480247"/>
    <w:rsid w:val="0048081D"/>
    <w:rsid w:val="0048117E"/>
    <w:rsid w:val="004855F6"/>
    <w:rsid w:val="00486F0C"/>
    <w:rsid w:val="00494670"/>
    <w:rsid w:val="004A0EB4"/>
    <w:rsid w:val="004A3823"/>
    <w:rsid w:val="004A59BB"/>
    <w:rsid w:val="004B43A3"/>
    <w:rsid w:val="004B4C49"/>
    <w:rsid w:val="004B58A5"/>
    <w:rsid w:val="004B63D9"/>
    <w:rsid w:val="004C0882"/>
    <w:rsid w:val="004C55BE"/>
    <w:rsid w:val="004D298D"/>
    <w:rsid w:val="004E5B30"/>
    <w:rsid w:val="004F0779"/>
    <w:rsid w:val="004F1230"/>
    <w:rsid w:val="004F173F"/>
    <w:rsid w:val="004F177C"/>
    <w:rsid w:val="004F2DCE"/>
    <w:rsid w:val="004F6BE4"/>
    <w:rsid w:val="005039CB"/>
    <w:rsid w:val="0050558F"/>
    <w:rsid w:val="005057E0"/>
    <w:rsid w:val="00506286"/>
    <w:rsid w:val="00506E19"/>
    <w:rsid w:val="00510813"/>
    <w:rsid w:val="00511DE0"/>
    <w:rsid w:val="00517F02"/>
    <w:rsid w:val="00521521"/>
    <w:rsid w:val="00524547"/>
    <w:rsid w:val="005258A2"/>
    <w:rsid w:val="00530F7C"/>
    <w:rsid w:val="00534567"/>
    <w:rsid w:val="00534F43"/>
    <w:rsid w:val="00535A84"/>
    <w:rsid w:val="00536889"/>
    <w:rsid w:val="00542E07"/>
    <w:rsid w:val="005467EA"/>
    <w:rsid w:val="00554A7B"/>
    <w:rsid w:val="0055572C"/>
    <w:rsid w:val="0056064F"/>
    <w:rsid w:val="00561B84"/>
    <w:rsid w:val="00571D98"/>
    <w:rsid w:val="005720AE"/>
    <w:rsid w:val="0058030D"/>
    <w:rsid w:val="00582045"/>
    <w:rsid w:val="00590AE3"/>
    <w:rsid w:val="005918F1"/>
    <w:rsid w:val="005A06B7"/>
    <w:rsid w:val="005A1759"/>
    <w:rsid w:val="005D0369"/>
    <w:rsid w:val="005D1CB5"/>
    <w:rsid w:val="005D53FE"/>
    <w:rsid w:val="005D7A0F"/>
    <w:rsid w:val="005E0438"/>
    <w:rsid w:val="005E1791"/>
    <w:rsid w:val="005E2CE6"/>
    <w:rsid w:val="005E6324"/>
    <w:rsid w:val="005F228B"/>
    <w:rsid w:val="005F29CD"/>
    <w:rsid w:val="005F4DFB"/>
    <w:rsid w:val="005F6CC0"/>
    <w:rsid w:val="00603E5B"/>
    <w:rsid w:val="00604BC8"/>
    <w:rsid w:val="00615B4C"/>
    <w:rsid w:val="00615B5D"/>
    <w:rsid w:val="0062146F"/>
    <w:rsid w:val="00624909"/>
    <w:rsid w:val="006343AF"/>
    <w:rsid w:val="0063634A"/>
    <w:rsid w:val="0064250D"/>
    <w:rsid w:val="006535EB"/>
    <w:rsid w:val="00663016"/>
    <w:rsid w:val="00674605"/>
    <w:rsid w:val="006748B8"/>
    <w:rsid w:val="0068535B"/>
    <w:rsid w:val="0068736E"/>
    <w:rsid w:val="0069290A"/>
    <w:rsid w:val="00697032"/>
    <w:rsid w:val="006975AC"/>
    <w:rsid w:val="006A15FB"/>
    <w:rsid w:val="006A72BF"/>
    <w:rsid w:val="006B332A"/>
    <w:rsid w:val="006B33BD"/>
    <w:rsid w:val="006C3F75"/>
    <w:rsid w:val="006C79BB"/>
    <w:rsid w:val="006D170E"/>
    <w:rsid w:val="006E06AF"/>
    <w:rsid w:val="006F1789"/>
    <w:rsid w:val="00705009"/>
    <w:rsid w:val="00706C5D"/>
    <w:rsid w:val="007118E6"/>
    <w:rsid w:val="00716C59"/>
    <w:rsid w:val="007225C9"/>
    <w:rsid w:val="00724552"/>
    <w:rsid w:val="00735CD7"/>
    <w:rsid w:val="00754034"/>
    <w:rsid w:val="00754BF1"/>
    <w:rsid w:val="00755A30"/>
    <w:rsid w:val="00755E1C"/>
    <w:rsid w:val="00756556"/>
    <w:rsid w:val="0076132B"/>
    <w:rsid w:val="007623AE"/>
    <w:rsid w:val="007643A4"/>
    <w:rsid w:val="00770B19"/>
    <w:rsid w:val="00774FA0"/>
    <w:rsid w:val="00776620"/>
    <w:rsid w:val="00777B6D"/>
    <w:rsid w:val="00784855"/>
    <w:rsid w:val="00784F39"/>
    <w:rsid w:val="0078545C"/>
    <w:rsid w:val="007906C4"/>
    <w:rsid w:val="007940EA"/>
    <w:rsid w:val="007967E8"/>
    <w:rsid w:val="007A63F2"/>
    <w:rsid w:val="007B68DE"/>
    <w:rsid w:val="007C1857"/>
    <w:rsid w:val="007C514F"/>
    <w:rsid w:val="007D0F95"/>
    <w:rsid w:val="007D7ECB"/>
    <w:rsid w:val="007E25A1"/>
    <w:rsid w:val="007E4BD2"/>
    <w:rsid w:val="007E7145"/>
    <w:rsid w:val="007F3916"/>
    <w:rsid w:val="00801179"/>
    <w:rsid w:val="00802479"/>
    <w:rsid w:val="00805372"/>
    <w:rsid w:val="00805B7B"/>
    <w:rsid w:val="0081293E"/>
    <w:rsid w:val="00814FFB"/>
    <w:rsid w:val="0082047D"/>
    <w:rsid w:val="00820568"/>
    <w:rsid w:val="00831A80"/>
    <w:rsid w:val="008332C8"/>
    <w:rsid w:val="00833743"/>
    <w:rsid w:val="008340A4"/>
    <w:rsid w:val="00836799"/>
    <w:rsid w:val="00837028"/>
    <w:rsid w:val="00837131"/>
    <w:rsid w:val="00841C96"/>
    <w:rsid w:val="00842A48"/>
    <w:rsid w:val="00845F57"/>
    <w:rsid w:val="008521E0"/>
    <w:rsid w:val="008525B0"/>
    <w:rsid w:val="00867CBC"/>
    <w:rsid w:val="00874C27"/>
    <w:rsid w:val="00876C30"/>
    <w:rsid w:val="00877017"/>
    <w:rsid w:val="008773C0"/>
    <w:rsid w:val="00880364"/>
    <w:rsid w:val="00886C4C"/>
    <w:rsid w:val="0088711C"/>
    <w:rsid w:val="0089189B"/>
    <w:rsid w:val="00892ECF"/>
    <w:rsid w:val="00892F06"/>
    <w:rsid w:val="00894285"/>
    <w:rsid w:val="008A40AE"/>
    <w:rsid w:val="008A4E19"/>
    <w:rsid w:val="008A67C5"/>
    <w:rsid w:val="008B22E1"/>
    <w:rsid w:val="008B3C78"/>
    <w:rsid w:val="008B4AE9"/>
    <w:rsid w:val="008B7645"/>
    <w:rsid w:val="008C30AD"/>
    <w:rsid w:val="008D068E"/>
    <w:rsid w:val="008D0F7A"/>
    <w:rsid w:val="008D63BE"/>
    <w:rsid w:val="008E0CFF"/>
    <w:rsid w:val="008E5D6B"/>
    <w:rsid w:val="008E689B"/>
    <w:rsid w:val="008E76F0"/>
    <w:rsid w:val="008F15FE"/>
    <w:rsid w:val="008F2A94"/>
    <w:rsid w:val="008F5187"/>
    <w:rsid w:val="008F709C"/>
    <w:rsid w:val="0090312B"/>
    <w:rsid w:val="00904961"/>
    <w:rsid w:val="0091736D"/>
    <w:rsid w:val="00931001"/>
    <w:rsid w:val="00931863"/>
    <w:rsid w:val="00933524"/>
    <w:rsid w:val="0094278D"/>
    <w:rsid w:val="0095308A"/>
    <w:rsid w:val="00955AEE"/>
    <w:rsid w:val="00956F14"/>
    <w:rsid w:val="009620FD"/>
    <w:rsid w:val="0096247A"/>
    <w:rsid w:val="00965F4B"/>
    <w:rsid w:val="00970F8A"/>
    <w:rsid w:val="00971FB5"/>
    <w:rsid w:val="00972D2A"/>
    <w:rsid w:val="00975CC5"/>
    <w:rsid w:val="00976328"/>
    <w:rsid w:val="00976B4E"/>
    <w:rsid w:val="00984458"/>
    <w:rsid w:val="00985283"/>
    <w:rsid w:val="00987322"/>
    <w:rsid w:val="009A0F3B"/>
    <w:rsid w:val="009A32C0"/>
    <w:rsid w:val="009A72C7"/>
    <w:rsid w:val="009B0897"/>
    <w:rsid w:val="009D0852"/>
    <w:rsid w:val="009D1FBF"/>
    <w:rsid w:val="009E399C"/>
    <w:rsid w:val="009E43C1"/>
    <w:rsid w:val="009E7E95"/>
    <w:rsid w:val="009F116F"/>
    <w:rsid w:val="009F329E"/>
    <w:rsid w:val="009F7ED3"/>
    <w:rsid w:val="00A03607"/>
    <w:rsid w:val="00A047FF"/>
    <w:rsid w:val="00A04FEF"/>
    <w:rsid w:val="00A074D3"/>
    <w:rsid w:val="00A122CD"/>
    <w:rsid w:val="00A12A32"/>
    <w:rsid w:val="00A14248"/>
    <w:rsid w:val="00A14947"/>
    <w:rsid w:val="00A23DC5"/>
    <w:rsid w:val="00A26DF2"/>
    <w:rsid w:val="00A328AF"/>
    <w:rsid w:val="00A34028"/>
    <w:rsid w:val="00A35568"/>
    <w:rsid w:val="00A36CF1"/>
    <w:rsid w:val="00A37056"/>
    <w:rsid w:val="00A40CE8"/>
    <w:rsid w:val="00A4358F"/>
    <w:rsid w:val="00A46F67"/>
    <w:rsid w:val="00A54AA1"/>
    <w:rsid w:val="00A568FF"/>
    <w:rsid w:val="00A57DCC"/>
    <w:rsid w:val="00A61496"/>
    <w:rsid w:val="00A61833"/>
    <w:rsid w:val="00A624C6"/>
    <w:rsid w:val="00A63CEC"/>
    <w:rsid w:val="00A7031E"/>
    <w:rsid w:val="00A728B1"/>
    <w:rsid w:val="00A763DE"/>
    <w:rsid w:val="00A803D6"/>
    <w:rsid w:val="00A81282"/>
    <w:rsid w:val="00A8713F"/>
    <w:rsid w:val="00A91167"/>
    <w:rsid w:val="00A9171C"/>
    <w:rsid w:val="00A92FFD"/>
    <w:rsid w:val="00A95975"/>
    <w:rsid w:val="00A9708D"/>
    <w:rsid w:val="00AA2C17"/>
    <w:rsid w:val="00AA4172"/>
    <w:rsid w:val="00AB13EA"/>
    <w:rsid w:val="00AB1914"/>
    <w:rsid w:val="00AB5330"/>
    <w:rsid w:val="00AB7747"/>
    <w:rsid w:val="00AC2532"/>
    <w:rsid w:val="00AD1507"/>
    <w:rsid w:val="00AD5A70"/>
    <w:rsid w:val="00AD738B"/>
    <w:rsid w:val="00AE1BF4"/>
    <w:rsid w:val="00AE5D97"/>
    <w:rsid w:val="00AE6794"/>
    <w:rsid w:val="00AF3165"/>
    <w:rsid w:val="00B01110"/>
    <w:rsid w:val="00B02262"/>
    <w:rsid w:val="00B03CEC"/>
    <w:rsid w:val="00B05F79"/>
    <w:rsid w:val="00B1209F"/>
    <w:rsid w:val="00B12AD0"/>
    <w:rsid w:val="00B1744F"/>
    <w:rsid w:val="00B24F30"/>
    <w:rsid w:val="00B31ABF"/>
    <w:rsid w:val="00B335AE"/>
    <w:rsid w:val="00B37CE1"/>
    <w:rsid w:val="00B40ACF"/>
    <w:rsid w:val="00B46BAA"/>
    <w:rsid w:val="00B50B5F"/>
    <w:rsid w:val="00B50F73"/>
    <w:rsid w:val="00B54128"/>
    <w:rsid w:val="00B55826"/>
    <w:rsid w:val="00B60426"/>
    <w:rsid w:val="00B622DD"/>
    <w:rsid w:val="00B63522"/>
    <w:rsid w:val="00B76F1D"/>
    <w:rsid w:val="00B92A19"/>
    <w:rsid w:val="00B9544C"/>
    <w:rsid w:val="00BA29E9"/>
    <w:rsid w:val="00BB3618"/>
    <w:rsid w:val="00BB3A27"/>
    <w:rsid w:val="00BC0C9E"/>
    <w:rsid w:val="00BC32DC"/>
    <w:rsid w:val="00BD1B51"/>
    <w:rsid w:val="00BD47F6"/>
    <w:rsid w:val="00BE312D"/>
    <w:rsid w:val="00BE3FCA"/>
    <w:rsid w:val="00C05719"/>
    <w:rsid w:val="00C10578"/>
    <w:rsid w:val="00C14440"/>
    <w:rsid w:val="00C17D62"/>
    <w:rsid w:val="00C21FDC"/>
    <w:rsid w:val="00C24EE7"/>
    <w:rsid w:val="00C2596A"/>
    <w:rsid w:val="00C271BE"/>
    <w:rsid w:val="00C27425"/>
    <w:rsid w:val="00C328FE"/>
    <w:rsid w:val="00C33A05"/>
    <w:rsid w:val="00C42500"/>
    <w:rsid w:val="00C4409D"/>
    <w:rsid w:val="00C455BE"/>
    <w:rsid w:val="00C51E5F"/>
    <w:rsid w:val="00C61E4B"/>
    <w:rsid w:val="00C62E3A"/>
    <w:rsid w:val="00C64503"/>
    <w:rsid w:val="00C64A1F"/>
    <w:rsid w:val="00C64BFF"/>
    <w:rsid w:val="00C763C9"/>
    <w:rsid w:val="00C80057"/>
    <w:rsid w:val="00C82C79"/>
    <w:rsid w:val="00C84753"/>
    <w:rsid w:val="00C87142"/>
    <w:rsid w:val="00C91611"/>
    <w:rsid w:val="00CA0CDC"/>
    <w:rsid w:val="00CA3585"/>
    <w:rsid w:val="00CA3D5A"/>
    <w:rsid w:val="00CA4C7C"/>
    <w:rsid w:val="00CB0183"/>
    <w:rsid w:val="00CB1EA3"/>
    <w:rsid w:val="00CB552C"/>
    <w:rsid w:val="00CB6A9E"/>
    <w:rsid w:val="00CC0C0D"/>
    <w:rsid w:val="00CC6181"/>
    <w:rsid w:val="00CC6BE5"/>
    <w:rsid w:val="00CD2BCD"/>
    <w:rsid w:val="00CD36AA"/>
    <w:rsid w:val="00CD3791"/>
    <w:rsid w:val="00CD65B0"/>
    <w:rsid w:val="00CE02CD"/>
    <w:rsid w:val="00CE10E9"/>
    <w:rsid w:val="00D0072E"/>
    <w:rsid w:val="00D15727"/>
    <w:rsid w:val="00D16332"/>
    <w:rsid w:val="00D24972"/>
    <w:rsid w:val="00D2515E"/>
    <w:rsid w:val="00D308ED"/>
    <w:rsid w:val="00D56178"/>
    <w:rsid w:val="00D56CF0"/>
    <w:rsid w:val="00D56F5C"/>
    <w:rsid w:val="00D704B1"/>
    <w:rsid w:val="00D70B63"/>
    <w:rsid w:val="00D72B92"/>
    <w:rsid w:val="00D72ED4"/>
    <w:rsid w:val="00D73F61"/>
    <w:rsid w:val="00D754C0"/>
    <w:rsid w:val="00D776A2"/>
    <w:rsid w:val="00D801C4"/>
    <w:rsid w:val="00D90836"/>
    <w:rsid w:val="00D95896"/>
    <w:rsid w:val="00D95CC6"/>
    <w:rsid w:val="00DA2DA3"/>
    <w:rsid w:val="00DA49BB"/>
    <w:rsid w:val="00DA6615"/>
    <w:rsid w:val="00DA76AE"/>
    <w:rsid w:val="00DB181E"/>
    <w:rsid w:val="00DB1C7A"/>
    <w:rsid w:val="00DB2983"/>
    <w:rsid w:val="00DB343D"/>
    <w:rsid w:val="00DB5579"/>
    <w:rsid w:val="00DB5CFE"/>
    <w:rsid w:val="00DC72A6"/>
    <w:rsid w:val="00DD2113"/>
    <w:rsid w:val="00DD265E"/>
    <w:rsid w:val="00DF1930"/>
    <w:rsid w:val="00DF514A"/>
    <w:rsid w:val="00E0358D"/>
    <w:rsid w:val="00E06327"/>
    <w:rsid w:val="00E2064B"/>
    <w:rsid w:val="00E25239"/>
    <w:rsid w:val="00E265B1"/>
    <w:rsid w:val="00E275B0"/>
    <w:rsid w:val="00E412D0"/>
    <w:rsid w:val="00E47CDB"/>
    <w:rsid w:val="00E566BC"/>
    <w:rsid w:val="00E60982"/>
    <w:rsid w:val="00E60C8D"/>
    <w:rsid w:val="00E6162F"/>
    <w:rsid w:val="00E61F6A"/>
    <w:rsid w:val="00E6311B"/>
    <w:rsid w:val="00E65D97"/>
    <w:rsid w:val="00E67EFD"/>
    <w:rsid w:val="00E702DC"/>
    <w:rsid w:val="00E71FFB"/>
    <w:rsid w:val="00E755F0"/>
    <w:rsid w:val="00E76D1D"/>
    <w:rsid w:val="00E806F8"/>
    <w:rsid w:val="00E87752"/>
    <w:rsid w:val="00E8793B"/>
    <w:rsid w:val="00E90F81"/>
    <w:rsid w:val="00E91A6D"/>
    <w:rsid w:val="00E9242D"/>
    <w:rsid w:val="00EB041C"/>
    <w:rsid w:val="00EC225A"/>
    <w:rsid w:val="00EC39DB"/>
    <w:rsid w:val="00EC5874"/>
    <w:rsid w:val="00ED192D"/>
    <w:rsid w:val="00ED30B4"/>
    <w:rsid w:val="00ED31F5"/>
    <w:rsid w:val="00EF2759"/>
    <w:rsid w:val="00EF45EB"/>
    <w:rsid w:val="00EF5099"/>
    <w:rsid w:val="00EF5E33"/>
    <w:rsid w:val="00F00075"/>
    <w:rsid w:val="00F07822"/>
    <w:rsid w:val="00F15C95"/>
    <w:rsid w:val="00F22985"/>
    <w:rsid w:val="00F241AB"/>
    <w:rsid w:val="00F31382"/>
    <w:rsid w:val="00F35829"/>
    <w:rsid w:val="00F42868"/>
    <w:rsid w:val="00F465A7"/>
    <w:rsid w:val="00F50B7C"/>
    <w:rsid w:val="00F5202D"/>
    <w:rsid w:val="00F52CF6"/>
    <w:rsid w:val="00F54496"/>
    <w:rsid w:val="00F61097"/>
    <w:rsid w:val="00F70FE8"/>
    <w:rsid w:val="00F74345"/>
    <w:rsid w:val="00F74441"/>
    <w:rsid w:val="00F77BEF"/>
    <w:rsid w:val="00F77F30"/>
    <w:rsid w:val="00F82589"/>
    <w:rsid w:val="00F82B19"/>
    <w:rsid w:val="00F90AA7"/>
    <w:rsid w:val="00F9212D"/>
    <w:rsid w:val="00FA301A"/>
    <w:rsid w:val="00FA406A"/>
    <w:rsid w:val="00FA5CB6"/>
    <w:rsid w:val="00FB3FA5"/>
    <w:rsid w:val="00FC66AC"/>
    <w:rsid w:val="00FD18F4"/>
    <w:rsid w:val="00FD6C48"/>
    <w:rsid w:val="00FD74B4"/>
    <w:rsid w:val="00FF6FCE"/>
    <w:rsid w:val="00FF7518"/>
    <w:rsid w:val="00FF7FD8"/>
    <w:rsid w:val="0116312F"/>
    <w:rsid w:val="01192301"/>
    <w:rsid w:val="012B64AF"/>
    <w:rsid w:val="017754B7"/>
    <w:rsid w:val="019C58C5"/>
    <w:rsid w:val="01B01A56"/>
    <w:rsid w:val="01E233E0"/>
    <w:rsid w:val="01FC419D"/>
    <w:rsid w:val="021740F1"/>
    <w:rsid w:val="02184C85"/>
    <w:rsid w:val="022C4C20"/>
    <w:rsid w:val="02361C6C"/>
    <w:rsid w:val="024912E2"/>
    <w:rsid w:val="025E4620"/>
    <w:rsid w:val="02626EBB"/>
    <w:rsid w:val="0273635F"/>
    <w:rsid w:val="027D1A8A"/>
    <w:rsid w:val="02B5413A"/>
    <w:rsid w:val="02D74F49"/>
    <w:rsid w:val="02E65DB1"/>
    <w:rsid w:val="0313544C"/>
    <w:rsid w:val="035F3907"/>
    <w:rsid w:val="036C4E78"/>
    <w:rsid w:val="036F1DBE"/>
    <w:rsid w:val="03884536"/>
    <w:rsid w:val="03A367D0"/>
    <w:rsid w:val="03FE6E17"/>
    <w:rsid w:val="04030D72"/>
    <w:rsid w:val="04090D29"/>
    <w:rsid w:val="0435387B"/>
    <w:rsid w:val="04385E02"/>
    <w:rsid w:val="04405F7E"/>
    <w:rsid w:val="04620439"/>
    <w:rsid w:val="04A00FE4"/>
    <w:rsid w:val="04A05741"/>
    <w:rsid w:val="04B601BA"/>
    <w:rsid w:val="05143247"/>
    <w:rsid w:val="05416C83"/>
    <w:rsid w:val="05571F68"/>
    <w:rsid w:val="055E50A5"/>
    <w:rsid w:val="05742AC8"/>
    <w:rsid w:val="058669D1"/>
    <w:rsid w:val="05BF08E4"/>
    <w:rsid w:val="05C707CB"/>
    <w:rsid w:val="05EF4166"/>
    <w:rsid w:val="06121352"/>
    <w:rsid w:val="0635240D"/>
    <w:rsid w:val="06352F05"/>
    <w:rsid w:val="063876A4"/>
    <w:rsid w:val="063E7D85"/>
    <w:rsid w:val="0646738D"/>
    <w:rsid w:val="06734B80"/>
    <w:rsid w:val="06782317"/>
    <w:rsid w:val="0693539A"/>
    <w:rsid w:val="06C83F2F"/>
    <w:rsid w:val="06CF77D5"/>
    <w:rsid w:val="06E72E78"/>
    <w:rsid w:val="07044E92"/>
    <w:rsid w:val="07060306"/>
    <w:rsid w:val="070875E0"/>
    <w:rsid w:val="07094B63"/>
    <w:rsid w:val="070B46F5"/>
    <w:rsid w:val="07236A95"/>
    <w:rsid w:val="07293586"/>
    <w:rsid w:val="07295285"/>
    <w:rsid w:val="07466B64"/>
    <w:rsid w:val="07697D31"/>
    <w:rsid w:val="076A0EBC"/>
    <w:rsid w:val="07770C56"/>
    <w:rsid w:val="078611C1"/>
    <w:rsid w:val="07866517"/>
    <w:rsid w:val="07CE4609"/>
    <w:rsid w:val="07EA47F3"/>
    <w:rsid w:val="08090EF1"/>
    <w:rsid w:val="082C4FE6"/>
    <w:rsid w:val="082E5202"/>
    <w:rsid w:val="0858227F"/>
    <w:rsid w:val="085D419D"/>
    <w:rsid w:val="08611265"/>
    <w:rsid w:val="086C48CA"/>
    <w:rsid w:val="088B49BF"/>
    <w:rsid w:val="08CE0754"/>
    <w:rsid w:val="08E27D9B"/>
    <w:rsid w:val="09060CCF"/>
    <w:rsid w:val="090A370D"/>
    <w:rsid w:val="092217DD"/>
    <w:rsid w:val="093A7294"/>
    <w:rsid w:val="097B701A"/>
    <w:rsid w:val="0A2B337A"/>
    <w:rsid w:val="0A407D85"/>
    <w:rsid w:val="0A430D0D"/>
    <w:rsid w:val="0A47115C"/>
    <w:rsid w:val="0A692EE2"/>
    <w:rsid w:val="0A7D74C3"/>
    <w:rsid w:val="0A7E3051"/>
    <w:rsid w:val="0B0409DC"/>
    <w:rsid w:val="0B3F59DA"/>
    <w:rsid w:val="0B446AEB"/>
    <w:rsid w:val="0B4B1C27"/>
    <w:rsid w:val="0B554F0D"/>
    <w:rsid w:val="0B727026"/>
    <w:rsid w:val="0BA9404D"/>
    <w:rsid w:val="0BAB0918"/>
    <w:rsid w:val="0BAD643E"/>
    <w:rsid w:val="0BD27BF6"/>
    <w:rsid w:val="0BEB09D7"/>
    <w:rsid w:val="0BFC1F17"/>
    <w:rsid w:val="0C1D0E53"/>
    <w:rsid w:val="0C356200"/>
    <w:rsid w:val="0C41302A"/>
    <w:rsid w:val="0C544654"/>
    <w:rsid w:val="0CAE1635"/>
    <w:rsid w:val="0CB67574"/>
    <w:rsid w:val="0CC6110C"/>
    <w:rsid w:val="0CE3267D"/>
    <w:rsid w:val="0CF63E15"/>
    <w:rsid w:val="0D7C1F93"/>
    <w:rsid w:val="0DC254EA"/>
    <w:rsid w:val="0DE02537"/>
    <w:rsid w:val="0E037982"/>
    <w:rsid w:val="0E110D06"/>
    <w:rsid w:val="0E1327A4"/>
    <w:rsid w:val="0E3F3599"/>
    <w:rsid w:val="0E425E00"/>
    <w:rsid w:val="0E4F1A2E"/>
    <w:rsid w:val="0E97726C"/>
    <w:rsid w:val="0E9A31FA"/>
    <w:rsid w:val="0EB9159E"/>
    <w:rsid w:val="0ED04A7F"/>
    <w:rsid w:val="0ED17560"/>
    <w:rsid w:val="0ED86994"/>
    <w:rsid w:val="0EDE2634"/>
    <w:rsid w:val="0EDF41CE"/>
    <w:rsid w:val="0EE938C5"/>
    <w:rsid w:val="0F0E3698"/>
    <w:rsid w:val="0F13775A"/>
    <w:rsid w:val="0F1400F3"/>
    <w:rsid w:val="0F467360"/>
    <w:rsid w:val="0F646ADD"/>
    <w:rsid w:val="0F9A112B"/>
    <w:rsid w:val="0F9B0EE8"/>
    <w:rsid w:val="0FA47B58"/>
    <w:rsid w:val="0FDF0666"/>
    <w:rsid w:val="0FF075FC"/>
    <w:rsid w:val="10014615"/>
    <w:rsid w:val="106D2F64"/>
    <w:rsid w:val="109776BD"/>
    <w:rsid w:val="10B63710"/>
    <w:rsid w:val="10C748A9"/>
    <w:rsid w:val="11196E46"/>
    <w:rsid w:val="111C2F7A"/>
    <w:rsid w:val="113013DE"/>
    <w:rsid w:val="11354D09"/>
    <w:rsid w:val="113F3298"/>
    <w:rsid w:val="11427629"/>
    <w:rsid w:val="115C1318"/>
    <w:rsid w:val="11733C86"/>
    <w:rsid w:val="11800A66"/>
    <w:rsid w:val="11D64A53"/>
    <w:rsid w:val="11EE5D1E"/>
    <w:rsid w:val="11F438BD"/>
    <w:rsid w:val="1222057E"/>
    <w:rsid w:val="122B06C2"/>
    <w:rsid w:val="122E4051"/>
    <w:rsid w:val="12356042"/>
    <w:rsid w:val="1247646D"/>
    <w:rsid w:val="12D25FB0"/>
    <w:rsid w:val="134B14A3"/>
    <w:rsid w:val="13540DDF"/>
    <w:rsid w:val="13951726"/>
    <w:rsid w:val="139D4FEA"/>
    <w:rsid w:val="13F82317"/>
    <w:rsid w:val="14090A6B"/>
    <w:rsid w:val="14396509"/>
    <w:rsid w:val="1447165C"/>
    <w:rsid w:val="144F70E7"/>
    <w:rsid w:val="147B5B7F"/>
    <w:rsid w:val="14891A12"/>
    <w:rsid w:val="148F7029"/>
    <w:rsid w:val="14DE6AC3"/>
    <w:rsid w:val="14F55462"/>
    <w:rsid w:val="15007F26"/>
    <w:rsid w:val="15080C4C"/>
    <w:rsid w:val="152B4C20"/>
    <w:rsid w:val="15FF3D3A"/>
    <w:rsid w:val="16406D45"/>
    <w:rsid w:val="16517180"/>
    <w:rsid w:val="166242C9"/>
    <w:rsid w:val="166F3AAC"/>
    <w:rsid w:val="16761CAC"/>
    <w:rsid w:val="168A48FC"/>
    <w:rsid w:val="16A050E7"/>
    <w:rsid w:val="16B70934"/>
    <w:rsid w:val="16C0184E"/>
    <w:rsid w:val="16C049EB"/>
    <w:rsid w:val="16D43419"/>
    <w:rsid w:val="16F75761"/>
    <w:rsid w:val="172F7507"/>
    <w:rsid w:val="17410382"/>
    <w:rsid w:val="17546308"/>
    <w:rsid w:val="175E34A2"/>
    <w:rsid w:val="17735226"/>
    <w:rsid w:val="17AA301A"/>
    <w:rsid w:val="17DF0011"/>
    <w:rsid w:val="17FE5823"/>
    <w:rsid w:val="18382023"/>
    <w:rsid w:val="184711C8"/>
    <w:rsid w:val="18730A0F"/>
    <w:rsid w:val="18EF453A"/>
    <w:rsid w:val="19282FC7"/>
    <w:rsid w:val="19324AAC"/>
    <w:rsid w:val="19573457"/>
    <w:rsid w:val="19753ABB"/>
    <w:rsid w:val="19791D2D"/>
    <w:rsid w:val="197F6751"/>
    <w:rsid w:val="19B66265"/>
    <w:rsid w:val="19C42A62"/>
    <w:rsid w:val="1A1C66C0"/>
    <w:rsid w:val="1A383CBF"/>
    <w:rsid w:val="1A42393B"/>
    <w:rsid w:val="1A74451A"/>
    <w:rsid w:val="1A89182A"/>
    <w:rsid w:val="1A917E6A"/>
    <w:rsid w:val="1AA86C9A"/>
    <w:rsid w:val="1AEE3036"/>
    <w:rsid w:val="1B046F80"/>
    <w:rsid w:val="1B3267B5"/>
    <w:rsid w:val="1B3605D2"/>
    <w:rsid w:val="1B745C72"/>
    <w:rsid w:val="1BAA763D"/>
    <w:rsid w:val="1BC25DC8"/>
    <w:rsid w:val="1BDB0BD4"/>
    <w:rsid w:val="1BE07DDA"/>
    <w:rsid w:val="1BF00E74"/>
    <w:rsid w:val="1C2C786B"/>
    <w:rsid w:val="1C306210"/>
    <w:rsid w:val="1C4B541C"/>
    <w:rsid w:val="1C4D086B"/>
    <w:rsid w:val="1C5E7925"/>
    <w:rsid w:val="1C71798C"/>
    <w:rsid w:val="1C887FC8"/>
    <w:rsid w:val="1C8B27CB"/>
    <w:rsid w:val="1CA12B8F"/>
    <w:rsid w:val="1CAE3888"/>
    <w:rsid w:val="1CF9105E"/>
    <w:rsid w:val="1D010337"/>
    <w:rsid w:val="1D2C1D8C"/>
    <w:rsid w:val="1D3E0516"/>
    <w:rsid w:val="1D3F6B67"/>
    <w:rsid w:val="1D4D437C"/>
    <w:rsid w:val="1D5F6196"/>
    <w:rsid w:val="1D6132A5"/>
    <w:rsid w:val="1D8E56D5"/>
    <w:rsid w:val="1DEE0204"/>
    <w:rsid w:val="1E195BB5"/>
    <w:rsid w:val="1E585C2B"/>
    <w:rsid w:val="1E7A43DA"/>
    <w:rsid w:val="1EB277FE"/>
    <w:rsid w:val="1EF26A6D"/>
    <w:rsid w:val="1EF459B7"/>
    <w:rsid w:val="1F27149D"/>
    <w:rsid w:val="1F445DF9"/>
    <w:rsid w:val="1F4870CC"/>
    <w:rsid w:val="1F79043D"/>
    <w:rsid w:val="1F933C30"/>
    <w:rsid w:val="1FAA158F"/>
    <w:rsid w:val="1FBC624F"/>
    <w:rsid w:val="1FCA0DC0"/>
    <w:rsid w:val="1FCB67CC"/>
    <w:rsid w:val="1FDC23C2"/>
    <w:rsid w:val="1FDF3C63"/>
    <w:rsid w:val="1FE7539E"/>
    <w:rsid w:val="20362A4E"/>
    <w:rsid w:val="20963CB8"/>
    <w:rsid w:val="20B07FB6"/>
    <w:rsid w:val="20B64F56"/>
    <w:rsid w:val="20E22BD6"/>
    <w:rsid w:val="20FF1092"/>
    <w:rsid w:val="210F603C"/>
    <w:rsid w:val="213B74B1"/>
    <w:rsid w:val="213F0339"/>
    <w:rsid w:val="21464F13"/>
    <w:rsid w:val="214D6FC6"/>
    <w:rsid w:val="21527C09"/>
    <w:rsid w:val="215A2310"/>
    <w:rsid w:val="216A63DE"/>
    <w:rsid w:val="218C47D6"/>
    <w:rsid w:val="21980195"/>
    <w:rsid w:val="21C422DC"/>
    <w:rsid w:val="21C82334"/>
    <w:rsid w:val="21DE318A"/>
    <w:rsid w:val="21E47FDC"/>
    <w:rsid w:val="21E8421C"/>
    <w:rsid w:val="21E8640D"/>
    <w:rsid w:val="21EA7F94"/>
    <w:rsid w:val="21EF5B80"/>
    <w:rsid w:val="220425B5"/>
    <w:rsid w:val="220B1CB9"/>
    <w:rsid w:val="220D3083"/>
    <w:rsid w:val="22576990"/>
    <w:rsid w:val="22602004"/>
    <w:rsid w:val="2265586D"/>
    <w:rsid w:val="22745AB0"/>
    <w:rsid w:val="22897F88"/>
    <w:rsid w:val="229C4EAB"/>
    <w:rsid w:val="22A17920"/>
    <w:rsid w:val="22AC6FF8"/>
    <w:rsid w:val="22BB5B78"/>
    <w:rsid w:val="22FF34CE"/>
    <w:rsid w:val="2324026E"/>
    <w:rsid w:val="23812232"/>
    <w:rsid w:val="24156E1F"/>
    <w:rsid w:val="24572958"/>
    <w:rsid w:val="24EC1890"/>
    <w:rsid w:val="25097E75"/>
    <w:rsid w:val="25223DB2"/>
    <w:rsid w:val="252D53FE"/>
    <w:rsid w:val="253A13A7"/>
    <w:rsid w:val="254426A6"/>
    <w:rsid w:val="257225F5"/>
    <w:rsid w:val="258E7B77"/>
    <w:rsid w:val="25AF6506"/>
    <w:rsid w:val="25B33C9B"/>
    <w:rsid w:val="25C639A0"/>
    <w:rsid w:val="25CB4399"/>
    <w:rsid w:val="25D71F0E"/>
    <w:rsid w:val="25D7602B"/>
    <w:rsid w:val="25EC2D81"/>
    <w:rsid w:val="25EF003E"/>
    <w:rsid w:val="25FC6919"/>
    <w:rsid w:val="25FD7BCB"/>
    <w:rsid w:val="26170C2C"/>
    <w:rsid w:val="261A136B"/>
    <w:rsid w:val="262A77A8"/>
    <w:rsid w:val="262D044F"/>
    <w:rsid w:val="262D66AB"/>
    <w:rsid w:val="26301CEE"/>
    <w:rsid w:val="264528BD"/>
    <w:rsid w:val="264D1DB5"/>
    <w:rsid w:val="2657653E"/>
    <w:rsid w:val="266D761C"/>
    <w:rsid w:val="26AA2B5D"/>
    <w:rsid w:val="26AF1003"/>
    <w:rsid w:val="26BA7F0E"/>
    <w:rsid w:val="26D7485F"/>
    <w:rsid w:val="26DF450B"/>
    <w:rsid w:val="26EE7767"/>
    <w:rsid w:val="26FE1DEC"/>
    <w:rsid w:val="27154B1C"/>
    <w:rsid w:val="27402404"/>
    <w:rsid w:val="27767BD4"/>
    <w:rsid w:val="278D6C42"/>
    <w:rsid w:val="27AC2528"/>
    <w:rsid w:val="27B410CE"/>
    <w:rsid w:val="27B54BA0"/>
    <w:rsid w:val="27CB31D8"/>
    <w:rsid w:val="27D15DD1"/>
    <w:rsid w:val="28414686"/>
    <w:rsid w:val="288519FA"/>
    <w:rsid w:val="2899001E"/>
    <w:rsid w:val="28A76295"/>
    <w:rsid w:val="28C84060"/>
    <w:rsid w:val="29127DD1"/>
    <w:rsid w:val="291E06B3"/>
    <w:rsid w:val="29206EB8"/>
    <w:rsid w:val="29581178"/>
    <w:rsid w:val="296E2555"/>
    <w:rsid w:val="296F5223"/>
    <w:rsid w:val="29752BCD"/>
    <w:rsid w:val="297848C3"/>
    <w:rsid w:val="299707D5"/>
    <w:rsid w:val="29A23146"/>
    <w:rsid w:val="29B774D7"/>
    <w:rsid w:val="29C015DB"/>
    <w:rsid w:val="29CF181E"/>
    <w:rsid w:val="29D3130E"/>
    <w:rsid w:val="29E325E0"/>
    <w:rsid w:val="29F87F8C"/>
    <w:rsid w:val="2A111EE5"/>
    <w:rsid w:val="2A452503"/>
    <w:rsid w:val="2A53237A"/>
    <w:rsid w:val="2A6B1546"/>
    <w:rsid w:val="2ADF0E15"/>
    <w:rsid w:val="2AF62A08"/>
    <w:rsid w:val="2B041334"/>
    <w:rsid w:val="2B3E5B9B"/>
    <w:rsid w:val="2B416DC7"/>
    <w:rsid w:val="2B5467D3"/>
    <w:rsid w:val="2BA936A8"/>
    <w:rsid w:val="2BDC16D9"/>
    <w:rsid w:val="2C1D08C6"/>
    <w:rsid w:val="2C28298A"/>
    <w:rsid w:val="2C315A5A"/>
    <w:rsid w:val="2C886E1D"/>
    <w:rsid w:val="2CC41097"/>
    <w:rsid w:val="2D142369"/>
    <w:rsid w:val="2D213BE5"/>
    <w:rsid w:val="2D527360"/>
    <w:rsid w:val="2D9E56F5"/>
    <w:rsid w:val="2DA26CAA"/>
    <w:rsid w:val="2DCA3526"/>
    <w:rsid w:val="2DF942F1"/>
    <w:rsid w:val="2E0D461C"/>
    <w:rsid w:val="2E266696"/>
    <w:rsid w:val="2E667F96"/>
    <w:rsid w:val="2E8226AB"/>
    <w:rsid w:val="2E862DF3"/>
    <w:rsid w:val="2EB96346"/>
    <w:rsid w:val="2F062A5A"/>
    <w:rsid w:val="2F102604"/>
    <w:rsid w:val="2F104DB2"/>
    <w:rsid w:val="2F381AC1"/>
    <w:rsid w:val="2F4131BE"/>
    <w:rsid w:val="2F4A5401"/>
    <w:rsid w:val="2F832C79"/>
    <w:rsid w:val="2FA15A0A"/>
    <w:rsid w:val="2FB218D6"/>
    <w:rsid w:val="2FEF2D58"/>
    <w:rsid w:val="2FFA361D"/>
    <w:rsid w:val="305016FA"/>
    <w:rsid w:val="305111DE"/>
    <w:rsid w:val="30580BC9"/>
    <w:rsid w:val="3091782D"/>
    <w:rsid w:val="30B41ABE"/>
    <w:rsid w:val="30DA221E"/>
    <w:rsid w:val="31095983"/>
    <w:rsid w:val="311E2ED7"/>
    <w:rsid w:val="315C449C"/>
    <w:rsid w:val="3166014C"/>
    <w:rsid w:val="31AA504A"/>
    <w:rsid w:val="31B82709"/>
    <w:rsid w:val="31E2090F"/>
    <w:rsid w:val="321B19F6"/>
    <w:rsid w:val="322C193C"/>
    <w:rsid w:val="32400B34"/>
    <w:rsid w:val="32584AA6"/>
    <w:rsid w:val="328214F9"/>
    <w:rsid w:val="32962BEF"/>
    <w:rsid w:val="329E6876"/>
    <w:rsid w:val="32A836C4"/>
    <w:rsid w:val="32B15937"/>
    <w:rsid w:val="32C5169D"/>
    <w:rsid w:val="32E36C6D"/>
    <w:rsid w:val="32E66BCB"/>
    <w:rsid w:val="331F0544"/>
    <w:rsid w:val="331F7ED7"/>
    <w:rsid w:val="33C66680"/>
    <w:rsid w:val="33D934D4"/>
    <w:rsid w:val="33E34843"/>
    <w:rsid w:val="33F87555"/>
    <w:rsid w:val="33FD03FF"/>
    <w:rsid w:val="33FE2F6A"/>
    <w:rsid w:val="342F7A89"/>
    <w:rsid w:val="34770C5B"/>
    <w:rsid w:val="34843406"/>
    <w:rsid w:val="34D7355E"/>
    <w:rsid w:val="34DD2DA9"/>
    <w:rsid w:val="34F94DD2"/>
    <w:rsid w:val="34FC045D"/>
    <w:rsid w:val="351A0690"/>
    <w:rsid w:val="35862135"/>
    <w:rsid w:val="35872A15"/>
    <w:rsid w:val="35A47CD5"/>
    <w:rsid w:val="35B856A0"/>
    <w:rsid w:val="35E15609"/>
    <w:rsid w:val="36074A7F"/>
    <w:rsid w:val="3619454C"/>
    <w:rsid w:val="361F6B5B"/>
    <w:rsid w:val="36317AE8"/>
    <w:rsid w:val="36427588"/>
    <w:rsid w:val="365D6B2F"/>
    <w:rsid w:val="366C2A00"/>
    <w:rsid w:val="36923549"/>
    <w:rsid w:val="36B45DB4"/>
    <w:rsid w:val="36B75FBF"/>
    <w:rsid w:val="36E66EE0"/>
    <w:rsid w:val="36FB4891"/>
    <w:rsid w:val="371B69BE"/>
    <w:rsid w:val="372C6596"/>
    <w:rsid w:val="377731B9"/>
    <w:rsid w:val="379F2568"/>
    <w:rsid w:val="37BA1D5F"/>
    <w:rsid w:val="37C67279"/>
    <w:rsid w:val="37EB0681"/>
    <w:rsid w:val="37F63D50"/>
    <w:rsid w:val="37F657BE"/>
    <w:rsid w:val="37F959C2"/>
    <w:rsid w:val="37FA0782"/>
    <w:rsid w:val="380F659E"/>
    <w:rsid w:val="382113AB"/>
    <w:rsid w:val="38514471"/>
    <w:rsid w:val="38523873"/>
    <w:rsid w:val="386C3059"/>
    <w:rsid w:val="38897466"/>
    <w:rsid w:val="389D0F69"/>
    <w:rsid w:val="38A35A73"/>
    <w:rsid w:val="38F12CD3"/>
    <w:rsid w:val="38F85BFF"/>
    <w:rsid w:val="38F94775"/>
    <w:rsid w:val="39162FC5"/>
    <w:rsid w:val="392971ED"/>
    <w:rsid w:val="39797D93"/>
    <w:rsid w:val="3995038E"/>
    <w:rsid w:val="39FA5A69"/>
    <w:rsid w:val="39FE2691"/>
    <w:rsid w:val="39FF7EFD"/>
    <w:rsid w:val="3A177CE9"/>
    <w:rsid w:val="3A325026"/>
    <w:rsid w:val="3A8A3C6B"/>
    <w:rsid w:val="3A9C3304"/>
    <w:rsid w:val="3A9D6889"/>
    <w:rsid w:val="3ADE493A"/>
    <w:rsid w:val="3AF31EBC"/>
    <w:rsid w:val="3B2C4009"/>
    <w:rsid w:val="3B2D19ED"/>
    <w:rsid w:val="3B3763D1"/>
    <w:rsid w:val="3B3F50E4"/>
    <w:rsid w:val="3B60041E"/>
    <w:rsid w:val="3B6354C8"/>
    <w:rsid w:val="3BB76C19"/>
    <w:rsid w:val="3BCD0F84"/>
    <w:rsid w:val="3BF32CCF"/>
    <w:rsid w:val="3C6A7B69"/>
    <w:rsid w:val="3C8A19F5"/>
    <w:rsid w:val="3CA846EA"/>
    <w:rsid w:val="3CDA245A"/>
    <w:rsid w:val="3CDA3B31"/>
    <w:rsid w:val="3CEE0A37"/>
    <w:rsid w:val="3CEF23C1"/>
    <w:rsid w:val="3D235CB1"/>
    <w:rsid w:val="3D3E2AEA"/>
    <w:rsid w:val="3D4001B7"/>
    <w:rsid w:val="3D6D0BDF"/>
    <w:rsid w:val="3D74546A"/>
    <w:rsid w:val="3DAA000E"/>
    <w:rsid w:val="3DD05CC9"/>
    <w:rsid w:val="3E116F60"/>
    <w:rsid w:val="3E1B7596"/>
    <w:rsid w:val="3E3A321C"/>
    <w:rsid w:val="3E435D1B"/>
    <w:rsid w:val="3E4E619C"/>
    <w:rsid w:val="3E645C6A"/>
    <w:rsid w:val="3E9073A4"/>
    <w:rsid w:val="3EA376A8"/>
    <w:rsid w:val="3EA465DC"/>
    <w:rsid w:val="3F081761"/>
    <w:rsid w:val="3F1C6BE9"/>
    <w:rsid w:val="3F22430F"/>
    <w:rsid w:val="3F47037C"/>
    <w:rsid w:val="3F660E74"/>
    <w:rsid w:val="3FC14FDC"/>
    <w:rsid w:val="400E19B6"/>
    <w:rsid w:val="40283BB5"/>
    <w:rsid w:val="4047659D"/>
    <w:rsid w:val="407A6407"/>
    <w:rsid w:val="40947D31"/>
    <w:rsid w:val="40A23390"/>
    <w:rsid w:val="40E45857"/>
    <w:rsid w:val="40E66A89"/>
    <w:rsid w:val="40FD016C"/>
    <w:rsid w:val="414B49D3"/>
    <w:rsid w:val="41687802"/>
    <w:rsid w:val="41704F0E"/>
    <w:rsid w:val="41DC654E"/>
    <w:rsid w:val="41F0502F"/>
    <w:rsid w:val="423A3BCC"/>
    <w:rsid w:val="424B6747"/>
    <w:rsid w:val="42633ABF"/>
    <w:rsid w:val="42693067"/>
    <w:rsid w:val="429B13AB"/>
    <w:rsid w:val="42EC3739"/>
    <w:rsid w:val="42F51E9D"/>
    <w:rsid w:val="4339622E"/>
    <w:rsid w:val="433A6FE6"/>
    <w:rsid w:val="434A3F97"/>
    <w:rsid w:val="4350713C"/>
    <w:rsid w:val="43664B49"/>
    <w:rsid w:val="436653E0"/>
    <w:rsid w:val="438B7DC3"/>
    <w:rsid w:val="43A713E9"/>
    <w:rsid w:val="441F642B"/>
    <w:rsid w:val="445138C5"/>
    <w:rsid w:val="44747DD5"/>
    <w:rsid w:val="44786A70"/>
    <w:rsid w:val="44850162"/>
    <w:rsid w:val="44954A8F"/>
    <w:rsid w:val="44CD14E0"/>
    <w:rsid w:val="44D0511A"/>
    <w:rsid w:val="44D42DAB"/>
    <w:rsid w:val="44F52B31"/>
    <w:rsid w:val="4514742D"/>
    <w:rsid w:val="452C6D04"/>
    <w:rsid w:val="457E43CC"/>
    <w:rsid w:val="45886FF9"/>
    <w:rsid w:val="458946E9"/>
    <w:rsid w:val="45955208"/>
    <w:rsid w:val="45AD7BC7"/>
    <w:rsid w:val="45BC4ED7"/>
    <w:rsid w:val="45C15AF1"/>
    <w:rsid w:val="45C953D0"/>
    <w:rsid w:val="45D264C6"/>
    <w:rsid w:val="45DD367A"/>
    <w:rsid w:val="45E710C3"/>
    <w:rsid w:val="467B41A1"/>
    <w:rsid w:val="46AC23F1"/>
    <w:rsid w:val="46AE0CE1"/>
    <w:rsid w:val="46C103BD"/>
    <w:rsid w:val="46C2478C"/>
    <w:rsid w:val="46D955A7"/>
    <w:rsid w:val="47133957"/>
    <w:rsid w:val="47637ABB"/>
    <w:rsid w:val="476475F1"/>
    <w:rsid w:val="4779329E"/>
    <w:rsid w:val="4790355A"/>
    <w:rsid w:val="47A07E0C"/>
    <w:rsid w:val="47B12E65"/>
    <w:rsid w:val="47BA744D"/>
    <w:rsid w:val="47D82EAD"/>
    <w:rsid w:val="47EF0A14"/>
    <w:rsid w:val="47F908ED"/>
    <w:rsid w:val="480706A9"/>
    <w:rsid w:val="48115924"/>
    <w:rsid w:val="482115B1"/>
    <w:rsid w:val="483B20C2"/>
    <w:rsid w:val="486475F4"/>
    <w:rsid w:val="4870272E"/>
    <w:rsid w:val="488F6768"/>
    <w:rsid w:val="48A26623"/>
    <w:rsid w:val="48AC1250"/>
    <w:rsid w:val="48BF072C"/>
    <w:rsid w:val="49043360"/>
    <w:rsid w:val="49061130"/>
    <w:rsid w:val="49105C83"/>
    <w:rsid w:val="49492F43"/>
    <w:rsid w:val="494B3155"/>
    <w:rsid w:val="49630ABF"/>
    <w:rsid w:val="49634572"/>
    <w:rsid w:val="49802E24"/>
    <w:rsid w:val="49836FF4"/>
    <w:rsid w:val="499F795E"/>
    <w:rsid w:val="49AC08C8"/>
    <w:rsid w:val="49DC7715"/>
    <w:rsid w:val="4A023139"/>
    <w:rsid w:val="4A142D75"/>
    <w:rsid w:val="4A3750DB"/>
    <w:rsid w:val="4A7B576F"/>
    <w:rsid w:val="4AA25D9B"/>
    <w:rsid w:val="4ADB55CF"/>
    <w:rsid w:val="4ADC0E34"/>
    <w:rsid w:val="4AE7101B"/>
    <w:rsid w:val="4AE72F1A"/>
    <w:rsid w:val="4AF16CC6"/>
    <w:rsid w:val="4AF61562"/>
    <w:rsid w:val="4B254EF7"/>
    <w:rsid w:val="4B44653E"/>
    <w:rsid w:val="4B71435F"/>
    <w:rsid w:val="4BCE5D23"/>
    <w:rsid w:val="4BD5286C"/>
    <w:rsid w:val="4BF24DB7"/>
    <w:rsid w:val="4C4A0649"/>
    <w:rsid w:val="4C5B4F27"/>
    <w:rsid w:val="4C714A08"/>
    <w:rsid w:val="4C7A0C2A"/>
    <w:rsid w:val="4C9A7437"/>
    <w:rsid w:val="4CC51A34"/>
    <w:rsid w:val="4CE470D3"/>
    <w:rsid w:val="4D01600E"/>
    <w:rsid w:val="4D4C3002"/>
    <w:rsid w:val="4D5E3D19"/>
    <w:rsid w:val="4D752558"/>
    <w:rsid w:val="4DA366D2"/>
    <w:rsid w:val="4DA94B4B"/>
    <w:rsid w:val="4DEC4FB0"/>
    <w:rsid w:val="4E032763"/>
    <w:rsid w:val="4E075D8A"/>
    <w:rsid w:val="4E0A1472"/>
    <w:rsid w:val="4E7F7E3F"/>
    <w:rsid w:val="4EA84268"/>
    <w:rsid w:val="4EAA6232"/>
    <w:rsid w:val="4ED92673"/>
    <w:rsid w:val="4EE96D5A"/>
    <w:rsid w:val="4EFB4CDF"/>
    <w:rsid w:val="4EFB6C2C"/>
    <w:rsid w:val="4F0A3ACB"/>
    <w:rsid w:val="4F166E85"/>
    <w:rsid w:val="4F622CD0"/>
    <w:rsid w:val="4F6C3F02"/>
    <w:rsid w:val="4FC62A8C"/>
    <w:rsid w:val="4FDC3661"/>
    <w:rsid w:val="4FE20F0D"/>
    <w:rsid w:val="50504C4B"/>
    <w:rsid w:val="509C6E7C"/>
    <w:rsid w:val="50D41AF4"/>
    <w:rsid w:val="50DC6E60"/>
    <w:rsid w:val="50DE3953"/>
    <w:rsid w:val="50F25430"/>
    <w:rsid w:val="5162104E"/>
    <w:rsid w:val="519252D5"/>
    <w:rsid w:val="51B55619"/>
    <w:rsid w:val="52343D98"/>
    <w:rsid w:val="52531B64"/>
    <w:rsid w:val="5276096C"/>
    <w:rsid w:val="528653D6"/>
    <w:rsid w:val="529138DC"/>
    <w:rsid w:val="52BC07CA"/>
    <w:rsid w:val="52BF00F4"/>
    <w:rsid w:val="52C13A04"/>
    <w:rsid w:val="52EE5F23"/>
    <w:rsid w:val="531B393A"/>
    <w:rsid w:val="534863AE"/>
    <w:rsid w:val="53776F78"/>
    <w:rsid w:val="537D67F3"/>
    <w:rsid w:val="53834A64"/>
    <w:rsid w:val="539631B3"/>
    <w:rsid w:val="53A039CC"/>
    <w:rsid w:val="53A1505A"/>
    <w:rsid w:val="53C81261"/>
    <w:rsid w:val="53D8236C"/>
    <w:rsid w:val="53E63B03"/>
    <w:rsid w:val="53EF3A5B"/>
    <w:rsid w:val="53F046E7"/>
    <w:rsid w:val="54063E08"/>
    <w:rsid w:val="542C29D5"/>
    <w:rsid w:val="543437E8"/>
    <w:rsid w:val="54743329"/>
    <w:rsid w:val="54BC0A6D"/>
    <w:rsid w:val="54CA318A"/>
    <w:rsid w:val="54CD352E"/>
    <w:rsid w:val="54F559EA"/>
    <w:rsid w:val="55165A1D"/>
    <w:rsid w:val="556D367B"/>
    <w:rsid w:val="55713BB8"/>
    <w:rsid w:val="55983A9A"/>
    <w:rsid w:val="559B174B"/>
    <w:rsid w:val="55AE2AAB"/>
    <w:rsid w:val="55CE0CF4"/>
    <w:rsid w:val="55FE129D"/>
    <w:rsid w:val="560B3A5A"/>
    <w:rsid w:val="561B3CBC"/>
    <w:rsid w:val="56314239"/>
    <w:rsid w:val="563D5BDD"/>
    <w:rsid w:val="564B49F3"/>
    <w:rsid w:val="565C6DFF"/>
    <w:rsid w:val="56942848"/>
    <w:rsid w:val="56B22A9C"/>
    <w:rsid w:val="56E70F64"/>
    <w:rsid w:val="56F17C47"/>
    <w:rsid w:val="57220F78"/>
    <w:rsid w:val="572A3188"/>
    <w:rsid w:val="572A6162"/>
    <w:rsid w:val="5748483A"/>
    <w:rsid w:val="57B72A76"/>
    <w:rsid w:val="57DD7AAE"/>
    <w:rsid w:val="57F66044"/>
    <w:rsid w:val="580B2916"/>
    <w:rsid w:val="5886121C"/>
    <w:rsid w:val="58B57CAD"/>
    <w:rsid w:val="5915699E"/>
    <w:rsid w:val="591B0FCD"/>
    <w:rsid w:val="591C27F0"/>
    <w:rsid w:val="593C3876"/>
    <w:rsid w:val="593F0A7F"/>
    <w:rsid w:val="595D0FB2"/>
    <w:rsid w:val="598D21D5"/>
    <w:rsid w:val="59CD30A1"/>
    <w:rsid w:val="59DE4D08"/>
    <w:rsid w:val="59E22D24"/>
    <w:rsid w:val="59EB568A"/>
    <w:rsid w:val="59F9130C"/>
    <w:rsid w:val="5A0013FC"/>
    <w:rsid w:val="5A2F3A3B"/>
    <w:rsid w:val="5A3C747D"/>
    <w:rsid w:val="5A46673C"/>
    <w:rsid w:val="5A966B09"/>
    <w:rsid w:val="5AAB6EF7"/>
    <w:rsid w:val="5ABE2233"/>
    <w:rsid w:val="5AEB3E5A"/>
    <w:rsid w:val="5B004D8D"/>
    <w:rsid w:val="5B021EDD"/>
    <w:rsid w:val="5B1640BF"/>
    <w:rsid w:val="5B174551"/>
    <w:rsid w:val="5B231846"/>
    <w:rsid w:val="5B276D18"/>
    <w:rsid w:val="5B523DE3"/>
    <w:rsid w:val="5B595D6A"/>
    <w:rsid w:val="5B68102D"/>
    <w:rsid w:val="5B7C3F58"/>
    <w:rsid w:val="5BA504AD"/>
    <w:rsid w:val="5BC433D0"/>
    <w:rsid w:val="5BDF5D95"/>
    <w:rsid w:val="5BE26022"/>
    <w:rsid w:val="5BEF69B5"/>
    <w:rsid w:val="5C277114"/>
    <w:rsid w:val="5C4550A7"/>
    <w:rsid w:val="5C576A31"/>
    <w:rsid w:val="5C9A72D9"/>
    <w:rsid w:val="5CA6278E"/>
    <w:rsid w:val="5D5A5730"/>
    <w:rsid w:val="5D707E35"/>
    <w:rsid w:val="5DA537E8"/>
    <w:rsid w:val="5DF87A0F"/>
    <w:rsid w:val="5DFE383B"/>
    <w:rsid w:val="5E066132"/>
    <w:rsid w:val="5E5B12F6"/>
    <w:rsid w:val="5E610C8E"/>
    <w:rsid w:val="5E702CD8"/>
    <w:rsid w:val="5EC50A56"/>
    <w:rsid w:val="5EC82E34"/>
    <w:rsid w:val="5EDE1898"/>
    <w:rsid w:val="5EEB267A"/>
    <w:rsid w:val="5EF00087"/>
    <w:rsid w:val="5F125E59"/>
    <w:rsid w:val="5F1A2B43"/>
    <w:rsid w:val="5F39489B"/>
    <w:rsid w:val="5F7A5282"/>
    <w:rsid w:val="5F9E2F09"/>
    <w:rsid w:val="5FB837BB"/>
    <w:rsid w:val="5FBD5C9F"/>
    <w:rsid w:val="5FD411A5"/>
    <w:rsid w:val="5FF16DFD"/>
    <w:rsid w:val="60073EE7"/>
    <w:rsid w:val="600B4656"/>
    <w:rsid w:val="608C0265"/>
    <w:rsid w:val="608F430A"/>
    <w:rsid w:val="60BD72E4"/>
    <w:rsid w:val="610D0ABC"/>
    <w:rsid w:val="612855F5"/>
    <w:rsid w:val="6133294F"/>
    <w:rsid w:val="613B3D9B"/>
    <w:rsid w:val="617A14EE"/>
    <w:rsid w:val="61DA5734"/>
    <w:rsid w:val="62214A07"/>
    <w:rsid w:val="62364782"/>
    <w:rsid w:val="624B714C"/>
    <w:rsid w:val="6252146D"/>
    <w:rsid w:val="625603B2"/>
    <w:rsid w:val="62607EDA"/>
    <w:rsid w:val="62D84CC4"/>
    <w:rsid w:val="630F3A2B"/>
    <w:rsid w:val="63AD2539"/>
    <w:rsid w:val="63D40BE9"/>
    <w:rsid w:val="63D81FEC"/>
    <w:rsid w:val="63E0211F"/>
    <w:rsid w:val="63F1265B"/>
    <w:rsid w:val="640C7863"/>
    <w:rsid w:val="64120A14"/>
    <w:rsid w:val="644F0FB6"/>
    <w:rsid w:val="64570C86"/>
    <w:rsid w:val="645C0D62"/>
    <w:rsid w:val="64664551"/>
    <w:rsid w:val="64892F28"/>
    <w:rsid w:val="649E427B"/>
    <w:rsid w:val="64A7261E"/>
    <w:rsid w:val="64B96F1B"/>
    <w:rsid w:val="64D26AFD"/>
    <w:rsid w:val="6514048E"/>
    <w:rsid w:val="65143FAD"/>
    <w:rsid w:val="651671A1"/>
    <w:rsid w:val="651D36C8"/>
    <w:rsid w:val="65246E01"/>
    <w:rsid w:val="6527084D"/>
    <w:rsid w:val="65373578"/>
    <w:rsid w:val="654C3747"/>
    <w:rsid w:val="655470A6"/>
    <w:rsid w:val="65743FD4"/>
    <w:rsid w:val="659F67DE"/>
    <w:rsid w:val="65A27738"/>
    <w:rsid w:val="65B574C0"/>
    <w:rsid w:val="6638258F"/>
    <w:rsid w:val="66817B87"/>
    <w:rsid w:val="66862AF9"/>
    <w:rsid w:val="66EC379A"/>
    <w:rsid w:val="66F24904"/>
    <w:rsid w:val="66FE3167"/>
    <w:rsid w:val="67197A19"/>
    <w:rsid w:val="673F2C7A"/>
    <w:rsid w:val="67486190"/>
    <w:rsid w:val="674C5274"/>
    <w:rsid w:val="675B4115"/>
    <w:rsid w:val="678C42CF"/>
    <w:rsid w:val="67AB6349"/>
    <w:rsid w:val="67C05212"/>
    <w:rsid w:val="67C65228"/>
    <w:rsid w:val="67E20393"/>
    <w:rsid w:val="67F82F89"/>
    <w:rsid w:val="681F6961"/>
    <w:rsid w:val="682958E4"/>
    <w:rsid w:val="682E5386"/>
    <w:rsid w:val="68610A2F"/>
    <w:rsid w:val="68805514"/>
    <w:rsid w:val="68941E82"/>
    <w:rsid w:val="690411B2"/>
    <w:rsid w:val="69161334"/>
    <w:rsid w:val="69471854"/>
    <w:rsid w:val="694E2071"/>
    <w:rsid w:val="697A3B33"/>
    <w:rsid w:val="699D6C67"/>
    <w:rsid w:val="699E2456"/>
    <w:rsid w:val="6A026ACA"/>
    <w:rsid w:val="6A522A46"/>
    <w:rsid w:val="6AB66412"/>
    <w:rsid w:val="6AC02C0D"/>
    <w:rsid w:val="6AC131F2"/>
    <w:rsid w:val="6AC33838"/>
    <w:rsid w:val="6ADC556D"/>
    <w:rsid w:val="6B322639"/>
    <w:rsid w:val="6B731A7D"/>
    <w:rsid w:val="6B9D1C9D"/>
    <w:rsid w:val="6BB06B47"/>
    <w:rsid w:val="6BE13FF8"/>
    <w:rsid w:val="6BEC29D8"/>
    <w:rsid w:val="6BF211AF"/>
    <w:rsid w:val="6C0A5FEE"/>
    <w:rsid w:val="6C257826"/>
    <w:rsid w:val="6C472C38"/>
    <w:rsid w:val="6C636C38"/>
    <w:rsid w:val="6C8639E2"/>
    <w:rsid w:val="6C9D0C39"/>
    <w:rsid w:val="6CB70445"/>
    <w:rsid w:val="6CDD6E21"/>
    <w:rsid w:val="6CE97FCD"/>
    <w:rsid w:val="6D530E4B"/>
    <w:rsid w:val="6D782168"/>
    <w:rsid w:val="6D9666F8"/>
    <w:rsid w:val="6DA11374"/>
    <w:rsid w:val="6DB34098"/>
    <w:rsid w:val="6DB545B6"/>
    <w:rsid w:val="6DEC0051"/>
    <w:rsid w:val="6E093483"/>
    <w:rsid w:val="6E1830B7"/>
    <w:rsid w:val="6E3A1A77"/>
    <w:rsid w:val="6E4375A0"/>
    <w:rsid w:val="6E514CED"/>
    <w:rsid w:val="6E5A2669"/>
    <w:rsid w:val="6E79491A"/>
    <w:rsid w:val="6E833036"/>
    <w:rsid w:val="6EAB7671"/>
    <w:rsid w:val="6EB34A49"/>
    <w:rsid w:val="6EB563D5"/>
    <w:rsid w:val="6EC63617"/>
    <w:rsid w:val="6F0F5F11"/>
    <w:rsid w:val="6F225983"/>
    <w:rsid w:val="6F366BF8"/>
    <w:rsid w:val="6F3E23D4"/>
    <w:rsid w:val="6F5973B3"/>
    <w:rsid w:val="6F812C77"/>
    <w:rsid w:val="6FA15528"/>
    <w:rsid w:val="6FD3384E"/>
    <w:rsid w:val="6FDE7692"/>
    <w:rsid w:val="6FFC5590"/>
    <w:rsid w:val="702C3E9C"/>
    <w:rsid w:val="70301DA3"/>
    <w:rsid w:val="70314A38"/>
    <w:rsid w:val="704F6117"/>
    <w:rsid w:val="70583C41"/>
    <w:rsid w:val="706D1DD0"/>
    <w:rsid w:val="70856B87"/>
    <w:rsid w:val="709C6F3B"/>
    <w:rsid w:val="709D7805"/>
    <w:rsid w:val="70B40A0D"/>
    <w:rsid w:val="70D527EE"/>
    <w:rsid w:val="70E17449"/>
    <w:rsid w:val="70E244AC"/>
    <w:rsid w:val="70F83D34"/>
    <w:rsid w:val="712D51E1"/>
    <w:rsid w:val="713B6D8C"/>
    <w:rsid w:val="71536B0A"/>
    <w:rsid w:val="715440AF"/>
    <w:rsid w:val="715B5300"/>
    <w:rsid w:val="715F4BD7"/>
    <w:rsid w:val="71985DB9"/>
    <w:rsid w:val="71D27F8A"/>
    <w:rsid w:val="71F744C6"/>
    <w:rsid w:val="71F960CF"/>
    <w:rsid w:val="724E6D50"/>
    <w:rsid w:val="72E456F0"/>
    <w:rsid w:val="731F5D5E"/>
    <w:rsid w:val="738603F1"/>
    <w:rsid w:val="73EE2B99"/>
    <w:rsid w:val="74113EFA"/>
    <w:rsid w:val="74174B77"/>
    <w:rsid w:val="741E793C"/>
    <w:rsid w:val="743E4BA3"/>
    <w:rsid w:val="743F2343"/>
    <w:rsid w:val="74503946"/>
    <w:rsid w:val="7465517F"/>
    <w:rsid w:val="747D55C9"/>
    <w:rsid w:val="749B73BF"/>
    <w:rsid w:val="74CA01F8"/>
    <w:rsid w:val="74D231A8"/>
    <w:rsid w:val="74DE258F"/>
    <w:rsid w:val="74EE5A88"/>
    <w:rsid w:val="74F82FA3"/>
    <w:rsid w:val="75133BF1"/>
    <w:rsid w:val="75196E6B"/>
    <w:rsid w:val="752A5F72"/>
    <w:rsid w:val="75461F61"/>
    <w:rsid w:val="758D75E2"/>
    <w:rsid w:val="759412D9"/>
    <w:rsid w:val="759E3B4B"/>
    <w:rsid w:val="763B3A90"/>
    <w:rsid w:val="764B19B7"/>
    <w:rsid w:val="765F4709"/>
    <w:rsid w:val="768B4359"/>
    <w:rsid w:val="768F3D51"/>
    <w:rsid w:val="769F3E32"/>
    <w:rsid w:val="76A31C46"/>
    <w:rsid w:val="76E170DB"/>
    <w:rsid w:val="77397354"/>
    <w:rsid w:val="774B3261"/>
    <w:rsid w:val="77762421"/>
    <w:rsid w:val="7781408A"/>
    <w:rsid w:val="780F09F4"/>
    <w:rsid w:val="78225550"/>
    <w:rsid w:val="782318E1"/>
    <w:rsid w:val="78752AB2"/>
    <w:rsid w:val="78822CC2"/>
    <w:rsid w:val="789C4F47"/>
    <w:rsid w:val="78A90480"/>
    <w:rsid w:val="78B8343A"/>
    <w:rsid w:val="790A5B0F"/>
    <w:rsid w:val="790C16CA"/>
    <w:rsid w:val="791F1447"/>
    <w:rsid w:val="79352851"/>
    <w:rsid w:val="795C598E"/>
    <w:rsid w:val="79604987"/>
    <w:rsid w:val="797B1B1F"/>
    <w:rsid w:val="79811327"/>
    <w:rsid w:val="798412AA"/>
    <w:rsid w:val="798B43D9"/>
    <w:rsid w:val="79955265"/>
    <w:rsid w:val="79A44C08"/>
    <w:rsid w:val="79C170B2"/>
    <w:rsid w:val="7A0273AE"/>
    <w:rsid w:val="7A10156F"/>
    <w:rsid w:val="7A296F40"/>
    <w:rsid w:val="7A364017"/>
    <w:rsid w:val="7A3B1B46"/>
    <w:rsid w:val="7A7D0855"/>
    <w:rsid w:val="7A8265E1"/>
    <w:rsid w:val="7A85177D"/>
    <w:rsid w:val="7A9C2623"/>
    <w:rsid w:val="7A9E2485"/>
    <w:rsid w:val="7AA03EC1"/>
    <w:rsid w:val="7AF23AA3"/>
    <w:rsid w:val="7B3522E4"/>
    <w:rsid w:val="7B3703D7"/>
    <w:rsid w:val="7B392399"/>
    <w:rsid w:val="7B686D42"/>
    <w:rsid w:val="7B841746"/>
    <w:rsid w:val="7BAD3942"/>
    <w:rsid w:val="7BDD1145"/>
    <w:rsid w:val="7C4A4268"/>
    <w:rsid w:val="7C5E2286"/>
    <w:rsid w:val="7CFC04D3"/>
    <w:rsid w:val="7D0239FF"/>
    <w:rsid w:val="7D2504A2"/>
    <w:rsid w:val="7D303931"/>
    <w:rsid w:val="7D5E40CD"/>
    <w:rsid w:val="7D626CDB"/>
    <w:rsid w:val="7D676E06"/>
    <w:rsid w:val="7D693BED"/>
    <w:rsid w:val="7D9D28F2"/>
    <w:rsid w:val="7DBD21F4"/>
    <w:rsid w:val="7DC77AA3"/>
    <w:rsid w:val="7DCA74A7"/>
    <w:rsid w:val="7DCE343B"/>
    <w:rsid w:val="7DEE652A"/>
    <w:rsid w:val="7DFC10D5"/>
    <w:rsid w:val="7DFD4AA0"/>
    <w:rsid w:val="7E311031"/>
    <w:rsid w:val="7E6873EC"/>
    <w:rsid w:val="7ECE04AE"/>
    <w:rsid w:val="7ED00AED"/>
    <w:rsid w:val="7F254ACA"/>
    <w:rsid w:val="7F4C71DC"/>
    <w:rsid w:val="7F6C35F9"/>
    <w:rsid w:val="7F7B3838"/>
    <w:rsid w:val="7FD11EDF"/>
    <w:rsid w:val="7FDB599C"/>
    <w:rsid w:val="7FE47E50"/>
    <w:rsid w:val="7FEC63B1"/>
    <w:rsid w:val="7FEF0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99" w:semiHidden="0" w:name="index heading"/>
    <w:lsdException w:qFormat="1" w:uiPriority="0" w:semiHidden="0" w:name="caption" w:locked="1"/>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ocked="1"/>
    <w:lsdException w:unhideWhenUsed="0" w:uiPriority="0" w:semiHidden="0" w:name="Closing"/>
    <w:lsdException w:qFormat="1" w:uiPriority="99"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6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overflowPunct w:val="0"/>
      <w:ind w:firstLine="0" w:firstLineChars="0"/>
      <w:outlineLvl w:val="0"/>
    </w:pPr>
    <w:rPr>
      <w:rFonts w:eastAsia="黑体"/>
      <w:b/>
      <w:bCs/>
      <w:color w:val="000000"/>
      <w:kern w:val="44"/>
      <w:sz w:val="30"/>
      <w:szCs w:val="30"/>
    </w:rPr>
  </w:style>
  <w:style w:type="paragraph" w:styleId="3">
    <w:name w:val="heading 2"/>
    <w:basedOn w:val="1"/>
    <w:next w:val="1"/>
    <w:link w:val="41"/>
    <w:qFormat/>
    <w:locked/>
    <w:uiPriority w:val="0"/>
    <w:pPr>
      <w:keepNext/>
      <w:keepLines/>
      <w:ind w:firstLine="0" w:firstLineChars="0"/>
      <w:outlineLvl w:val="1"/>
    </w:pPr>
    <w:rPr>
      <w:b/>
      <w:bCs/>
      <w:szCs w:val="32"/>
    </w:rPr>
  </w:style>
  <w:style w:type="paragraph" w:styleId="4">
    <w:name w:val="heading 3"/>
    <w:basedOn w:val="1"/>
    <w:next w:val="1"/>
    <w:link w:val="42"/>
    <w:qFormat/>
    <w:locked/>
    <w:uiPriority w:val="0"/>
    <w:pPr>
      <w:keepLines/>
      <w:textAlignment w:val="baseline"/>
      <w:outlineLvl w:val="2"/>
    </w:pPr>
    <w:rPr>
      <w:b/>
      <w:kern w:val="0"/>
      <w:szCs w:val="20"/>
    </w:rPr>
  </w:style>
  <w:style w:type="paragraph" w:styleId="5">
    <w:name w:val="heading 4"/>
    <w:basedOn w:val="1"/>
    <w:next w:val="1"/>
    <w:qFormat/>
    <w:locked/>
    <w:uiPriority w:val="0"/>
    <w:pPr>
      <w:spacing w:line="240" w:lineRule="auto"/>
      <w:outlineLvl w:val="3"/>
    </w:pPr>
    <w:rPr>
      <w:b/>
      <w:bCs/>
      <w:sz w:val="21"/>
      <w:szCs w:val="28"/>
    </w:rPr>
  </w:style>
  <w:style w:type="paragraph" w:styleId="6">
    <w:name w:val="heading 5"/>
    <w:basedOn w:val="1"/>
    <w:next w:val="1"/>
    <w:qFormat/>
    <w:locked/>
    <w:uiPriority w:val="0"/>
    <w:pPr>
      <w:keepNext/>
      <w:keepLines/>
      <w:spacing w:before="280" w:after="290" w:line="376" w:lineRule="auto"/>
      <w:outlineLvl w:val="4"/>
    </w:pPr>
    <w:rPr>
      <w:b/>
      <w:bCs/>
      <w:sz w:val="28"/>
      <w:szCs w:val="28"/>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43"/>
    <w:qFormat/>
    <w:uiPriority w:val="0"/>
    <w:pPr>
      <w:ind w:firstLine="420"/>
    </w:pPr>
  </w:style>
  <w:style w:type="paragraph" w:styleId="8">
    <w:name w:val="caption"/>
    <w:basedOn w:val="1"/>
    <w:next w:val="1"/>
    <w:unhideWhenUsed/>
    <w:qFormat/>
    <w:locked/>
    <w:uiPriority w:val="0"/>
    <w:pPr>
      <w:ind w:firstLine="0" w:firstLineChars="0"/>
      <w:jc w:val="center"/>
    </w:pPr>
    <w:rPr>
      <w:rFonts w:ascii="黑体" w:hAnsi="黑体" w:eastAsia="黑体"/>
      <w:b/>
    </w:rPr>
  </w:style>
  <w:style w:type="paragraph" w:styleId="9">
    <w:name w:val="annotation text"/>
    <w:basedOn w:val="1"/>
    <w:link w:val="44"/>
    <w:qFormat/>
    <w:uiPriority w:val="0"/>
    <w:pPr>
      <w:jc w:val="left"/>
    </w:pPr>
    <w:rPr>
      <w:kern w:val="0"/>
      <w:sz w:val="20"/>
    </w:rPr>
  </w:style>
  <w:style w:type="paragraph" w:styleId="10">
    <w:name w:val="Body Text"/>
    <w:basedOn w:val="1"/>
    <w:next w:val="11"/>
    <w:link w:val="45"/>
    <w:qFormat/>
    <w:uiPriority w:val="0"/>
    <w:pPr>
      <w:widowControl/>
      <w:spacing w:line="240" w:lineRule="auto"/>
      <w:ind w:firstLine="0" w:firstLineChars="0"/>
      <w:jc w:val="center"/>
    </w:pPr>
    <w:rPr>
      <w:kern w:val="0"/>
      <w:sz w:val="21"/>
      <w:szCs w:val="18"/>
    </w:rPr>
  </w:style>
  <w:style w:type="paragraph" w:styleId="11">
    <w:name w:val="List Bullet 5"/>
    <w:basedOn w:val="1"/>
    <w:qFormat/>
    <w:uiPriority w:val="0"/>
    <w:pPr>
      <w:numPr>
        <w:ilvl w:val="0"/>
        <w:numId w:val="1"/>
      </w:numPr>
    </w:pPr>
  </w:style>
  <w:style w:type="paragraph" w:styleId="12">
    <w:name w:val="Body Text Indent"/>
    <w:basedOn w:val="1"/>
    <w:link w:val="46"/>
    <w:semiHidden/>
    <w:qFormat/>
    <w:uiPriority w:val="0"/>
    <w:pPr>
      <w:spacing w:after="120"/>
      <w:ind w:left="420" w:leftChars="200"/>
    </w:pPr>
  </w:style>
  <w:style w:type="paragraph" w:styleId="13">
    <w:name w:val="Plain Text"/>
    <w:basedOn w:val="1"/>
    <w:next w:val="1"/>
    <w:qFormat/>
    <w:uiPriority w:val="0"/>
    <w:rPr>
      <w:rFonts w:ascii="宋体" w:hAnsi="Courier New" w:cs="Courier New"/>
      <w:szCs w:val="21"/>
    </w:rPr>
  </w:style>
  <w:style w:type="paragraph" w:styleId="14">
    <w:name w:val="Date"/>
    <w:basedOn w:val="1"/>
    <w:next w:val="1"/>
    <w:link w:val="47"/>
    <w:qFormat/>
    <w:uiPriority w:val="0"/>
    <w:pPr>
      <w:ind w:left="100" w:leftChars="2500"/>
    </w:pPr>
    <w:rPr>
      <w:kern w:val="0"/>
      <w:sz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link w:val="48"/>
    <w:semiHidden/>
    <w:qFormat/>
    <w:uiPriority w:val="0"/>
    <w:rPr>
      <w:sz w:val="18"/>
      <w:szCs w:val="18"/>
    </w:rPr>
  </w:style>
  <w:style w:type="paragraph" w:styleId="17">
    <w:name w:val="footer"/>
    <w:basedOn w:val="1"/>
    <w:next w:val="1"/>
    <w:link w:val="49"/>
    <w:qFormat/>
    <w:uiPriority w:val="0"/>
    <w:pPr>
      <w:tabs>
        <w:tab w:val="center" w:pos="4153"/>
        <w:tab w:val="right" w:pos="8306"/>
      </w:tabs>
      <w:jc w:val="left"/>
    </w:pPr>
    <w:rPr>
      <w:sz w:val="18"/>
      <w:szCs w:val="18"/>
    </w:rPr>
  </w:style>
  <w:style w:type="paragraph" w:styleId="18">
    <w:name w:val="header"/>
    <w:basedOn w:val="1"/>
    <w:link w:val="50"/>
    <w:qFormat/>
    <w:uiPriority w:val="0"/>
    <w:pPr>
      <w:pBdr>
        <w:bottom w:val="single" w:color="auto" w:sz="6" w:space="1"/>
      </w:pBdr>
      <w:tabs>
        <w:tab w:val="center" w:pos="4153"/>
        <w:tab w:val="right" w:pos="8306"/>
      </w:tabs>
      <w:jc w:val="center"/>
    </w:pPr>
    <w:rPr>
      <w:sz w:val="18"/>
      <w:szCs w:val="18"/>
    </w:rPr>
  </w:style>
  <w:style w:type="paragraph" w:styleId="19">
    <w:name w:val="Signature"/>
    <w:basedOn w:val="1"/>
    <w:unhideWhenUsed/>
    <w:qFormat/>
    <w:uiPriority w:val="99"/>
    <w:pPr>
      <w:ind w:left="100" w:leftChars="2100"/>
    </w:pPr>
    <w:rPr>
      <w:sz w:val="21"/>
    </w:rPr>
  </w:style>
  <w:style w:type="paragraph" w:styleId="20">
    <w:name w:val="toc 1"/>
    <w:basedOn w:val="1"/>
    <w:next w:val="1"/>
    <w:qFormat/>
    <w:locked/>
    <w:uiPriority w:val="39"/>
    <w:rPr>
      <w:rFonts w:eastAsia="黑体"/>
      <w:sz w:val="28"/>
    </w:rPr>
  </w:style>
  <w:style w:type="paragraph" w:styleId="21">
    <w:name w:val="List Continue 4"/>
    <w:basedOn w:val="1"/>
    <w:next w:val="1"/>
    <w:qFormat/>
    <w:uiPriority w:val="0"/>
    <w:pPr>
      <w:spacing w:after="120"/>
      <w:ind w:left="1680" w:firstLine="480"/>
    </w:pPr>
    <w:rPr>
      <w:rFonts w:ascii="宋体"/>
    </w:rPr>
  </w:style>
  <w:style w:type="paragraph" w:styleId="22">
    <w:name w:val="index heading"/>
    <w:basedOn w:val="1"/>
    <w:next w:val="23"/>
    <w:qFormat/>
    <w:uiPriority w:val="99"/>
    <w:rPr>
      <w:rFonts w:hint="eastAsia" w:ascii="Cambria" w:hAnsi="Cambria"/>
      <w:b/>
    </w:rPr>
  </w:style>
  <w:style w:type="paragraph" w:styleId="23">
    <w:name w:val="index 1"/>
    <w:basedOn w:val="1"/>
    <w:next w:val="1"/>
    <w:qFormat/>
    <w:uiPriority w:val="0"/>
    <w:pPr>
      <w:spacing w:line="480" w:lineRule="exact"/>
    </w:pPr>
  </w:style>
  <w:style w:type="paragraph" w:styleId="24">
    <w:name w:val="List"/>
    <w:basedOn w:val="1"/>
    <w:next w:val="1"/>
    <w:unhideWhenUsed/>
    <w:qFormat/>
    <w:uiPriority w:val="99"/>
    <w:pPr>
      <w:ind w:left="200" w:hanging="200" w:hangingChars="200"/>
      <w:contextualSpacing/>
    </w:pPr>
  </w:style>
  <w:style w:type="paragraph" w:styleId="25">
    <w:name w:val="table of figures"/>
    <w:basedOn w:val="1"/>
    <w:next w:val="1"/>
    <w:unhideWhenUsed/>
    <w:qFormat/>
    <w:uiPriority w:val="99"/>
    <w:pPr>
      <w:jc w:val="center"/>
    </w:pPr>
  </w:style>
  <w:style w:type="paragraph" w:styleId="26">
    <w:name w:val="toc 2"/>
    <w:basedOn w:val="1"/>
    <w:next w:val="1"/>
    <w:qFormat/>
    <w:locked/>
    <w:uiPriority w:val="39"/>
    <w:pPr>
      <w:ind w:left="200" w:leftChars="200"/>
    </w:pPr>
    <w:rPr>
      <w:sz w:val="28"/>
    </w:rPr>
  </w:style>
  <w:style w:type="paragraph" w:styleId="27">
    <w:name w:val="Body Text 2"/>
    <w:basedOn w:val="1"/>
    <w:qFormat/>
    <w:uiPriority w:val="0"/>
    <w:pPr>
      <w:spacing w:after="120" w:line="480" w:lineRule="auto"/>
    </w:pPr>
  </w:style>
  <w:style w:type="paragraph" w:styleId="28">
    <w:name w:val="Normal (Web)"/>
    <w:basedOn w:val="1"/>
    <w:link w:val="51"/>
    <w:qFormat/>
    <w:uiPriority w:val="0"/>
    <w:pPr>
      <w:widowControl/>
      <w:spacing w:before="100" w:beforeAutospacing="1" w:after="100" w:afterAutospacing="1"/>
      <w:jc w:val="left"/>
    </w:pPr>
    <w:rPr>
      <w:rFonts w:ascii="宋体" w:hAnsi="宋体"/>
      <w:kern w:val="0"/>
    </w:rPr>
  </w:style>
  <w:style w:type="paragraph" w:styleId="29">
    <w:name w:val="Title"/>
    <w:basedOn w:val="1"/>
    <w:next w:val="1"/>
    <w:qFormat/>
    <w:locked/>
    <w:uiPriority w:val="1"/>
    <w:pPr>
      <w:spacing w:line="1239" w:lineRule="exact"/>
      <w:ind w:left="635" w:right="654"/>
      <w:jc w:val="center"/>
    </w:pPr>
    <w:rPr>
      <w:rFonts w:ascii="微软雅黑" w:hAnsi="微软雅黑" w:eastAsia="微软雅黑" w:cs="微软雅黑"/>
      <w:sz w:val="72"/>
      <w:szCs w:val="72"/>
    </w:rPr>
  </w:style>
  <w:style w:type="paragraph" w:styleId="30">
    <w:name w:val="annotation subject"/>
    <w:basedOn w:val="9"/>
    <w:next w:val="9"/>
    <w:link w:val="52"/>
    <w:semiHidden/>
    <w:qFormat/>
    <w:uiPriority w:val="0"/>
    <w:rPr>
      <w:b/>
      <w:bCs/>
    </w:rPr>
  </w:style>
  <w:style w:type="paragraph" w:styleId="31">
    <w:name w:val="Body Text First Indent"/>
    <w:basedOn w:val="10"/>
    <w:qFormat/>
    <w:uiPriority w:val="0"/>
    <w:pPr>
      <w:adjustRightInd/>
      <w:spacing w:after="120"/>
      <w:ind w:firstLine="420" w:firstLineChars="100"/>
    </w:pPr>
    <w:rPr>
      <w:kern w:val="2"/>
      <w:szCs w:val="24"/>
    </w:rPr>
  </w:style>
  <w:style w:type="paragraph" w:styleId="32">
    <w:name w:val="Body Text First Indent 2"/>
    <w:basedOn w:val="12"/>
    <w:qFormat/>
    <w:uiPriority w:val="0"/>
    <w:pPr>
      <w:ind w:firstLine="420"/>
    </w:p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qFormat/>
    <w:locked/>
    <w:uiPriority w:val="0"/>
    <w:rPr>
      <w:b/>
    </w:rPr>
  </w:style>
  <w:style w:type="character" w:styleId="37">
    <w:name w:val="page number"/>
    <w:qFormat/>
    <w:uiPriority w:val="0"/>
  </w:style>
  <w:style w:type="character" w:styleId="38">
    <w:name w:val="Hyperlink"/>
    <w:basedOn w:val="35"/>
    <w:qFormat/>
    <w:uiPriority w:val="0"/>
    <w:rPr>
      <w:color w:val="0000FF"/>
      <w:u w:val="single"/>
    </w:rPr>
  </w:style>
  <w:style w:type="character" w:styleId="39">
    <w:name w:val="annotation reference"/>
    <w:semiHidden/>
    <w:qFormat/>
    <w:uiPriority w:val="0"/>
    <w:rPr>
      <w:sz w:val="21"/>
    </w:rPr>
  </w:style>
  <w:style w:type="paragraph" w:customStyle="1" w:styleId="40">
    <w:name w:val="Char"/>
    <w:basedOn w:val="1"/>
    <w:next w:val="1"/>
    <w:qFormat/>
    <w:uiPriority w:val="0"/>
  </w:style>
  <w:style w:type="character" w:customStyle="1" w:styleId="41">
    <w:name w:val="标题 2 字符"/>
    <w:link w:val="3"/>
    <w:qFormat/>
    <w:uiPriority w:val="0"/>
    <w:rPr>
      <w:b/>
      <w:bCs/>
      <w:szCs w:val="32"/>
    </w:rPr>
  </w:style>
  <w:style w:type="character" w:customStyle="1" w:styleId="42">
    <w:name w:val="标题 3 字符"/>
    <w:link w:val="4"/>
    <w:qFormat/>
    <w:uiPriority w:val="0"/>
    <w:rPr>
      <w:rFonts w:ascii="Times New Roman" w:hAnsi="Times New Roman" w:eastAsia="宋体"/>
      <w:b/>
      <w:kern w:val="0"/>
      <w:sz w:val="24"/>
      <w:szCs w:val="20"/>
    </w:rPr>
  </w:style>
  <w:style w:type="character" w:customStyle="1" w:styleId="43">
    <w:name w:val="正文缩进 字符"/>
    <w:link w:val="7"/>
    <w:qFormat/>
    <w:uiPriority w:val="0"/>
  </w:style>
  <w:style w:type="character" w:customStyle="1" w:styleId="44">
    <w:name w:val="批注文字 字符"/>
    <w:link w:val="9"/>
    <w:qFormat/>
    <w:locked/>
    <w:uiPriority w:val="0"/>
    <w:rPr>
      <w:rFonts w:ascii="Times New Roman" w:hAnsi="Times New Roman" w:eastAsia="宋体"/>
      <w:sz w:val="24"/>
    </w:rPr>
  </w:style>
  <w:style w:type="character" w:customStyle="1" w:styleId="45">
    <w:name w:val="正文文本 字符"/>
    <w:link w:val="10"/>
    <w:qFormat/>
    <w:locked/>
    <w:uiPriority w:val="0"/>
    <w:rPr>
      <w:rFonts w:ascii="Times New Roman" w:hAnsi="Times New Roman" w:eastAsia="宋体"/>
      <w:sz w:val="21"/>
    </w:rPr>
  </w:style>
  <w:style w:type="character" w:customStyle="1" w:styleId="46">
    <w:name w:val="正文文本缩进 字符"/>
    <w:link w:val="12"/>
    <w:semiHidden/>
    <w:qFormat/>
    <w:locked/>
    <w:uiPriority w:val="0"/>
    <w:rPr>
      <w:rFonts w:ascii="Times New Roman" w:hAnsi="Times New Roman" w:eastAsia="宋体" w:cs="Times New Roman"/>
      <w:sz w:val="24"/>
      <w:szCs w:val="24"/>
    </w:rPr>
  </w:style>
  <w:style w:type="character" w:customStyle="1" w:styleId="47">
    <w:name w:val="日期 字符1"/>
    <w:link w:val="14"/>
    <w:qFormat/>
    <w:locked/>
    <w:uiPriority w:val="0"/>
    <w:rPr>
      <w:rFonts w:ascii="Times New Roman" w:hAnsi="Times New Roman" w:eastAsia="宋体"/>
      <w:sz w:val="24"/>
    </w:rPr>
  </w:style>
  <w:style w:type="character" w:customStyle="1" w:styleId="48">
    <w:name w:val="批注框文本 字符"/>
    <w:link w:val="16"/>
    <w:semiHidden/>
    <w:qFormat/>
    <w:locked/>
    <w:uiPriority w:val="0"/>
    <w:rPr>
      <w:rFonts w:ascii="Times New Roman" w:hAnsi="Times New Roman" w:eastAsia="宋体" w:cs="Times New Roman"/>
      <w:sz w:val="18"/>
      <w:szCs w:val="18"/>
    </w:rPr>
  </w:style>
  <w:style w:type="character" w:customStyle="1" w:styleId="49">
    <w:name w:val="页脚 字符"/>
    <w:link w:val="17"/>
    <w:qFormat/>
    <w:locked/>
    <w:uiPriority w:val="0"/>
    <w:rPr>
      <w:rFonts w:cs="Times New Roman"/>
      <w:sz w:val="18"/>
      <w:szCs w:val="18"/>
    </w:rPr>
  </w:style>
  <w:style w:type="character" w:customStyle="1" w:styleId="50">
    <w:name w:val="页眉 字符"/>
    <w:link w:val="18"/>
    <w:qFormat/>
    <w:locked/>
    <w:uiPriority w:val="0"/>
    <w:rPr>
      <w:rFonts w:cs="Times New Roman"/>
      <w:sz w:val="18"/>
      <w:szCs w:val="18"/>
    </w:rPr>
  </w:style>
  <w:style w:type="character" w:customStyle="1" w:styleId="51">
    <w:name w:val="普通(网站) 字符"/>
    <w:link w:val="28"/>
    <w:qFormat/>
    <w:locked/>
    <w:uiPriority w:val="0"/>
    <w:rPr>
      <w:rFonts w:ascii="宋体" w:hAnsi="宋体" w:eastAsia="宋体"/>
      <w:sz w:val="24"/>
    </w:rPr>
  </w:style>
  <w:style w:type="character" w:customStyle="1" w:styleId="52">
    <w:name w:val="批注主题 字符"/>
    <w:link w:val="30"/>
    <w:semiHidden/>
    <w:qFormat/>
    <w:locked/>
    <w:uiPriority w:val="0"/>
    <w:rPr>
      <w:rFonts w:cs="Times New Roman"/>
      <w:b/>
      <w:bCs/>
      <w:kern w:val="2"/>
      <w:szCs w:val="24"/>
    </w:rPr>
  </w:style>
  <w:style w:type="paragraph" w:customStyle="1" w:styleId="53">
    <w:name w:val="表格文字"/>
    <w:basedOn w:val="31"/>
    <w:next w:val="1"/>
    <w:qFormat/>
    <w:uiPriority w:val="0"/>
    <w:pPr>
      <w:adjustRightInd w:val="0"/>
      <w:ind w:firstLine="0" w:firstLineChars="0"/>
    </w:pPr>
    <w:rPr>
      <w:szCs w:val="20"/>
    </w:rPr>
  </w:style>
  <w:style w:type="paragraph" w:customStyle="1" w:styleId="54">
    <w:name w:val="正文1"/>
    <w:basedOn w:val="7"/>
    <w:next w:val="1"/>
    <w:qFormat/>
    <w:uiPriority w:val="0"/>
    <w:pPr>
      <w:spacing w:line="500" w:lineRule="atLeast"/>
      <w:ind w:firstLine="567"/>
    </w:pPr>
    <w:rPr>
      <w:sz w:val="28"/>
    </w:rPr>
  </w:style>
  <w:style w:type="paragraph" w:customStyle="1" w:styleId="55">
    <w:name w:val="Default"/>
    <w:basedOn w:val="56"/>
    <w:next w:val="1"/>
    <w:qFormat/>
    <w:uiPriority w:val="99"/>
    <w:pPr>
      <w:tabs>
        <w:tab w:val="left" w:pos="2760"/>
      </w:tabs>
      <w:autoSpaceDE w:val="0"/>
      <w:autoSpaceDN w:val="0"/>
    </w:pPr>
    <w:rPr>
      <w:rFonts w:ascii="宋体" w:hAnsi="Calibri" w:cs="宋体"/>
      <w:kern w:val="0"/>
      <w:sz w:val="24"/>
      <w:szCs w:val="24"/>
    </w:rPr>
  </w:style>
  <w:style w:type="paragraph" w:customStyle="1" w:styleId="56">
    <w:name w:val="1 表头"/>
    <w:basedOn w:val="1"/>
    <w:qFormat/>
    <w:uiPriority w:val="0"/>
    <w:pPr>
      <w:spacing w:line="240" w:lineRule="auto"/>
      <w:ind w:firstLine="0" w:firstLineChars="0"/>
      <w:jc w:val="center"/>
    </w:pPr>
    <w:rPr>
      <w:b/>
      <w:color w:val="000000"/>
      <w:sz w:val="21"/>
      <w:szCs w:val="21"/>
    </w:rPr>
  </w:style>
  <w:style w:type="paragraph" w:customStyle="1" w:styleId="57">
    <w:name w:val="纯文本1"/>
    <w:basedOn w:val="1"/>
    <w:qFormat/>
    <w:uiPriority w:val="0"/>
    <w:pPr>
      <w:tabs>
        <w:tab w:val="left" w:pos="2760"/>
      </w:tabs>
    </w:pPr>
    <w:rPr>
      <w:rFonts w:ascii="宋体" w:hAnsi="Courier New"/>
      <w:szCs w:val="20"/>
    </w:rPr>
  </w:style>
  <w:style w:type="paragraph" w:customStyle="1" w:styleId="58">
    <w:name w:val="样式1"/>
    <w:basedOn w:val="22"/>
    <w:next w:val="1"/>
    <w:qFormat/>
    <w:uiPriority w:val="0"/>
    <w:pPr>
      <w:spacing w:after="120"/>
    </w:pPr>
    <w:rPr>
      <w:rFonts w:ascii="宋体" w:hAnsi="宋体"/>
    </w:rPr>
  </w:style>
  <w:style w:type="paragraph" w:customStyle="1" w:styleId="59">
    <w:name w:val="Char Char Char Char Char Char Char Char Char1 Char"/>
    <w:basedOn w:val="1"/>
    <w:next w:val="60"/>
    <w:qFormat/>
    <w:uiPriority w:val="0"/>
    <w:pPr>
      <w:ind w:firstLine="200"/>
    </w:pPr>
    <w:rPr>
      <w:rFonts w:hAnsi="宋体" w:cs="宋体"/>
    </w:rPr>
  </w:style>
  <w:style w:type="paragraph" w:customStyle="1" w:styleId="60">
    <w:name w:val="Body Text First Indent1"/>
    <w:next w:val="1"/>
    <w:qFormat/>
    <w:uiPriority w:val="0"/>
    <w:pPr>
      <w:widowControl w:val="0"/>
      <w:spacing w:after="120"/>
      <w:ind w:firstLine="420"/>
      <w:jc w:val="both"/>
    </w:pPr>
    <w:rPr>
      <w:rFonts w:ascii="Times New Roman" w:hAnsi="Times New Roman" w:eastAsia="宋体" w:cs="Times New Roman"/>
      <w:sz w:val="21"/>
      <w:szCs w:val="22"/>
      <w:lang w:val="en-US" w:eastAsia="zh-CN" w:bidi="ar-SA"/>
    </w:rPr>
  </w:style>
  <w:style w:type="paragraph" w:customStyle="1" w:styleId="61">
    <w:name w:val="表格内"/>
    <w:basedOn w:val="1"/>
    <w:qFormat/>
    <w:uiPriority w:val="0"/>
    <w:pPr>
      <w:widowControl/>
      <w:spacing w:line="240" w:lineRule="auto"/>
      <w:ind w:firstLine="0" w:firstLineChars="0"/>
      <w:jc w:val="center"/>
    </w:pPr>
    <w:rPr>
      <w:snapToGrid w:val="0"/>
      <w:kern w:val="0"/>
      <w:sz w:val="21"/>
      <w:szCs w:val="21"/>
    </w:rPr>
  </w:style>
  <w:style w:type="paragraph" w:customStyle="1" w:styleId="62">
    <w:name w:val="表头"/>
    <w:basedOn w:val="63"/>
    <w:next w:val="1"/>
    <w:qFormat/>
    <w:uiPriority w:val="0"/>
    <w:rPr>
      <w:rFonts w:ascii="黑体" w:eastAsia="黑体"/>
      <w:sz w:val="24"/>
    </w:rPr>
  </w:style>
  <w:style w:type="paragraph" w:customStyle="1" w:styleId="63">
    <w:name w:val="报告表格"/>
    <w:basedOn w:val="1"/>
    <w:qFormat/>
    <w:uiPriority w:val="0"/>
    <w:pPr>
      <w:autoSpaceDE w:val="0"/>
      <w:autoSpaceDN w:val="0"/>
      <w:spacing w:line="240" w:lineRule="auto"/>
      <w:ind w:firstLine="0" w:firstLineChars="0"/>
      <w:jc w:val="center"/>
      <w:textAlignment w:val="baseline"/>
    </w:pPr>
    <w:rPr>
      <w:kern w:val="0"/>
      <w:sz w:val="21"/>
      <w:szCs w:val="20"/>
    </w:rPr>
  </w:style>
  <w:style w:type="paragraph" w:customStyle="1" w:styleId="64">
    <w:name w:val="表格"/>
    <w:basedOn w:val="65"/>
    <w:next w:val="7"/>
    <w:link w:val="66"/>
    <w:qFormat/>
    <w:uiPriority w:val="0"/>
    <w:pPr>
      <w:spacing w:beforeLines="10" w:afterLines="10" w:line="259" w:lineRule="auto"/>
    </w:pPr>
    <w:rPr>
      <w:kern w:val="0"/>
      <w:sz w:val="20"/>
      <w:szCs w:val="21"/>
    </w:rPr>
  </w:style>
  <w:style w:type="paragraph" w:customStyle="1" w:styleId="65">
    <w:name w:val="Table Paragraph"/>
    <w:basedOn w:val="1"/>
    <w:qFormat/>
    <w:uiPriority w:val="1"/>
    <w:pPr>
      <w:jc w:val="center"/>
    </w:pPr>
    <w:rPr>
      <w:rFonts w:ascii="宋体" w:hAnsi="宋体" w:cs="宋体"/>
      <w:lang w:val="zh-CN" w:bidi="zh-CN"/>
    </w:rPr>
  </w:style>
  <w:style w:type="character" w:customStyle="1" w:styleId="66">
    <w:name w:val="表格 Char"/>
    <w:link w:val="64"/>
    <w:qFormat/>
    <w:locked/>
    <w:uiPriority w:val="0"/>
    <w:rPr>
      <w:rFonts w:ascii="宋体"/>
      <w:sz w:val="21"/>
    </w:rPr>
  </w:style>
  <w:style w:type="paragraph" w:customStyle="1" w:styleId="67">
    <w:name w:val="样式 正文文本缩进 + 行距: 1.5 倍行距"/>
    <w:basedOn w:val="12"/>
    <w:qFormat/>
    <w:uiPriority w:val="0"/>
    <w:pPr>
      <w:ind w:firstLine="560"/>
    </w:pPr>
    <w:rPr>
      <w:rFonts w:cs="宋体"/>
      <w:sz w:val="28"/>
    </w:rPr>
  </w:style>
  <w:style w:type="character" w:customStyle="1" w:styleId="68">
    <w:name w:val="正文文本 字符1"/>
    <w:semiHidden/>
    <w:qFormat/>
    <w:uiPriority w:val="0"/>
    <w:rPr>
      <w:rFonts w:ascii="Times New Roman" w:hAnsi="Times New Roman" w:eastAsia="宋体" w:cs="Times New Roman"/>
      <w:sz w:val="24"/>
      <w:szCs w:val="24"/>
    </w:rPr>
  </w:style>
  <w:style w:type="character" w:customStyle="1" w:styleId="69">
    <w:name w:val="批注文字 字符1"/>
    <w:semiHidden/>
    <w:qFormat/>
    <w:uiPriority w:val="0"/>
    <w:rPr>
      <w:rFonts w:ascii="Times New Roman" w:hAnsi="Times New Roman" w:eastAsia="宋体" w:cs="Times New Roman"/>
      <w:sz w:val="24"/>
      <w:szCs w:val="24"/>
    </w:rPr>
  </w:style>
  <w:style w:type="character" w:customStyle="1" w:styleId="70">
    <w:name w:val="日期 字符"/>
    <w:semiHidden/>
    <w:qFormat/>
    <w:uiPriority w:val="0"/>
    <w:rPr>
      <w:rFonts w:ascii="Times New Roman" w:hAnsi="Times New Roman" w:eastAsia="宋体" w:cs="Times New Roman"/>
      <w:sz w:val="24"/>
      <w:szCs w:val="24"/>
    </w:rPr>
  </w:style>
  <w:style w:type="character" w:customStyle="1" w:styleId="71">
    <w:name w:val="样式 四号"/>
    <w:qFormat/>
    <w:uiPriority w:val="0"/>
    <w:rPr>
      <w:rFonts w:hint="eastAsia" w:ascii="宋体" w:hAnsi="宋体" w:eastAsia="宋体" w:cs="Times New Roman"/>
      <w:sz w:val="28"/>
      <w:szCs w:val="28"/>
    </w:rPr>
  </w:style>
  <w:style w:type="character" w:customStyle="1" w:styleId="72">
    <w:name w:val="普通(网站) Char"/>
    <w:qFormat/>
    <w:locked/>
    <w:uiPriority w:val="0"/>
    <w:rPr>
      <w:rFonts w:ascii="宋体" w:hAnsi="宋体" w:eastAsia="宋体"/>
      <w:sz w:val="24"/>
    </w:rPr>
  </w:style>
  <w:style w:type="paragraph" w:customStyle="1" w:styleId="73">
    <w:name w:val="1正文段落"/>
    <w:basedOn w:val="1"/>
    <w:qFormat/>
    <w:uiPriority w:val="0"/>
    <w:pPr>
      <w:ind w:firstLine="480"/>
      <w:jc w:val="left"/>
    </w:pPr>
    <w:rPr>
      <w:snapToGrid w:val="0"/>
      <w:kern w:val="0"/>
    </w:rPr>
  </w:style>
  <w:style w:type="paragraph" w:customStyle="1" w:styleId="74">
    <w:name w:val="正文 4"/>
    <w:basedOn w:val="1"/>
    <w:qFormat/>
    <w:uiPriority w:val="0"/>
    <w:pPr>
      <w:autoSpaceDE w:val="0"/>
      <w:autoSpaceDN w:val="0"/>
      <w:spacing w:line="480" w:lineRule="atLeast"/>
      <w:ind w:firstLine="480"/>
    </w:pPr>
    <w:rPr>
      <w:rFonts w:ascii="宋体" w:hAnsi="宋体"/>
    </w:rPr>
  </w:style>
  <w:style w:type="paragraph" w:customStyle="1" w:styleId="75">
    <w:name w:val="报告正文"/>
    <w:basedOn w:val="76"/>
    <w:qFormat/>
    <w:uiPriority w:val="0"/>
    <w:pPr>
      <w:spacing w:line="520" w:lineRule="exact"/>
      <w:ind w:firstLine="488"/>
      <w:jc w:val="left"/>
    </w:pPr>
    <w:rPr>
      <w:bCs/>
      <w:spacing w:val="8"/>
    </w:rPr>
  </w:style>
  <w:style w:type="paragraph" w:customStyle="1" w:styleId="76">
    <w:name w:val="p17"/>
    <w:basedOn w:val="1"/>
    <w:qFormat/>
    <w:uiPriority w:val="0"/>
    <w:pPr>
      <w:widowControl/>
    </w:pPr>
    <w:rPr>
      <w:rFonts w:ascii="宋体" w:hAnsi="宋体" w:cs="宋体"/>
      <w:kern w:val="0"/>
      <w:szCs w:val="21"/>
    </w:rPr>
  </w:style>
  <w:style w:type="paragraph" w:customStyle="1" w:styleId="77">
    <w:name w:val="表格的文字"/>
    <w:basedOn w:val="1"/>
    <w:qFormat/>
    <w:uiPriority w:val="0"/>
    <w:pPr>
      <w:spacing w:line="240" w:lineRule="atLeast"/>
      <w:ind w:firstLine="0" w:firstLineChars="0"/>
      <w:jc w:val="center"/>
    </w:pPr>
    <w:rPr>
      <w:rFonts w:ascii="仿宋_GB2312" w:hAnsi="仿宋_GB2312"/>
      <w:bCs/>
      <w:sz w:val="21"/>
      <w:szCs w:val="20"/>
    </w:rPr>
  </w:style>
  <w:style w:type="paragraph" w:customStyle="1" w:styleId="78">
    <w:name w:val="标题三！！！！！！！"/>
    <w:basedOn w:val="4"/>
    <w:qFormat/>
    <w:uiPriority w:val="0"/>
    <w:pPr>
      <w:keepLines w:val="0"/>
      <w:adjustRightInd/>
      <w:spacing w:line="500" w:lineRule="exact"/>
      <w:textAlignment w:val="auto"/>
    </w:pPr>
    <w:rPr>
      <w:rFonts w:ascii="楷体_GB2312" w:hAnsi="楷体_GB2312" w:eastAsia="楷体_GB2312" w:cs="楷体_GB2312"/>
      <w:sz w:val="28"/>
      <w:szCs w:val="28"/>
    </w:rPr>
  </w:style>
  <w:style w:type="paragraph" w:customStyle="1" w:styleId="79">
    <w:name w:val="表文字"/>
    <w:basedOn w:val="1"/>
    <w:qFormat/>
    <w:uiPriority w:val="0"/>
    <w:pPr>
      <w:overflowPunct w:val="0"/>
      <w:autoSpaceDE w:val="0"/>
      <w:autoSpaceDN w:val="0"/>
      <w:spacing w:line="240" w:lineRule="atLeast"/>
      <w:jc w:val="center"/>
      <w:textAlignment w:val="baseline"/>
    </w:pPr>
    <w:rPr>
      <w:kern w:val="0"/>
    </w:rPr>
  </w:style>
  <w:style w:type="paragraph" w:customStyle="1" w:styleId="80">
    <w:name w:val="缩进"/>
    <w:basedOn w:val="1"/>
    <w:qFormat/>
    <w:uiPriority w:val="0"/>
    <w:pPr>
      <w:ind w:firstLine="200"/>
    </w:pPr>
  </w:style>
  <w:style w:type="paragraph" w:customStyle="1" w:styleId="81">
    <w:name w:val="表格后空行"/>
    <w:basedOn w:val="1"/>
    <w:qFormat/>
    <w:uiPriority w:val="0"/>
    <w:pPr>
      <w:widowControl/>
      <w:spacing w:line="240" w:lineRule="exact"/>
      <w:textAlignment w:val="baseline"/>
    </w:pPr>
    <w:rPr>
      <w:rFonts w:ascii="宋体" w:cs="宋体"/>
      <w:color w:val="000000"/>
      <w:kern w:val="0"/>
      <w:sz w:val="18"/>
      <w:szCs w:val="20"/>
    </w:rPr>
  </w:style>
  <w:style w:type="paragraph" w:customStyle="1" w:styleId="82">
    <w:name w:val="正文(首行缩进)"/>
    <w:basedOn w:val="1"/>
    <w:next w:val="3"/>
    <w:qFormat/>
    <w:uiPriority w:val="0"/>
    <w:pPr>
      <w:ind w:firstLine="480"/>
    </w:pPr>
    <w:rPr>
      <w:bCs/>
      <w:color w:val="000000"/>
      <w:kern w:val="24"/>
    </w:rPr>
  </w:style>
  <w:style w:type="paragraph" w:customStyle="1" w:styleId="83">
    <w:name w:val="样式 样式 首行缩进:  1 字符 + 首行缩进:  2 字符1"/>
    <w:basedOn w:val="1"/>
    <w:qFormat/>
    <w:uiPriority w:val="0"/>
    <w:pPr>
      <w:ind w:firstLine="200"/>
    </w:pPr>
    <w:rPr>
      <w:rFonts w:ascii="宋体" w:hAnsi="宋体" w:cs="宋体"/>
      <w:szCs w:val="20"/>
    </w:rPr>
  </w:style>
  <w:style w:type="paragraph" w:customStyle="1" w:styleId="84">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85">
    <w:name w:val="p0"/>
    <w:basedOn w:val="1"/>
    <w:qFormat/>
    <w:uiPriority w:val="0"/>
    <w:pPr>
      <w:widowControl/>
    </w:pPr>
    <w:rPr>
      <w:kern w:val="0"/>
      <w:szCs w:val="21"/>
    </w:rPr>
  </w:style>
  <w:style w:type="paragraph" w:customStyle="1" w:styleId="86">
    <w:name w:val="0"/>
    <w:basedOn w:val="40"/>
    <w:qFormat/>
    <w:uiPriority w:val="0"/>
    <w:pPr>
      <w:overflowPunct w:val="0"/>
      <w:jc w:val="center"/>
    </w:pPr>
    <w:rPr>
      <w:rFonts w:ascii="Arial" w:hAnsi="Arial" w:eastAsia="仿宋_GB2312" w:cs="Arial"/>
      <w:bCs/>
      <w:snapToGrid w:val="0"/>
      <w:kern w:val="0"/>
      <w:szCs w:val="28"/>
    </w:rPr>
  </w:style>
  <w:style w:type="paragraph" w:customStyle="1" w:styleId="87">
    <w:name w:val="表内容."/>
    <w:basedOn w:val="1"/>
    <w:qFormat/>
    <w:uiPriority w:val="0"/>
    <w:pPr>
      <w:ind w:left="-36" w:leftChars="-15" w:right="-36" w:rightChars="-15"/>
      <w:jc w:val="center"/>
    </w:pPr>
    <w:rPr>
      <w:rFonts w:ascii="宋体" w:hAnsi="宋体" w:cs="宋体"/>
      <w:bCs/>
      <w:snapToGrid w:val="0"/>
      <w:kern w:val="0"/>
      <w:sz w:val="18"/>
      <w:szCs w:val="18"/>
    </w:rPr>
  </w:style>
  <w:style w:type="paragraph" w:customStyle="1" w:styleId="88">
    <w:name w:val="aa正文 Char Char"/>
    <w:basedOn w:val="1"/>
    <w:qFormat/>
    <w:uiPriority w:val="0"/>
    <w:pPr>
      <w:spacing w:line="500" w:lineRule="exact"/>
      <w:ind w:firstLine="561"/>
    </w:pPr>
  </w:style>
  <w:style w:type="paragraph" w:customStyle="1" w:styleId="89">
    <w:name w:val="报告正文小四"/>
    <w:basedOn w:val="1"/>
    <w:qFormat/>
    <w:uiPriority w:val="0"/>
    <w:pPr>
      <w:ind w:firstLine="200"/>
    </w:pPr>
    <w:rPr>
      <w:szCs w:val="20"/>
    </w:rPr>
  </w:style>
  <w:style w:type="table" w:customStyle="1" w:styleId="90">
    <w:name w:val="Table Normal"/>
    <w:unhideWhenUsed/>
    <w:qFormat/>
    <w:uiPriority w:val="0"/>
    <w:tblPr>
      <w:tblCellMar>
        <w:top w:w="0" w:type="dxa"/>
        <w:left w:w="0" w:type="dxa"/>
        <w:bottom w:w="0" w:type="dxa"/>
        <w:right w:w="0" w:type="dxa"/>
      </w:tblCellMar>
    </w:tblPr>
  </w:style>
  <w:style w:type="paragraph" w:customStyle="1" w:styleId="91">
    <w:name w:val="菏泽-正文"/>
    <w:basedOn w:val="1"/>
    <w:qFormat/>
    <w:uiPriority w:val="0"/>
    <w:pPr>
      <w:spacing w:line="440" w:lineRule="exact"/>
      <w:ind w:firstLine="420"/>
    </w:pPr>
    <w:rPr>
      <w:rFonts w:ascii="Arial" w:hAnsi="Arial" w:eastAsia="华文细黑"/>
    </w:rPr>
  </w:style>
  <w:style w:type="paragraph" w:customStyle="1" w:styleId="92">
    <w:name w:val="样式 首行缩进:  2 字符1"/>
    <w:basedOn w:val="1"/>
    <w:qFormat/>
    <w:uiPriority w:val="0"/>
    <w:pPr>
      <w:ind w:firstLine="480"/>
    </w:pPr>
    <w:rPr>
      <w:rFonts w:ascii="Calibri" w:hAnsi="Calibri" w:cs="宋体"/>
    </w:rPr>
  </w:style>
  <w:style w:type="paragraph" w:customStyle="1" w:styleId="93">
    <w:name w:val="武汉院露天-&gt;-5正文"/>
    <w:basedOn w:val="1"/>
    <w:qFormat/>
    <w:uiPriority w:val="0"/>
    <w:pPr>
      <w:spacing w:line="500" w:lineRule="exact"/>
      <w:ind w:firstLine="200"/>
    </w:pPr>
    <w:rPr>
      <w:rFonts w:ascii="宋体" w:hAnsi="宋体"/>
      <w:sz w:val="28"/>
    </w:rPr>
  </w:style>
  <w:style w:type="paragraph" w:customStyle="1" w:styleId="94">
    <w:name w:val="！正文"/>
    <w:basedOn w:val="1"/>
    <w:qFormat/>
    <w:uiPriority w:val="0"/>
    <w:rPr>
      <w:kern w:val="0"/>
    </w:rPr>
  </w:style>
  <w:style w:type="paragraph" w:styleId="95">
    <w:name w:val="No Spacing"/>
    <w:basedOn w:val="24"/>
    <w:next w:val="1"/>
    <w:qFormat/>
    <w:uiPriority w:val="1"/>
    <w:pPr>
      <w:spacing w:line="240" w:lineRule="auto"/>
      <w:ind w:left="0" w:firstLine="0" w:firstLineChars="0"/>
      <w:jc w:val="center"/>
    </w:pPr>
    <w:rPr>
      <w:sz w:val="21"/>
    </w:rPr>
  </w:style>
  <w:style w:type="paragraph" w:customStyle="1" w:styleId="96">
    <w:name w:val="BodyText1I2"/>
    <w:basedOn w:val="97"/>
    <w:semiHidden/>
    <w:qFormat/>
    <w:uiPriority w:val="0"/>
    <w:pPr>
      <w:spacing w:line="560" w:lineRule="exact"/>
      <w:ind w:left="0" w:leftChars="0" w:firstLine="420"/>
    </w:pPr>
    <w:rPr>
      <w:rFonts w:eastAsia="仿宋_GB2312"/>
      <w:sz w:val="32"/>
    </w:rPr>
  </w:style>
  <w:style w:type="paragraph" w:customStyle="1" w:styleId="97">
    <w:name w:val="BodyTextIndent"/>
    <w:basedOn w:val="1"/>
    <w:semiHidden/>
    <w:qFormat/>
    <w:uiPriority w:val="0"/>
    <w:pPr>
      <w:ind w:left="420" w:leftChars="200"/>
      <w:textAlignment w:val="baseline"/>
    </w:pPr>
  </w:style>
  <w:style w:type="paragraph" w:customStyle="1" w:styleId="98">
    <w:name w:val="报告表正文"/>
    <w:basedOn w:val="75"/>
    <w:qFormat/>
    <w:uiPriority w:val="0"/>
    <w:pPr>
      <w:spacing w:line="360" w:lineRule="auto"/>
      <w:ind w:firstLine="482"/>
      <w:jc w:val="both"/>
      <w:textAlignment w:val="baseline"/>
    </w:pPr>
    <w:rPr>
      <w:rFonts w:ascii="Times New Roman" w:hAnsi="Times New Roman"/>
      <w:sz w:val="21"/>
    </w:rPr>
  </w:style>
  <w:style w:type="paragraph" w:customStyle="1" w:styleId="99">
    <w:name w:val="正文 小四 行距: 1.5 倍行距"/>
    <w:basedOn w:val="1"/>
    <w:qFormat/>
    <w:uiPriority w:val="0"/>
    <w:pPr>
      <w:ind w:firstLine="480"/>
    </w:pPr>
    <w:rPr>
      <w:rFonts w:cs="宋体"/>
      <w:szCs w:val="20"/>
    </w:rPr>
  </w:style>
  <w:style w:type="paragraph" w:customStyle="1" w:styleId="100">
    <w:name w:val="表格内容1"/>
    <w:basedOn w:val="1"/>
    <w:qFormat/>
    <w:uiPriority w:val="0"/>
    <w:pPr>
      <w:spacing w:line="240" w:lineRule="auto"/>
      <w:ind w:firstLine="0" w:firstLineChars="0"/>
      <w:jc w:val="center"/>
      <w:textAlignment w:val="baseline"/>
    </w:pPr>
    <w:rPr>
      <w:sz w:val="21"/>
      <w:szCs w:val="21"/>
    </w:rPr>
  </w:style>
  <w:style w:type="paragraph" w:customStyle="1" w:styleId="101">
    <w:name w:val="B正文"/>
    <w:basedOn w:val="1"/>
    <w:qFormat/>
    <w:uiPriority w:val="0"/>
    <w:pPr>
      <w:widowControl/>
      <w:ind w:firstLine="200"/>
      <w:jc w:val="left"/>
    </w:pPr>
    <w:rPr>
      <w:kern w:val="0"/>
    </w:rPr>
  </w:style>
  <w:style w:type="paragraph" w:customStyle="1" w:styleId="102">
    <w:name w:val="zw"/>
    <w:basedOn w:val="13"/>
    <w:next w:val="1"/>
    <w:qFormat/>
    <w:uiPriority w:val="0"/>
    <w:pPr>
      <w:ind w:firstLine="480"/>
    </w:pPr>
    <w:rPr>
      <w:rFonts w:ascii="Times New Roman" w:hAnsi="Times New Roman"/>
      <w:szCs w:val="20"/>
    </w:rPr>
  </w:style>
  <w:style w:type="paragraph" w:customStyle="1" w:styleId="103">
    <w:name w:val="表格内容（5号字体版本）"/>
    <w:qFormat/>
    <w:uiPriority w:val="0"/>
    <w:pPr>
      <w:jc w:val="center"/>
    </w:pPr>
    <w:rPr>
      <w:rFonts w:ascii="Times New Roman" w:hAnsi="Times New Roman" w:eastAsia="宋体" w:cs="Times New Roman"/>
      <w:color w:val="000000"/>
      <w:sz w:val="21"/>
      <w:szCs w:val="21"/>
      <w:lang w:val="en-US" w:eastAsia="zh-CN" w:bidi="ar-SA"/>
    </w:rPr>
  </w:style>
  <w:style w:type="paragraph" w:customStyle="1" w:styleId="104">
    <w:name w:val="样式 正文缩进s4标题4表正文正文非缩进图标题段1Body Text(ch)缩进ALT+Z特点四号正文不...3"/>
    <w:basedOn w:val="7"/>
    <w:qFormat/>
    <w:uiPriority w:val="0"/>
    <w:pPr>
      <w:ind w:firstLine="200"/>
    </w:pPr>
    <w:rPr>
      <w:rFonts w:ascii="宋体" w:eastAsia="仿宋_GB2312" w:cs="宋体"/>
    </w:rPr>
  </w:style>
  <w:style w:type="character" w:customStyle="1" w:styleId="105">
    <w:name w:val="样式 正文缩进s4标题4表正文正文非缩进图标题段1Body Text(ch)缩进ALT+Z特点四号正文不...2 Char"/>
    <w:link w:val="106"/>
    <w:qFormat/>
    <w:uiPriority w:val="0"/>
    <w:rPr>
      <w:rFonts w:ascii="宋体" w:eastAsia="仿宋_GB2312"/>
      <w:kern w:val="0"/>
      <w:sz w:val="24"/>
      <w:szCs w:val="20"/>
    </w:rPr>
  </w:style>
  <w:style w:type="paragraph" w:customStyle="1" w:styleId="106">
    <w:name w:val="样式 正文缩进s4标题4表正文正文非缩进图标题段1Body Text(ch)缩进ALT+Z特点四号正文不...2"/>
    <w:basedOn w:val="7"/>
    <w:link w:val="105"/>
    <w:qFormat/>
    <w:uiPriority w:val="0"/>
    <w:pPr>
      <w:ind w:firstLine="200"/>
    </w:pPr>
    <w:rPr>
      <w:rFonts w:ascii="宋体" w:eastAsia="仿宋_GB2312"/>
      <w:kern w:val="0"/>
      <w:szCs w:val="20"/>
    </w:rPr>
  </w:style>
  <w:style w:type="paragraph" w:customStyle="1" w:styleId="107">
    <w:name w:val="样式 样式 正文缩进s4标题4表正文正文非缩进图标题段1Body Text(ch)缩进ALT+Z特点四号正文不... + 首行缩..."/>
    <w:basedOn w:val="1"/>
    <w:qFormat/>
    <w:uiPriority w:val="0"/>
    <w:pPr>
      <w:ind w:firstLine="480"/>
    </w:pPr>
    <w:rPr>
      <w:rFonts w:ascii="宋体" w:hAnsi="宋体" w:eastAsia="仿宋_GB2312" w:cs="宋体"/>
      <w:kern w:val="0"/>
      <w:szCs w:val="20"/>
    </w:rPr>
  </w:style>
  <w:style w:type="paragraph" w:customStyle="1" w:styleId="108">
    <w:name w:val="样式 正文缩进s4标题4表正文正文非缩进图标题段1Body Text(ch)缩进ALT+Z特点四号正文不...1"/>
    <w:basedOn w:val="7"/>
    <w:qFormat/>
    <w:uiPriority w:val="0"/>
    <w:pPr>
      <w:ind w:firstLine="840" w:firstLineChars="400"/>
    </w:pPr>
    <w:rPr>
      <w:rFonts w:ascii="宋体" w:hAnsi="宋体" w:eastAsia="仿宋_GB2312" w:cs="宋体"/>
    </w:rPr>
  </w:style>
  <w:style w:type="paragraph" w:customStyle="1" w:styleId="109">
    <w:name w:val="Char3"/>
    <w:basedOn w:val="1"/>
    <w:qFormat/>
    <w:uiPriority w:val="0"/>
    <w:rPr>
      <w:szCs w:val="21"/>
    </w:rPr>
  </w:style>
  <w:style w:type="paragraph" w:customStyle="1" w:styleId="110">
    <w:name w:val="表中文字"/>
    <w:next w:val="1"/>
    <w:qFormat/>
    <w:uiPriority w:val="0"/>
    <w:pPr>
      <w:widowControl w:val="0"/>
      <w:jc w:val="center"/>
    </w:pPr>
    <w:rPr>
      <w:rFonts w:ascii="Times New Roman" w:hAnsi="Times New Roman" w:eastAsia="宋体" w:cs="Times New Roman"/>
      <w:color w:val="000000"/>
      <w:kern w:val="2"/>
      <w:sz w:val="21"/>
      <w:szCs w:val="24"/>
      <w:lang w:val="en-US" w:eastAsia="zh-CN" w:bidi="ar-SA"/>
    </w:rPr>
  </w:style>
  <w:style w:type="paragraph" w:customStyle="1" w:styleId="111">
    <w:name w:val="正文2"/>
    <w:qFormat/>
    <w:uiPriority w:val="0"/>
    <w:pPr>
      <w:widowControl w:val="0"/>
      <w:autoSpaceDE w:val="0"/>
      <w:autoSpaceDN w:val="0"/>
      <w:adjustRightInd w:val="0"/>
      <w:spacing w:line="360" w:lineRule="auto"/>
      <w:ind w:firstLine="560" w:firstLineChars="200"/>
      <w:jc w:val="both"/>
    </w:pPr>
    <w:rPr>
      <w:rFonts w:ascii="Times New Roman" w:hAnsi="Times New Roman" w:eastAsia="宋体" w:cs="Times New Roman"/>
      <w:sz w:val="24"/>
      <w:szCs w:val="24"/>
      <w:lang w:val="en-US" w:eastAsia="zh-CN" w:bidi="ar-SA"/>
    </w:rPr>
  </w:style>
  <w:style w:type="paragraph" w:customStyle="1" w:styleId="112">
    <w:name w:val="正文 新"/>
    <w:basedOn w:val="1"/>
    <w:qFormat/>
    <w:uiPriority w:val="0"/>
    <w:pPr>
      <w:spacing w:line="440" w:lineRule="exact"/>
      <w:ind w:firstLine="200"/>
    </w:pPr>
    <w:rPr>
      <w:sz w:val="25"/>
    </w:rPr>
  </w:style>
  <w:style w:type="paragraph" w:customStyle="1" w:styleId="113">
    <w:name w:val="01内容"/>
    <w:qFormat/>
    <w:uiPriority w:val="0"/>
    <w:pPr>
      <w:widowControl w:val="0"/>
      <w:spacing w:line="360" w:lineRule="auto"/>
      <w:ind w:firstLine="200" w:firstLineChars="200"/>
    </w:pPr>
    <w:rPr>
      <w:rFonts w:ascii="Times New Roman" w:hAnsi="Times New Roman" w:eastAsia="宋体" w:cs="Times New Roman"/>
      <w:kern w:val="2"/>
      <w:sz w:val="24"/>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1" Type="http://schemas.openxmlformats.org/officeDocument/2006/relationships/fontTable" Target="fontTable.xml"/><Relationship Id="rId80" Type="http://schemas.openxmlformats.org/officeDocument/2006/relationships/customXml" Target="../customXml/item2.xml"/><Relationship Id="rId8" Type="http://schemas.openxmlformats.org/officeDocument/2006/relationships/header" Target="header1.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41.png"/><Relationship Id="rId76" Type="http://schemas.openxmlformats.org/officeDocument/2006/relationships/image" Target="media/image40.png"/><Relationship Id="rId75" Type="http://schemas.openxmlformats.org/officeDocument/2006/relationships/image" Target="media/image39.png"/><Relationship Id="rId74" Type="http://schemas.openxmlformats.org/officeDocument/2006/relationships/image" Target="media/image38.png"/><Relationship Id="rId73" Type="http://schemas.openxmlformats.org/officeDocument/2006/relationships/image" Target="media/image37.png"/><Relationship Id="rId72" Type="http://schemas.openxmlformats.org/officeDocument/2006/relationships/image" Target="media/image36.jpeg"/><Relationship Id="rId71" Type="http://schemas.openxmlformats.org/officeDocument/2006/relationships/image" Target="media/image35.wmf"/><Relationship Id="rId70" Type="http://schemas.openxmlformats.org/officeDocument/2006/relationships/oleObject" Target="embeddings/oleObject26.bin"/><Relationship Id="rId7" Type="http://schemas.openxmlformats.org/officeDocument/2006/relationships/footer" Target="footer3.xml"/><Relationship Id="rId69" Type="http://schemas.openxmlformats.org/officeDocument/2006/relationships/image" Target="media/image34.wmf"/><Relationship Id="rId68" Type="http://schemas.openxmlformats.org/officeDocument/2006/relationships/oleObject" Target="embeddings/oleObject25.bin"/><Relationship Id="rId67" Type="http://schemas.openxmlformats.org/officeDocument/2006/relationships/image" Target="media/image33.wmf"/><Relationship Id="rId66" Type="http://schemas.openxmlformats.org/officeDocument/2006/relationships/oleObject" Target="embeddings/oleObject24.bin"/><Relationship Id="rId65" Type="http://schemas.openxmlformats.org/officeDocument/2006/relationships/image" Target="media/image32.wmf"/><Relationship Id="rId64" Type="http://schemas.openxmlformats.org/officeDocument/2006/relationships/oleObject" Target="embeddings/oleObject23.bin"/><Relationship Id="rId63" Type="http://schemas.openxmlformats.org/officeDocument/2006/relationships/image" Target="media/image31.wmf"/><Relationship Id="rId62" Type="http://schemas.openxmlformats.org/officeDocument/2006/relationships/oleObject" Target="embeddings/oleObject22.bin"/><Relationship Id="rId61" Type="http://schemas.openxmlformats.org/officeDocument/2006/relationships/image" Target="media/image30.wmf"/><Relationship Id="rId60" Type="http://schemas.openxmlformats.org/officeDocument/2006/relationships/oleObject" Target="embeddings/oleObject21.bin"/><Relationship Id="rId6" Type="http://schemas.openxmlformats.org/officeDocument/2006/relationships/footer" Target="footer2.xml"/><Relationship Id="rId59" Type="http://schemas.openxmlformats.org/officeDocument/2006/relationships/image" Target="media/image29.wmf"/><Relationship Id="rId58" Type="http://schemas.openxmlformats.org/officeDocument/2006/relationships/oleObject" Target="embeddings/oleObject20.bin"/><Relationship Id="rId57" Type="http://schemas.openxmlformats.org/officeDocument/2006/relationships/image" Target="media/image28.wmf"/><Relationship Id="rId56" Type="http://schemas.openxmlformats.org/officeDocument/2006/relationships/oleObject" Target="embeddings/oleObject19.bin"/><Relationship Id="rId55" Type="http://schemas.openxmlformats.org/officeDocument/2006/relationships/image" Target="media/image27.wmf"/><Relationship Id="rId54" Type="http://schemas.openxmlformats.org/officeDocument/2006/relationships/oleObject" Target="embeddings/oleObject18.bin"/><Relationship Id="rId53" Type="http://schemas.openxmlformats.org/officeDocument/2006/relationships/image" Target="media/image26.wmf"/><Relationship Id="rId52" Type="http://schemas.openxmlformats.org/officeDocument/2006/relationships/oleObject" Target="embeddings/oleObject17.bin"/><Relationship Id="rId51" Type="http://schemas.openxmlformats.org/officeDocument/2006/relationships/image" Target="media/image25.wmf"/><Relationship Id="rId50" Type="http://schemas.openxmlformats.org/officeDocument/2006/relationships/oleObject" Target="embeddings/oleObject16.bin"/><Relationship Id="rId5" Type="http://schemas.openxmlformats.org/officeDocument/2006/relationships/footer" Target="footer1.xml"/><Relationship Id="rId49" Type="http://schemas.openxmlformats.org/officeDocument/2006/relationships/image" Target="media/image24.wmf"/><Relationship Id="rId48" Type="http://schemas.openxmlformats.org/officeDocument/2006/relationships/oleObject" Target="embeddings/oleObject15.bin"/><Relationship Id="rId47" Type="http://schemas.openxmlformats.org/officeDocument/2006/relationships/image" Target="media/image23.wmf"/><Relationship Id="rId46" Type="http://schemas.openxmlformats.org/officeDocument/2006/relationships/oleObject" Target="embeddings/oleObject14.bin"/><Relationship Id="rId45" Type="http://schemas.openxmlformats.org/officeDocument/2006/relationships/image" Target="media/image22.wmf"/><Relationship Id="rId44" Type="http://schemas.openxmlformats.org/officeDocument/2006/relationships/oleObject" Target="embeddings/oleObject13.bin"/><Relationship Id="rId43" Type="http://schemas.openxmlformats.org/officeDocument/2006/relationships/image" Target="media/image21.wmf"/><Relationship Id="rId42" Type="http://schemas.openxmlformats.org/officeDocument/2006/relationships/oleObject" Target="embeddings/oleObject12.bin"/><Relationship Id="rId41" Type="http://schemas.openxmlformats.org/officeDocument/2006/relationships/image" Target="media/image20.wmf"/><Relationship Id="rId40" Type="http://schemas.openxmlformats.org/officeDocument/2006/relationships/oleObject" Target="embeddings/oleObject11.bin"/><Relationship Id="rId4" Type="http://schemas.openxmlformats.org/officeDocument/2006/relationships/endnotes" Target="endnotes.xml"/><Relationship Id="rId39" Type="http://schemas.openxmlformats.org/officeDocument/2006/relationships/image" Target="media/image19.wmf"/><Relationship Id="rId38" Type="http://schemas.openxmlformats.org/officeDocument/2006/relationships/oleObject" Target="embeddings/oleObject10.bin"/><Relationship Id="rId37" Type="http://schemas.openxmlformats.org/officeDocument/2006/relationships/image" Target="media/image18.wmf"/><Relationship Id="rId36" Type="http://schemas.openxmlformats.org/officeDocument/2006/relationships/oleObject" Target="embeddings/oleObject9.bin"/><Relationship Id="rId35" Type="http://schemas.openxmlformats.org/officeDocument/2006/relationships/image" Target="media/image17.wmf"/><Relationship Id="rId34" Type="http://schemas.openxmlformats.org/officeDocument/2006/relationships/oleObject" Target="embeddings/oleObject8.bin"/><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wmf"/><Relationship Id="rId30" Type="http://schemas.openxmlformats.org/officeDocument/2006/relationships/oleObject" Target="embeddings/oleObject7.bin"/><Relationship Id="rId3" Type="http://schemas.openxmlformats.org/officeDocument/2006/relationships/footnotes" Target="footnotes.xml"/><Relationship Id="rId29" Type="http://schemas.openxmlformats.org/officeDocument/2006/relationships/image" Target="media/image13.wmf"/><Relationship Id="rId28" Type="http://schemas.openxmlformats.org/officeDocument/2006/relationships/oleObject" Target="embeddings/oleObject6.bin"/><Relationship Id="rId27" Type="http://schemas.openxmlformats.org/officeDocument/2006/relationships/image" Target="media/image12.wmf"/><Relationship Id="rId26" Type="http://schemas.openxmlformats.org/officeDocument/2006/relationships/oleObject" Target="embeddings/oleObject5.bin"/><Relationship Id="rId25" Type="http://schemas.openxmlformats.org/officeDocument/2006/relationships/image" Target="media/image11.wmf"/><Relationship Id="rId24" Type="http://schemas.openxmlformats.org/officeDocument/2006/relationships/oleObject" Target="embeddings/oleObject4.bin"/><Relationship Id="rId23" Type="http://schemas.openxmlformats.org/officeDocument/2006/relationships/image" Target="media/image10.wmf"/><Relationship Id="rId22" Type="http://schemas.openxmlformats.org/officeDocument/2006/relationships/oleObject" Target="embeddings/oleObject3.bin"/><Relationship Id="rId21" Type="http://schemas.openxmlformats.org/officeDocument/2006/relationships/image" Target="media/image9.jpe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7.wmf"/><Relationship Id="rId17" Type="http://schemas.openxmlformats.org/officeDocument/2006/relationships/oleObject" Target="embeddings/oleObject1.bin"/><Relationship Id="rId16" Type="http://schemas.openxmlformats.org/officeDocument/2006/relationships/image" Target="media/image6.png"/><Relationship Id="rId15" Type="http://schemas.openxmlformats.org/officeDocument/2006/relationships/image" Target="media/image5.png"/><Relationship Id="rId14" Type="http://schemas.microsoft.com/office/2007/relationships/hdphoto" Target="media/image4.wdp"/><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52e352a2-0fe7-4358-bb40-968ed9f543bd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3E78F7C3</paraID>
      <start>1</start>
      <end>3</end>
      <status>unmodified</status>
      <modifiedWord/>
      <trackRevisions>false</trackRevisions>
    </reviewItem>
    <reviewItem>
      <errorID>f830d09f-3323-48b4-b332-70ed0c182458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5D47F42F</paraID>
      <start>0</start>
      <end>2</end>
      <status>unmodified</status>
      <modifiedWord/>
      <trackRevisions>false</trackRevisions>
    </reviewItem>
    <reviewItem>
      <errorID>dd8ff3f2-1cc6-4581-8ddc-1c4139202d03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6BF08191</paraID>
      <start>0</start>
      <end>2</end>
      <status>unmodified</status>
      <modifiedWord/>
      <trackRevisions>false</trackRevisions>
    </reviewItem>
    <reviewItem>
      <errorID>960a7354-bc2d-4b88-8f66-c6588d293906</errorID>
      <errorWord>-</errorWord>
      <group>L1_Format</group>
      <groupName>格式问题</groupName>
      <ability>L2_HalfPunc_CN</ability>
      <abilityName>全半角问题</abilityName>
      <candidateList>
        <item>－</item>
      </candidateList>
      <explain>文本全半角错误。</explain>
      <paraID>2EF19504</paraID>
      <start>70</start>
      <end>71</end>
      <status>unmodified</status>
      <modifiedWord/>
      <trackRevisions>false</trackRevisions>
    </reviewItem>
    <reviewItem>
      <errorID>3fdaf250-c5bc-4621-9f65-6fa66c41b694</errorID>
      <errorWord>-</errorWord>
      <group>L1_Format</group>
      <groupName>格式问题</groupName>
      <ability>L2_HalfPunc_CN</ability>
      <abilityName>全半角问题</abilityName>
      <candidateList>
        <item>－</item>
      </candidateList>
      <explain>文本全半角错误。</explain>
      <paraID>2EF19504</paraID>
      <start>74</start>
      <end>75</end>
      <status>unmodified</status>
      <modifiedWord/>
      <trackRevisions>false</trackRevisions>
    </reviewItem>
    <reviewItem>
      <errorID>4d4e2551-b8d1-4396-8fed-a78cdcfc1865</errorID>
      <errorWord>上线</errorWord>
      <group>L1_Word</group>
      <groupName>字词问题</groupName>
      <ability>L2_Typo</ability>
      <abilityName>字词错误</abilityName>
      <candidateList>
        <item>上限</item>
      </candidateList>
      <explain/>
      <paraID>4715CA91</paraID>
      <start>12</start>
      <end>14</end>
      <status>unmodified</status>
      <modifiedWord/>
      <trackRevisions>false</trackRevisions>
    </reviewItem>
    <reviewItem>
      <errorID>6a0c2a1a-23f7-4995-b3ea-3d45d907193b</errorID>
      <errorWord>古</errorWord>
      <group>L1_Word</group>
      <groupName>字词问题</groupName>
      <ability>L2_Typo</ability>
      <abilityName>字词错误</abilityName>
      <candidateList>
        <item>古族</item>
      </candidateList>
      <explain/>
      <paraID>265C440D</paraID>
      <start>70</start>
      <end>71</end>
      <status>unmodified</status>
      <modifiedWord/>
      <trackRevisions>false</trackRevisions>
    </reviewItem>
    <reviewItem>
      <errorID>c85e9a86-1c9c-4bbe-9472-30f394be6d33</errorID>
      <errorWord>)</errorWord>
      <group>L1_Format</group>
      <groupName>格式问题</groupName>
      <ability>L2_HalfPunc_CN</ability>
      <abilityName>全半角问题</abilityName>
      <candidateList>
        <item>）</item>
      </candidateList>
      <explain>文本全半角错误。</explain>
      <paraID>21DFE244</paraID>
      <start>4</start>
      <end>5</end>
      <status>unmodified</status>
      <modifiedWord/>
      <trackRevisions>false</trackRevisions>
    </reviewItem>
    <reviewItem>
      <errorID>e3ea4b37-1389-4d8a-8869-66635fd8a56d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4BEAF42D</paraID>
      <start>0</start>
      <end>2</end>
      <status>unmodified</status>
      <modifiedWord/>
      <trackRevisions>false</trackRevisions>
    </reviewItem>
    <reviewItem>
      <errorID>acff21f4-e246-4ed3-b9dd-64da97499ca7</errorID>
      <errorWord>场</errorWord>
      <group>L1_Word</group>
      <groupName>字词问题</groupName>
      <ability>L2_Typo</ability>
      <abilityName>字词错误</abilityName>
      <candidateList>
        <item>厂</item>
      </candidateList>
      <explain>存在发音相同字词的误用。</explain>
      <paraID>7C3291A8</paraID>
      <start>71</start>
      <end>72</end>
      <status>unmodified</status>
      <modifiedWord/>
      <trackRevisions>false</trackRevisions>
    </reviewItem>
    <reviewItem>
      <errorID>43b34ae1-ec40-4094-9a02-dfff09d0614c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4C662758</paraID>
      <start>0</start>
      <end>2</end>
      <status>unmodified</status>
      <modifiedWord/>
      <trackRevisions>false</trackRevisions>
    </reviewItem>
    <reviewItem>
      <errorID>6ae10260-2936-448b-81b0-0389950da720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6394D897</paraID>
      <start>0</start>
      <end>2</end>
      <status>unmodified</status>
      <modifiedWord/>
      <trackRevisions>false</trackRevisions>
    </reviewItem>
    <reviewItem>
      <errorID>56bf641f-6849-440f-abf8-b6924ff75b5f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56041204</paraID>
      <start>0</start>
      <end>2</end>
      <status>unmodified</status>
      <modifiedWord/>
      <trackRevisions>false</trackRevisions>
    </reviewItem>
    <reviewItem>
      <errorID>a66e7dc6-a104-4f2c-be77-e3e64799e00d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2DAE0F26</paraID>
      <start>0</start>
      <end>2</end>
      <status>unmodified</status>
      <modifiedWord/>
      <trackRevisions>false</trackRevisions>
    </reviewItem>
    <reviewItem>
      <errorID>e47a59bc-2b59-43d5-8f39-3ec7c50519c0</errorID>
      <errorWord>线览</errorWord>
      <group>L1_Word</group>
      <groupName>字词问题</groupName>
      <ability>L2_Typo</ability>
      <abilityName>字词错误</abilityName>
      <candidateList>
        <item>线路</item>
      </candidateList>
      <explain/>
      <paraID>2668660C</paraID>
      <start>99</start>
      <end>101</end>
      <status>unmodified</status>
      <modifiedWord/>
      <trackRevisions>false</trackRevisions>
    </reviewItem>
    <reviewItem>
      <errorID>2c55d9f9-b4cb-402c-94c3-3d3c2540a5d5</errorID>
      <errorWord>设施</errorWord>
      <group>L1_Word</group>
      <groupName>字词问题</groupName>
      <ability>L2_Typo</ability>
      <abilityName>字词错误</abilityName>
      <candidateList>
        <item>设置</item>
      </candidateList>
      <explain>存在发音相近字词的误用。</explain>
      <paraID>52CA4786</paraID>
      <start>27</start>
      <end>29</end>
      <status>unmodified</status>
      <modifiedWord/>
      <trackRevisions>false</trackRevisions>
    </reviewItem>
    <reviewItem>
      <errorID>4432a13a-37ce-4fe6-8bc2-7fbdeba40672</errorID>
      <errorWord>员</errorWord>
      <group>L1_Word</group>
      <groupName>字词问题</groupName>
      <ability>L2_Typo</ability>
      <abilityName>字词错误</abilityName>
      <candidateList>
        <item>员将</item>
      </candidateList>
      <explain/>
      <paraID>567536DC</paraID>
      <start>3</start>
      <end>4</end>
      <status>unmodified</status>
      <modifiedWord/>
      <trackRevisions>false</trackRevisions>
    </reviewItem>
    <reviewItem>
      <errorID>f6c4921f-8624-4b31-9f3c-4319b9258701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150E8BFA</paraID>
      <start>0</start>
      <end>2</end>
      <status>unmodified</status>
      <modifiedWord/>
      <trackRevisions>false</trackRevisions>
    </reviewItem>
    <reviewItem>
      <errorID>6c084dfe-1026-4744-b81a-37bcd58070e0</errorID>
      <errorWord>线览</errorWord>
      <group>L1_Word</group>
      <groupName>字词问题</groupName>
      <ability>L2_Typo</ability>
      <abilityName>字词错误</abilityName>
      <candidateList>
        <item>线路</item>
      </candidateList>
      <explain/>
      <paraID>68CB57F4</paraID>
      <start>99</start>
      <end>101</end>
      <status>unmodified</status>
      <modifiedWord/>
      <trackRevisions>false</trackRevisions>
    </reviewItem>
    <reviewItem>
      <errorID>e7f7f5dd-0c4c-48a8-a4d5-f1bea58cbce3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6C52086D</paraID>
      <start>0</start>
      <end>2</end>
      <status>unmodified</status>
      <modifiedWord/>
      <trackRevisions>false</trackRevisions>
    </reviewItem>
    <reviewItem>
      <errorID>52acb2f8-3885-44c7-be1e-535e100db562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1E382177</paraID>
      <start>20</start>
      <end>21</end>
      <status>unmodified</status>
      <modifiedWord/>
      <trackRevisions>false</trackRevisions>
    </reviewItem>
    <reviewItem>
      <errorID>321cd56f-0601-4c7f-a7ad-bdb5ae329fe2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656D45A7</paraID>
      <start>0</start>
      <end>2</end>
      <status>unmodified</status>
      <modifiedWord/>
      <trackRevisions>false</trackRevisions>
    </reviewItem>
    <reviewItem>
      <errorID>cc0c34bf-56bf-4ec2-850d-852157371eee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586779CB</paraID>
      <start>0</start>
      <end>2</end>
      <status>unmodified</status>
      <modifiedWord/>
      <trackRevisions>false</trackRevisions>
    </reviewItem>
    <reviewItem>
      <errorID>4f5f4fe1-adf3-4ced-ac5b-2d24cee01461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5AFA7103</paraID>
      <start>0</start>
      <end>2</end>
      <status>unmodified</status>
      <modifiedWord/>
      <trackRevisions>false</trackRevisions>
    </reviewItem>
    <reviewItem>
      <errorID>f985f03f-e5d2-4572-881e-cd1874841e21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5C5C3997</paraID>
      <start>0</start>
      <end>2</end>
      <status>unmodified</status>
      <modifiedWord/>
      <trackRevisions>false</trackRevisions>
    </reviewItem>
    <reviewItem>
      <errorID>8b5ce625-fda5-48c4-9c73-48c13165a6a4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28AD14D</paraID>
      <start>0</start>
      <end>2</end>
      <status>unmodified</status>
      <modifiedWord/>
      <trackRevisions>false</trackRevisions>
    </reviewItem>
    <reviewItem>
      <errorID>bd5fa958-128b-4707-9b90-4174817f7a81</errorID>
      <errorWord>线览</errorWord>
      <group>L1_Word</group>
      <groupName>字词问题</groupName>
      <ability>L2_Typo</ability>
      <abilityName>字词错误</abilityName>
      <candidateList>
        <item>线缆</item>
      </candidateList>
      <explain>存在发音相同字词的误用。</explain>
      <paraID>491D652E</paraID>
      <start>32</start>
      <end>34</end>
      <status>unmodified</status>
      <modifiedWord/>
      <trackRevisions>false</trackRevisions>
    </reviewItem>
    <reviewItem>
      <errorID>72550c65-5421-4904-8f47-b730be06a0f2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3284771F</paraID>
      <start>0</start>
      <end>2</end>
      <status>unmodified</status>
      <modifiedWord/>
      <trackRevisions>false</trackRevisions>
    </reviewItem>
    <reviewItem>
      <errorID>44d23a88-4f64-4ecf-a83a-a5065067c46a</errorID>
      <errorWord>于第</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43E0DA22</paraID>
      <start>7</start>
      <end>9</end>
      <status>unmodified</status>
      <modifiedWord/>
      <trackRevisions>false</trackRevisions>
    </reviewItem>
    <reviewItem>
      <errorID>4080fbc1-19ad-486f-b253-99c2695eb15e</errorID>
      <errorWord>于第</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43E0DA22</paraID>
      <start>15</start>
      <end>17</end>
      <status>unmodified</status>
      <modifiedWord/>
      <trackRevisions>false</trackRevisions>
    </reviewItem>
    <reviewItem>
      <errorID>af74f7ae-53a4-4c35-a797-48ea49f1545d</errorID>
      <errorWord>于第</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43E0DA22</paraID>
      <start>26</start>
      <end>28</end>
      <status>unmodified</status>
      <modifiedWord/>
      <trackRevisions>false</trackRevisions>
    </reviewItem>
    <reviewItem>
      <errorID>ae823e78-e83f-4d9d-8508-8a6f3908f1e4</errorID>
      <errorWord>从第</errorWord>
      <group>L1_Word</group>
      <groupName>字词问题</groupName>
      <ability>L2_Typo</ability>
      <abilityName>字词错误</abilityName>
      <candidateList>
        <item>从</item>
      </candidateList>
      <explain>（從）cónɡ❶〈介〉起于，“从…”表示“拿…做起点”：～上海到北京｜～这儿往西｜～现在起｜～不懂到懂｜～无到有｜～少到多。❷〈介〉表示经过，用在表示处所的词语前面：～窗缝里往外望｜你～桥上过，我～桥下走｜～他们前面经过。❸〈介〉表示根据：～笔迹看，这字像孩子写的。❹〈副〉从来，用在否定词前面：～没有听说过｜～未看见中国人民像现在这样意气风发，斗志昂扬。</explain>
      <paraID>162DDA40</paraID>
      <start>0</start>
      <end>2</end>
      <status>unmodified</status>
      <modifiedWord/>
      <trackRevisions>false</trackRevisions>
    </reviewItem>
    <reviewItem>
      <errorID>e470a5a6-562a-406f-8385-7f79dae07a32</errorID>
      <errorWord>起到第</errorWord>
      <group>L1_Word</group>
      <groupName>字词问题</groupName>
      <ability>L2_Typo</ability>
      <abilityName>字词错误</abilityName>
      <candidateList>
        <item>起到</item>
      </candidateList>
      <explain/>
      <paraID>162DDA40</paraID>
      <start>6</start>
      <end>9</end>
      <status>unmodified</status>
      <modifiedWord/>
      <trackRevisions>false</trackRevisions>
    </reviewItem>
    <reviewItem>
      <errorID>2c661137-15ad-4af6-b0ba-1835bed2a5ad</errorID>
      <errorWord>起到第</errorWord>
      <group>L1_Word</group>
      <groupName>字词问题</groupName>
      <ability>L2_Typo</ability>
      <abilityName>字词错误</abilityName>
      <candidateList>
        <item>起到</item>
      </candidateList>
      <explain/>
      <paraID>781A75D4</paraID>
      <start>6</start>
      <end>9</end>
      <status>unmodified</status>
      <modifiedWord/>
      <trackRevisions>false</trackRevisions>
    </reviewItem>
    <reviewItem>
      <errorID>b8fd8c2e-86fe-4f71-99cb-34138b956047</errorID>
      <errorWord>从第</errorWord>
      <group>L1_Word</group>
      <groupName>字词问题</groupName>
      <ability>L2_Typo</ability>
      <abilityName>字词错误</abilityName>
      <candidateList>
        <item>从</item>
      </candidateList>
      <explain>（從）cónɡ❶〈介〉起于，“从…”表示“拿…做起点”：～上海到北京｜～这儿往西｜～现在起｜～不懂到懂｜～无到有｜～少到多。❷〈介〉表示经过，用在表示处所的词语前面：～窗缝里往外望｜你～桥上过，我～桥下走｜～他们前面经过。❸〈介〉表示根据：～笔迹看，这字像孩子写的。❹〈副〉从来，用在否定词前面：～没有听说过｜～未看见中国人民像现在这样意气风发，斗志昂扬。</explain>
      <paraID>2A274924</paraID>
      <start>0</start>
      <end>2</end>
      <status>unmodified</status>
      <modifiedWord/>
      <trackRevisions>false</trackRevisions>
    </reviewItem>
    <reviewItem>
      <errorID>c6abdf93-d838-4309-962d-0cf659ee84be</errorID>
      <errorWord>至第</errorWord>
      <group>L1_Word</group>
      <groupName>字词问题</groupName>
      <ability>L2_Typo</ability>
      <abilityName>字词错误</abilityName>
      <candidateList>
        <item>至</item>
      </candidateList>
      <explain>❶〈动〉到：～今｜自始～终｜～死不屈。❷至于：甚～。❸〈副〉极；最：为感谢～｜你要早来，～迟下星期内一定赶到。</explain>
      <paraID>2A274924</paraID>
      <start>29</start>
      <end>31</end>
      <status>unmodified</status>
      <modifiedWord/>
      <trackRevisions>false</trackRevisions>
    </reviewItem>
    <reviewItem>
      <errorID>13e6a7b6-9199-4eaf-9c12-5a6966f7a386</errorID>
      <errorWord>从第</errorWord>
      <group>L1_Word</group>
      <groupName>字词问题</groupName>
      <ability>L2_Typo</ability>
      <abilityName>字词错误</abilityName>
      <candidateList>
        <item>从</item>
      </candidateList>
      <explain>（從）cónɡ❶〈介〉起于，“从…”表示“拿…做起点”：～上海到北京｜～这儿往西｜～现在起｜～不懂到懂｜～无到有｜～少到多。❷〈介〉表示经过，用在表示处所的词语前面：～窗缝里往外望｜你～桥上过，我～桥下走｜～他们前面经过。❸〈介〉表示根据：～笔迹看，这字像孩子写的。❹〈副〉从来，用在否定词前面：～没有听说过｜～未看见中国人民像现在这样意气风发，斗志昂扬。</explain>
      <paraID>402DBF1F</paraID>
      <start>0</start>
      <end>2</end>
      <status>unmodified</status>
      <modifiedWord/>
      <trackRevisions>false</trackRevisions>
    </reviewItem>
    <reviewItem>
      <errorID>997f49c1-290c-44c3-9c8c-21a920fe4e3c</errorID>
      <errorWord>到第</errorWord>
      <group>L1_Word</group>
      <groupName>字词问题</groupName>
      <ability>L2_Typo</ability>
      <abilityName>字词错误</abilityName>
      <candidateList>
        <item>到</item>
      </candidateList>
      <explain>❶〈动〉达于某一点；到达；达到：～期｜迟～｜火车～站了｜从星期三～星期五。❷〈动〉往：～郊外去｜～群众中去。❸〈动〉用作动词的补语，表示动作有结果：看～｜办得～｜说～一定要做～｜想不～你来了。❹〈形〉周到：想得很～｜有不～的地方请原谅。❺（Dào）〈名〉姓。</explain>
      <paraID>402DBF1F</paraID>
      <start>26</start>
      <end>28</end>
      <status>unmodified</status>
      <modifiedWord/>
      <trackRevisions>false</trackRevisions>
    </reviewItem>
    <reviewItem>
      <errorID>c251f42c-67ca-4b1c-b23e-6c724915aba5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3609E852</paraID>
      <start>0</start>
      <end>2</end>
      <status>unmodified</status>
      <modifiedWord/>
      <trackRevisions>false</trackRevisions>
    </reviewItem>
    <reviewItem>
      <errorID>92714d40-b797-422e-ae37-03d7b22fa73e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5F24C585</paraID>
      <start>0</start>
      <end>2</end>
      <status>unmodified</status>
      <modifiedWord/>
      <trackRevisions>false</trackRevisions>
    </reviewItem>
    <reviewItem>
      <errorID>89e58497-9a4e-419c-8ea5-e55e5496f00c</errorID>
      <errorWord>:</errorWord>
      <group>L1_Format</group>
      <groupName>格式问题</groupName>
      <ability>L2_HalfPunc_CN</ability>
      <abilityName>全半角问题</abilityName>
      <candidateList>
        <item>：</item>
      </candidateList>
      <explain>文本全半角错误。</explain>
      <paraID>23724997</paraID>
      <start>190</start>
      <end>191</end>
      <status>unmodified</status>
      <modifiedWord/>
      <trackRevisions>false</trackRevisions>
    </reviewItem>
    <reviewItem>
      <errorID>cf21ecc3-dd9a-4810-a4c2-a96be6342873</errorID>
      <errorWord>-</errorWord>
      <group>L1_Format</group>
      <groupName>格式问题</groupName>
      <ability>L2_HalfPunc_CN</ability>
      <abilityName>全半角问题</abilityName>
      <candidateList>
        <item>－</item>
      </candidateList>
      <explain>文本全半角错误。</explain>
      <paraID>727DD907</paraID>
      <start>1</start>
      <end>2</end>
      <status>unmodified</status>
      <modifiedWord/>
      <trackRevisions>false</trackRevisions>
    </reviewItem>
    <reviewItem>
      <errorID>e94a6960-086a-4b2b-ab42-fef0f15deb2b</errorID>
      <errorWord>形业集群</errorWord>
      <group>L1_Knowledge</group>
      <groupName>知识性问题</groupName>
      <ability>L2_Term</ability>
      <abilityName>专业术语</abilityName>
      <candidateList>
        <item>产业集群</item>
      </candidateList>
      <explain/>
      <paraID>727DD907</paraID>
      <start>47</start>
      <end>51</end>
      <status>unmodified</status>
      <modifiedWord/>
      <trackRevisions>false</trackRevisions>
    </reviewItem>
    <reviewItem>
      <errorID>89bd0a4f-07a2-42e4-8915-c8cdcf01c93c</errorID>
      <errorWord>-</errorWord>
      <group>L1_Format</group>
      <groupName>格式问题</groupName>
      <ability>L2_HalfPunc_CN</ability>
      <abilityName>全半角问题</abilityName>
      <candidateList>
        <item>－</item>
      </candidateList>
      <explain>文本全半角错误。</explain>
      <paraID>60FBE411</paraID>
      <start>1</start>
      <end>2</end>
      <status>unmodified</status>
      <modifiedWord/>
      <trackRevisions>false</trackRevisions>
    </reviewItem>
    <reviewItem>
      <errorID>a226ba33-f49c-4cc5-a7e6-d0ccad0d4f87</errorID>
      <errorWord>-</errorWord>
      <group>L1_Format</group>
      <groupName>格式问题</groupName>
      <ability>L2_HalfPunc_CN</ability>
      <abilityName>全半角问题</abilityName>
      <candidateList>
        <item>－</item>
      </candidateList>
      <explain>文本全半角错误。</explain>
      <paraID>3A694A33</paraID>
      <start>1</start>
      <end>2</end>
      <status>unmodified</status>
      <modifiedWord/>
      <trackRevisions>false</trackRevisions>
    </reviewItem>
    <reviewItem>
      <errorID>032ad0c5-1e72-446a-a48c-c32d8d26be4b</errorID>
      <errorWord>-</errorWord>
      <group>L1_Format</group>
      <groupName>格式问题</groupName>
      <ability>L2_HalfPunc_CN</ability>
      <abilityName>全半角问题</abilityName>
      <candidateList>
        <item>－</item>
      </candidateList>
      <explain>文本全半角错误。</explain>
      <paraID>191AD193</paraID>
      <start>88</start>
      <end>89</end>
      <status>unmodified</status>
      <modifiedWord/>
      <trackRevisions>false</trackRevisions>
    </reviewItem>
    <reviewItem>
      <errorID>0f2f647b-cdc0-4e4d-be6c-5fb98fba9af3</errorID>
      <errorWord>回覆</errorWord>
      <group>L1_Word</group>
      <groupName>字词问题</groupName>
      <ability>L2_Fanti</ability>
      <abilityName>繁转简</abilityName>
      <candidateList>
        <item>回复</item>
      </candidateList>
      <explain/>
      <paraID>44A52217</paraID>
      <start>41</start>
      <end>43</end>
      <status>unmodified</status>
      <modifiedWord/>
      <trackRevisions>false</trackRevisions>
    </reviewItem>
    <reviewItem>
      <errorID>6f6d9bf6-1148-4217-b360-692d1dea6217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2E8A1664</paraID>
      <start>0</start>
      <end>2</end>
      <status>unmodified</status>
      <modifiedWord/>
      <trackRevisions>false</trackRevisions>
    </reviewItem>
    <reviewItem>
      <errorID>1d021304-718c-4f67-a31a-750c5316fa7a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6D6DAB93</paraID>
      <start>0</start>
      <end>2</end>
      <status>unmodified</status>
      <modifiedWord/>
      <trackRevisions>false</trackRevisions>
    </reviewItem>
    <reviewItem>
      <errorID>bb6565d8-ad0a-4b70-97ef-d73e49422d15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4EDE3115</paraID>
      <start>0</start>
      <end>2</end>
      <status>unmodified</status>
      <modifiedWord/>
      <trackRevisions>false</trackRevisions>
    </reviewItem>
    <reviewItem>
      <errorID>67f8684b-4590-4636-9040-b298d8725dc3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1091ABA3</paraID>
      <start>0</start>
      <end>2</end>
      <status>unmodified</status>
      <modifiedWord/>
      <trackRevisions>false</trackRevisions>
    </reviewItem>
    <reviewItem>
      <errorID>77c32f5a-a99b-44cc-b58d-4ca2f5dc4b30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59B99D8A</paraID>
      <start>0</start>
      <end>2</end>
      <status>unmodified</status>
      <modifiedWord/>
      <trackRevisions>false</trackRevisions>
    </reviewItem>
    <reviewItem>
      <errorID>80f43af0-2ed0-4b49-85d9-510423bd2a2c</errorID>
      <errorWord>(</errorWord>
      <group>L1_Format</group>
      <groupName>格式问题</groupName>
      <ability>L2_HalfPunc_CN</ability>
      <abilityName>全半角问题</abilityName>
      <candidateList>
        <item>（</item>
      </candidateList>
      <explain>文本全半角错误。</explain>
      <paraID>457DCD90</paraID>
      <start>18</start>
      <end>19</end>
      <status>unmodified</status>
      <modifiedWord/>
      <trackRevisions>false</trackRevisions>
    </reviewItem>
    <reviewItem>
      <errorID>da0c527e-9000-410b-9c07-b06dfeb18ded</errorID>
      <errorWord>)</errorWord>
      <group>L1_Format</group>
      <groupName>格式问题</groupName>
      <ability>L2_HalfPunc_CN</ability>
      <abilityName>全半角问题</abilityName>
      <candidateList>
        <item>）</item>
      </candidateList>
      <explain>文本全半角错误。</explain>
      <paraID>457DCD90</paraID>
      <start>31</start>
      <end>32</end>
      <status>unmodified</status>
      <modifiedWord/>
      <trackRevisions>false</trackRevisions>
    </reviewItem>
    <reviewItem>
      <errorID>578bde5b-e0d2-48d9-bf1a-1cb0ae1b0123</errorID>
      <errorWord>(</errorWord>
      <group>L1_Format</group>
      <groupName>格式问题</groupName>
      <ability>L2_HalfPunc_CN</ability>
      <abilityName>全半角问题</abilityName>
      <candidateList>
        <item>（</item>
      </candidateList>
      <explain>文本全半角错误。</explain>
      <paraID>36C25CAF</paraID>
      <start>2</start>
      <end>3</end>
      <status>unmodified</status>
      <modifiedWord/>
      <trackRevisions>false</trackRevisions>
    </reviewItem>
    <reviewItem>
      <errorID>d83e0538-b3ef-4307-b534-d3ba5c6dd21d</errorID>
      <errorWord>)</errorWord>
      <group>L1_Format</group>
      <groupName>格式问题</groupName>
      <ability>L2_HalfPunc_CN</ability>
      <abilityName>全半角问题</abilityName>
      <candidateList>
        <item>）</item>
      </candidateList>
      <explain>文本全半角错误。</explain>
      <paraID>36C25CAF</paraID>
      <start>4</start>
      <end>5</end>
      <status>unmodified</status>
      <modifiedWord/>
      <trackRevisions>false</trackRevisions>
    </reviewItem>
    <reviewItem>
      <errorID>21c896e0-87f1-4fd2-8dfc-df561240c84b</errorID>
      <errorWord>(</errorWord>
      <group>L1_Format</group>
      <groupName>格式问题</groupName>
      <ability>L2_HalfPunc_CN</ability>
      <abilityName>全半角问题</abilityName>
      <candidateList>
        <item>（</item>
      </candidateList>
      <explain>文本全半角错误。</explain>
      <paraID>4C14DD25</paraID>
      <start>4</start>
      <end>5</end>
      <status>unmodified</status>
      <modifiedWord/>
      <trackRevisions>false</trackRevisions>
    </reviewItem>
    <reviewItem>
      <errorID>e831c468-6f42-4f48-8032-5407fd14af5a</errorID>
      <errorWord>)</errorWord>
      <group>L1_Format</group>
      <groupName>格式问题</groupName>
      <ability>L2_HalfPunc_CN</ability>
      <abilityName>全半角问题</abilityName>
      <candidateList>
        <item>）</item>
      </candidateList>
      <explain>文本全半角错误。</explain>
      <paraID>4C14DD25</paraID>
      <start>6</start>
      <end>7</end>
      <status>unmodified</status>
      <modifiedWord/>
      <trackRevisions>false</trackRevisions>
    </reviewItem>
    <reviewItem>
      <errorID>1eec7f58-bbdf-4b66-b5fc-5a890d46a243</errorID>
      <errorWord>2026年05月09日</errorWord>
      <group>L1_Knowledge</group>
      <groupName>知识性问题</groupName>
      <ability>L2_Time</ability>
      <abilityName>日期时间</abilityName>
      <candidateList>
        <item>2026年5月9日</item>
      </candidateList>
      <explain>根据日常书写习惯，月份和日期一般会省略前导零。</explain>
      <paraID>463380D8</paraID>
      <start>0</start>
      <end>11</end>
      <status>unmodified</status>
      <modifiedWord/>
      <trackRevisions>false</trackRevisions>
    </reviewItem>
    <reviewItem>
      <errorID>f07957b6-63ee-44c5-8f4c-a86d246b1468</errorID>
      <errorWord>2026年05月09日</errorWord>
      <group>L1_Knowledge</group>
      <groupName>知识性问题</groupName>
      <ability>L2_Time</ability>
      <abilityName>日期时间</abilityName>
      <candidateList>
        <item>2026年5月9日</item>
      </candidateList>
      <explain>根据日常书写习惯，月份和日期一般会省略前导零。</explain>
      <paraID>17FA30B0</paraID>
      <start>0</start>
      <end>11</end>
      <status>unmodified</status>
      <modifiedWord/>
      <trackRevisions>false</trackRevisions>
    </reviewItem>
    <reviewItem>
      <errorID>4c5e1626-6a37-48a1-a989-6eaa5ce06bbc</errorID>
      <errorWord>(</errorWord>
      <group>L1_Format</group>
      <groupName>格式问题</groupName>
      <ability>L2_HalfPunc_CN</ability>
      <abilityName>全半角问题</abilityName>
      <candidateList>
        <item>（</item>
      </candidateList>
      <explain>文本全半角错误。</explain>
      <paraID>732ACDDE</paraID>
      <start>7</start>
      <end>8</end>
      <status>unmodified</status>
      <modifiedWord/>
      <trackRevisions>false</trackRevisions>
    </reviewItem>
    <reviewItem>
      <errorID>24ea80d3-9782-495c-9541-95db566517ca</errorID>
      <errorWord>)</errorWord>
      <group>L1_Format</group>
      <groupName>格式问题</groupName>
      <ability>L2_HalfPunc_CN</ability>
      <abilityName>全半角问题</abilityName>
      <candidateList>
        <item>）</item>
      </candidateList>
      <explain>文本全半角错误。</explain>
      <paraID>4C28A43A</paraID>
      <start>12</start>
      <end>13</end>
      <status>unmodified</status>
      <modifiedWord/>
      <trackRevisions>false</trackRevisions>
    </reviewItem>
    <reviewItem>
      <errorID>46349200-0a06-4c0b-b97e-74c2de345a76</errorID>
      <errorWord>(</errorWord>
      <group>L1_Format</group>
      <groupName>格式问题</groupName>
      <ability>L2_HalfPunc_CN</ability>
      <abilityName>全半角问题</abilityName>
      <candidateList>
        <item>（</item>
      </candidateList>
      <explain>文本全半角错误。</explain>
      <paraID>75DCC374</paraID>
      <start>64</start>
      <end>65</end>
      <status>unmodified</status>
      <modifiedWord/>
      <trackRevisions>false</trackRevisions>
    </reviewItem>
    <reviewItem>
      <errorID>bf6ddcfc-28f9-43ad-8090-3c1160feb360</errorID>
      <errorWord>(</errorWord>
      <group>L1_Format</group>
      <groupName>格式问题</groupName>
      <ability>L2_HalfPunc_CN</ability>
      <abilityName>全半角问题</abilityName>
      <candidateList>
        <item>（</item>
      </candidateList>
      <explain>文本全半角错误。</explain>
      <paraID>75DCC374</paraID>
      <start>74</start>
      <end>75</end>
      <status>unmodified</status>
      <modifiedWord/>
      <trackRevisions>false</trackRevisions>
    </reviewItem>
    <reviewItem>
      <errorID>7b3db6bf-70b7-45a5-aed7-27de81094c75</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31431D52</paraID>
      <start>0</start>
      <end>2</end>
      <status>unmodified</status>
      <modifiedWord/>
      <trackRevisions>false</trackRevisions>
    </reviewItem>
    <reviewItem>
      <errorID>ef5ce34c-67f3-4199-8b14-26c08c620c3b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3954288A</paraID>
      <start>0</start>
      <end>2</end>
      <status>unmodified</status>
      <modifiedWord/>
      <trackRevisions>false</trackRevisions>
    </reviewItem>
    <reviewItem>
      <errorID>16bc7b42-f4ea-41e7-aaf6-f4e85089ee25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6C08A082</paraID>
      <start>0</start>
      <end>2</end>
      <status>unmodified</status>
      <modifiedWord/>
      <trackRevisions>false</trackRevisions>
    </reviewItem>
    <reviewItem>
      <errorID>b10301bc-59f4-42ba-ad37-0e072cb37c06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55E1416F</paraID>
      <start>0</start>
      <end>2</end>
      <status>unmodified</status>
      <modifiedWord/>
      <trackRevisions>false</trackRevisions>
    </reviewItem>
    <reviewItem>
      <errorID>c453541c-62e1-4e8e-935d-c3a7eb061b93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12EFA50F</paraID>
      <start>0</start>
      <end>2</end>
      <status>unmodified</status>
      <modifiedWord/>
      <trackRevisions>false</trackRevisions>
    </reviewItem>
    <reviewItem>
      <errorID>03ffc81c-61ea-4d25-94b8-6dd343af6c8b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646D982B</paraID>
      <start>0</start>
      <end>2</end>
      <status>unmodified</status>
      <modifiedWord/>
      <trackRevisions>false</trackRevisions>
    </reviewItem>
    <reviewItem>
      <errorID>f4fe460c-fda8-43c9-8af9-7d3010a94533</errorID>
      <errorWord>法律、法规</errorWord>
      <group>L1_Word</group>
      <groupName>字词问题</groupName>
      <ability>L2_Typo</ability>
      <abilityName>字词错误</abilityName>
      <candidateList>
        <item>法律法规</item>
      </candidateList>
      <explain/>
      <paraID>5B7383AF</paraID>
      <start>132</start>
      <end>137</end>
      <status>unmodified</status>
      <modifiedWord/>
      <trackRevisions>false</trackRevisions>
    </reviewItem>
    <reviewItem>
      <errorID>df69e5d1-126a-4b2a-a77d-afb4ebdf6769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53E19F8</paraID>
      <start>0</start>
      <end>2</end>
      <status>unmodified</status>
      <modifiedWord/>
      <trackRevisions>false</trackRevisions>
    </reviewItem>
    <reviewItem>
      <errorID>b3486d56-eb81-463a-b874-142744729907</errorID>
      <errorWord>)</errorWord>
      <group>L1_Format</group>
      <groupName>格式问题</groupName>
      <ability>L2_HalfPunc_CN</ability>
      <abilityName>全半角问题</abilityName>
      <candidateList>
        <item>）</item>
      </candidateList>
      <explain>文本全半角错误。</explain>
      <paraID>5BB8FAB8</paraID>
      <start>32</start>
      <end>33</end>
      <status>unmodified</status>
      <modifiedWord/>
      <trackRevisions>false</trackRevisions>
    </reviewItem>
    <reviewItem>
      <errorID>c56dd56f-ac3c-4224-820d-480d19fe39ee</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17CE61A8</paraID>
      <start>0</start>
      <end>2</end>
      <status>unmodified</status>
      <modifiedWord/>
      <trackRevisions>false</trackRevisions>
    </reviewItem>
    <reviewItem>
      <errorID>1a8719cf-2581-400f-91de-ec5a88ff3e0d</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63852F0A</paraID>
      <start>0</start>
      <end>2</end>
      <status>unmodified</status>
      <modifiedWord/>
      <trackRevisions>false</trackRevisions>
    </reviewItem>
    <reviewItem>
      <errorID>6d8e86f7-8c4f-4800-ae9a-8e13265e03d3</errorID>
      <errorWord>(</errorWord>
      <group>L1_Format</group>
      <groupName>格式问题</groupName>
      <ability>L2_HalfPunc_CN</ability>
      <abilityName>全半角问题</abilityName>
      <candidateList>
        <item>（</item>
      </candidateList>
      <explain>文本全半角错误。</explain>
      <paraID> 76A77A4</paraID>
      <start>51</start>
      <end>52</end>
      <status>unmodified</status>
      <modifiedWord/>
      <trackRevisions>false</trackRevisions>
    </reviewItem>
    <reviewItem>
      <errorID>cdeaa32d-17c5-4da3-a45a-53fb7646529f</errorID>
      <errorWord>(</errorWord>
      <group>L1_Format</group>
      <groupName>格式问题</groupName>
      <ability>L2_HalfPunc_CN</ability>
      <abilityName>全半角问题</abilityName>
      <candidateList>
        <item>（</item>
      </candidateList>
      <explain>文本全半角错误。</explain>
      <paraID> 76A77A4</paraID>
      <start>61</start>
      <end>62</end>
      <status>unmodified</status>
      <modifiedWord/>
      <trackRevisions>false</trackRevisions>
    </reviewItem>
    <reviewItem>
      <errorID>b6e591eb-d0dd-4c1e-9fc6-b42a217ed6d2</errorID>
      <errorWord>即为</errorWord>
      <group>L1_Word</group>
      <groupName>字词问题</groupName>
      <ability>L2_Typo</ability>
      <abilityName>字词错误</abilityName>
      <candidateList>
        <item>即</item>
      </candidateList>
      <explain>〈书〉❶就是：荷花～莲花｜非此～彼。❷〈副〉就；便：一触～发｜招之～来｜闻过～改。❸〈连〉即使：～无他方之支援，也能按期完成任务。参看733页“就2”。</explain>
      <paraID>34BBAE96</paraID>
      <start>119</start>
      <end>121</end>
      <status>unmodified</status>
      <modifiedWord/>
      <trackRevisions>false</trackRevisions>
    </reviewItem>
    <reviewItem>
      <errorID>2b461f87-0d0a-4edd-a5b7-2c9695c00b6c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7F18E676</paraID>
      <start>0</start>
      <end>2</end>
      <status>unmodified</status>
      <modifiedWord/>
      <trackRevisions>false</trackRevisions>
    </reviewItem>
    <reviewItem>
      <errorID>8620386b-1505-4672-8369-687a40fd01c5</errorID>
      <errorWord>(</errorWord>
      <group>L1_Format</group>
      <groupName>格式问题</groupName>
      <ability>L2_HalfPunc_CN</ability>
      <abilityName>全半角问题</abilityName>
      <candidateList>
        <item>（</item>
      </candidateList>
      <explain>文本全半角错误。</explain>
      <paraID>719915C7</paraID>
      <start>43</start>
      <end>44</end>
      <status>unmodified</status>
      <modifiedWord/>
      <trackRevisions>false</trackRevisions>
    </reviewItem>
    <reviewItem>
      <errorID>81fb84df-ee61-4e08-9d5a-06961bf75e94</errorID>
      <errorWord>(</errorWord>
      <group>L1_Format</group>
      <groupName>格式问题</groupName>
      <ability>L2_HalfPunc_CN</ability>
      <abilityName>全半角问题</abilityName>
      <candidateList>
        <item>（</item>
      </candidateList>
      <explain>文本全半角错误。</explain>
      <paraID>719915C7</paraID>
      <start>54</start>
      <end>55</end>
      <status>unmodified</status>
      <modifiedWord/>
      <trackRevisions>false</trackRevisions>
    </reviewItem>
    <reviewItem>
      <errorID>66ff1e80-51fb-4af2-8589-321bfe835443</errorID>
      <errorWord>(</errorWord>
      <group>L1_Format</group>
      <groupName>格式问题</groupName>
      <ability>L2_HalfPunc_CN</ability>
      <abilityName>全半角问题</abilityName>
      <candidateList>
        <item>（</item>
      </candidateList>
      <explain>文本全半角错误。</explain>
      <paraID>18E55A2C</paraID>
      <start>117</start>
      <end>118</end>
      <status>unmodified</status>
      <modifiedWord/>
      <trackRevisions>false</trackRevisions>
    </reviewItem>
    <reviewItem>
      <errorID>6cb12992-bb0f-4908-9385-64ccf54de1fd</errorID>
      <errorWord>(</errorWord>
      <group>L1_Format</group>
      <groupName>格式问题</groupName>
      <ability>L2_HalfPunc_CN</ability>
      <abilityName>全半角问题</abilityName>
      <candidateList>
        <item>（</item>
      </candidateList>
      <explain>文本全半角错误。</explain>
      <paraID>18E55A2C</paraID>
      <start>127</start>
      <end>128</end>
      <status>unmodified</status>
      <modifiedWord/>
      <trackRevisions>false</trackRevisions>
    </reviewItem>
    <reviewItem>
      <errorID>57c22258-a29b-4b1b-9409-f150aca22fac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222B435E</paraID>
      <start>0</start>
      <end>2</end>
      <status>unmodified</status>
      <modifiedWord/>
      <trackRevisions>false</trackRevisions>
    </reviewItem>
    <reviewItem>
      <errorID>1d6d8ea2-a37f-48f7-9092-6c4c1ed801b9</errorID>
      <errorWord>期</errorWord>
      <group>L1_Word</group>
      <groupName>字词问题</groupName>
      <ability>L2_Typo</ability>
      <abilityName>字词错误</abilityName>
      <candidateList>
        <item>期间</item>
      </candidateList>
      <explain>〈名〉某个时期里面：农忙～｜春节～｜抗战～。</explain>
      <paraID>554EC4B8</paraID>
      <start>2</start>
      <end>3</end>
      <status>unmodified</status>
      <modifiedWord/>
      <trackRevisions>false</trackRevisions>
    </reviewItem>
    <reviewItem>
      <errorID>ec68f1e0-1f42-40ca-9435-7763fc3503b2</errorID>
      <errorWord>、及</errorWord>
      <group>L1_Other</group>
      <groupName>其他问题</groupName>
      <ability>L2_UserTypo</ability>
      <abilityName>自定义错误</abilityName>
      <candidateList>
        <item>及</item>
      </candidateList>
      <explain>来自自定义错词库。</explain>
      <paraID>554EC4B8</paraID>
      <start>66</start>
      <end>68</end>
      <status>unmodified</status>
      <modifiedWord/>
      <trackRevisions>false</trackRevisions>
    </reviewItem>
    <reviewItem>
      <errorID>414c4fb9-ad5d-4136-8df8-98a810b1a4f6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49DD9BD0</paraID>
      <start>0</start>
      <end>2</end>
      <status>unmodified</status>
      <modifiedWord/>
      <trackRevisions>false</trackRevisions>
    </reviewItem>
    <reviewItem>
      <errorID>86de4b90-54c4-40e9-b068-892011dbbd58</errorID>
      <errorWord>~</errorWord>
      <group>L1_Format</group>
      <groupName>格式问题</groupName>
      <ability>L2_HalfPunc_CN</ability>
      <abilityName>全半角问题</abilityName>
      <candidateList>
        <item>～</item>
      </candidateList>
      <explain>文本全半角错误。</explain>
      <paraID>23A063C7</paraID>
      <start>128</start>
      <end>129</end>
      <status>unmodified</status>
      <modifiedWord/>
      <trackRevisions>false</trackRevisions>
    </reviewItem>
    <reviewItem>
      <errorID>a4a0f9b3-d4f0-4f1d-869d-6b3af352090a</errorID>
      <errorWord>~</errorWord>
      <group>L1_Format</group>
      <groupName>格式问题</groupName>
      <ability>L2_HalfPunc_CN</ability>
      <abilityName>全半角问题</abilityName>
      <candidateList>
        <item>～</item>
      </candidateList>
      <explain>文本全半角错误。</explain>
      <paraID> 90BDAEF</paraID>
      <start>14</start>
      <end>15</end>
      <status>unmodified</status>
      <modifiedWord/>
      <trackRevisions>false</trackRevisions>
    </reviewItem>
    <reviewItem>
      <errorID>fc95f842-19b1-43db-b9a4-46dfe51052d1</errorID>
      <errorWord>~</errorWord>
      <group>L1_Format</group>
      <groupName>格式问题</groupName>
      <ability>L2_HalfPunc_CN</ability>
      <abilityName>全半角问题</abilityName>
      <candidateList>
        <item>～</item>
      </candidateList>
      <explain>文本全半角错误。</explain>
      <paraID> 90BDAEF</paraID>
      <start>26</start>
      <end>27</end>
      <status>unmodified</status>
      <modifiedWord/>
      <trackRevisions>false</trackRevisions>
    </reviewItem>
    <reviewItem>
      <errorID>1aceeae9-53c1-40cf-9b9f-a9d33023b05b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23AC1F4C</paraID>
      <start>0</start>
      <end>2</end>
      <status>unmodified</status>
      <modifiedWord/>
      <trackRevisions>false</trackRevisions>
    </reviewItem>
    <reviewItem>
      <errorID>8b5dcc43-81e1-4d42-8fe8-84ade9ea9636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1DB3C73A</paraID>
      <start>0</start>
      <end>2</end>
      <status>unmodified</status>
      <modifiedWord/>
      <trackRevisions>false</trackRevisions>
    </reviewItem>
    <reviewItem>
      <errorID>167b8ac8-5314-4a64-9d52-4ad3d9d6b361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703D2F7A</paraID>
      <start>0</start>
      <end>2</end>
      <status>unmodified</status>
      <modifiedWord/>
      <trackRevisions>false</trackRevisions>
    </reviewItem>
    <reviewItem>
      <errorID>91abdd62-9e1d-4856-a6d3-cdd68845ed75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7E4F78CD</paraID>
      <start>0</start>
      <end>2</end>
      <status>unmodified</status>
      <modifiedWord/>
      <trackRevisions>false</trackRevisions>
    </reviewItem>
    <reviewItem>
      <errorID>c54067f1-2de9-452c-84ba-413e6beb954f</errorID>
      <errorWord>(</errorWord>
      <group>L1_Format</group>
      <groupName>格式问题</groupName>
      <ability>L2_HalfPunc_CN</ability>
      <abilityName>全半角问题</abilityName>
      <candidateList>
        <item>（</item>
      </candidateList>
      <explain>文本全半角错误。</explain>
      <paraID>49DA3DDE</paraID>
      <start>87</start>
      <end>88</end>
      <status>unmodified</status>
      <modifiedWord/>
      <trackRevisions>false</trackRevisions>
    </reviewItem>
    <reviewItem>
      <errorID>ce2a63ca-31a9-4054-adec-6e5e8f5c2e5f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7FE06000</paraID>
      <start>0</start>
      <end>2</end>
      <status>unmodified</status>
      <modifiedWord/>
      <trackRevisions>false</trackRevisions>
    </reviewItem>
    <reviewItem>
      <errorID>712d8b9a-c9bf-435d-b351-d96e82790c66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1B2ECD46</paraID>
      <start>0</start>
      <end>2</end>
      <status>unmodified</status>
      <modifiedWord/>
      <trackRevisions>false</trackRevisions>
    </reviewItem>
    <reviewItem>
      <errorID>80f9d4cc-975b-4c14-adf7-aab843f2d37d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53147419</paraID>
      <start>0</start>
      <end>2</end>
      <status>unmodified</status>
      <modifiedWord/>
      <trackRevisions>false</trackRevisions>
    </reviewItem>
    <reviewItem>
      <errorID>7b2576cc-156f-4b4a-acae-ec8043d62e56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4A601A0A</paraID>
      <start>0</start>
      <end>2</end>
      <status>unmodified</status>
      <modifiedWord/>
      <trackRevisions>false</trackRevisions>
    </reviewItem>
    <reviewItem>
      <errorID>6506a8e4-fdf1-4e03-bca4-4f3509d017ea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196A650F</paraID>
      <start>0</start>
      <end>2</end>
      <status>unmodified</status>
      <modifiedWord/>
      <trackRevisions>false</trackRevisions>
    </reviewItem>
    <reviewItem>
      <errorID>dec8d2c0-a5d4-41a9-aed3-4d305e865452</errorID>
      <errorWord>）</errorWord>
      <group>L1_Format</group>
      <groupName>格式问题</groupName>
      <ability>L2_HalfPunc_CN</ability>
      <abilityName>全半角问题</abilityName>
      <candidateList>
        <item>)</item>
      </candidateList>
      <explain>文本全半角错误。</explain>
      <paraID>16985F12</paraID>
      <start>107</start>
      <end>108</end>
      <status>unmodified</status>
      <modifiedWord/>
      <trackRevisions>false</trackRevisions>
    </reviewItem>
    <reviewItem>
      <errorID>ee42affe-71e6-4a07-a5bd-ea4b259fb462</errorID>
      <errorWord>（</errorWord>
      <group>L1_Punc</group>
      <groupName>标点问题</groupName>
      <ability>L2_Punc_CN</ability>
      <abilityName>标点符号问题</abilityName>
      <candidateList/>
      <explain>同一形式括号套用。</explain>
      <paraID>23436002</paraID>
      <start>12</start>
      <end>13</end>
      <status>unmodified</status>
      <modifiedWord/>
      <trackRevisions>false</trackRevisions>
    </reviewItem>
    <reviewItem>
      <errorID>7c7f1a7d-0822-478c-b72e-f218c15388a9</errorID>
      <errorWord>(</errorWord>
      <group>L1_Punc</group>
      <groupName>标点问题</groupName>
      <ability>L2_Punc_CN</ability>
      <abilityName>标点符号问题</abilityName>
      <candidateList/>
      <explain>同一形式括号套用。</explain>
      <paraID>23436002</paraID>
      <start>15</start>
      <end>16</end>
      <status>unmodified</status>
      <modifiedWord/>
      <trackRevisions>false</trackRevisions>
    </reviewItem>
    <reviewItem>
      <errorID>f0411127-9438-4d57-bc03-dd25e534508d</errorID>
      <errorWord>)</errorWord>
      <group>L1_Punc</group>
      <groupName>标点问题</groupName>
      <ability>L2_Punc_CN</ability>
      <abilityName>标点符号问题</abilityName>
      <candidateList/>
      <explain>同一形式括号套用。</explain>
      <paraID>23436002</paraID>
      <start>17</start>
      <end>18</end>
      <status>unmodified</status>
      <modifiedWord/>
      <trackRevisions>false</trackRevisions>
    </reviewItem>
    <reviewItem>
      <errorID>5f27d0be-7bcb-44ca-9c2a-e0e70c964f51</errorID>
      <errorWord>）</errorWord>
      <group>L1_Punc</group>
      <groupName>标点问题</groupName>
      <ability>L2_Punc_CN</ability>
      <abilityName>标点符号问题</abilityName>
      <candidateList/>
      <explain>同一形式括号套用。</explain>
      <paraID>23436002</paraID>
      <start>20</start>
      <end>21</end>
      <status>unmodified</status>
      <modifiedWord/>
      <trackRevisions>false</trackRevisions>
    </reviewItem>
    <reviewItem>
      <errorID>2988377e-3980-4ec0-9164-df72982d1b73</errorID>
      <errorWord>)</errorWord>
      <group>L1_Format</group>
      <groupName>格式问题</groupName>
      <ability>L2_HalfPunc_CN</ability>
      <abilityName>全半角问题</abilityName>
      <candidateList>
        <item>）</item>
      </candidateList>
      <explain>文本全半角错误。</explain>
      <paraID> F3869C8</paraID>
      <start>8</start>
      <end>9</end>
      <status>unmodified</status>
      <modifiedWord/>
      <trackRevisions>false</trackRevisions>
    </reviewItem>
    <reviewItem>
      <errorID>553a0908-54fe-42d5-adfe-1fdcb0ca933e</errorID>
      <errorWord>)</errorWord>
      <group>L1_Format</group>
      <groupName>格式问题</groupName>
      <ability>L2_HalfPunc_CN</ability>
      <abilityName>全半角问题</abilityName>
      <candidateList>
        <item>）</item>
      </candidateList>
      <explain>文本全半角错误。</explain>
      <paraID>35D15A6F</paraID>
      <start>9</start>
      <end>10</end>
      <status>unmodified</status>
      <modifiedWord/>
      <trackRevisions>false</trackRevisions>
    </reviewItem>
    <reviewItem>
      <errorID>c457c992-231b-47c4-b5d0-f14cd6b4321e</errorID>
      <errorWord>）</errorWord>
      <group>L1_Format</group>
      <groupName>格式问题</groupName>
      <ability>L2_HalfPunc_CN</ability>
      <abilityName>全半角问题</abilityName>
      <candidateList>
        <item>)</item>
      </candidateList>
      <explain>文本全半角错误。</explain>
      <paraID>3FE23006</paraID>
      <start>53</start>
      <end>54</end>
      <status>unmodified</status>
      <modifiedWord/>
      <trackRevisions>false</trackRevisions>
    </reviewItem>
    <reviewItem>
      <errorID>f3a62eff-e71e-43d8-8ecb-ea02898207ad</errorID>
      <errorWord>）</errorWord>
      <group>L1_Format</group>
      <groupName>格式问题</groupName>
      <ability>L2_HalfPunc_CN</ability>
      <abilityName>全半角问题</abilityName>
      <candidateList>
        <item>)</item>
      </candidateList>
      <explain>文本全半角错误。</explain>
      <paraID>3FE23006</paraID>
      <start>74</start>
      <end>75</end>
      <status>unmodified</status>
      <modifiedWord/>
      <trackRevisions>false</trackRevisions>
    </reviewItem>
    <reviewItem>
      <errorID>77e6c98a-6968-4b31-89ff-f9d70b47aced</errorID>
      <errorWord>(</errorWord>
      <group>L1_Format</group>
      <groupName>格式问题</groupName>
      <ability>L2_HalfPunc_CN</ability>
      <abilityName>全半角问题</abilityName>
      <candidateList>
        <item>（</item>
      </candidateList>
      <explain>文本全半角错误。</explain>
      <paraID>3FE23006</paraID>
      <start>123</start>
      <end>124</end>
      <status>unmodified</status>
      <modifiedWord/>
      <trackRevisions>false</trackRevisions>
    </reviewItem>
    <reviewItem>
      <errorID>78b8c75a-29bd-4ed9-8613-4597072a4abc</errorID>
      <errorWord>(</errorWord>
      <group>L1_Format</group>
      <groupName>格式问题</groupName>
      <ability>L2_HalfPunc_CN</ability>
      <abilityName>全半角问题</abilityName>
      <candidateList>
        <item>（</item>
      </candidateList>
      <explain>文本全半角错误。</explain>
      <paraID>3FE23006</paraID>
      <start>137</start>
      <end>138</end>
      <status>unmodified</status>
      <modifiedWord/>
      <trackRevisions>false</trackRevisions>
    </reviewItem>
    <reviewItem>
      <errorID>4ca3eee3-a657-4b83-9b33-2f6609878810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E9A9840</paraID>
      <start>0</start>
      <end>3</end>
      <status>unmodified</status>
      <modifiedWord/>
      <trackRevisions>false</trackRevisions>
    </reviewItem>
    <reviewItem>
      <errorID>702ce866-6e22-4fb1-91b9-bd9028f26556</errorID>
      <errorWord>~</errorWord>
      <group>L1_Format</group>
      <groupName>格式问题</groupName>
      <ability>L2_HalfPunc_CN</ability>
      <abilityName>全半角问题</abilityName>
      <candidateList>
        <item>～</item>
      </candidateList>
      <explain>文本全半角错误。</explain>
      <paraID>5E5F9331</paraID>
      <start>44</start>
      <end>45</end>
      <status>unmodified</status>
      <modifiedWord/>
      <trackRevisions>false</trackRevisions>
    </reviewItem>
    <reviewItem>
      <errorID>cd2b5127-0821-41b0-a101-b24b6c416af6</errorID>
      <errorWord>～</errorWord>
      <group>L1_Format</group>
      <groupName>格式问题</groupName>
      <ability>L2_HalfPunc_CN</ability>
      <abilityName>全半角问题</abilityName>
      <candidateList>
        <item>~</item>
      </candidateList>
      <explain>文本全半角错误。</explain>
      <paraID>68988DCF</paraID>
      <start>6</start>
      <end>7</end>
      <status>unmodified</status>
      <modifiedWord/>
      <trackRevisions>false</trackRevisions>
    </reviewItem>
    <reviewItem>
      <errorID>2ddc6982-fc09-486e-b425-64313bc2c9db</errorID>
      <errorWord>～</errorWord>
      <group>L1_Format</group>
      <groupName>格式问题</groupName>
      <ability>L2_HalfPunc_CN</ability>
      <abilityName>全半角问题</abilityName>
      <candidateList>
        <item>~</item>
      </candidateList>
      <explain>文本全半角错误。</explain>
      <paraID>7080742C</paraID>
      <start>5</start>
      <end>6</end>
      <status>unmodified</status>
      <modifiedWord/>
      <trackRevisions>false</trackRevisions>
    </reviewItem>
    <reviewItem>
      <errorID>eaaec177-8b70-479c-87d8-1db1026f079e</errorID>
      <errorWord>～</errorWord>
      <group>L1_Format</group>
      <groupName>格式问题</groupName>
      <ability>L2_HalfPunc_CN</ability>
      <abilityName>全半角问题</abilityName>
      <candidateList>
        <item>~</item>
      </candidateList>
      <explain>文本全半角错误。</explain>
      <paraID>1F598D42</paraID>
      <start>5</start>
      <end>6</end>
      <status>unmodified</status>
      <modifiedWord/>
      <trackRevisions>false</trackRevisions>
    </reviewItem>
    <reviewItem>
      <errorID>ffd6e650-feb6-4895-aad9-26750a752f37</errorID>
      <errorWord>～</errorWord>
      <group>L1_Format</group>
      <groupName>格式问题</groupName>
      <ability>L2_HalfPunc_CN</ability>
      <abilityName>全半角问题</abilityName>
      <candidateList>
        <item>~</item>
      </candidateList>
      <explain>文本全半角错误。</explain>
      <paraID>533A4841</paraID>
      <start>5</start>
      <end>6</end>
      <status>unmodified</status>
      <modifiedWord/>
      <trackRevisions>false</trackRevisions>
    </reviewItem>
    <reviewItem>
      <errorID>9fb26dbb-8d39-417f-9d6c-df08de7f3727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6B4C790</paraID>
      <start>0</start>
      <end>2</end>
      <status>unmodified</status>
      <modifiedWord/>
      <trackRevisions>false</trackRevisions>
    </reviewItem>
    <reviewItem>
      <errorID>ca44a6ab-d5b1-41ca-ad83-106b91e36523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43CD00FB</paraID>
      <start>0</start>
      <end>2</end>
      <status>unmodified</status>
      <modifiedWord/>
      <trackRevisions>false</trackRevisions>
    </reviewItem>
    <reviewItem>
      <errorID>bef51aee-9b91-400b-9d97-01bb8954eede</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2C9A448</paraID>
      <start>70</start>
      <end>71</end>
      <status>unmodified</status>
      <modifiedWord/>
      <trackRevisions>false</trackRevisions>
    </reviewItem>
    <reviewItem>
      <errorID>7d0d53ce-9a28-43b8-a9d0-c1bde23416ba</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2C9A448</paraID>
      <start>83</start>
      <end>84</end>
      <status>unmodified</status>
      <modifiedWord/>
      <trackRevisions>false</trackRevisions>
    </reviewItem>
    <reviewItem>
      <errorID>9671f565-a1ed-4852-a3cb-4d97f0ff2907</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2C9A448</paraID>
      <start>245</start>
      <end>246</end>
      <status>unmodified</status>
      <modifiedWord/>
      <trackRevisions>false</trackRevisions>
    </reviewItem>
    <reviewItem>
      <errorID>e9b246b9-cbcc-4ef9-b273-5bbdb3226e09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2C9A448</paraID>
      <start>340</start>
      <end>341</end>
      <status>unmodified</status>
      <modifiedWord/>
      <trackRevisions>false</trackRevisions>
    </reviewItem>
    <reviewItem>
      <errorID>01f8e88f-eb58-457f-94d0-0e1177c15e74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7F6D937E</paraID>
      <start>61</start>
      <end>62</end>
      <status>unmodified</status>
      <modifiedWord/>
      <trackRevisions>false</trackRevisions>
    </reviewItem>
    <reviewItem>
      <errorID>e407e531-fbe1-4917-bd2e-0937f4b9bb2d</errorID>
      <errorWord>（</errorWord>
      <group>L1_Format</group>
      <groupName>格式问题</groupName>
      <ability>L2_HalfPunc_CN</ability>
      <abilityName>全半角问题</abilityName>
      <candidateList>
        <item>(</item>
      </candidateList>
      <explain>文本全半角错误。</explain>
      <paraID>316FCC5C</paraID>
      <start>4</start>
      <end>5</end>
      <status>unmodified</status>
      <modifiedWord/>
      <trackRevisions>false</trackRevisions>
    </reviewItem>
    <reviewItem>
      <errorID>771c324d-e63d-4c2e-9452-354822ec84e2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2A34E518</paraID>
      <start>1</start>
      <end>2</end>
      <status>unmodified</status>
      <modifiedWord/>
      <trackRevisions>false</trackRevisions>
    </reviewItem>
    <reviewItem>
      <errorID>b8b685a7-d8af-418f-8d24-7fb02e4713ce</errorID>
      <errorWord>（</errorWord>
      <group>L1_Format</group>
      <groupName>格式问题</groupName>
      <ability>L2_HalfPunc_CN</ability>
      <abilityName>全半角问题</abilityName>
      <candidateList>
        <item>(</item>
      </candidateList>
      <explain>文本全半角错误。</explain>
      <paraID>4A12CFD8</paraID>
      <start>2</start>
      <end>3</end>
      <status>unmodified</status>
      <modifiedWord/>
      <trackRevisions>false</trackRevisions>
    </reviewItem>
    <reviewItem>
      <errorID>04a55daa-2b39-47e3-b3df-75915f8699bc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52611741</paraID>
      <start>0</start>
      <end>2</end>
      <status>unmodified</status>
      <modifiedWord/>
      <trackRevisions>false</trackRevisions>
    </reviewItem>
    <reviewItem>
      <errorID>a67957da-9fbf-46bb-b7a8-fd67dfe7f586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553F45CC</paraID>
      <start>0</start>
      <end>2</end>
      <status>unmodified</status>
      <modifiedWord/>
      <trackRevisions>false</trackRevisions>
    </reviewItem>
    <reviewItem>
      <errorID>31d606de-b0ab-4e13-905c-042fdfac0460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2598F1E4</paraID>
      <start>31</start>
      <end>32</end>
      <status>unmodified</status>
      <modifiedWord/>
      <trackRevisions>false</trackRevisions>
    </reviewItem>
    <reviewItem>
      <errorID>fa62ffcf-2cd6-4543-9666-19c9ad8ccae0</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2598F1E4</paraID>
      <start>73</start>
      <end>74</end>
      <status>unmodified</status>
      <modifiedWord/>
      <trackRevisions>false</trackRevisions>
    </reviewItem>
    <reviewItem>
      <errorID>0fefce60-e2bd-4c7c-ad39-8475d1b0043f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2598F1E4</paraID>
      <start>132</start>
      <end>133</end>
      <status>unmodified</status>
      <modifiedWord/>
      <trackRevisions>false</trackRevisions>
    </reviewItem>
    <reviewItem>
      <errorID>613c3a29-28f8-488b-968f-a2f3a49f809b</errorID>
      <errorWord>-</errorWord>
      <group>L1_Format</group>
      <groupName>格式问题</groupName>
      <ability>L2_HalfPunc_CN</ability>
      <abilityName>全半角问题</abilityName>
      <candidateList>
        <item>－</item>
      </candidateList>
      <explain>文本全半角错误。</explain>
      <paraID>77848BE5</paraID>
      <start>22</start>
      <end>23</end>
      <status>unmodified</status>
      <modifiedWord/>
      <trackRevisions>false</trackRevisions>
    </reviewItem>
    <reviewItem>
      <errorID>962df14d-01cc-4ed0-853e-2cd1edf4c030</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 15A3D6D</paraID>
      <start>18</start>
      <end>19</end>
      <status>unmodified</status>
      <modifiedWord/>
      <trackRevisions>false</trackRevisions>
    </reviewItem>
    <reviewItem>
      <errorID>021cb811-71b7-4146-82f1-41ad011ab5b8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2BA5BE72</paraID>
      <start>0</start>
      <end>2</end>
      <status>unmodified</status>
      <modifiedWord/>
      <trackRevisions>false</trackRevisions>
    </reviewItem>
    <reviewItem>
      <errorID>5966f744-01b3-4b6a-905a-aef4657dc764</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21CCD0DE</paraID>
      <start>44</start>
      <end>45</end>
      <status>unmodified</status>
      <modifiedWord/>
      <trackRevisions>false</trackRevisions>
    </reviewItem>
    <reviewItem>
      <errorID>28e46f33-7211-49ee-bf5c-48a09e9d0d7c</errorID>
      <errorWord>其它</errorWord>
      <group>L1_Word</group>
      <groupName>字词问题</groupName>
      <ability>L2_Alias</ability>
      <abilityName>也作/曾用词</abilityName>
      <candidateList>
        <item>其他</item>
      </candidateList>
      <explain>词汇[其它]为不规范表述或旧称，其规范书面表述为[其他]。</explain>
      <paraID>497592D7</paraID>
      <start>69</start>
      <end>71</end>
      <status>unmodified</status>
      <modifiedWord/>
      <trackRevisions>false</trackRevisions>
    </reviewItem>
    <reviewItem>
      <errorID>5bf9c7db-a1d9-496c-b4d1-2406b2f66131</errorID>
      <errorWord>期</errorWord>
      <group>L1_Word</group>
      <groupName>字词问题</groupName>
      <ability>L2_Typo</ability>
      <abilityName>字词错误</abilityName>
      <candidateList>
        <item>期间</item>
      </candidateList>
      <explain>〈名〉某个时期里面：农忙～｜春节～｜抗战～。</explain>
      <paraID>6E7C0448</paraID>
      <start>5</start>
      <end>6</end>
      <status>unmodified</status>
      <modifiedWord/>
      <trackRevisions>false</trackRevisions>
    </reviewItem>
    <reviewItem>
      <errorID>adfb072d-b490-45db-a6ef-c83225d4e2dd</errorID>
      <errorWord>-</errorWord>
      <group>L1_Format</group>
      <groupName>格式问题</groupName>
      <ability>L2_HalfPunc_CN</ability>
      <abilityName>全半角问题</abilityName>
      <candidateList>
        <item>－</item>
      </candidateList>
      <explain>文本全半角错误。</explain>
      <paraID>747EB64B</paraID>
      <start>80</start>
      <end>81</end>
      <status>unmodified</status>
      <modifiedWord/>
      <trackRevisions>false</trackRevisions>
    </reviewItem>
    <reviewItem>
      <errorID>67cd501a-03ec-453a-83dc-350f060ae369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2B0F69CE</paraID>
      <start>0</start>
      <end>2</end>
      <status>unmodified</status>
      <modifiedWord/>
      <trackRevisions>false</trackRevisions>
    </reviewItem>
    <reviewItem>
      <errorID>6e1be806-5d3a-4840-883a-2ee5b9de1b30</errorID>
      <errorWord>电站内</errorWord>
      <group>L1_Word</group>
      <groupName>字词问题</groupName>
      <ability>L2_Typo</ability>
      <abilityName>字词错误</abilityName>
      <candidateList>
        <item>电站</item>
      </candidateList>
      <explain/>
      <paraID>3AE81EC9</paraID>
      <start>105</start>
      <end>108</end>
      <status>unmodified</status>
      <modifiedWord/>
      <trackRevisions>false</trackRevisions>
    </reviewItem>
    <reviewItem>
      <errorID>31259dc1-7b92-4d10-be37-309e20c5200e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12DBA0A5</paraID>
      <start>0</start>
      <end>2</end>
      <status>unmodified</status>
      <modifiedWord/>
      <trackRevisions>false</trackRevisions>
    </reviewItem>
    <reviewItem>
      <errorID>f9a19589-4d52-4520-97e7-79c10f364af0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6EFD9553</paraID>
      <start>0</start>
      <end>2</end>
      <status>unmodified</status>
      <modifiedWord/>
      <trackRevisions>false</trackRevisions>
    </reviewItem>
    <reviewItem>
      <errorID>0163cad5-1e50-4818-96b5-e469bcc4f6d1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530C65D3</paraID>
      <start>0</start>
      <end>2</end>
      <status>unmodified</status>
      <modifiedWord/>
      <trackRevisions>false</trackRevisions>
    </reviewItem>
    <reviewItem>
      <errorID>76f488f1-54b8-4107-af5e-465b4030f513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2371713A</paraID>
      <start>0</start>
      <end>2</end>
      <status>unmodified</status>
      <modifiedWord/>
      <trackRevisions>false</trackRevisions>
    </reviewItem>
    <reviewItem>
      <errorID>31744334-e455-4645-8d94-bf843d082a6f</errorID>
      <errorWord>、及</errorWord>
      <group>L1_Other</group>
      <groupName>其他问题</groupName>
      <ability>L2_UserTypo</ability>
      <abilityName>自定义错误</abilityName>
      <candidateList>
        <item>及</item>
      </candidateList>
      <explain>来自自定义错词库。</explain>
      <paraID> D0C10F7</paraID>
      <start>22</start>
      <end>24</end>
      <status>unmodified</status>
      <modifiedWord/>
      <trackRevisions>false</trackRevisions>
    </reviewItem>
    <reviewItem>
      <errorID>19217e59-9bda-46d5-88f8-3ea72c4515c4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685D89D3</paraID>
      <start>0</start>
      <end>2</end>
      <status>unmodified</status>
      <modifiedWord/>
      <trackRevisions>false</trackRevisions>
    </reviewItem>
    <reviewItem>
      <errorID>5ef2431f-014f-4587-b8a4-c273fd800f92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4EDA2C56</paraID>
      <start>0</start>
      <end>2</end>
      <status>unmodified</status>
      <modifiedWord/>
      <trackRevisions>false</trackRevisions>
    </reviewItem>
    <reviewItem>
      <errorID>b0d31d25-776a-4b43-960c-ecefb1ef6220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61CA29D4</paraID>
      <start>0</start>
      <end>2</end>
      <status>unmodified</status>
      <modifiedWord/>
      <trackRevisions>false</trackRevisions>
    </reviewItem>
    <reviewItem>
      <errorID>cd895621-afc2-43e4-b7f6-e9f73227e1f8</errorID>
      <errorWord>曝露</errorWord>
      <group>L1_Word</group>
      <groupName>字词问题</groupName>
      <ability>L2_Typo</ability>
      <abilityName>字词错误</abilityName>
      <candidateList>
        <item>暴露</item>
      </candidateList>
      <explain>〈动〉（隐蔽的事物、缺陷、矛盾、问题等）显露出来：～目标｜～无遗。</explain>
      <paraID>3BD053AC</paraID>
      <start>33</start>
      <end>35</end>
      <status>unmodified</status>
      <modifiedWord/>
      <trackRevisions>false</trackRevisions>
    </reviewItem>
    <reviewItem>
      <errorID>55754364-efaa-4b6a-8a94-e5f8bca20b82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2355B0EC</paraID>
      <start>0</start>
      <end>2</end>
      <status>unmodified</status>
      <modifiedWord/>
      <trackRevisions>false</trackRevisions>
    </reviewItem>
    <reviewItem>
      <errorID>9c14b199-fe39-4897-bbae-f2b674eb5c3f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6C3E9CB</paraID>
      <start>0</start>
      <end>2</end>
      <status>unmodified</status>
      <modifiedWord/>
      <trackRevisions>false</trackRevisions>
    </reviewItem>
    <reviewItem>
      <errorID>302ba1c1-cb91-4286-a0ab-e3092389087f</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7C1AA0DC</paraID>
      <start>10</start>
      <end>11</end>
      <status>unmodified</status>
      <modifiedWord/>
      <trackRevisions>false</trackRevisions>
    </reviewItem>
    <reviewItem>
      <errorID>27fbabcb-d3fe-4f6d-9ce1-682fe4cd9729</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4382F911</paraID>
      <start>9</start>
      <end>10</end>
      <status>unmodified</status>
      <modifiedWord/>
      <trackRevisions>false</trackRevisions>
    </reviewItem>
    <reviewItem>
      <errorID>36878dab-1a32-4c99-a598-88d3fad19b4c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49BF5889</paraID>
      <start>0</start>
      <end>2</end>
      <status>unmodified</status>
      <modifiedWord/>
      <trackRevisions>false</trackRevisions>
    </reviewItem>
    <reviewItem>
      <errorID>8ef45cef-8268-4c09-8d22-1eec1575f662</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4B53DA46</paraID>
      <start>22</start>
      <end>23</end>
      <status>unmodified</status>
      <modifiedWord/>
      <trackRevisions>false</trackRevisions>
    </reviewItem>
    <reviewItem>
      <errorID>0aa9855f-5ca4-4bbf-b5fe-c88f79c2c5f8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6F06B52D</paraID>
      <start>0</start>
      <end>2</end>
      <status>unmodified</status>
      <modifiedWord/>
      <trackRevisions>false</trackRevisions>
    </reviewItem>
    <reviewItem>
      <errorID>0d852188-bfef-4961-837b-22acd9fbb69d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4544889F</paraID>
      <start>0</start>
      <end>2</end>
      <status>unmodified</status>
      <modifiedWord/>
      <trackRevisions>false</trackRevisions>
    </reviewItem>
    <reviewItem>
      <errorID>bf973733-9d34-4761-9bb9-e60d6ea2703c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60415548</paraID>
      <start>0</start>
      <end>2</end>
      <status>unmodified</status>
      <modifiedWord/>
      <trackRevisions>false</trackRevisions>
    </reviewItem>
    <reviewItem>
      <errorID>6c92f7aa-05dc-4d2f-b897-828090bae34b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3EBD1177</paraID>
      <start>0</start>
      <end>2</end>
      <status>unmodified</status>
      <modifiedWord/>
      <trackRevisions>false</trackRevisions>
    </reviewItem>
    <reviewItem>
      <errorID>e8d3aae9-fb99-4983-a6f7-622c4cb230d3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7653CB35</paraID>
      <start>0</start>
      <end>2</end>
      <status>unmodified</status>
      <modifiedWord/>
      <trackRevisions>false</trackRevisions>
    </reviewItem>
    <reviewItem>
      <errorID>af5ef496-845d-420e-8255-d02582c978a6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7A7AD50</paraID>
      <start>0</start>
      <end>2</end>
      <status>unmodified</status>
      <modifiedWord/>
      <trackRevisions>false</trackRevisions>
    </reviewItem>
    <reviewItem>
      <errorID>6a06824f-79c6-4bcc-9bd8-df945413e4d3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45E5AC32</paraID>
      <start>0</start>
      <end>2</end>
      <status>unmodified</status>
      <modifiedWord/>
      <trackRevisions>false</trackRevisions>
    </reviewItem>
    <reviewItem>
      <errorID>75c34c13-a28f-4292-80a7-ff9a09459bf5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170BE1F1</paraID>
      <start>0</start>
      <end>2</end>
      <status>unmodified</status>
      <modifiedWord/>
      <trackRevisions>false</trackRevisions>
    </reviewItem>
    <reviewItem>
      <errorID>1c6264d4-420a-474c-892c-798ec49c678f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3DE7A3FB</paraID>
      <start>0</start>
      <end>2</end>
      <status>unmodified</status>
      <modifiedWord/>
      <trackRevisions>false</trackRevisions>
    </reviewItem>
    <reviewItem>
      <errorID>5337152e-d65f-447d-874a-806b071a7a03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12A65505</paraID>
      <start>0</start>
      <end>2</end>
      <status>unmodified</status>
      <modifiedWord/>
      <trackRevisions>false</trackRevisions>
    </reviewItem>
    <reviewItem>
      <errorID>6038873f-3bb1-4d5a-bee1-68f80e880002</errorID>
      <errorWord>、及</errorWord>
      <group>L1_Other</group>
      <groupName>其他问题</groupName>
      <ability>L2_UserTypo</ability>
      <abilityName>自定义错误</abilityName>
      <candidateList>
        <item>及</item>
      </candidateList>
      <explain>来自自定义错词库。</explain>
      <paraID>4EDA7EE7</paraID>
      <start>10</start>
      <end>12</end>
      <status>unmodified</status>
      <modifiedWord/>
      <trackRevisions>false</trackRevisions>
    </reviewItem>
    <reviewItem>
      <errorID>2a3b19e4-9948-4e1b-98bb-00dc79c098be</errorID>
      <errorWord>(</errorWord>
      <group>L1_Format</group>
      <groupName>格式问题</groupName>
      <ability>L2_HalfPunc_CN</ability>
      <abilityName>全半角问题</abilityName>
      <candidateList>
        <item>（</item>
      </candidateList>
      <explain>文本全半角错误。</explain>
      <paraID>361EE400</paraID>
      <start>114</start>
      <end>115</end>
      <status>unmodified</status>
      <modifiedWord/>
      <trackRevisions>false</trackRevisions>
    </reviewItem>
    <reviewItem>
      <errorID>29d18c04-a542-4157-b05a-5e174fde2a84</errorID>
      <errorWord>曝露</errorWord>
      <group>L1_Word</group>
      <groupName>字词问题</groupName>
      <ability>L2_Typo</ability>
      <abilityName>字词错误</abilityName>
      <candidateList>
        <item>暴露</item>
      </candidateList>
      <explain>〈动〉（隐蔽的事物、缺陷、矛盾、问题等）显露出来：～目标｜～无遗。</explain>
      <paraID>666347A9</paraID>
      <start>179</start>
      <end>181</end>
      <status>unmodified</status>
      <modifiedWord/>
      <trackRevisions>false</trackRevisions>
    </reviewItem>
    <reviewItem>
      <errorID>40c83567-7e35-4fdc-9db4-9dec91020a0f</errorID>
      <errorWord>线览</errorWord>
      <group>L1_Word</group>
      <groupName>字词问题</groupName>
      <ability>L2_Typo</ability>
      <abilityName>字词错误</abilityName>
      <candidateList>
        <item>线缆</item>
      </candidateList>
      <explain>存在发音相同字词的误用。</explain>
      <paraID>3F6FECD8</paraID>
      <start>72</start>
      <end>74</end>
      <status>unmodified</status>
      <modifiedWord/>
      <trackRevisions>false</trackRevisions>
    </reviewItem>
    <reviewItem>
      <errorID>1bdca9af-9873-4d86-8aea-88ec0669fff1</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31ED0F29</paraID>
      <start>15</start>
      <end>18</end>
      <status>unmodified</status>
      <modifiedWord/>
      <trackRevisions>false</trackRevisions>
    </reviewItem>
    <reviewItem>
      <errorID>05337adb-8fa9-4dba-a463-ce68a18cca23</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31ED0F29</paraID>
      <start>32</start>
      <end>35</end>
      <status>unmodified</status>
      <modifiedWord/>
      <trackRevisions>false</trackRevisions>
    </reviewItem>
    <reviewItem>
      <errorID>5002602f-9a88-4cda-a537-2482f63a0370</errorID>
      <errorWord>法律、法规及相关</errorWord>
      <group>L1_Word</group>
      <groupName>字词问题</groupName>
      <ability>L2_Typo</ability>
      <abilityName>字词错误</abilityName>
      <candidateList>
        <item>法律法规及相关</item>
      </candidateList>
      <explain/>
      <paraID>2A4D729A</paraID>
      <start>7</start>
      <end>15</end>
      <status>unmodified</status>
      <modifiedWord/>
      <trackRevisions>false</trackRevisions>
    </reviewItem>
    <reviewItem>
      <errorID>386614bb-70ed-4b0e-8d65-4743240cc35c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78323E02</paraID>
      <start>0</start>
      <end>3</end>
      <status>unmodified</status>
      <modifiedWord/>
      <trackRevisions>false</trackRevisions>
    </reviewItem>
    <reviewItem>
      <errorID>a0f302a3-9135-4a4d-aa75-bbfefec7d7e6</errorID>
      <errorWord>2月29日</errorWord>
      <group>L1_Other</group>
      <groupName>其他问题</groupName>
      <ability>L2_UserTypo</ability>
      <abilityName>自定义错误</abilityName>
      <candidateList>
        <item>建议核实</item>
      </candidateList>
      <explain>来自自定义错词库。</explain>
      <paraID>3A81B82E</paraID>
      <start>26</start>
      <end>31</end>
      <status>unmodified</status>
      <modifiedWord/>
      <trackRevisions>false</trackRevisions>
    </reviewItem>
    <reviewItem>
      <errorID>dd384156-f438-4c1f-8e18-d560ab451c78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5BE2F484</paraID>
      <start>0</start>
      <end>3</end>
      <status>unmodified</status>
      <modifiedWord/>
      <trackRevisions>false</trackRevisions>
    </reviewItem>
    <reviewItem>
      <errorID>2c0d436e-87e4-4da7-9efd-14de4422630f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2CCB45A5</paraID>
      <start>0</start>
      <end>3</end>
      <status>unmodified</status>
      <modifiedWord/>
      <trackRevisions>false</trackRevisions>
    </reviewItem>
    <reviewItem>
      <errorID>96095f2a-f74b-492e-885b-4eceab8c3f2e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D3B8EAE</paraID>
      <start>0</start>
      <end>3</end>
      <status>unmodified</status>
      <modifiedWord/>
      <trackRevisions>false</trackRevisions>
    </reviewItem>
    <reviewItem>
      <errorID>f797598b-8575-46cf-8943-9bf45de408c0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40DD647B</paraID>
      <start>0</start>
      <end>3</end>
      <status>unmodified</status>
      <modifiedWord/>
      <trackRevisions>false</trackRevisions>
    </reviewItem>
    <reviewItem>
      <errorID>46b9e2b8-ca9d-4786-b8fe-b984b4685e4b</errorID>
      <errorWord>月1日实施</errorWord>
      <group>L1_Word</group>
      <groupName>字词问题</groupName>
      <ability>L2_Typo</ability>
      <abilityName>字词错误</abilityName>
      <candidateList>
        <item>月1日起实施</item>
      </candidateList>
      <explain/>
      <paraID>40DD647B</paraID>
      <start>36</start>
      <end>41</end>
      <status>unmodified</status>
      <modifiedWord/>
      <trackRevisions>false</trackRevisions>
    </reviewItem>
    <reviewItem>
      <errorID>16e252af-aca1-4964-817a-0996865708c0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14FB47B1</paraID>
      <start>0</start>
      <end>3</end>
      <status>unmodified</status>
      <modifiedWord/>
      <trackRevisions>false</trackRevisions>
    </reviewItem>
    <reviewItem>
      <errorID>002176c9-95b9-41f6-b21a-6ddf13a3526d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13873237</paraID>
      <start>0</start>
      <end>3</end>
      <status>unmodified</status>
      <modifiedWord/>
      <trackRevisions>false</trackRevisions>
    </reviewItem>
    <reviewItem>
      <errorID>d3acf664-588f-44c3-9de8-c0eb42286d20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449E257F</paraID>
      <start>0</start>
      <end>3</end>
      <status>unmodified</status>
      <modifiedWord/>
      <trackRevisions>false</trackRevisions>
    </reviewItem>
    <reviewItem>
      <errorID>81e00f81-b5b6-4b6f-bc28-e2fe2d0303df</errorID>
      <errorWord>做为</errorWord>
      <group>L1_Word</group>
      <groupName>字词问题</groupName>
      <ability>L2_Typo</ability>
      <abilityName>字词错误</abilityName>
      <candidateList>
        <item>作为</item>
      </candidateList>
      <explain>存在发音相同字词的误用。</explain>
      <paraID>4767A9F4</paraID>
      <start>88</start>
      <end>90</end>
      <status>unmodified</status>
      <modifiedWord/>
      <trackRevisions>false</trackRevisions>
    </reviewItem>
    <reviewItem>
      <errorID>15e12ebe-182a-4863-a0b5-9608d32ee67e</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636CAE66</paraID>
      <start>50</start>
      <end>51</end>
      <status>unmodified</status>
      <modifiedWord/>
      <trackRevisions>false</trackRevisions>
    </reviewItem>
    <reviewItem>
      <errorID>11143881-5fcf-4d4b-b1d8-ec574873d716</errorID>
      <errorWord>，…</errorWord>
      <group>L1_Punc</group>
      <groupName>标点问题</groupName>
      <ability>L2_Punc_CN</ability>
      <abilityName>标点符号问题</abilityName>
      <candidateList>
        <item>，</item>
      </candidateList>
      <explain/>
      <paraID>66843C20</paraID>
      <start>52</start>
      <end>54</end>
      <status>unmodified</status>
      <modifiedWord/>
      <trackRevisions>false</trackRevisions>
    </reviewItem>
    <reviewItem>
      <errorID>da960fdc-3b12-4e82-87e0-5b655250a4b7</errorID>
      <errorWord>，…</errorWord>
      <group>L1_Punc</group>
      <groupName>标点问题</groupName>
      <ability>L2_Punc_CN</ability>
      <abilityName>标点符号问题</abilityName>
      <candidateList>
        <item>，</item>
      </candidateList>
      <explain/>
      <paraID>66843C20</paraID>
      <start>73</start>
      <end>75</end>
      <status>unmodified</status>
      <modifiedWord/>
      <trackRevisions>false</trackRevisions>
    </reviewItem>
    <reviewItem>
      <errorID>ddbdad9a-daaf-464c-83c1-9a2da33f6e67</errorID>
      <errorWord>、…</errorWord>
      <group>L1_Punc</group>
      <groupName>标点问题</groupName>
      <ability>L2_Punc_CN</ability>
      <abilityName>标点符号问题</abilityName>
      <candidateList>
        <item>、</item>
      </candidateList>
      <explain/>
      <paraID>7520091C</paraID>
      <start>24</start>
      <end>26</end>
      <status>unmodified</status>
      <modifiedWord/>
      <trackRevisions>false</trackRevisions>
    </reviewItem>
    <reviewItem>
      <errorID>bda3b7f3-1f61-462e-9d94-52bf43c68de2</errorID>
      <errorWord>其</errorWord>
      <group>L1_Word</group>
      <groupName>字词问题</groupName>
      <ability>L2_Typo</ability>
      <abilityName>字词错误</abilityName>
      <candidateList>
        <item>上</item>
      </candidateList>
      <explain>存在字形相近字词的误用。</explain>
      <paraID>6F590078</paraID>
      <start>66</start>
      <end>67</end>
      <status>unmodified</status>
      <modifiedWord/>
      <trackRevisions>false</trackRevisions>
    </reviewItem>
    <reviewItem>
      <errorID>60e9e3ce-269d-4e37-9a55-6dd2f2c95d08</errorID>
      <errorWord>＝</errorWord>
      <group>L1_Format</group>
      <groupName>格式问题</groupName>
      <ability>L2_HalfPunc_CN</ability>
      <abilityName>全半角问题</abilityName>
      <candidateList>
        <item>=</item>
      </candidateList>
      <explain>文本全半角错误。</explain>
      <paraID>4473E757</paraID>
      <start>21</start>
      <end>22</end>
      <status>unmodified</status>
      <modifiedWord/>
      <trackRevisions>false</trackRevisions>
    </reviewItem>
    <reviewItem>
      <errorID>20b76972-7624-4276-b5b7-b78e206489eb</errorID>
      <errorWord>-</errorWord>
      <group>L1_Format</group>
      <groupName>格式问题</groupName>
      <ability>L2_HalfPunc_CN</ability>
      <abilityName>全半角问题</abilityName>
      <candidateList>
        <item>－</item>
      </candidateList>
      <explain>文本全半角错误。</explain>
      <paraID>42B982CC</paraID>
      <start>2</start>
      <end>3</end>
      <status>unmodified</status>
      <modifiedWord/>
      <trackRevisions>false</trackRevisions>
    </reviewItem>
    <reviewItem>
      <errorID>c5a7cdf1-d076-4024-b353-7f61e8215c56</errorID>
      <errorWord>(</errorWord>
      <group>L1_Format</group>
      <groupName>格式问题</groupName>
      <ability>L2_HalfPunc_CN</ability>
      <abilityName>全半角问题</abilityName>
      <candidateList>
        <item>（</item>
      </candidateList>
      <explain>文本全半角错误。</explain>
      <paraID>1E94C026</paraID>
      <start>42</start>
      <end>43</end>
      <status>unmodified</status>
      <modifiedWord/>
      <trackRevisions>false</trackRevisions>
    </reviewItem>
    <reviewItem>
      <errorID>e02fe7ce-2725-40b3-8c9e-668b9c2050b3</errorID>
      <errorWord>24～28%</errorWord>
      <group>L1_Knowledge</group>
      <groupName>知识性问题</groupName>
      <ability>L2_Knowledge</ability>
      <abilityName>其他知识</abilityName>
      <candidateList>
        <item>24%～28%</item>
      </candidateList>
      <explain>1. “24～28%”中的单位“%”仅出现在后一个数字上，容易引起歧义；根据《现代汉语标点符号数字用法规范手册》，数字表示范围两边需要使用统一的格式。2. 根据标点国标 4.13 中的规则，数字、时间或地域连接符应使用（视觉上更长的）“—”或“～”。</explain>
      <paraID>5FEDAFEA</paraID>
      <start>22</start>
      <end>28</end>
      <status>unmodified</status>
      <modifiedWord/>
      <trackRevisions>false</trackRevisions>
    </reviewItem>
    <reviewItem>
      <errorID>f76066d3-dcb5-4c51-a056-3aefb95f3b38</errorID>
      <errorWord>曝露</errorWord>
      <group>L1_Word</group>
      <groupName>字词问题</groupName>
      <ability>L2_Typo</ability>
      <abilityName>字词错误</abilityName>
      <candidateList>
        <item>暴露</item>
      </candidateList>
      <explain>〈动〉（隐蔽的事物、缺陷、矛盾、问题等）显露出来：～目标｜～无遗。</explain>
      <paraID>2508284F</paraID>
      <start>33</start>
      <end>35</end>
      <status>unmodified</status>
      <modifiedWord/>
      <trackRevisions>false</trackRevisions>
    </reviewItem>
    <reviewItem>
      <errorID>2166e2a3-1146-41bb-b8b0-5dfa6ff9429d</errorID>
      <errorWord>围</errorWord>
      <group>L1_Word</group>
      <groupName>字词问题</groupName>
      <ability>L2_Typo</ability>
      <abilityName>字词错误</abilityName>
      <candidateList>
        <item>围内</item>
      </candidateList>
      <explain/>
      <paraID> 872CC04</paraID>
      <start>52</start>
      <end>53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02aa29-1f20-4b01-b208-299650159ee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94</Pages>
  <Words>222</Words>
  <Characters>275</Characters>
  <Lines>448</Lines>
  <Paragraphs>126</Paragraphs>
  <TotalTime>15</TotalTime>
  <ScaleCrop>false</ScaleCrop>
  <LinksUpToDate>false</LinksUpToDate>
  <CharactersWithSpaces>347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2026-06-03T01:21:00Z</dcterms:created>
  <dc:creator>lhj</dc:creator>
  <cp:lastModifiedBy>WPS_1562320662</cp:lastModifiedBy>
  <cp:lastPrinted>2025-01-09T08:07:00Z</cp:lastPrinted>
  <dcterms:modified xsi:type="dcterms:W3CDTF">2026-06-09T11:56:47Z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FAE6B112DF8D4EFFB94BCA5CF7572F85_13</vt:lpwstr>
  </property>
  <property fmtid="{D5CDD505-2E9C-101B-9397-08002B2CF9AE}" pid="4" name="commondata">
    <vt:lpwstr>eyJoZGlkIjoiZjkyZWEzZjZiMjlkOWVhNmJmNzNjNTg1MzljNDY3ZWEifQ==</vt:lpwstr>
  </property>
  <property fmtid="{D5CDD505-2E9C-101B-9397-08002B2CF9AE}" pid="5" name="KSOTemplateDocerSaveRecord">
    <vt:lpwstr>eyJoZGlkIjoiM2Y0OGY5OGI5NDBlZGEyZGJjYWRhOGY2NzQyNzJkM2QiLCJ1c2VySWQiOiI2MDE2NTE5NzkifQ==</vt:lpwstr>
  </property>
</Properties>
</file>